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91ED5" w14:textId="6B41E087" w:rsidR="003B7A53" w:rsidRPr="00BB77F0" w:rsidRDefault="00E12A69" w:rsidP="000D48F6">
      <w:pPr>
        <w:jc w:val="center"/>
        <w:rPr>
          <w:b/>
          <w:smallCaps/>
          <w:sz w:val="28"/>
          <w:szCs w:val="28"/>
          <w:u w:val="single"/>
        </w:rPr>
      </w:pPr>
      <w:r w:rsidRPr="00BB77F0">
        <w:rPr>
          <w:b/>
          <w:smallCaps/>
          <w:sz w:val="28"/>
          <w:szCs w:val="28"/>
          <w:u w:val="single"/>
        </w:rPr>
        <w:t>Position Name</w:t>
      </w:r>
      <w:r w:rsidR="00BB77F0">
        <w:rPr>
          <w:b/>
          <w:smallCaps/>
          <w:sz w:val="28"/>
          <w:szCs w:val="28"/>
          <w:u w:val="single"/>
        </w:rPr>
        <w:t xml:space="preserve"> (</w:t>
      </w:r>
      <w:proofErr w:type="spellStart"/>
      <w:r w:rsidR="00BB77F0">
        <w:rPr>
          <w:b/>
          <w:smallCaps/>
          <w:sz w:val="28"/>
          <w:szCs w:val="28"/>
          <w:u w:val="single"/>
        </w:rPr>
        <w:t>Position</w:t>
      </w:r>
      <w:proofErr w:type="gramStart"/>
      <w:r w:rsidR="00BB77F0">
        <w:rPr>
          <w:b/>
          <w:smallCaps/>
          <w:sz w:val="28"/>
          <w:szCs w:val="28"/>
          <w:u w:val="single"/>
        </w:rPr>
        <w:t>#</w:t>
      </w:r>
      <w:r w:rsidR="00203C72">
        <w:rPr>
          <w:b/>
          <w:smallCaps/>
          <w:sz w:val="28"/>
          <w:szCs w:val="28"/>
          <w:u w:val="single"/>
        </w:rPr>
        <w:t>.Dye</w:t>
      </w:r>
      <w:proofErr w:type="spellEnd"/>
      <w:proofErr w:type="gramEnd"/>
      <w:r w:rsidR="00203C72">
        <w:rPr>
          <w:b/>
          <w:smallCaps/>
          <w:sz w:val="28"/>
          <w:szCs w:val="28"/>
          <w:u w:val="single"/>
        </w:rPr>
        <w:t xml:space="preserve"> Lab Research Assistant.2122</w:t>
      </w:r>
      <w:r w:rsidR="00BB77F0">
        <w:rPr>
          <w:b/>
          <w:smallCaps/>
          <w:sz w:val="28"/>
          <w:szCs w:val="28"/>
          <w:u w:val="single"/>
        </w:rPr>
        <w:t>)</w:t>
      </w:r>
    </w:p>
    <w:p w14:paraId="672A6659" w14:textId="77777777" w:rsidR="003B7A53" w:rsidRPr="000D48F6" w:rsidRDefault="003B7A53" w:rsidP="000D48F6">
      <w:pPr>
        <w:jc w:val="center"/>
        <w:rPr>
          <w:b/>
        </w:rPr>
      </w:pPr>
    </w:p>
    <w:p w14:paraId="075CAB43" w14:textId="77777777" w:rsidR="003B7A53" w:rsidRDefault="000D48F6" w:rsidP="000D48F6">
      <w:pPr>
        <w:rPr>
          <w:b/>
          <w:u w:val="single"/>
        </w:rPr>
      </w:pPr>
      <w:r w:rsidRPr="000D48F6">
        <w:rPr>
          <w:b/>
          <w:u w:val="single"/>
        </w:rPr>
        <w:t>Overview:</w:t>
      </w:r>
    </w:p>
    <w:p w14:paraId="0F46D9F2" w14:textId="7B51DE4F" w:rsidR="00B37C24" w:rsidRPr="00E12A69" w:rsidRDefault="001C7072" w:rsidP="000D48F6">
      <w:pPr>
        <w:rPr>
          <w:b/>
          <w:i/>
          <w:u w:val="single"/>
        </w:rPr>
      </w:pPr>
      <w:r>
        <w:rPr>
          <w:i/>
        </w:rPr>
        <w:t xml:space="preserve">Dye Lab Research Assistants perform research under the mentorship of Dr. Kristine Dye investigating how Merkel Cell Polyomavirus leads to the development of Merkel Cell Carcinoma. </w:t>
      </w:r>
      <w:r w:rsidR="00204513">
        <w:rPr>
          <w:i/>
        </w:rPr>
        <w:t>Responsibilities of this position include</w:t>
      </w:r>
      <w:r w:rsidR="00A8109C">
        <w:rPr>
          <w:i/>
        </w:rPr>
        <w:t xml:space="preserve"> </w:t>
      </w:r>
      <w:r w:rsidR="00056A40">
        <w:rPr>
          <w:i/>
        </w:rPr>
        <w:t>research field/</w:t>
      </w:r>
      <w:r w:rsidR="000174A7">
        <w:rPr>
          <w:i/>
        </w:rPr>
        <w:t>project conceptualization</w:t>
      </w:r>
      <w:r w:rsidR="00056A40">
        <w:rPr>
          <w:i/>
        </w:rPr>
        <w:t xml:space="preserve"> and fluency</w:t>
      </w:r>
      <w:r w:rsidR="000174A7">
        <w:rPr>
          <w:i/>
        </w:rPr>
        <w:t xml:space="preserve">, </w:t>
      </w:r>
      <w:r w:rsidR="00394D78">
        <w:rPr>
          <w:i/>
        </w:rPr>
        <w:t>experimental desig</w:t>
      </w:r>
      <w:r w:rsidR="000174A7">
        <w:rPr>
          <w:i/>
        </w:rPr>
        <w:t xml:space="preserve">n, technical laboratory skills, </w:t>
      </w:r>
      <w:r w:rsidR="001677B8">
        <w:rPr>
          <w:i/>
        </w:rPr>
        <w:t xml:space="preserve">data analysis, </w:t>
      </w:r>
      <w:r w:rsidR="00091B28">
        <w:rPr>
          <w:i/>
        </w:rPr>
        <w:t>troubleshooting,</w:t>
      </w:r>
      <w:r w:rsidR="00ED3711">
        <w:rPr>
          <w:i/>
        </w:rPr>
        <w:t xml:space="preserve"> and results dissemination</w:t>
      </w:r>
      <w:r w:rsidR="00091B28">
        <w:rPr>
          <w:i/>
        </w:rPr>
        <w:t>/communication</w:t>
      </w:r>
      <w:r w:rsidR="00ED3711">
        <w:rPr>
          <w:i/>
        </w:rPr>
        <w:t xml:space="preserve">. </w:t>
      </w:r>
      <w:r w:rsidR="00CB6C80">
        <w:rPr>
          <w:i/>
        </w:rPr>
        <w:t xml:space="preserve">Furthermore, this position </w:t>
      </w:r>
      <w:r w:rsidR="00091B28">
        <w:rPr>
          <w:i/>
        </w:rPr>
        <w:t xml:space="preserve">involves </w:t>
      </w:r>
      <w:r w:rsidR="00B91460">
        <w:rPr>
          <w:i/>
        </w:rPr>
        <w:t xml:space="preserve">working with a team of other researchers in the lab and </w:t>
      </w:r>
      <w:r w:rsidR="00091B28">
        <w:rPr>
          <w:i/>
        </w:rPr>
        <w:t xml:space="preserve">the training and mentorship of newer lab members.  </w:t>
      </w:r>
    </w:p>
    <w:p w14:paraId="0A37501D" w14:textId="77777777" w:rsidR="003B7A53" w:rsidRPr="000D48F6" w:rsidRDefault="003B7A53" w:rsidP="000D48F6"/>
    <w:p w14:paraId="5DAB6C7B" w14:textId="77777777" w:rsidR="00E74573" w:rsidRPr="00BB77F0" w:rsidRDefault="00E74573">
      <w:pPr>
        <w:rPr>
          <w:b/>
          <w:u w:val="single"/>
        </w:rPr>
      </w:pPr>
    </w:p>
    <w:tbl>
      <w:tblPr>
        <w:tblW w:w="0" w:type="auto"/>
        <w:tblInd w:w="198" w:type="dxa"/>
        <w:tblBorders>
          <w:top w:val="thinThickSmallGap" w:sz="24" w:space="0" w:color="385623"/>
          <w:bottom w:val="thickThinSmallGap" w:sz="24" w:space="0" w:color="385623"/>
          <w:insideH w:val="dotted" w:sz="4" w:space="0" w:color="A8D08D"/>
          <w:insideV w:val="dotted" w:sz="4" w:space="0" w:color="A8D08D"/>
        </w:tblBorders>
        <w:tblLayout w:type="fixed"/>
        <w:tblLook w:val="0660" w:firstRow="1" w:lastRow="1" w:firstColumn="0" w:lastColumn="0" w:noHBand="1" w:noVBand="1"/>
      </w:tblPr>
      <w:tblGrid>
        <w:gridCol w:w="4929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ED45CB" w14:paraId="6DDF59CA" w14:textId="77777777" w:rsidTr="00440B98">
        <w:trPr>
          <w:cantSplit/>
          <w:trHeight w:val="2281"/>
        </w:trPr>
        <w:tc>
          <w:tcPr>
            <w:tcW w:w="4929" w:type="dxa"/>
            <w:shd w:val="clear" w:color="auto" w:fill="auto"/>
            <w:noWrap/>
            <w:vAlign w:val="center"/>
          </w:tcPr>
          <w:p w14:paraId="27D66A35" w14:textId="77777777" w:rsidR="00E74573" w:rsidRPr="00BB77F0" w:rsidRDefault="00BB77F0" w:rsidP="00BB77F0">
            <w:pPr>
              <w:rPr>
                <w:b/>
                <w:bCs/>
                <w:sz w:val="28"/>
                <w:szCs w:val="28"/>
              </w:rPr>
            </w:pPr>
            <w:r w:rsidRPr="00BB77F0">
              <w:rPr>
                <w:b/>
                <w:bCs/>
                <w:sz w:val="28"/>
                <w:szCs w:val="28"/>
              </w:rPr>
              <w:t>Duties and Responsibilities:</w:t>
            </w:r>
          </w:p>
          <w:p w14:paraId="72F88A58" w14:textId="77777777" w:rsidR="00BB77F0" w:rsidRPr="00BB77F0" w:rsidRDefault="00BB77F0" w:rsidP="00BB77F0">
            <w:pPr>
              <w:jc w:val="center"/>
              <w:rPr>
                <w:i/>
                <w:iCs/>
              </w:rPr>
            </w:pPr>
            <w:r w:rsidRPr="00BB77F0">
              <w:rPr>
                <w:i/>
                <w:iCs/>
              </w:rPr>
              <w:t>(lines can be added by hovering to the left of green dotted lines below)</w:t>
            </w:r>
          </w:p>
        </w:tc>
        <w:tc>
          <w:tcPr>
            <w:tcW w:w="691" w:type="dxa"/>
            <w:shd w:val="clear" w:color="auto" w:fill="auto"/>
            <w:textDirection w:val="btLr"/>
          </w:tcPr>
          <w:p w14:paraId="54A8819F" w14:textId="77777777" w:rsidR="00E74573" w:rsidRDefault="00E74573" w:rsidP="006B29E8">
            <w:pPr>
              <w:ind w:left="113" w:right="113"/>
              <w:jc w:val="center"/>
            </w:pPr>
            <w:r>
              <w:t>Critical Thinking &amp; Problem Solving</w:t>
            </w:r>
          </w:p>
        </w:tc>
        <w:tc>
          <w:tcPr>
            <w:tcW w:w="691" w:type="dxa"/>
            <w:textDirection w:val="btLr"/>
          </w:tcPr>
          <w:p w14:paraId="38AA1660" w14:textId="77777777" w:rsidR="00E74573" w:rsidRDefault="00E74573" w:rsidP="006B29E8">
            <w:pPr>
              <w:ind w:left="113" w:right="113"/>
              <w:jc w:val="center"/>
            </w:pPr>
            <w:r>
              <w:t>Professionalism &amp; Productivity</w:t>
            </w:r>
          </w:p>
        </w:tc>
        <w:tc>
          <w:tcPr>
            <w:tcW w:w="691" w:type="dxa"/>
            <w:textDirection w:val="btLr"/>
          </w:tcPr>
          <w:p w14:paraId="2AE8FDE2" w14:textId="77777777" w:rsidR="00E74573" w:rsidRDefault="00E74573" w:rsidP="006B29E8">
            <w:pPr>
              <w:ind w:left="113" w:right="113"/>
              <w:jc w:val="center"/>
            </w:pPr>
            <w:r>
              <w:t>Teamwork &amp; Collaboration</w:t>
            </w:r>
          </w:p>
        </w:tc>
        <w:tc>
          <w:tcPr>
            <w:tcW w:w="691" w:type="dxa"/>
            <w:textDirection w:val="btLr"/>
          </w:tcPr>
          <w:p w14:paraId="3CACDAF6" w14:textId="77777777" w:rsidR="00E74573" w:rsidRDefault="00E74573" w:rsidP="006B29E8">
            <w:pPr>
              <w:ind w:left="113" w:right="113"/>
              <w:jc w:val="center"/>
            </w:pPr>
            <w:r>
              <w:t>Communication</w:t>
            </w:r>
          </w:p>
        </w:tc>
        <w:tc>
          <w:tcPr>
            <w:tcW w:w="691" w:type="dxa"/>
            <w:shd w:val="clear" w:color="auto" w:fill="auto"/>
            <w:textDirection w:val="btLr"/>
          </w:tcPr>
          <w:p w14:paraId="19599574" w14:textId="77777777" w:rsidR="00E74573" w:rsidRDefault="00E74573" w:rsidP="006B29E8">
            <w:pPr>
              <w:ind w:left="113" w:right="113"/>
              <w:jc w:val="center"/>
            </w:pPr>
            <w:r>
              <w:t>Digital Literacy</w:t>
            </w:r>
          </w:p>
        </w:tc>
        <w:tc>
          <w:tcPr>
            <w:tcW w:w="691" w:type="dxa"/>
            <w:shd w:val="clear" w:color="auto" w:fill="auto"/>
            <w:textDirection w:val="btLr"/>
          </w:tcPr>
          <w:p w14:paraId="45ACC5A5" w14:textId="77777777" w:rsidR="00E74573" w:rsidRDefault="00E74573" w:rsidP="006B29E8">
            <w:pPr>
              <w:ind w:left="113" w:right="113"/>
              <w:jc w:val="center"/>
            </w:pPr>
            <w:r>
              <w:t>Leadership</w:t>
            </w:r>
          </w:p>
        </w:tc>
        <w:tc>
          <w:tcPr>
            <w:tcW w:w="691" w:type="dxa"/>
            <w:textDirection w:val="btLr"/>
          </w:tcPr>
          <w:p w14:paraId="2469D91C" w14:textId="77777777" w:rsidR="00E74573" w:rsidRDefault="00E74573" w:rsidP="006B29E8">
            <w:pPr>
              <w:ind w:left="113" w:right="113"/>
              <w:jc w:val="center"/>
            </w:pPr>
            <w:r>
              <w:t>Career Navigation</w:t>
            </w:r>
          </w:p>
        </w:tc>
        <w:tc>
          <w:tcPr>
            <w:tcW w:w="691" w:type="dxa"/>
            <w:textDirection w:val="btLr"/>
          </w:tcPr>
          <w:p w14:paraId="7280937A" w14:textId="77777777" w:rsidR="00E74573" w:rsidRDefault="00E74573" w:rsidP="006B29E8">
            <w:pPr>
              <w:ind w:left="113" w:right="113"/>
              <w:jc w:val="center"/>
            </w:pPr>
            <w:r>
              <w:t>Global &amp; Intercultural Fluency</w:t>
            </w:r>
          </w:p>
        </w:tc>
      </w:tr>
      <w:tr w:rsidR="006B29E8" w14:paraId="02EB378F" w14:textId="77777777" w:rsidTr="00440B98">
        <w:trPr>
          <w:trHeight w:val="522"/>
        </w:trPr>
        <w:tc>
          <w:tcPr>
            <w:tcW w:w="4929" w:type="dxa"/>
            <w:shd w:val="clear" w:color="auto" w:fill="auto"/>
            <w:noWrap/>
          </w:tcPr>
          <w:p w14:paraId="6A05A809" w14:textId="55AEF77B" w:rsidR="00E74573" w:rsidRDefault="00056A40" w:rsidP="00126D19">
            <w:pPr>
              <w:spacing w:beforeLines="100" w:before="240"/>
            </w:pPr>
            <w:r>
              <w:t xml:space="preserve">Research Field/Project Conceptualization and Fluency </w:t>
            </w:r>
          </w:p>
        </w:tc>
        <w:tc>
          <w:tcPr>
            <w:tcW w:w="691" w:type="dxa"/>
            <w:shd w:val="clear" w:color="auto" w:fill="auto"/>
          </w:tcPr>
          <w:p w14:paraId="5A39BBE3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41C8F396" w14:textId="34591761" w:rsidR="00E74573" w:rsidRDefault="00056A40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</w:tcPr>
          <w:p w14:paraId="72A3D3EC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0D0B940D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  <w:shd w:val="clear" w:color="auto" w:fill="auto"/>
          </w:tcPr>
          <w:p w14:paraId="0E27B00A" w14:textId="58E2BB14" w:rsidR="00E74573" w:rsidRDefault="00056A40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  <w:shd w:val="clear" w:color="auto" w:fill="auto"/>
          </w:tcPr>
          <w:p w14:paraId="60061E4C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44EAFD9C" w14:textId="4B2E78D6" w:rsidR="00E74573" w:rsidRDefault="00821EEE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</w:tcPr>
          <w:p w14:paraId="4B94D5A5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</w:tr>
      <w:tr w:rsidR="006B29E8" w14:paraId="3DEEC669" w14:textId="77777777" w:rsidTr="00440B98">
        <w:trPr>
          <w:trHeight w:val="537"/>
        </w:trPr>
        <w:tc>
          <w:tcPr>
            <w:tcW w:w="4929" w:type="dxa"/>
            <w:shd w:val="clear" w:color="auto" w:fill="auto"/>
            <w:noWrap/>
          </w:tcPr>
          <w:p w14:paraId="3656B9AB" w14:textId="5D2D8F0D" w:rsidR="00E74573" w:rsidRDefault="00821EEE" w:rsidP="00126D19">
            <w:pPr>
              <w:spacing w:beforeLines="100" w:before="240"/>
            </w:pPr>
            <w:r>
              <w:t>Experimental Design</w:t>
            </w:r>
          </w:p>
        </w:tc>
        <w:tc>
          <w:tcPr>
            <w:tcW w:w="691" w:type="dxa"/>
            <w:shd w:val="clear" w:color="auto" w:fill="auto"/>
          </w:tcPr>
          <w:p w14:paraId="45FB0818" w14:textId="37D5C3D5" w:rsidR="00E74573" w:rsidRDefault="00821EEE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</w:tcPr>
          <w:p w14:paraId="049F31CB" w14:textId="19E2127C" w:rsidR="00E74573" w:rsidRDefault="00E810AE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</w:tcPr>
          <w:p w14:paraId="53128261" w14:textId="10EBD9B8" w:rsidR="00E74573" w:rsidRDefault="00E810AE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</w:tcPr>
          <w:p w14:paraId="62486C05" w14:textId="430C23F0" w:rsidR="00E74573" w:rsidRDefault="00E810AE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  <w:shd w:val="clear" w:color="auto" w:fill="auto"/>
          </w:tcPr>
          <w:p w14:paraId="4101652C" w14:textId="673014B2" w:rsidR="00E74573" w:rsidRDefault="0084693C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  <w:shd w:val="clear" w:color="auto" w:fill="auto"/>
          </w:tcPr>
          <w:p w14:paraId="4B99056E" w14:textId="3A96E3D4" w:rsidR="00E74573" w:rsidRDefault="0084693C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</w:tcPr>
          <w:p w14:paraId="1299C43A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4DDBEF00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</w:tr>
      <w:tr w:rsidR="006B29E8" w14:paraId="3461D779" w14:textId="77777777" w:rsidTr="00440B98">
        <w:trPr>
          <w:trHeight w:val="537"/>
        </w:trPr>
        <w:tc>
          <w:tcPr>
            <w:tcW w:w="4929" w:type="dxa"/>
            <w:shd w:val="clear" w:color="auto" w:fill="auto"/>
            <w:noWrap/>
          </w:tcPr>
          <w:p w14:paraId="3CF2D8B6" w14:textId="4AF4A0BA" w:rsidR="00E74573" w:rsidRDefault="0084693C" w:rsidP="00126D19">
            <w:pPr>
              <w:spacing w:beforeLines="100" w:before="240"/>
            </w:pPr>
            <w:r>
              <w:t>Technical Laboratory Skills</w:t>
            </w:r>
          </w:p>
        </w:tc>
        <w:tc>
          <w:tcPr>
            <w:tcW w:w="691" w:type="dxa"/>
            <w:shd w:val="clear" w:color="auto" w:fill="auto"/>
          </w:tcPr>
          <w:p w14:paraId="0FB78278" w14:textId="41139418" w:rsidR="00E74573" w:rsidRDefault="006838B9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</w:tcPr>
          <w:p w14:paraId="1FC39945" w14:textId="27252913" w:rsidR="00E74573" w:rsidRDefault="006838B9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</w:tcPr>
          <w:p w14:paraId="0562CB0E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34CE0A41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  <w:shd w:val="clear" w:color="auto" w:fill="auto"/>
          </w:tcPr>
          <w:p w14:paraId="62EBF3C5" w14:textId="0E2674E7" w:rsidR="00E74573" w:rsidRDefault="00473556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  <w:shd w:val="clear" w:color="auto" w:fill="auto"/>
          </w:tcPr>
          <w:p w14:paraId="6D98A12B" w14:textId="56598541" w:rsidR="00E74573" w:rsidRDefault="00473556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</w:tcPr>
          <w:p w14:paraId="2946DB82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5997CC1D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</w:tr>
      <w:tr w:rsidR="006B29E8" w14:paraId="110FFD37" w14:textId="77777777" w:rsidTr="00440B98">
        <w:trPr>
          <w:trHeight w:val="537"/>
        </w:trPr>
        <w:tc>
          <w:tcPr>
            <w:tcW w:w="4929" w:type="dxa"/>
            <w:shd w:val="clear" w:color="auto" w:fill="auto"/>
            <w:noWrap/>
          </w:tcPr>
          <w:p w14:paraId="6B699379" w14:textId="741CC109" w:rsidR="006B29E8" w:rsidRDefault="00473556" w:rsidP="00126D19">
            <w:pPr>
              <w:spacing w:beforeLines="100" w:before="240"/>
            </w:pPr>
            <w:r>
              <w:t>Data Analysis</w:t>
            </w:r>
          </w:p>
        </w:tc>
        <w:tc>
          <w:tcPr>
            <w:tcW w:w="691" w:type="dxa"/>
            <w:shd w:val="clear" w:color="auto" w:fill="auto"/>
          </w:tcPr>
          <w:p w14:paraId="3FE9F23F" w14:textId="745F7458" w:rsidR="006B29E8" w:rsidRDefault="00473556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</w:tcPr>
          <w:p w14:paraId="1F72F646" w14:textId="0CFF372D" w:rsidR="006B29E8" w:rsidRDefault="00473556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</w:tcPr>
          <w:p w14:paraId="08CE6F91" w14:textId="35F47FB5" w:rsidR="006B29E8" w:rsidRDefault="00473556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</w:tcPr>
          <w:p w14:paraId="61CDCEAD" w14:textId="7FD40BBB" w:rsidR="006B29E8" w:rsidRDefault="00473556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  <w:shd w:val="clear" w:color="auto" w:fill="auto"/>
          </w:tcPr>
          <w:p w14:paraId="6BB9E253" w14:textId="04D301FE" w:rsidR="006B29E8" w:rsidRDefault="00473556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  <w:shd w:val="clear" w:color="auto" w:fill="auto"/>
          </w:tcPr>
          <w:p w14:paraId="23DE523C" w14:textId="2E0026E5" w:rsidR="006B29E8" w:rsidRDefault="00473556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</w:tcPr>
          <w:p w14:paraId="52E56223" w14:textId="77777777" w:rsidR="006B29E8" w:rsidRDefault="006B29E8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07547A01" w14:textId="77777777" w:rsidR="006B29E8" w:rsidRDefault="006B29E8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</w:tr>
      <w:tr w:rsidR="00B62459" w14:paraId="5043CB0F" w14:textId="77777777" w:rsidTr="00440B98">
        <w:trPr>
          <w:trHeight w:val="537"/>
        </w:trPr>
        <w:tc>
          <w:tcPr>
            <w:tcW w:w="4929" w:type="dxa"/>
            <w:shd w:val="clear" w:color="auto" w:fill="auto"/>
            <w:noWrap/>
          </w:tcPr>
          <w:p w14:paraId="07459315" w14:textId="65F41447" w:rsidR="00B62459" w:rsidRDefault="00473556" w:rsidP="00126D19">
            <w:pPr>
              <w:spacing w:beforeLines="100" w:before="240"/>
            </w:pPr>
            <w:r>
              <w:t>Troubleshooting</w:t>
            </w:r>
          </w:p>
        </w:tc>
        <w:tc>
          <w:tcPr>
            <w:tcW w:w="691" w:type="dxa"/>
            <w:shd w:val="clear" w:color="auto" w:fill="auto"/>
          </w:tcPr>
          <w:p w14:paraId="6537F28F" w14:textId="5FBAC78D" w:rsidR="00B62459" w:rsidRDefault="00473556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</w:tcPr>
          <w:p w14:paraId="6DFB9E20" w14:textId="1B864B4F" w:rsidR="00B62459" w:rsidRDefault="00473556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</w:tcPr>
          <w:p w14:paraId="70DF9E56" w14:textId="0A03DC6F" w:rsidR="00B62459" w:rsidRDefault="00473556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</w:tcPr>
          <w:p w14:paraId="44E871BC" w14:textId="512C53C8" w:rsidR="00B62459" w:rsidRDefault="00473556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  <w:shd w:val="clear" w:color="auto" w:fill="auto"/>
          </w:tcPr>
          <w:p w14:paraId="144A5D23" w14:textId="2C97081C" w:rsidR="00B62459" w:rsidRDefault="00473556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  <w:shd w:val="clear" w:color="auto" w:fill="auto"/>
          </w:tcPr>
          <w:p w14:paraId="738610EB" w14:textId="391ED597" w:rsidR="00B62459" w:rsidRDefault="00473556" w:rsidP="00126D19">
            <w:pPr>
              <w:pStyle w:val="DecimalAligned"/>
              <w:spacing w:beforeLines="100" w:before="240" w:after="0" w:line="240" w:lineRule="auto"/>
              <w:jc w:val="center"/>
            </w:pPr>
            <w:r>
              <w:t>x</w:t>
            </w:r>
          </w:p>
        </w:tc>
        <w:tc>
          <w:tcPr>
            <w:tcW w:w="691" w:type="dxa"/>
          </w:tcPr>
          <w:p w14:paraId="637805D2" w14:textId="77777777" w:rsidR="00B62459" w:rsidRDefault="00B62459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463F29E8" w14:textId="77777777" w:rsidR="00B62459" w:rsidRDefault="00B62459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</w:tr>
      <w:tr w:rsidR="006B29E8" w14:paraId="3B7B4B86" w14:textId="77777777" w:rsidTr="00440B98">
        <w:trPr>
          <w:trHeight w:val="522"/>
        </w:trPr>
        <w:tc>
          <w:tcPr>
            <w:tcW w:w="4929" w:type="dxa"/>
            <w:shd w:val="clear" w:color="auto" w:fill="auto"/>
            <w:noWrap/>
          </w:tcPr>
          <w:p w14:paraId="3A0FF5F2" w14:textId="3E495C6D" w:rsidR="00E74573" w:rsidRDefault="004C2171" w:rsidP="00126D19">
            <w:pPr>
              <w:spacing w:beforeLines="100" w:before="240"/>
            </w:pPr>
            <w:r>
              <w:t>Results Dissemination/Communication</w:t>
            </w:r>
          </w:p>
        </w:tc>
        <w:tc>
          <w:tcPr>
            <w:tcW w:w="691" w:type="dxa"/>
            <w:shd w:val="clear" w:color="auto" w:fill="auto"/>
          </w:tcPr>
          <w:p w14:paraId="5630AD66" w14:textId="77777777" w:rsidR="00E74573" w:rsidRDefault="00E74573" w:rsidP="00126D19">
            <w:pPr>
              <w:spacing w:beforeLines="100" w:before="240"/>
              <w:jc w:val="center"/>
              <w:rPr>
                <w:rStyle w:val="SubtleEmphasis"/>
              </w:rPr>
            </w:pPr>
          </w:p>
        </w:tc>
        <w:tc>
          <w:tcPr>
            <w:tcW w:w="691" w:type="dxa"/>
          </w:tcPr>
          <w:p w14:paraId="61829076" w14:textId="77777777" w:rsidR="00E74573" w:rsidRDefault="00E74573" w:rsidP="00126D19">
            <w:pPr>
              <w:spacing w:beforeLines="100" w:before="240"/>
              <w:jc w:val="center"/>
            </w:pPr>
          </w:p>
        </w:tc>
        <w:tc>
          <w:tcPr>
            <w:tcW w:w="691" w:type="dxa"/>
          </w:tcPr>
          <w:p w14:paraId="2BA226A1" w14:textId="77777777" w:rsidR="00E74573" w:rsidRDefault="00E74573" w:rsidP="00126D19">
            <w:pPr>
              <w:spacing w:beforeLines="100" w:before="240"/>
              <w:jc w:val="center"/>
            </w:pPr>
          </w:p>
        </w:tc>
        <w:tc>
          <w:tcPr>
            <w:tcW w:w="691" w:type="dxa"/>
          </w:tcPr>
          <w:p w14:paraId="17AD93B2" w14:textId="1F6B961E" w:rsidR="00E74573" w:rsidRDefault="004C2171" w:rsidP="00126D19">
            <w:pPr>
              <w:spacing w:beforeLines="100" w:before="240"/>
              <w:jc w:val="center"/>
            </w:pPr>
            <w:r>
              <w:t>x</w:t>
            </w:r>
          </w:p>
        </w:tc>
        <w:tc>
          <w:tcPr>
            <w:tcW w:w="691" w:type="dxa"/>
            <w:shd w:val="clear" w:color="auto" w:fill="auto"/>
          </w:tcPr>
          <w:p w14:paraId="0DE4B5B7" w14:textId="77777777" w:rsidR="00E74573" w:rsidRDefault="00E74573" w:rsidP="00126D19">
            <w:pPr>
              <w:spacing w:beforeLines="100" w:before="240"/>
              <w:jc w:val="center"/>
            </w:pPr>
          </w:p>
        </w:tc>
        <w:tc>
          <w:tcPr>
            <w:tcW w:w="691" w:type="dxa"/>
            <w:shd w:val="clear" w:color="auto" w:fill="auto"/>
          </w:tcPr>
          <w:p w14:paraId="66204FF1" w14:textId="7D6AD28A" w:rsidR="00E74573" w:rsidRDefault="004C2171" w:rsidP="00126D19">
            <w:pPr>
              <w:spacing w:beforeLines="100" w:before="240"/>
              <w:jc w:val="center"/>
            </w:pPr>
            <w:r>
              <w:t>x</w:t>
            </w:r>
          </w:p>
        </w:tc>
        <w:tc>
          <w:tcPr>
            <w:tcW w:w="691" w:type="dxa"/>
          </w:tcPr>
          <w:p w14:paraId="2DBF0D7D" w14:textId="061BE994" w:rsidR="00E74573" w:rsidRDefault="004C2171" w:rsidP="00126D19">
            <w:pPr>
              <w:spacing w:beforeLines="100" w:before="240"/>
              <w:jc w:val="center"/>
            </w:pPr>
            <w:r>
              <w:t>x</w:t>
            </w:r>
          </w:p>
        </w:tc>
        <w:tc>
          <w:tcPr>
            <w:tcW w:w="691" w:type="dxa"/>
          </w:tcPr>
          <w:p w14:paraId="6B62F1B3" w14:textId="77DC8663" w:rsidR="00E74573" w:rsidRDefault="004C2171" w:rsidP="00126D19">
            <w:pPr>
              <w:spacing w:beforeLines="100" w:before="240"/>
              <w:jc w:val="center"/>
            </w:pPr>
            <w:r>
              <w:t>x</w:t>
            </w:r>
          </w:p>
        </w:tc>
      </w:tr>
      <w:tr w:rsidR="006B29E8" w14:paraId="02F2C34E" w14:textId="77777777" w:rsidTr="00440B98">
        <w:trPr>
          <w:trHeight w:val="537"/>
        </w:trPr>
        <w:tc>
          <w:tcPr>
            <w:tcW w:w="4929" w:type="dxa"/>
            <w:shd w:val="clear" w:color="auto" w:fill="auto"/>
            <w:noWrap/>
          </w:tcPr>
          <w:p w14:paraId="680A4E5D" w14:textId="77777777" w:rsidR="00E74573" w:rsidRDefault="00E74573" w:rsidP="00126D19">
            <w:pPr>
              <w:spacing w:beforeLines="100" w:before="240"/>
            </w:pPr>
          </w:p>
        </w:tc>
        <w:tc>
          <w:tcPr>
            <w:tcW w:w="691" w:type="dxa"/>
            <w:shd w:val="clear" w:color="auto" w:fill="auto"/>
          </w:tcPr>
          <w:p w14:paraId="19219836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296FEF7D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7194DBDC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769D0D3C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  <w:shd w:val="clear" w:color="auto" w:fill="auto"/>
          </w:tcPr>
          <w:p w14:paraId="54CD245A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  <w:shd w:val="clear" w:color="auto" w:fill="auto"/>
          </w:tcPr>
          <w:p w14:paraId="1231BE67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36FEB5B0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  <w:tc>
          <w:tcPr>
            <w:tcW w:w="691" w:type="dxa"/>
          </w:tcPr>
          <w:p w14:paraId="30D7AA69" w14:textId="77777777" w:rsidR="00E74573" w:rsidRDefault="00E74573" w:rsidP="00126D19">
            <w:pPr>
              <w:pStyle w:val="DecimalAligned"/>
              <w:spacing w:beforeLines="100" w:before="240" w:after="0" w:line="240" w:lineRule="auto"/>
              <w:jc w:val="center"/>
            </w:pPr>
          </w:p>
        </w:tc>
      </w:tr>
    </w:tbl>
    <w:p w14:paraId="7196D064" w14:textId="77777777" w:rsidR="003B7A53" w:rsidRDefault="003B7A53" w:rsidP="000D48F6"/>
    <w:p w14:paraId="34FF1C98" w14:textId="77777777" w:rsidR="00D52591" w:rsidRDefault="00D52591" w:rsidP="000D48F6">
      <w:pPr>
        <w:rPr>
          <w:b/>
          <w:u w:val="single"/>
        </w:rPr>
      </w:pPr>
    </w:p>
    <w:p w14:paraId="33A4AA68" w14:textId="77777777" w:rsidR="003B7A53" w:rsidRPr="000D48F6" w:rsidRDefault="002F359E" w:rsidP="000D48F6">
      <w:pPr>
        <w:rPr>
          <w:b/>
          <w:u w:val="single"/>
        </w:rPr>
      </w:pPr>
      <w:r>
        <w:rPr>
          <w:b/>
          <w:u w:val="single"/>
        </w:rPr>
        <w:t>Qualifications</w:t>
      </w:r>
      <w:r w:rsidR="003B7A53" w:rsidRPr="000D48F6">
        <w:rPr>
          <w:b/>
          <w:u w:val="single"/>
        </w:rPr>
        <w:t>:</w:t>
      </w:r>
    </w:p>
    <w:p w14:paraId="232871E4" w14:textId="77777777" w:rsidR="002F359E" w:rsidRPr="002F359E" w:rsidRDefault="002F359E" w:rsidP="000D48F6">
      <w:pPr>
        <w:numPr>
          <w:ilvl w:val="0"/>
          <w:numId w:val="3"/>
        </w:numPr>
      </w:pPr>
      <w:r w:rsidRPr="002F359E">
        <w:t>Required</w:t>
      </w:r>
    </w:p>
    <w:p w14:paraId="7249386A" w14:textId="4117B8E5" w:rsidR="00C84DB1" w:rsidRDefault="00E12A69" w:rsidP="002F359E">
      <w:pPr>
        <w:numPr>
          <w:ilvl w:val="1"/>
          <w:numId w:val="3"/>
        </w:numPr>
      </w:pPr>
      <w:r w:rsidRPr="002F359E">
        <w:t>Current Stetson Student</w:t>
      </w:r>
      <w:r w:rsidR="00E01394">
        <w:t xml:space="preserve"> majoring in the Natural Sciences</w:t>
      </w:r>
    </w:p>
    <w:p w14:paraId="28E1C74D" w14:textId="0C0D187D" w:rsidR="003E5E76" w:rsidRDefault="00F70C20" w:rsidP="002F359E">
      <w:pPr>
        <w:numPr>
          <w:ilvl w:val="1"/>
          <w:numId w:val="3"/>
        </w:numPr>
      </w:pPr>
      <w:r>
        <w:t>Long-term</w:t>
      </w:r>
      <w:r w:rsidR="00EB6D35">
        <w:t>, multi-year,</w:t>
      </w:r>
      <w:r>
        <w:t xml:space="preserve"> commitment to working in the lab including consecutive </w:t>
      </w:r>
      <w:r w:rsidR="00EB6D35">
        <w:t>Spring, Summer, and Fall Semesters.</w:t>
      </w:r>
    </w:p>
    <w:p w14:paraId="484AF002" w14:textId="77777777" w:rsidR="00E12A69" w:rsidRPr="002F359E" w:rsidRDefault="002F359E" w:rsidP="000D48F6">
      <w:pPr>
        <w:numPr>
          <w:ilvl w:val="0"/>
          <w:numId w:val="3"/>
        </w:numPr>
      </w:pPr>
      <w:r w:rsidRPr="002F359E">
        <w:t>Desired</w:t>
      </w:r>
    </w:p>
    <w:p w14:paraId="7C7EE649" w14:textId="13791087" w:rsidR="002F359E" w:rsidRPr="00C23D4D" w:rsidRDefault="00C23D4D" w:rsidP="002F359E">
      <w:pPr>
        <w:numPr>
          <w:ilvl w:val="1"/>
          <w:numId w:val="3"/>
        </w:numPr>
        <w:rPr>
          <w:i/>
          <w:iCs/>
        </w:rPr>
      </w:pPr>
      <w:r>
        <w:t xml:space="preserve">Excellent performance in Natural Sciences courses relating to Molecular and Cellular Biology. </w:t>
      </w:r>
    </w:p>
    <w:p w14:paraId="756DF8CB" w14:textId="280DC11F" w:rsidR="00C23D4D" w:rsidRPr="00295231" w:rsidRDefault="00CF36BB" w:rsidP="002F359E">
      <w:pPr>
        <w:numPr>
          <w:ilvl w:val="1"/>
          <w:numId w:val="3"/>
        </w:numPr>
        <w:rPr>
          <w:i/>
          <w:iCs/>
        </w:rPr>
      </w:pPr>
      <w:r>
        <w:t xml:space="preserve">Freshman – Junior students </w:t>
      </w:r>
      <w:r w:rsidR="00295231">
        <w:t xml:space="preserve">to allow for multi-year commitment to the lab. </w:t>
      </w:r>
    </w:p>
    <w:p w14:paraId="226724EE" w14:textId="40736407" w:rsidR="00295231" w:rsidRPr="00427B83" w:rsidRDefault="00295231" w:rsidP="002F359E">
      <w:pPr>
        <w:numPr>
          <w:ilvl w:val="1"/>
          <w:numId w:val="3"/>
        </w:numPr>
        <w:rPr>
          <w:i/>
          <w:iCs/>
        </w:rPr>
      </w:pPr>
      <w:r>
        <w:t xml:space="preserve">Experience with </w:t>
      </w:r>
      <w:r w:rsidR="00427B83">
        <w:t xml:space="preserve">basic laboratory techniques such as pipetting and buffer preparation. </w:t>
      </w:r>
    </w:p>
    <w:p w14:paraId="67C7C71D" w14:textId="517B7307" w:rsidR="00427B83" w:rsidRPr="002F359E" w:rsidRDefault="00427B83" w:rsidP="002F359E">
      <w:pPr>
        <w:numPr>
          <w:ilvl w:val="1"/>
          <w:numId w:val="3"/>
        </w:numPr>
        <w:rPr>
          <w:i/>
          <w:iCs/>
        </w:rPr>
      </w:pPr>
      <w:r>
        <w:t xml:space="preserve">A genuine interest in </w:t>
      </w:r>
      <w:r w:rsidR="004A665B">
        <w:t xml:space="preserve">topics relating to Molecular and Cellular </w:t>
      </w:r>
      <w:proofErr w:type="gramStart"/>
      <w:r w:rsidR="004A665B">
        <w:t>Biology, and</w:t>
      </w:r>
      <w:proofErr w:type="gramEnd"/>
      <w:r w:rsidR="004A665B">
        <w:t xml:space="preserve"> plans to pursue careers within this field. </w:t>
      </w:r>
    </w:p>
    <w:p w14:paraId="20167776" w14:textId="77777777" w:rsidR="003B7A53" w:rsidRPr="000D48F6" w:rsidRDefault="003B7A53" w:rsidP="000D48F6">
      <w:pPr>
        <w:rPr>
          <w:b/>
          <w:u w:val="single"/>
        </w:rPr>
      </w:pPr>
      <w:r w:rsidRPr="000D48F6">
        <w:rPr>
          <w:b/>
          <w:u w:val="single"/>
        </w:rPr>
        <w:lastRenderedPageBreak/>
        <w:t xml:space="preserve">Additional </w:t>
      </w:r>
      <w:r w:rsidR="00262C4E" w:rsidRPr="000D48F6">
        <w:rPr>
          <w:b/>
          <w:u w:val="single"/>
        </w:rPr>
        <w:t>I</w:t>
      </w:r>
      <w:r w:rsidRPr="000D48F6">
        <w:rPr>
          <w:b/>
          <w:u w:val="single"/>
        </w:rPr>
        <w:t>nformation:</w:t>
      </w:r>
    </w:p>
    <w:p w14:paraId="59A22B25" w14:textId="002C5865" w:rsidR="00182E64" w:rsidRPr="00E12A69" w:rsidRDefault="004A665B" w:rsidP="000D48F6">
      <w:pPr>
        <w:numPr>
          <w:ilvl w:val="0"/>
          <w:numId w:val="5"/>
        </w:numPr>
        <w:rPr>
          <w:i/>
        </w:rPr>
      </w:pPr>
      <w:r>
        <w:rPr>
          <w:i/>
        </w:rPr>
        <w:t xml:space="preserve">During the semester it is anticipated that students will work between 10-20 hours per week depending on the experimental load of that week. </w:t>
      </w:r>
      <w:r w:rsidR="00402F83">
        <w:rPr>
          <w:i/>
        </w:rPr>
        <w:t xml:space="preserve">During the summer it is expected that students work between 20-29 hours per week depending on the experimental load of that week. </w:t>
      </w:r>
    </w:p>
    <w:p w14:paraId="152C3326" w14:textId="61037A28" w:rsidR="00E12A69" w:rsidRDefault="00C73382" w:rsidP="000D48F6">
      <w:pPr>
        <w:numPr>
          <w:ilvl w:val="0"/>
          <w:numId w:val="5"/>
        </w:numPr>
        <w:rPr>
          <w:i/>
        </w:rPr>
      </w:pPr>
      <w:r>
        <w:rPr>
          <w:i/>
        </w:rPr>
        <w:t>Laboratory safe dress is expected, including close toed shoes</w:t>
      </w:r>
      <w:r w:rsidR="00FE2D03">
        <w:rPr>
          <w:i/>
        </w:rPr>
        <w:t>.</w:t>
      </w:r>
    </w:p>
    <w:p w14:paraId="6AE44F6E" w14:textId="66CC5AB6" w:rsidR="00872516" w:rsidRPr="00E12A69" w:rsidRDefault="00872516" w:rsidP="000D48F6">
      <w:pPr>
        <w:numPr>
          <w:ilvl w:val="0"/>
          <w:numId w:val="5"/>
        </w:numPr>
        <w:rPr>
          <w:i/>
        </w:rPr>
      </w:pPr>
      <w:r>
        <w:rPr>
          <w:i/>
        </w:rPr>
        <w:t xml:space="preserve">These positions (4 students total) are funded through </w:t>
      </w:r>
      <w:r w:rsidR="008E54A2">
        <w:rPr>
          <w:i/>
        </w:rPr>
        <w:t xml:space="preserve">an awarded NIH R15 grant. </w:t>
      </w:r>
    </w:p>
    <w:p w14:paraId="29D6B04F" w14:textId="15273B73" w:rsidR="003B7A53" w:rsidRPr="000D48F6" w:rsidRDefault="003B7A53" w:rsidP="000D48F6"/>
    <w:p w14:paraId="2B243BFE" w14:textId="77777777" w:rsidR="003B7A53" w:rsidRPr="000D48F6" w:rsidRDefault="003B7A53" w:rsidP="000D48F6">
      <w:pPr>
        <w:rPr>
          <w:rFonts w:cs="Calibri"/>
          <w:b/>
          <w:u w:val="single"/>
        </w:rPr>
      </w:pPr>
      <w:r w:rsidRPr="000D48F6">
        <w:rPr>
          <w:rFonts w:cs="Calibri"/>
          <w:b/>
          <w:u w:val="single"/>
        </w:rPr>
        <w:t>A</w:t>
      </w:r>
      <w:r w:rsidR="00AC238A" w:rsidRPr="000D48F6">
        <w:rPr>
          <w:rFonts w:cs="Calibri"/>
          <w:b/>
          <w:u w:val="single"/>
        </w:rPr>
        <w:t>pplication Process:</w:t>
      </w:r>
    </w:p>
    <w:p w14:paraId="5A5C37B9" w14:textId="5AFFF198" w:rsidR="003B7A53" w:rsidRPr="00E12A69" w:rsidRDefault="00FE2D03" w:rsidP="000D48F6">
      <w:pPr>
        <w:rPr>
          <w:rFonts w:cs="Calibri"/>
          <w:i/>
        </w:rPr>
      </w:pPr>
      <w:r>
        <w:rPr>
          <w:rFonts w:cs="Calibri"/>
          <w:i/>
        </w:rPr>
        <w:t xml:space="preserve">Applications are disseminated to all Natural Sciences students via email, typically within the Fall semester to begin the following </w:t>
      </w:r>
      <w:proofErr w:type="gramStart"/>
      <w:r>
        <w:rPr>
          <w:rFonts w:cs="Calibri"/>
          <w:i/>
        </w:rPr>
        <w:t>Summer</w:t>
      </w:r>
      <w:proofErr w:type="gramEnd"/>
      <w:r>
        <w:rPr>
          <w:rFonts w:cs="Calibri"/>
          <w:i/>
        </w:rPr>
        <w:t xml:space="preserve"> semester. </w:t>
      </w:r>
    </w:p>
    <w:p w14:paraId="48A21919" w14:textId="77777777" w:rsidR="00A332AF" w:rsidRDefault="00A332AF" w:rsidP="000D48F6">
      <w:pPr>
        <w:rPr>
          <w:b/>
          <w:u w:val="single"/>
        </w:rPr>
      </w:pPr>
    </w:p>
    <w:p w14:paraId="68260257" w14:textId="77777777" w:rsidR="00AC238A" w:rsidRDefault="002F359E" w:rsidP="000D48F6">
      <w:r>
        <w:rPr>
          <w:b/>
          <w:u w:val="single"/>
        </w:rPr>
        <w:t>Position</w:t>
      </w:r>
      <w:r w:rsidR="00AC238A" w:rsidRPr="000D48F6">
        <w:rPr>
          <w:b/>
          <w:u w:val="single"/>
        </w:rPr>
        <w:t xml:space="preserve"> Information:</w:t>
      </w:r>
      <w:r w:rsidR="00C264AB">
        <w:t xml:space="preserve"> (D</w:t>
      </w:r>
      <w:r w:rsidR="006B29E8">
        <w:t>epartment website if one exists</w:t>
      </w:r>
      <w:r w:rsidR="00C264AB">
        <w:t>)</w:t>
      </w:r>
    </w:p>
    <w:p w14:paraId="1487CE52" w14:textId="63DD202A" w:rsidR="002F359E" w:rsidRPr="00BB77F0" w:rsidRDefault="002F359E" w:rsidP="000D48F6">
      <w:r w:rsidRPr="00BB77F0">
        <w:t>Department Name:</w:t>
      </w:r>
      <w:r w:rsidR="00872516">
        <w:t xml:space="preserve"> Health Sciences and Biology</w:t>
      </w:r>
    </w:p>
    <w:p w14:paraId="7D6CBC82" w14:textId="5922D732" w:rsidR="002F359E" w:rsidRPr="00BB77F0" w:rsidRDefault="002F359E" w:rsidP="000D48F6">
      <w:r w:rsidRPr="00BB77F0">
        <w:t>University Division:</w:t>
      </w:r>
      <w:r w:rsidR="00872516">
        <w:t xml:space="preserve"> College of Arts and Sciences – Natural Sciences</w:t>
      </w:r>
    </w:p>
    <w:p w14:paraId="583230F0" w14:textId="2AD5633B" w:rsidR="002F359E" w:rsidRPr="00BB77F0" w:rsidRDefault="002F359E" w:rsidP="000D48F6">
      <w:r w:rsidRPr="00BB77F0">
        <w:t>Supervisor</w:t>
      </w:r>
      <w:r w:rsidR="00BB77F0" w:rsidRPr="00BB77F0">
        <w:t xml:space="preserve"> Name</w:t>
      </w:r>
      <w:r w:rsidRPr="00BB77F0">
        <w:t xml:space="preserve">: </w:t>
      </w:r>
      <w:r w:rsidR="00872516">
        <w:t>Kristine Dye</w:t>
      </w:r>
    </w:p>
    <w:p w14:paraId="4EF66E4F" w14:textId="7D7083DE" w:rsidR="00C264AB" w:rsidRPr="00BB77F0" w:rsidRDefault="002F359E" w:rsidP="000D48F6">
      <w:r w:rsidRPr="00BB77F0">
        <w:t>Supervisor Title:</w:t>
      </w:r>
      <w:r w:rsidR="00872516">
        <w:t xml:space="preserve"> Principal Investigator </w:t>
      </w:r>
    </w:p>
    <w:p w14:paraId="5DE49790" w14:textId="77777777" w:rsidR="00C264AB" w:rsidRPr="00BB77F0" w:rsidRDefault="006B29E8" w:rsidP="000D48F6">
      <w:r w:rsidRPr="00BB77F0">
        <w:t>Position Number:</w:t>
      </w:r>
      <w:r w:rsidR="00B471C0" w:rsidRPr="00BB77F0">
        <w:t xml:space="preserve"> </w:t>
      </w:r>
      <w:r w:rsidR="00126D19" w:rsidRPr="00BB77F0">
        <w:t>(should begin with “S”)</w:t>
      </w:r>
    </w:p>
    <w:p w14:paraId="77E08996" w14:textId="6598284D" w:rsidR="00C264AB" w:rsidRPr="00BB77F0" w:rsidRDefault="00C264AB" w:rsidP="000D48F6">
      <w:pPr>
        <w:rPr>
          <w:u w:val="single"/>
        </w:rPr>
      </w:pPr>
      <w:r w:rsidRPr="00BB77F0">
        <w:t xml:space="preserve">Pay Level: </w:t>
      </w:r>
      <w:r w:rsidR="00872516">
        <w:t>1 (Funded by the NIH R15</w:t>
      </w:r>
      <w:r w:rsidR="00CA6750">
        <w:t xml:space="preserve"> – see details below)</w:t>
      </w:r>
      <w:r w:rsidR="00E63006">
        <w:t xml:space="preserve"> </w:t>
      </w:r>
      <w:r w:rsidR="00E63006" w:rsidRPr="000F2A99">
        <w:rPr>
          <w:color w:val="FF0000"/>
        </w:rPr>
        <w:t xml:space="preserve">(FOAP: </w:t>
      </w:r>
      <w:r w:rsidR="00CC4E73" w:rsidRPr="000F2A99">
        <w:rPr>
          <w:color w:val="FF0000"/>
        </w:rPr>
        <w:t>294226-2204-</w:t>
      </w:r>
      <w:r w:rsidR="000F2A99" w:rsidRPr="000F2A99">
        <w:rPr>
          <w:color w:val="FF0000"/>
        </w:rPr>
        <w:t>60208</w:t>
      </w:r>
      <w:r w:rsidR="00CC4E73" w:rsidRPr="000F2A99">
        <w:rPr>
          <w:color w:val="FF0000"/>
        </w:rPr>
        <w:t>-2002</w:t>
      </w:r>
      <w:r w:rsidR="000F2A99" w:rsidRPr="000F2A99">
        <w:rPr>
          <w:color w:val="FF0000"/>
        </w:rPr>
        <w:t>)</w:t>
      </w:r>
    </w:p>
    <w:p w14:paraId="6BD18F9B" w14:textId="72C1650C" w:rsidR="00E74573" w:rsidRDefault="00E63006" w:rsidP="000D48F6">
      <w:r>
        <w:rPr>
          <w:noProof/>
        </w:rPr>
        <w:drawing>
          <wp:inline distT="0" distB="0" distL="0" distR="0" wp14:anchorId="004E7480" wp14:editId="1AD72D8F">
            <wp:extent cx="6858000" cy="1925955"/>
            <wp:effectExtent l="0" t="0" r="0" b="4445"/>
            <wp:docPr id="2046191327" name="Picture 1" descr="A white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191327" name="Picture 1" descr="A white rectangular object with black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573" w:rsidSect="005F00FA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035AA"/>
    <w:multiLevelType w:val="hybridMultilevel"/>
    <w:tmpl w:val="0A52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25791"/>
    <w:multiLevelType w:val="hybridMultilevel"/>
    <w:tmpl w:val="3C24BB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273792C"/>
    <w:multiLevelType w:val="hybridMultilevel"/>
    <w:tmpl w:val="B53C5EF4"/>
    <w:lvl w:ilvl="0" w:tplc="0966C740">
      <w:start w:val="1"/>
      <w:numFmt w:val="bullet"/>
      <w:lvlText w:val="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91F30"/>
    <w:multiLevelType w:val="hybridMultilevel"/>
    <w:tmpl w:val="15583C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99328B2"/>
    <w:multiLevelType w:val="hybridMultilevel"/>
    <w:tmpl w:val="C5F28F4C"/>
    <w:lvl w:ilvl="0" w:tplc="67FE13DE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14AE4"/>
    <w:multiLevelType w:val="hybridMultilevel"/>
    <w:tmpl w:val="3D0C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46892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C0048"/>
    <w:multiLevelType w:val="hybridMultilevel"/>
    <w:tmpl w:val="BC20BB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13D3DF6"/>
    <w:multiLevelType w:val="hybridMultilevel"/>
    <w:tmpl w:val="990E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5206B"/>
    <w:multiLevelType w:val="hybridMultilevel"/>
    <w:tmpl w:val="A0A4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D3CA3"/>
    <w:multiLevelType w:val="hybridMultilevel"/>
    <w:tmpl w:val="0DD8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D78B6"/>
    <w:multiLevelType w:val="hybridMultilevel"/>
    <w:tmpl w:val="44C0D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333501">
    <w:abstractNumId w:val="3"/>
  </w:num>
  <w:num w:numId="2" w16cid:durableId="1765612662">
    <w:abstractNumId w:val="1"/>
  </w:num>
  <w:num w:numId="3" w16cid:durableId="60250429">
    <w:abstractNumId w:val="5"/>
  </w:num>
  <w:num w:numId="4" w16cid:durableId="1284582102">
    <w:abstractNumId w:val="6"/>
  </w:num>
  <w:num w:numId="5" w16cid:durableId="344524783">
    <w:abstractNumId w:val="8"/>
  </w:num>
  <w:num w:numId="6" w16cid:durableId="2111006535">
    <w:abstractNumId w:val="7"/>
  </w:num>
  <w:num w:numId="7" w16cid:durableId="1575236175">
    <w:abstractNumId w:val="10"/>
  </w:num>
  <w:num w:numId="8" w16cid:durableId="1017195819">
    <w:abstractNumId w:val="0"/>
  </w:num>
  <w:num w:numId="9" w16cid:durableId="180750307">
    <w:abstractNumId w:val="9"/>
  </w:num>
  <w:num w:numId="10" w16cid:durableId="854080162">
    <w:abstractNumId w:val="4"/>
  </w:num>
  <w:num w:numId="11" w16cid:durableId="573662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53"/>
    <w:rsid w:val="000174A7"/>
    <w:rsid w:val="00056A40"/>
    <w:rsid w:val="00091B28"/>
    <w:rsid w:val="000D48F6"/>
    <w:rsid w:val="000D5992"/>
    <w:rsid w:val="000D67CD"/>
    <w:rsid w:val="000F2A99"/>
    <w:rsid w:val="0012052A"/>
    <w:rsid w:val="0012158E"/>
    <w:rsid w:val="00126D19"/>
    <w:rsid w:val="0014029D"/>
    <w:rsid w:val="001677B8"/>
    <w:rsid w:val="00182E64"/>
    <w:rsid w:val="001871CF"/>
    <w:rsid w:val="001C7072"/>
    <w:rsid w:val="00203C72"/>
    <w:rsid w:val="00204513"/>
    <w:rsid w:val="00230340"/>
    <w:rsid w:val="00255965"/>
    <w:rsid w:val="00262C4E"/>
    <w:rsid w:val="002679FC"/>
    <w:rsid w:val="002901D5"/>
    <w:rsid w:val="00295231"/>
    <w:rsid w:val="002F359E"/>
    <w:rsid w:val="00394D78"/>
    <w:rsid w:val="003A37B9"/>
    <w:rsid w:val="003B7A53"/>
    <w:rsid w:val="003E5E76"/>
    <w:rsid w:val="00402F83"/>
    <w:rsid w:val="00417203"/>
    <w:rsid w:val="00427B83"/>
    <w:rsid w:val="0044040F"/>
    <w:rsid w:val="00440B98"/>
    <w:rsid w:val="004455B2"/>
    <w:rsid w:val="00452D2D"/>
    <w:rsid w:val="004545EF"/>
    <w:rsid w:val="00473556"/>
    <w:rsid w:val="00495C18"/>
    <w:rsid w:val="004A665B"/>
    <w:rsid w:val="004C2171"/>
    <w:rsid w:val="00512CE9"/>
    <w:rsid w:val="005157C4"/>
    <w:rsid w:val="00525A4A"/>
    <w:rsid w:val="00567B90"/>
    <w:rsid w:val="005E2FE5"/>
    <w:rsid w:val="005F00FA"/>
    <w:rsid w:val="0061645B"/>
    <w:rsid w:val="00616ADD"/>
    <w:rsid w:val="0064429B"/>
    <w:rsid w:val="006838B9"/>
    <w:rsid w:val="00694029"/>
    <w:rsid w:val="006A552C"/>
    <w:rsid w:val="006B29E8"/>
    <w:rsid w:val="006D0186"/>
    <w:rsid w:val="006D41BD"/>
    <w:rsid w:val="006D7B32"/>
    <w:rsid w:val="00767376"/>
    <w:rsid w:val="007C7A0D"/>
    <w:rsid w:val="00821EEE"/>
    <w:rsid w:val="00826493"/>
    <w:rsid w:val="0084693C"/>
    <w:rsid w:val="0086451C"/>
    <w:rsid w:val="00872516"/>
    <w:rsid w:val="008E162E"/>
    <w:rsid w:val="008E41F0"/>
    <w:rsid w:val="008E54A2"/>
    <w:rsid w:val="009004D5"/>
    <w:rsid w:val="00946BB6"/>
    <w:rsid w:val="00950EBF"/>
    <w:rsid w:val="009A3C7F"/>
    <w:rsid w:val="009A4D62"/>
    <w:rsid w:val="009B59BA"/>
    <w:rsid w:val="009C448C"/>
    <w:rsid w:val="00A000E8"/>
    <w:rsid w:val="00A332AF"/>
    <w:rsid w:val="00A55154"/>
    <w:rsid w:val="00A8109C"/>
    <w:rsid w:val="00A903B9"/>
    <w:rsid w:val="00A92DAA"/>
    <w:rsid w:val="00AC238A"/>
    <w:rsid w:val="00B37C24"/>
    <w:rsid w:val="00B471C0"/>
    <w:rsid w:val="00B62459"/>
    <w:rsid w:val="00B67DCA"/>
    <w:rsid w:val="00B72DA2"/>
    <w:rsid w:val="00B737F4"/>
    <w:rsid w:val="00B91460"/>
    <w:rsid w:val="00BB77F0"/>
    <w:rsid w:val="00C23D4D"/>
    <w:rsid w:val="00C264AB"/>
    <w:rsid w:val="00C66E2F"/>
    <w:rsid w:val="00C71E1D"/>
    <w:rsid w:val="00C73382"/>
    <w:rsid w:val="00C84DB1"/>
    <w:rsid w:val="00CA6750"/>
    <w:rsid w:val="00CB6C80"/>
    <w:rsid w:val="00CC4E73"/>
    <w:rsid w:val="00CD4E29"/>
    <w:rsid w:val="00CF36BB"/>
    <w:rsid w:val="00D01C6A"/>
    <w:rsid w:val="00D209F2"/>
    <w:rsid w:val="00D33700"/>
    <w:rsid w:val="00D46634"/>
    <w:rsid w:val="00D52591"/>
    <w:rsid w:val="00D7563C"/>
    <w:rsid w:val="00D855B3"/>
    <w:rsid w:val="00DB2668"/>
    <w:rsid w:val="00DB4E10"/>
    <w:rsid w:val="00DC5056"/>
    <w:rsid w:val="00DE487A"/>
    <w:rsid w:val="00E01394"/>
    <w:rsid w:val="00E12A69"/>
    <w:rsid w:val="00E63006"/>
    <w:rsid w:val="00E74573"/>
    <w:rsid w:val="00E810AE"/>
    <w:rsid w:val="00EB6D35"/>
    <w:rsid w:val="00ED3711"/>
    <w:rsid w:val="00ED45CB"/>
    <w:rsid w:val="00EE46F4"/>
    <w:rsid w:val="00F70C20"/>
    <w:rsid w:val="00FB6AC3"/>
    <w:rsid w:val="00FE2D03"/>
    <w:rsid w:val="00FE5320"/>
    <w:rsid w:val="0E8F48EA"/>
    <w:rsid w:val="3D537A04"/>
    <w:rsid w:val="48A7CE8F"/>
    <w:rsid w:val="7518B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9B123"/>
  <w15:chartTrackingRefBased/>
  <w15:docId w15:val="{D846C570-04E7-49B1-9C9F-3DBE5579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53"/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B7A53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48F6"/>
    <w:rPr>
      <w:rFonts w:ascii="Segoe UI" w:eastAsia="Times New Roman" w:hAnsi="Segoe UI" w:cs="Segoe UI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E74573"/>
    <w:pPr>
      <w:tabs>
        <w:tab w:val="decimal" w:pos="360"/>
      </w:tabs>
      <w:spacing w:after="200" w:line="276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7457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74573"/>
    <w:rPr>
      <w:rFonts w:eastAsia="Times New Roman"/>
    </w:rPr>
  </w:style>
  <w:style w:type="character" w:styleId="SubtleEmphasis">
    <w:name w:val="Subtle Emphasis"/>
    <w:uiPriority w:val="19"/>
    <w:qFormat/>
    <w:rsid w:val="00E74573"/>
    <w:rPr>
      <w:i/>
      <w:iCs/>
    </w:rPr>
  </w:style>
  <w:style w:type="table" w:styleId="LightShading-Accent1">
    <w:name w:val="Light Shading Accent 1"/>
    <w:basedOn w:val="TableNormal"/>
    <w:uiPriority w:val="60"/>
    <w:rsid w:val="00E74573"/>
    <w:rPr>
      <w:rFonts w:eastAsia="Times New Roman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EE84D4F65D04FB7F59AE07FCA5D34" ma:contentTypeVersion="19" ma:contentTypeDescription="Create a new document." ma:contentTypeScope="" ma:versionID="5a39a8494783056a5af5ee5c783b3c12">
  <xsd:schema xmlns:xsd="http://www.w3.org/2001/XMLSchema" xmlns:xs="http://www.w3.org/2001/XMLSchema" xmlns:p="http://schemas.microsoft.com/office/2006/metadata/properties" xmlns:ns1="http://schemas.microsoft.com/sharepoint/v3" xmlns:ns2="47d11e86-2920-47fd-9d61-bfa7cdd19bc5" xmlns:ns3="41592f1d-fa97-4b14-9175-406e84f8af85" targetNamespace="http://schemas.microsoft.com/office/2006/metadata/properties" ma:root="true" ma:fieldsID="8d90dc5803300e843392f8cc98ae2e60" ns1:_="" ns2:_="" ns3:_="">
    <xsd:import namespace="http://schemas.microsoft.com/sharepoint/v3"/>
    <xsd:import namespace="47d11e86-2920-47fd-9d61-bfa7cdd19bc5"/>
    <xsd:import namespace="41592f1d-fa97-4b14-9175-406e84f8a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11e86-2920-47fd-9d61-bfa7cdd19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2881b5-e800-45b5-9690-d88bf9558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92f1d-fa97-4b14-9175-406e84f8af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3a19af-11a9-4a57-aa08-845c9f197b47}" ma:internalName="TaxCatchAll" ma:showField="CatchAllData" ma:web="41592f1d-fa97-4b14-9175-406e84f8a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077E61-65D5-47F6-83AC-C5606AC1D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d11e86-2920-47fd-9d61-bfa7cdd19bc5"/>
    <ds:schemaRef ds:uri="41592f1d-fa97-4b14-9175-406e84f8a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F5C3B-1EA1-4A2F-A702-90A1555241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907572-5B35-4C35-94F5-C3F0EBF68A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Stetson University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jsheehy</dc:creator>
  <cp:keywords/>
  <cp:lastModifiedBy>Kristine Dye</cp:lastModifiedBy>
  <cp:revision>40</cp:revision>
  <cp:lastPrinted>2018-06-13T14:50:00Z</cp:lastPrinted>
  <dcterms:created xsi:type="dcterms:W3CDTF">2025-08-12T16:41:00Z</dcterms:created>
  <dcterms:modified xsi:type="dcterms:W3CDTF">2025-10-24T14:08:00Z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Nora Lewis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John Sheehy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</Properties>
</file>