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3B038" w14:textId="54C754A1" w:rsidR="00620AF6" w:rsidRPr="00F236FC" w:rsidRDefault="00620AF6" w:rsidP="00620AF6">
      <w:pPr>
        <w:pBdr>
          <w:bottom w:val="thickThinSmallGap" w:sz="24" w:space="1" w:color="auto"/>
        </w:pBdr>
        <w:jc w:val="center"/>
        <w:rPr>
          <w:rFonts w:asciiTheme="majorBidi" w:hAnsiTheme="majorBidi" w:cstheme="majorBidi"/>
          <w:szCs w:val="28"/>
        </w:rPr>
      </w:pPr>
      <w:r w:rsidRPr="04C45DBA">
        <w:rPr>
          <w:rFonts w:asciiTheme="majorBidi" w:hAnsiTheme="majorBidi" w:cstheme="majorBidi"/>
          <w:szCs w:val="28"/>
        </w:rPr>
        <w:t xml:space="preserve">Case No. </w:t>
      </w:r>
      <w:r>
        <w:rPr>
          <w:rFonts w:asciiTheme="majorBidi" w:hAnsiTheme="majorBidi" w:cstheme="majorBidi"/>
          <w:szCs w:val="28"/>
        </w:rPr>
        <w:t>2025-CF-00416</w:t>
      </w:r>
    </w:p>
    <w:p w14:paraId="2F2C51DA" w14:textId="77777777" w:rsidR="00620AF6" w:rsidRPr="00F236FC" w:rsidRDefault="00620AF6" w:rsidP="00620AF6">
      <w:pPr>
        <w:pBdr>
          <w:bottom w:val="thickThinSmallGap" w:sz="24" w:space="1" w:color="auto"/>
        </w:pBdr>
        <w:jc w:val="center"/>
        <w:rPr>
          <w:rFonts w:asciiTheme="majorBidi" w:hAnsiTheme="majorBidi" w:cstheme="majorBidi"/>
          <w:szCs w:val="28"/>
        </w:rPr>
      </w:pPr>
    </w:p>
    <w:p w14:paraId="524CD543" w14:textId="77777777" w:rsidR="00620AF6" w:rsidRPr="00F236FC" w:rsidRDefault="00620AF6" w:rsidP="00620AF6">
      <w:pPr>
        <w:jc w:val="center"/>
        <w:rPr>
          <w:rFonts w:asciiTheme="majorBidi" w:hAnsiTheme="majorBidi" w:cstheme="majorBidi"/>
          <w:szCs w:val="28"/>
        </w:rPr>
      </w:pPr>
    </w:p>
    <w:p w14:paraId="689E469A" w14:textId="69C362B1" w:rsidR="00620AF6" w:rsidRPr="00BB6AF5" w:rsidRDefault="00620AF6" w:rsidP="00620AF6">
      <w:pPr>
        <w:jc w:val="center"/>
        <w:rPr>
          <w:rFonts w:asciiTheme="majorBidi" w:hAnsiTheme="majorBidi" w:cstheme="majorBidi"/>
          <w:b/>
          <w:bCs/>
          <w:szCs w:val="28"/>
        </w:rPr>
      </w:pPr>
      <w:r w:rsidRPr="04C45DBA">
        <w:rPr>
          <w:rFonts w:asciiTheme="majorBidi" w:hAnsiTheme="majorBidi" w:cstheme="majorBidi"/>
          <w:b/>
          <w:bCs/>
          <w:szCs w:val="28"/>
        </w:rPr>
        <w:t xml:space="preserve">IN THE </w:t>
      </w:r>
      <w:r>
        <w:rPr>
          <w:rFonts w:asciiTheme="majorBidi" w:hAnsiTheme="majorBidi" w:cstheme="majorBidi"/>
          <w:b/>
          <w:bCs/>
          <w:szCs w:val="28"/>
        </w:rPr>
        <w:t xml:space="preserve">UNITED STATES </w:t>
      </w:r>
      <w:r w:rsidRPr="04C45DBA">
        <w:rPr>
          <w:rFonts w:asciiTheme="majorBidi" w:hAnsiTheme="majorBidi" w:cstheme="majorBidi"/>
          <w:b/>
          <w:bCs/>
          <w:szCs w:val="28"/>
        </w:rPr>
        <w:t xml:space="preserve">DISTRICT COURT </w:t>
      </w:r>
      <w:r>
        <w:rPr>
          <w:rFonts w:asciiTheme="majorBidi" w:hAnsiTheme="majorBidi" w:cstheme="majorBidi"/>
          <w:b/>
          <w:bCs/>
          <w:szCs w:val="28"/>
        </w:rPr>
        <w:t>FOR THE FOURTEENTH JUDICIAL DISTRICT</w:t>
      </w:r>
    </w:p>
    <w:p w14:paraId="1B0764EE" w14:textId="77777777" w:rsidR="00620AF6" w:rsidRPr="000C2E87" w:rsidRDefault="00620AF6" w:rsidP="00620AF6">
      <w:pPr>
        <w:pBdr>
          <w:bottom w:val="single" w:sz="4" w:space="1" w:color="auto"/>
        </w:pBdr>
        <w:jc w:val="center"/>
        <w:rPr>
          <w:rFonts w:asciiTheme="majorBidi" w:hAnsiTheme="majorBidi" w:cstheme="majorBidi"/>
          <w:b/>
          <w:bCs/>
          <w:szCs w:val="28"/>
        </w:rPr>
      </w:pPr>
    </w:p>
    <w:p w14:paraId="05B7AFEB" w14:textId="77777777" w:rsidR="00620AF6" w:rsidRDefault="00620AF6" w:rsidP="00620AF6">
      <w:pPr>
        <w:jc w:val="center"/>
        <w:rPr>
          <w:rFonts w:asciiTheme="majorBidi" w:hAnsiTheme="majorBidi" w:cstheme="majorBidi"/>
          <w:smallCaps/>
          <w:szCs w:val="28"/>
        </w:rPr>
      </w:pPr>
    </w:p>
    <w:p w14:paraId="058ABFD1" w14:textId="3C66A2EB" w:rsidR="00620AF6" w:rsidRPr="00620AF6" w:rsidRDefault="00620AF6" w:rsidP="00620AF6">
      <w:pPr>
        <w:jc w:val="center"/>
        <w:rPr>
          <w:rFonts w:asciiTheme="majorBidi" w:hAnsiTheme="majorBidi" w:cstheme="majorBidi"/>
          <w:smallCaps/>
          <w:szCs w:val="28"/>
        </w:rPr>
      </w:pPr>
      <w:r>
        <w:rPr>
          <w:rFonts w:asciiTheme="majorBidi" w:hAnsiTheme="majorBidi" w:cstheme="majorBidi"/>
          <w:smallCaps/>
          <w:szCs w:val="28"/>
        </w:rPr>
        <w:t>United States of America,</w:t>
      </w:r>
    </w:p>
    <w:p w14:paraId="36ED6CAC" w14:textId="77777777" w:rsidR="00620AF6" w:rsidRPr="000C2E87" w:rsidRDefault="00620AF6" w:rsidP="00620AF6">
      <w:pPr>
        <w:jc w:val="center"/>
        <w:rPr>
          <w:rFonts w:asciiTheme="majorBidi" w:hAnsiTheme="majorBidi" w:cstheme="majorBidi"/>
          <w:smallCaps/>
          <w:szCs w:val="28"/>
        </w:rPr>
      </w:pPr>
    </w:p>
    <w:p w14:paraId="4D6EE1B8" w14:textId="04C29B94" w:rsidR="00620AF6" w:rsidRPr="000C2E87" w:rsidRDefault="003679B0" w:rsidP="00620AF6">
      <w:pPr>
        <w:jc w:val="center"/>
        <w:rPr>
          <w:rFonts w:asciiTheme="majorBidi" w:hAnsiTheme="majorBidi" w:cstheme="majorBidi"/>
          <w:smallCaps/>
          <w:szCs w:val="28"/>
        </w:rPr>
      </w:pPr>
      <w:r w:rsidRPr="003679B0">
        <w:rPr>
          <w:rFonts w:asciiTheme="majorBidi" w:hAnsiTheme="majorBidi" w:cs="Times New Roman (Headings CS)"/>
          <w:szCs w:val="28"/>
        </w:rPr>
        <w:t>v</w:t>
      </w:r>
      <w:r w:rsidR="00620AF6" w:rsidRPr="04C45DBA">
        <w:rPr>
          <w:rFonts w:asciiTheme="majorBidi" w:hAnsiTheme="majorBidi" w:cstheme="majorBidi"/>
          <w:smallCaps/>
          <w:szCs w:val="28"/>
        </w:rPr>
        <w:t xml:space="preserve">. </w:t>
      </w:r>
    </w:p>
    <w:p w14:paraId="31D62484" w14:textId="77777777" w:rsidR="00620AF6" w:rsidRPr="000C2E87" w:rsidRDefault="00620AF6" w:rsidP="00620AF6">
      <w:pPr>
        <w:jc w:val="center"/>
        <w:rPr>
          <w:rFonts w:asciiTheme="majorBidi" w:hAnsiTheme="majorBidi" w:cstheme="majorBidi"/>
          <w:smallCaps/>
          <w:szCs w:val="28"/>
        </w:rPr>
      </w:pPr>
    </w:p>
    <w:p w14:paraId="7F43992A" w14:textId="02B5FF74" w:rsidR="00620AF6" w:rsidRPr="000C2E87" w:rsidRDefault="00620AF6" w:rsidP="00620AF6">
      <w:pPr>
        <w:jc w:val="center"/>
        <w:rPr>
          <w:rFonts w:asciiTheme="majorBidi" w:hAnsiTheme="majorBidi" w:cstheme="majorBidi"/>
          <w:szCs w:val="28"/>
        </w:rPr>
      </w:pPr>
      <w:r>
        <w:rPr>
          <w:rFonts w:asciiTheme="majorBidi" w:hAnsiTheme="majorBidi" w:cstheme="majorBidi"/>
          <w:smallCaps/>
          <w:szCs w:val="28"/>
        </w:rPr>
        <w:t>Emily Calloway,</w:t>
      </w:r>
    </w:p>
    <w:p w14:paraId="5F57EFD2" w14:textId="77777777" w:rsidR="00620AF6" w:rsidRDefault="00620AF6" w:rsidP="00620AF6">
      <w:pPr>
        <w:ind w:left="4320" w:firstLine="720"/>
        <w:rPr>
          <w:rFonts w:asciiTheme="majorBidi" w:hAnsiTheme="majorBidi" w:cstheme="majorBidi"/>
          <w:i/>
          <w:iCs/>
          <w:szCs w:val="28"/>
        </w:rPr>
      </w:pPr>
    </w:p>
    <w:p w14:paraId="4B982607" w14:textId="77777777" w:rsidR="00620AF6" w:rsidRPr="000C2E87" w:rsidRDefault="00620AF6" w:rsidP="00620AF6">
      <w:pPr>
        <w:ind w:left="4320" w:firstLine="720"/>
        <w:rPr>
          <w:rFonts w:asciiTheme="majorBidi" w:hAnsiTheme="majorBidi" w:cstheme="majorBidi"/>
          <w:i/>
          <w:iCs/>
          <w:szCs w:val="28"/>
        </w:rPr>
      </w:pPr>
      <w:r w:rsidRPr="04C45DBA">
        <w:rPr>
          <w:rFonts w:asciiTheme="majorBidi" w:hAnsiTheme="majorBidi" w:cstheme="majorBidi"/>
          <w:i/>
          <w:iCs/>
          <w:szCs w:val="28"/>
        </w:rPr>
        <w:t>Defendant.</w:t>
      </w:r>
    </w:p>
    <w:p w14:paraId="26F7B31C" w14:textId="77777777" w:rsidR="00620AF6" w:rsidRPr="000C2E87" w:rsidRDefault="00620AF6" w:rsidP="00620AF6">
      <w:pPr>
        <w:pBdr>
          <w:bottom w:val="single" w:sz="4" w:space="1" w:color="auto"/>
        </w:pBdr>
        <w:ind w:firstLine="720"/>
        <w:rPr>
          <w:rFonts w:asciiTheme="majorBidi" w:hAnsiTheme="majorBidi" w:cstheme="majorBidi"/>
          <w:i/>
          <w:iCs/>
          <w:szCs w:val="28"/>
        </w:rPr>
      </w:pPr>
    </w:p>
    <w:p w14:paraId="079F077A" w14:textId="77777777" w:rsidR="00620AF6" w:rsidRPr="000C2E87" w:rsidRDefault="00620AF6" w:rsidP="00620AF6">
      <w:pPr>
        <w:jc w:val="center"/>
        <w:rPr>
          <w:rFonts w:asciiTheme="majorBidi" w:hAnsiTheme="majorBidi" w:cstheme="majorBidi"/>
          <w:szCs w:val="28"/>
        </w:rPr>
      </w:pPr>
    </w:p>
    <w:p w14:paraId="7AEE7FAD" w14:textId="68E7C484" w:rsidR="00620AF6" w:rsidRPr="000C2E87" w:rsidRDefault="00620AF6" w:rsidP="00620AF6">
      <w:pPr>
        <w:pBdr>
          <w:bottom w:val="single" w:sz="4" w:space="1" w:color="auto"/>
        </w:pBdr>
        <w:jc w:val="center"/>
        <w:rPr>
          <w:rFonts w:asciiTheme="majorBidi" w:hAnsiTheme="majorBidi" w:cstheme="majorBidi"/>
          <w:b/>
          <w:bCs/>
          <w:szCs w:val="28"/>
        </w:rPr>
      </w:pPr>
      <w:r w:rsidRPr="04C45DBA">
        <w:rPr>
          <w:rFonts w:asciiTheme="majorBidi" w:hAnsiTheme="majorBidi" w:cstheme="majorBidi"/>
          <w:b/>
          <w:bCs/>
          <w:szCs w:val="28"/>
        </w:rPr>
        <w:t xml:space="preserve">NON-MOVANT’S MEMORANDUM OF LAW IN OPPOSITION TO DEFENDANT’S MOTION </w:t>
      </w:r>
      <w:r>
        <w:rPr>
          <w:rFonts w:asciiTheme="majorBidi" w:hAnsiTheme="majorBidi" w:cstheme="majorBidi"/>
          <w:b/>
          <w:bCs/>
          <w:szCs w:val="28"/>
        </w:rPr>
        <w:t>TO SUPPRESS AND MOTION TO QUASH</w:t>
      </w:r>
    </w:p>
    <w:p w14:paraId="2AA4FE12" w14:textId="77777777" w:rsidR="00620AF6" w:rsidRPr="000C2E87" w:rsidRDefault="00620AF6" w:rsidP="00620AF6">
      <w:pPr>
        <w:pBdr>
          <w:bottom w:val="single" w:sz="4" w:space="1" w:color="auto"/>
        </w:pBdr>
        <w:jc w:val="center"/>
        <w:rPr>
          <w:rFonts w:asciiTheme="majorBidi" w:hAnsiTheme="majorBidi" w:cstheme="majorBidi"/>
          <w:b/>
          <w:bCs/>
          <w:szCs w:val="28"/>
        </w:rPr>
      </w:pPr>
    </w:p>
    <w:p w14:paraId="672E0BF4" w14:textId="77777777" w:rsidR="00620AF6" w:rsidRPr="00620AF6" w:rsidRDefault="00620AF6" w:rsidP="00620AF6">
      <w:pPr>
        <w:pStyle w:val="Heading2"/>
        <w:numPr>
          <w:ilvl w:val="0"/>
          <w:numId w:val="0"/>
        </w:numPr>
        <w:rPr>
          <w:i/>
          <w:iCs/>
        </w:rPr>
      </w:pPr>
    </w:p>
    <w:p w14:paraId="6C8D7ADC" w14:textId="77777777" w:rsidR="00620AF6" w:rsidRDefault="00620AF6" w:rsidP="00620AF6">
      <w:pPr>
        <w:ind w:left="6480"/>
        <w:rPr>
          <w:sz w:val="26"/>
          <w:szCs w:val="26"/>
        </w:rPr>
      </w:pPr>
    </w:p>
    <w:p w14:paraId="0AAF475B" w14:textId="77777777" w:rsidR="00620AF6" w:rsidRDefault="00620AF6" w:rsidP="00620AF6">
      <w:pPr>
        <w:ind w:left="6480"/>
        <w:rPr>
          <w:sz w:val="26"/>
          <w:szCs w:val="26"/>
        </w:rPr>
      </w:pPr>
    </w:p>
    <w:p w14:paraId="01512416" w14:textId="77777777" w:rsidR="00620AF6" w:rsidRDefault="00620AF6" w:rsidP="00620AF6">
      <w:pPr>
        <w:ind w:left="6480"/>
        <w:rPr>
          <w:sz w:val="26"/>
          <w:szCs w:val="26"/>
        </w:rPr>
      </w:pPr>
    </w:p>
    <w:p w14:paraId="20E2120C" w14:textId="77777777" w:rsidR="00620AF6" w:rsidRDefault="00620AF6" w:rsidP="00620AF6">
      <w:pPr>
        <w:ind w:left="6480"/>
        <w:rPr>
          <w:sz w:val="26"/>
          <w:szCs w:val="26"/>
        </w:rPr>
      </w:pPr>
    </w:p>
    <w:p w14:paraId="1BDB16BA" w14:textId="77777777" w:rsidR="00620AF6" w:rsidRDefault="00620AF6" w:rsidP="00620AF6">
      <w:pPr>
        <w:ind w:left="6480"/>
        <w:rPr>
          <w:sz w:val="26"/>
          <w:szCs w:val="26"/>
        </w:rPr>
      </w:pPr>
    </w:p>
    <w:p w14:paraId="3F039DAC" w14:textId="77777777" w:rsidR="00620AF6" w:rsidRDefault="00620AF6" w:rsidP="00620AF6">
      <w:pPr>
        <w:ind w:left="6480"/>
        <w:rPr>
          <w:sz w:val="26"/>
          <w:szCs w:val="26"/>
        </w:rPr>
      </w:pPr>
    </w:p>
    <w:p w14:paraId="08C4A53E" w14:textId="77777777" w:rsidR="00620AF6" w:rsidRDefault="00620AF6" w:rsidP="00620AF6">
      <w:pPr>
        <w:ind w:left="6480"/>
        <w:rPr>
          <w:sz w:val="26"/>
          <w:szCs w:val="26"/>
        </w:rPr>
      </w:pPr>
    </w:p>
    <w:p w14:paraId="7B03FDE8" w14:textId="77777777" w:rsidR="00620AF6" w:rsidRDefault="00620AF6" w:rsidP="00620AF6">
      <w:pPr>
        <w:ind w:left="5040"/>
        <w:rPr>
          <w:sz w:val="26"/>
          <w:szCs w:val="26"/>
        </w:rPr>
      </w:pPr>
    </w:p>
    <w:p w14:paraId="4657B310" w14:textId="77777777" w:rsidR="00620AF6" w:rsidRDefault="00620AF6" w:rsidP="00620AF6">
      <w:pPr>
        <w:jc w:val="right"/>
        <w:rPr>
          <w:sz w:val="26"/>
          <w:szCs w:val="26"/>
          <w:u w:val="thick"/>
        </w:rPr>
      </w:pPr>
    </w:p>
    <w:p w14:paraId="3A0F2636" w14:textId="77777777" w:rsidR="00620AF6" w:rsidRDefault="00620AF6" w:rsidP="00620AF6">
      <w:pPr>
        <w:jc w:val="right"/>
        <w:rPr>
          <w:sz w:val="26"/>
          <w:szCs w:val="26"/>
          <w:u w:val="thick"/>
        </w:rPr>
      </w:pPr>
    </w:p>
    <w:p w14:paraId="2BC36511" w14:textId="77777777" w:rsidR="00620AF6" w:rsidRDefault="00620AF6" w:rsidP="00620AF6">
      <w:pPr>
        <w:jc w:val="right"/>
        <w:rPr>
          <w:sz w:val="26"/>
          <w:szCs w:val="26"/>
          <w:u w:val="thick"/>
        </w:rPr>
      </w:pPr>
    </w:p>
    <w:p w14:paraId="2F242463" w14:textId="77777777" w:rsidR="00620AF6" w:rsidRDefault="00620AF6" w:rsidP="00620AF6">
      <w:pPr>
        <w:jc w:val="right"/>
        <w:rPr>
          <w:sz w:val="26"/>
          <w:szCs w:val="26"/>
          <w:u w:val="thick"/>
        </w:rPr>
      </w:pPr>
    </w:p>
    <w:p w14:paraId="1EE0963C" w14:textId="77777777" w:rsidR="00620AF6" w:rsidRDefault="00620AF6" w:rsidP="00620AF6">
      <w:pPr>
        <w:jc w:val="right"/>
        <w:rPr>
          <w:sz w:val="26"/>
          <w:szCs w:val="26"/>
          <w:u w:val="thick"/>
        </w:rPr>
      </w:pPr>
    </w:p>
    <w:p w14:paraId="6330AAEF" w14:textId="266D9CD4" w:rsidR="00620AF6" w:rsidRPr="007A7E5C" w:rsidRDefault="00620AF6" w:rsidP="00620AF6">
      <w:pPr>
        <w:jc w:val="right"/>
        <w:rPr>
          <w:szCs w:val="28"/>
          <w:u w:val="thick"/>
        </w:rPr>
      </w:pPr>
      <w:r w:rsidRPr="007A7E5C">
        <w:rPr>
          <w:szCs w:val="28"/>
          <w:u w:val="thick"/>
        </w:rPr>
        <w:t>/s/          Team 316</w:t>
      </w:r>
    </w:p>
    <w:p w14:paraId="5D4E1ED2" w14:textId="4FC5FC85" w:rsidR="00620AF6" w:rsidRPr="00B90DF2" w:rsidRDefault="00620AF6" w:rsidP="00AC49D8">
      <w:pPr>
        <w:jc w:val="right"/>
        <w:rPr>
          <w:rFonts w:asciiTheme="majorBidi" w:hAnsiTheme="majorBidi" w:cstheme="majorBidi"/>
          <w:b/>
          <w:bCs/>
          <w:szCs w:val="28"/>
        </w:rPr>
        <w:sectPr w:rsidR="00620AF6" w:rsidRPr="00B90DF2" w:rsidSect="00620AF6">
          <w:footerReference w:type="even" r:id="rId7"/>
          <w:footerReference w:type="default" r:id="rId8"/>
          <w:headerReference w:type="first" r:id="rId9"/>
          <w:footerReference w:type="first" r:id="rId10"/>
          <w:type w:val="continuous"/>
          <w:pgSz w:w="12240" w:h="15840"/>
          <w:pgMar w:top="1440" w:right="1440" w:bottom="1440" w:left="1440" w:header="720" w:footer="720" w:gutter="0"/>
          <w:pgNumType w:fmt="lowerRoman" w:start="1" w:chapStyle="1"/>
          <w:cols w:space="720"/>
          <w:titlePg/>
          <w:docGrid w:linePitch="360"/>
        </w:sectPr>
      </w:pPr>
      <w:r w:rsidRPr="000C2E87">
        <w:rPr>
          <w:rFonts w:asciiTheme="majorBidi" w:hAnsiTheme="majorBidi" w:cstheme="majorBidi"/>
          <w:i/>
          <w:iCs/>
          <w:szCs w:val="28"/>
        </w:rPr>
        <w:t xml:space="preserve">Attorneys for </w:t>
      </w:r>
      <w:r>
        <w:rPr>
          <w:rFonts w:asciiTheme="majorBidi" w:hAnsiTheme="majorBidi" w:cstheme="majorBidi"/>
          <w:i/>
          <w:iCs/>
          <w:szCs w:val="28"/>
        </w:rPr>
        <w:t>the United States of America</w:t>
      </w:r>
    </w:p>
    <w:p w14:paraId="1862B4D4" w14:textId="5F9BC926" w:rsidR="00C56D53" w:rsidRPr="00C56D53" w:rsidRDefault="00C56D53" w:rsidP="00C56D53">
      <w:pPr>
        <w:pStyle w:val="Heading1"/>
        <w:rPr>
          <w:u w:val="single"/>
        </w:rPr>
      </w:pPr>
      <w:bookmarkStart w:id="0" w:name="_Toc239117108"/>
      <w:r>
        <w:rPr>
          <w:u w:val="single"/>
        </w:rPr>
        <w:lastRenderedPageBreak/>
        <w:t>Table of Contents</w:t>
      </w:r>
      <w:bookmarkEnd w:id="0"/>
    </w:p>
    <w:p w14:paraId="053E74C0" w14:textId="089D993A" w:rsidR="00537535" w:rsidRPr="00537535" w:rsidRDefault="00C56D53" w:rsidP="00537535">
      <w:pPr>
        <w:pStyle w:val="TOC1"/>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"1-4" \u </w:instrText>
      </w:r>
      <w:r>
        <w:fldChar w:fldCharType="separate"/>
      </w:r>
      <w:r w:rsidR="00537535" w:rsidRPr="00537535">
        <w:rPr>
          <w:noProof/>
        </w:rPr>
        <w:t>Table of Contents</w:t>
      </w:r>
      <w:r w:rsidR="00537535" w:rsidRPr="00537535">
        <w:rPr>
          <w:noProof/>
        </w:rPr>
        <w:tab/>
      </w:r>
      <w:r w:rsidR="00537535">
        <w:rPr>
          <w:caps w:val="0"/>
          <w:noProof/>
        </w:rPr>
        <w:t>i</w:t>
      </w:r>
    </w:p>
    <w:p w14:paraId="48118F24" w14:textId="1B97F757" w:rsidR="00537535" w:rsidRPr="00537535" w:rsidRDefault="00537535" w:rsidP="00537535">
      <w:pPr>
        <w:pStyle w:val="TOC1"/>
        <w:rPr>
          <w:rFonts w:asciiTheme="minorHAnsi" w:eastAsiaTheme="minorEastAsia" w:hAnsiTheme="minorHAnsi" w:cstheme="minorBidi"/>
          <w:noProof/>
          <w:color w:val="auto"/>
          <w:kern w:val="2"/>
          <w:sz w:val="24"/>
          <w:szCs w:val="24"/>
          <w14:ligatures w14:val="standardContextual"/>
        </w:rPr>
      </w:pPr>
      <w:r w:rsidRPr="00537535">
        <w:rPr>
          <w:rFonts w:eastAsia="Times New Roman"/>
          <w:noProof/>
        </w:rPr>
        <w:t>Table of Authorities</w:t>
      </w:r>
      <w:r w:rsidRPr="00537535">
        <w:rPr>
          <w:noProof/>
        </w:rPr>
        <w:tab/>
      </w:r>
      <w:r w:rsidRPr="00537535">
        <w:rPr>
          <w:noProof/>
        </w:rPr>
        <w:fldChar w:fldCharType="begin"/>
      </w:r>
      <w:r w:rsidRPr="00537535">
        <w:rPr>
          <w:noProof/>
        </w:rPr>
        <w:instrText xml:space="preserve"> PAGEREF _Toc239117109 \h </w:instrText>
      </w:r>
      <w:r w:rsidRPr="00537535">
        <w:rPr>
          <w:noProof/>
        </w:rPr>
      </w:r>
      <w:r w:rsidRPr="00537535">
        <w:rPr>
          <w:noProof/>
        </w:rPr>
        <w:fldChar w:fldCharType="separate"/>
      </w:r>
      <w:r w:rsidR="000C3FBD">
        <w:rPr>
          <w:caps w:val="0"/>
          <w:noProof/>
        </w:rPr>
        <w:t>iii</w:t>
      </w:r>
      <w:r w:rsidRPr="00537535">
        <w:rPr>
          <w:noProof/>
        </w:rPr>
        <w:fldChar w:fldCharType="end"/>
      </w:r>
    </w:p>
    <w:p w14:paraId="64AD240E" w14:textId="26FB6D75" w:rsidR="00537535" w:rsidRDefault="00537535" w:rsidP="00537535">
      <w:pPr>
        <w:pStyle w:val="TOC1"/>
        <w:rPr>
          <w:rFonts w:asciiTheme="minorHAnsi" w:eastAsiaTheme="minorEastAsia" w:hAnsiTheme="minorHAnsi" w:cstheme="minorBidi"/>
          <w:noProof/>
          <w:color w:val="auto"/>
          <w:kern w:val="2"/>
          <w:sz w:val="24"/>
          <w:szCs w:val="24"/>
          <w14:ligatures w14:val="standardContextual"/>
        </w:rPr>
      </w:pPr>
      <w:r w:rsidRPr="00783B72">
        <w:rPr>
          <w:rFonts w:eastAsia="Times New Roman"/>
          <w:noProof/>
        </w:rPr>
        <w:t>Introduction</w:t>
      </w:r>
      <w:r>
        <w:rPr>
          <w:noProof/>
        </w:rPr>
        <w:tab/>
      </w:r>
      <w:r>
        <w:rPr>
          <w:noProof/>
        </w:rPr>
        <w:fldChar w:fldCharType="begin"/>
      </w:r>
      <w:r>
        <w:rPr>
          <w:noProof/>
        </w:rPr>
        <w:instrText xml:space="preserve"> PAGEREF _Toc239117110 \h </w:instrText>
      </w:r>
      <w:r>
        <w:rPr>
          <w:noProof/>
        </w:rPr>
      </w:r>
      <w:r>
        <w:rPr>
          <w:noProof/>
        </w:rPr>
        <w:fldChar w:fldCharType="separate"/>
      </w:r>
      <w:r w:rsidR="000C3FBD">
        <w:rPr>
          <w:noProof/>
        </w:rPr>
        <w:t>1</w:t>
      </w:r>
      <w:r>
        <w:rPr>
          <w:noProof/>
        </w:rPr>
        <w:fldChar w:fldCharType="end"/>
      </w:r>
    </w:p>
    <w:p w14:paraId="614D0DF7" w14:textId="04E4B867" w:rsidR="00537535" w:rsidRDefault="00537535" w:rsidP="00537535">
      <w:pPr>
        <w:pStyle w:val="TOC1"/>
        <w:rPr>
          <w:rFonts w:asciiTheme="minorHAnsi" w:eastAsiaTheme="minorEastAsia" w:hAnsiTheme="minorHAnsi" w:cstheme="minorBidi"/>
          <w:noProof/>
          <w:color w:val="auto"/>
          <w:kern w:val="2"/>
          <w:sz w:val="24"/>
          <w:szCs w:val="24"/>
          <w14:ligatures w14:val="standardContextual"/>
        </w:rPr>
      </w:pPr>
      <w:r>
        <w:rPr>
          <w:noProof/>
        </w:rPr>
        <w:t>Statement of facts</w:t>
      </w:r>
      <w:r>
        <w:rPr>
          <w:noProof/>
        </w:rPr>
        <w:tab/>
      </w:r>
      <w:r>
        <w:rPr>
          <w:noProof/>
        </w:rPr>
        <w:fldChar w:fldCharType="begin"/>
      </w:r>
      <w:r>
        <w:rPr>
          <w:noProof/>
        </w:rPr>
        <w:instrText xml:space="preserve"> PAGEREF _Toc239117111 \h </w:instrText>
      </w:r>
      <w:r>
        <w:rPr>
          <w:noProof/>
        </w:rPr>
      </w:r>
      <w:r>
        <w:rPr>
          <w:noProof/>
        </w:rPr>
        <w:fldChar w:fldCharType="separate"/>
      </w:r>
      <w:r w:rsidR="000C3FBD">
        <w:rPr>
          <w:noProof/>
        </w:rPr>
        <w:t>1</w:t>
      </w:r>
      <w:r>
        <w:rPr>
          <w:noProof/>
        </w:rPr>
        <w:fldChar w:fldCharType="end"/>
      </w:r>
    </w:p>
    <w:p w14:paraId="641DB79C" w14:textId="1F5E1828" w:rsidR="00537535" w:rsidRDefault="00537535" w:rsidP="00537535">
      <w:pPr>
        <w:pStyle w:val="TOC1"/>
        <w:rPr>
          <w:rFonts w:asciiTheme="minorHAnsi" w:eastAsiaTheme="minorEastAsia" w:hAnsiTheme="minorHAnsi" w:cstheme="minorBidi"/>
          <w:noProof/>
          <w:color w:val="auto"/>
          <w:kern w:val="2"/>
          <w:sz w:val="24"/>
          <w:szCs w:val="24"/>
          <w14:ligatures w14:val="standardContextual"/>
        </w:rPr>
      </w:pPr>
      <w:r w:rsidRPr="00783B72">
        <w:rPr>
          <w:rFonts w:eastAsia="Times New Roman"/>
          <w:noProof/>
        </w:rPr>
        <w:t>ARGUMENT</w:t>
      </w:r>
      <w:r>
        <w:rPr>
          <w:noProof/>
        </w:rPr>
        <w:tab/>
      </w:r>
      <w:r>
        <w:rPr>
          <w:noProof/>
        </w:rPr>
        <w:fldChar w:fldCharType="begin"/>
      </w:r>
      <w:r>
        <w:rPr>
          <w:noProof/>
        </w:rPr>
        <w:instrText xml:space="preserve"> PAGEREF _Toc239117112 \h </w:instrText>
      </w:r>
      <w:r>
        <w:rPr>
          <w:noProof/>
        </w:rPr>
      </w:r>
      <w:r>
        <w:rPr>
          <w:noProof/>
        </w:rPr>
        <w:fldChar w:fldCharType="separate"/>
      </w:r>
      <w:r w:rsidR="000C3FBD">
        <w:rPr>
          <w:noProof/>
        </w:rPr>
        <w:t>4</w:t>
      </w:r>
      <w:r>
        <w:rPr>
          <w:noProof/>
        </w:rPr>
        <w:fldChar w:fldCharType="end"/>
      </w:r>
    </w:p>
    <w:p w14:paraId="6319D7AD" w14:textId="38AB9716" w:rsidR="00537535" w:rsidRDefault="00537535">
      <w:pPr>
        <w:pStyle w:val="TOC2"/>
        <w:tabs>
          <w:tab w:val="left" w:pos="1080"/>
          <w:tab w:val="right" w:leader="dot" w:pos="9350"/>
        </w:tabs>
        <w:rPr>
          <w:rFonts w:asciiTheme="minorHAnsi" w:eastAsiaTheme="minorEastAsia" w:hAnsiTheme="minorHAnsi" w:cstheme="minorBidi"/>
          <w:caps w:val="0"/>
          <w:noProof/>
          <w:color w:val="auto"/>
          <w:kern w:val="2"/>
          <w:sz w:val="24"/>
          <w:szCs w:val="24"/>
          <w14:ligatures w14:val="standardContextual"/>
        </w:rPr>
      </w:pPr>
      <w:r w:rsidRPr="00783B72">
        <w:rPr>
          <w:rFonts w:eastAsia="Times New Roman"/>
          <w:noProof/>
        </w:rPr>
        <w:t>I.</w:t>
      </w:r>
      <w:r>
        <w:rPr>
          <w:rFonts w:asciiTheme="minorHAnsi" w:eastAsiaTheme="minorEastAsia" w:hAnsiTheme="minorHAnsi" w:cstheme="minorBidi"/>
          <w:caps w:val="0"/>
          <w:noProof/>
          <w:color w:val="auto"/>
          <w:kern w:val="2"/>
          <w:sz w:val="24"/>
          <w:szCs w:val="24"/>
          <w14:ligatures w14:val="standardContextual"/>
        </w:rPr>
        <w:tab/>
      </w:r>
      <w:r w:rsidRPr="00783B72">
        <w:rPr>
          <w:rFonts w:eastAsia="Times New Roman"/>
          <w:noProof/>
        </w:rPr>
        <w:t>Parker’s testimony and Exhibit 19 cannot be suppressed because the Government established that both derived from sources wholly independent of Defendant’s compelled testimony.</w:t>
      </w:r>
      <w:r>
        <w:rPr>
          <w:noProof/>
        </w:rPr>
        <w:tab/>
      </w:r>
      <w:r>
        <w:rPr>
          <w:noProof/>
        </w:rPr>
        <w:fldChar w:fldCharType="begin"/>
      </w:r>
      <w:r>
        <w:rPr>
          <w:noProof/>
        </w:rPr>
        <w:instrText xml:space="preserve"> PAGEREF _Toc239117113 \h </w:instrText>
      </w:r>
      <w:r>
        <w:rPr>
          <w:noProof/>
        </w:rPr>
      </w:r>
      <w:r>
        <w:rPr>
          <w:noProof/>
        </w:rPr>
        <w:fldChar w:fldCharType="separate"/>
      </w:r>
      <w:r w:rsidR="000C3FBD">
        <w:rPr>
          <w:noProof/>
        </w:rPr>
        <w:t>4</w:t>
      </w:r>
      <w:r>
        <w:rPr>
          <w:noProof/>
        </w:rPr>
        <w:fldChar w:fldCharType="end"/>
      </w:r>
    </w:p>
    <w:p w14:paraId="7173F949" w14:textId="2D326C3D" w:rsidR="00537535" w:rsidRDefault="00537535">
      <w:pPr>
        <w:pStyle w:val="TOC3"/>
        <w:tabs>
          <w:tab w:val="left" w:pos="1440"/>
          <w:tab w:val="right" w:leader="dot" w:pos="9350"/>
        </w:tabs>
        <w:rPr>
          <w:rFonts w:asciiTheme="minorHAnsi" w:eastAsiaTheme="minorEastAsia" w:hAnsiTheme="minorHAnsi" w:cstheme="minorBidi"/>
          <w:i w:val="0"/>
          <w:noProof/>
          <w:color w:val="auto"/>
          <w:kern w:val="2"/>
          <w:sz w:val="24"/>
          <w:szCs w:val="24"/>
          <w14:ligatures w14:val="standardContextual"/>
        </w:rPr>
      </w:pPr>
      <w:r w:rsidRPr="00783B72">
        <w:rPr>
          <w:rFonts w:eastAsia="Times New Roman"/>
          <w:noProof/>
        </w:rPr>
        <w:t>A.</w:t>
      </w:r>
      <w:r>
        <w:rPr>
          <w:rFonts w:asciiTheme="minorHAnsi" w:eastAsiaTheme="minorEastAsia" w:hAnsiTheme="minorHAnsi" w:cstheme="minorBidi"/>
          <w:i w:val="0"/>
          <w:noProof/>
          <w:color w:val="auto"/>
          <w:kern w:val="2"/>
          <w:sz w:val="24"/>
          <w:szCs w:val="24"/>
          <w14:ligatures w14:val="standardContextual"/>
        </w:rPr>
        <w:tab/>
      </w:r>
      <w:r w:rsidRPr="00783B72">
        <w:rPr>
          <w:rFonts w:eastAsia="Times New Roman"/>
          <w:noProof/>
        </w:rPr>
        <w:t xml:space="preserve">The Government must prove an independent source only by a preponderance because </w:t>
      </w:r>
      <w:r w:rsidRPr="00783B72">
        <w:rPr>
          <w:rFonts w:eastAsia="Times New Roman"/>
          <w:iCs/>
          <w:noProof/>
        </w:rPr>
        <w:t>Kastigar</w:t>
      </w:r>
      <w:r w:rsidRPr="00783B72">
        <w:rPr>
          <w:rFonts w:eastAsia="Times New Roman"/>
          <w:noProof/>
        </w:rPr>
        <w:t xml:space="preserve">’s “heavy burden” concerns what the Government must prove, not the </w:t>
      </w:r>
      <w:r>
        <w:rPr>
          <w:noProof/>
        </w:rPr>
        <w:t>evidentiary</w:t>
      </w:r>
      <w:r w:rsidRPr="00783B72">
        <w:rPr>
          <w:rFonts w:eastAsia="Times New Roman"/>
          <w:noProof/>
        </w:rPr>
        <w:t xml:space="preserve"> standard.</w:t>
      </w:r>
      <w:r>
        <w:rPr>
          <w:noProof/>
        </w:rPr>
        <w:tab/>
      </w:r>
      <w:r w:rsidRPr="00B16E3F">
        <w:rPr>
          <w:i w:val="0"/>
          <w:iCs/>
          <w:noProof/>
        </w:rPr>
        <w:fldChar w:fldCharType="begin"/>
      </w:r>
      <w:r w:rsidRPr="00B16E3F">
        <w:rPr>
          <w:i w:val="0"/>
          <w:iCs/>
          <w:noProof/>
        </w:rPr>
        <w:instrText xml:space="preserve"> PAGEREF _Toc239117114 \h </w:instrText>
      </w:r>
      <w:r w:rsidRPr="00B16E3F">
        <w:rPr>
          <w:i w:val="0"/>
          <w:iCs/>
          <w:noProof/>
        </w:rPr>
      </w:r>
      <w:r w:rsidRPr="00B16E3F">
        <w:rPr>
          <w:i w:val="0"/>
          <w:iCs/>
          <w:noProof/>
        </w:rPr>
        <w:fldChar w:fldCharType="separate"/>
      </w:r>
      <w:r w:rsidR="000C3FBD" w:rsidRPr="00B16E3F">
        <w:rPr>
          <w:i w:val="0"/>
          <w:iCs/>
          <w:noProof/>
        </w:rPr>
        <w:t>5</w:t>
      </w:r>
      <w:r w:rsidRPr="00B16E3F">
        <w:rPr>
          <w:i w:val="0"/>
          <w:iCs/>
          <w:noProof/>
        </w:rPr>
        <w:fldChar w:fldCharType="end"/>
      </w:r>
    </w:p>
    <w:p w14:paraId="092F65E0" w14:textId="00336220" w:rsidR="00537535" w:rsidRDefault="00537535">
      <w:pPr>
        <w:pStyle w:val="TOC3"/>
        <w:tabs>
          <w:tab w:val="left" w:pos="1440"/>
          <w:tab w:val="right" w:leader="dot" w:pos="9350"/>
        </w:tabs>
        <w:rPr>
          <w:rFonts w:asciiTheme="minorHAnsi" w:eastAsiaTheme="minorEastAsia" w:hAnsiTheme="minorHAnsi" w:cstheme="minorBidi"/>
          <w:i w:val="0"/>
          <w:noProof/>
          <w:color w:val="auto"/>
          <w:kern w:val="2"/>
          <w:sz w:val="24"/>
          <w:szCs w:val="24"/>
          <w14:ligatures w14:val="standardContextual"/>
        </w:rPr>
      </w:pPr>
      <w:r w:rsidRPr="00783B72">
        <w:rPr>
          <w:rFonts w:eastAsia="Times New Roman"/>
          <w:noProof/>
        </w:rPr>
        <w:t>B.</w:t>
      </w:r>
      <w:r>
        <w:rPr>
          <w:rFonts w:asciiTheme="minorHAnsi" w:eastAsiaTheme="minorEastAsia" w:hAnsiTheme="minorHAnsi" w:cstheme="minorBidi"/>
          <w:i w:val="0"/>
          <w:noProof/>
          <w:color w:val="auto"/>
          <w:kern w:val="2"/>
          <w:sz w:val="24"/>
          <w:szCs w:val="24"/>
          <w14:ligatures w14:val="standardContextual"/>
        </w:rPr>
        <w:tab/>
      </w:r>
      <w:r w:rsidRPr="00783B72">
        <w:rPr>
          <w:rFonts w:eastAsia="Times New Roman"/>
          <w:noProof/>
        </w:rPr>
        <w:t>Parker’s testimony should not be suppressed because the Government independently selected Parker for an interview and independently developed Parker’s resulting testimony.</w:t>
      </w:r>
      <w:r>
        <w:rPr>
          <w:noProof/>
        </w:rPr>
        <w:tab/>
      </w:r>
      <w:r w:rsidRPr="00B16E3F">
        <w:rPr>
          <w:i w:val="0"/>
          <w:iCs/>
          <w:noProof/>
        </w:rPr>
        <w:fldChar w:fldCharType="begin"/>
      </w:r>
      <w:r w:rsidRPr="00B16E3F">
        <w:rPr>
          <w:i w:val="0"/>
          <w:iCs/>
          <w:noProof/>
        </w:rPr>
        <w:instrText xml:space="preserve"> PAGEREF _Toc239117115 \h </w:instrText>
      </w:r>
      <w:r w:rsidRPr="00B16E3F">
        <w:rPr>
          <w:i w:val="0"/>
          <w:iCs/>
          <w:noProof/>
        </w:rPr>
      </w:r>
      <w:r w:rsidRPr="00B16E3F">
        <w:rPr>
          <w:i w:val="0"/>
          <w:iCs/>
          <w:noProof/>
        </w:rPr>
        <w:fldChar w:fldCharType="separate"/>
      </w:r>
      <w:r w:rsidR="000C3FBD" w:rsidRPr="00B16E3F">
        <w:rPr>
          <w:i w:val="0"/>
          <w:iCs/>
          <w:noProof/>
        </w:rPr>
        <w:t>6</w:t>
      </w:r>
      <w:r w:rsidRPr="00B16E3F">
        <w:rPr>
          <w:i w:val="0"/>
          <w:iCs/>
          <w:noProof/>
        </w:rPr>
        <w:fldChar w:fldCharType="end"/>
      </w:r>
    </w:p>
    <w:p w14:paraId="7A63FBB1" w14:textId="3D3D3708" w:rsidR="00537535" w:rsidRDefault="00537535">
      <w:pPr>
        <w:pStyle w:val="TOC4"/>
        <w:tabs>
          <w:tab w:val="left" w:pos="1680"/>
          <w:tab w:val="right" w:leader="dot" w:pos="9350"/>
        </w:tabs>
        <w:rPr>
          <w:rFonts w:asciiTheme="minorHAnsi" w:eastAsiaTheme="minorEastAsia" w:hAnsiTheme="minorHAnsi" w:cstheme="minorBidi"/>
          <w:iCs w:val="0"/>
          <w:noProof/>
          <w:color w:val="auto"/>
          <w:kern w:val="2"/>
          <w:sz w:val="24"/>
          <w14:ligatures w14:val="standardContextual"/>
        </w:rPr>
      </w:pPr>
      <w:r w:rsidRPr="00783B72">
        <w:rPr>
          <w:rFonts w:eastAsia="Times New Roman"/>
          <w:noProof/>
        </w:rPr>
        <w:t>1.</w:t>
      </w:r>
      <w:r>
        <w:rPr>
          <w:rFonts w:asciiTheme="minorHAnsi" w:eastAsiaTheme="minorEastAsia" w:hAnsiTheme="minorHAnsi" w:cstheme="minorBidi"/>
          <w:iCs w:val="0"/>
          <w:noProof/>
          <w:color w:val="auto"/>
          <w:kern w:val="2"/>
          <w:sz w:val="24"/>
          <w14:ligatures w14:val="standardContextual"/>
        </w:rPr>
        <w:tab/>
      </w:r>
      <w:r w:rsidRPr="00783B72">
        <w:rPr>
          <w:rFonts w:eastAsia="Times New Roman"/>
          <w:noProof/>
        </w:rPr>
        <w:t xml:space="preserve">The </w:t>
      </w:r>
      <w:r>
        <w:rPr>
          <w:noProof/>
        </w:rPr>
        <w:t>Government</w:t>
      </w:r>
      <w:r w:rsidRPr="00783B72">
        <w:rPr>
          <w:rFonts w:eastAsia="Times New Roman"/>
          <w:noProof/>
        </w:rPr>
        <w:t xml:space="preserve"> independently selected Parker for an interview because multiple exhibits </w:t>
      </w:r>
      <w:r>
        <w:rPr>
          <w:noProof/>
        </w:rPr>
        <w:t>prove</w:t>
      </w:r>
      <w:r w:rsidRPr="00783B72">
        <w:rPr>
          <w:rFonts w:eastAsia="Times New Roman"/>
          <w:noProof/>
        </w:rPr>
        <w:t xml:space="preserve"> a path independent of Defendant’s compelled testimony.</w:t>
      </w:r>
      <w:r>
        <w:rPr>
          <w:noProof/>
        </w:rPr>
        <w:tab/>
      </w:r>
      <w:r>
        <w:rPr>
          <w:noProof/>
        </w:rPr>
        <w:fldChar w:fldCharType="begin"/>
      </w:r>
      <w:r>
        <w:rPr>
          <w:noProof/>
        </w:rPr>
        <w:instrText xml:space="preserve"> PAGEREF _Toc239117116 \h </w:instrText>
      </w:r>
      <w:r>
        <w:rPr>
          <w:noProof/>
        </w:rPr>
      </w:r>
      <w:r>
        <w:rPr>
          <w:noProof/>
        </w:rPr>
        <w:fldChar w:fldCharType="separate"/>
      </w:r>
      <w:r w:rsidR="000C3FBD">
        <w:rPr>
          <w:noProof/>
        </w:rPr>
        <w:t>7</w:t>
      </w:r>
      <w:r>
        <w:rPr>
          <w:noProof/>
        </w:rPr>
        <w:fldChar w:fldCharType="end"/>
      </w:r>
    </w:p>
    <w:p w14:paraId="68BBB3C7" w14:textId="53F94498" w:rsidR="00537535" w:rsidRDefault="00537535">
      <w:pPr>
        <w:pStyle w:val="TOC4"/>
        <w:tabs>
          <w:tab w:val="left" w:pos="1680"/>
          <w:tab w:val="right" w:leader="dot" w:pos="9350"/>
        </w:tabs>
        <w:rPr>
          <w:rFonts w:asciiTheme="minorHAnsi" w:eastAsiaTheme="minorEastAsia" w:hAnsiTheme="minorHAnsi" w:cstheme="minorBidi"/>
          <w:iCs w:val="0"/>
          <w:noProof/>
          <w:color w:val="auto"/>
          <w:kern w:val="2"/>
          <w:sz w:val="24"/>
          <w14:ligatures w14:val="standardContextual"/>
        </w:rPr>
      </w:pPr>
      <w:r w:rsidRPr="00783B72">
        <w:rPr>
          <w:rFonts w:eastAsia="Times New Roman"/>
          <w:noProof/>
        </w:rPr>
        <w:t>2.</w:t>
      </w:r>
      <w:r>
        <w:rPr>
          <w:rFonts w:asciiTheme="minorHAnsi" w:eastAsiaTheme="minorEastAsia" w:hAnsiTheme="minorHAnsi" w:cstheme="minorBidi"/>
          <w:iCs w:val="0"/>
          <w:noProof/>
          <w:color w:val="auto"/>
          <w:kern w:val="2"/>
          <w:sz w:val="24"/>
          <w14:ligatures w14:val="standardContextual"/>
        </w:rPr>
        <w:tab/>
      </w:r>
      <w:r w:rsidRPr="00783B72">
        <w:rPr>
          <w:rFonts w:eastAsia="Times New Roman"/>
          <w:noProof/>
        </w:rPr>
        <w:t>The Government independently developed Parker’s testimony because neither Parker’s account nor Nolan’s questioning were tainted by Defendant’s compelled testimony.</w:t>
      </w:r>
      <w:r>
        <w:rPr>
          <w:noProof/>
        </w:rPr>
        <w:tab/>
      </w:r>
      <w:r>
        <w:rPr>
          <w:noProof/>
        </w:rPr>
        <w:fldChar w:fldCharType="begin"/>
      </w:r>
      <w:r>
        <w:rPr>
          <w:noProof/>
        </w:rPr>
        <w:instrText xml:space="preserve"> PAGEREF _Toc239117117 \h </w:instrText>
      </w:r>
      <w:r>
        <w:rPr>
          <w:noProof/>
        </w:rPr>
      </w:r>
      <w:r>
        <w:rPr>
          <w:noProof/>
        </w:rPr>
        <w:fldChar w:fldCharType="separate"/>
      </w:r>
      <w:r w:rsidR="000C3FBD">
        <w:rPr>
          <w:noProof/>
        </w:rPr>
        <w:t>9</w:t>
      </w:r>
      <w:r>
        <w:rPr>
          <w:noProof/>
        </w:rPr>
        <w:fldChar w:fldCharType="end"/>
      </w:r>
    </w:p>
    <w:p w14:paraId="03ECCA83" w14:textId="7343ECF2" w:rsidR="00537535" w:rsidRPr="00B16E3F" w:rsidRDefault="00537535">
      <w:pPr>
        <w:pStyle w:val="TOC3"/>
        <w:tabs>
          <w:tab w:val="left" w:pos="1440"/>
          <w:tab w:val="right" w:leader="dot" w:pos="9350"/>
        </w:tabs>
        <w:rPr>
          <w:rFonts w:asciiTheme="minorHAnsi" w:eastAsiaTheme="minorEastAsia" w:hAnsiTheme="minorHAnsi" w:cstheme="minorBidi"/>
          <w:i w:val="0"/>
          <w:iCs/>
          <w:noProof/>
          <w:color w:val="auto"/>
          <w:kern w:val="2"/>
          <w:sz w:val="24"/>
          <w:szCs w:val="24"/>
          <w14:ligatures w14:val="standardContextual"/>
        </w:rPr>
      </w:pPr>
      <w:r w:rsidRPr="00783B72">
        <w:rPr>
          <w:rFonts w:eastAsia="Times New Roman"/>
          <w:noProof/>
        </w:rPr>
        <w:t>C.</w:t>
      </w:r>
      <w:r>
        <w:rPr>
          <w:rFonts w:asciiTheme="minorHAnsi" w:eastAsiaTheme="minorEastAsia" w:hAnsiTheme="minorHAnsi" w:cstheme="minorBidi"/>
          <w:i w:val="0"/>
          <w:noProof/>
          <w:color w:val="auto"/>
          <w:kern w:val="2"/>
          <w:sz w:val="24"/>
          <w:szCs w:val="24"/>
          <w14:ligatures w14:val="standardContextual"/>
        </w:rPr>
        <w:tab/>
      </w:r>
      <w:r w:rsidRPr="00783B72">
        <w:rPr>
          <w:rFonts w:eastAsia="Times New Roman"/>
          <w:noProof/>
        </w:rPr>
        <w:t xml:space="preserve">Defendant’s Motion to </w:t>
      </w:r>
      <w:r>
        <w:rPr>
          <w:noProof/>
        </w:rPr>
        <w:t>Suppress</w:t>
      </w:r>
      <w:r w:rsidRPr="00783B72">
        <w:rPr>
          <w:rFonts w:eastAsia="Times New Roman"/>
          <w:noProof/>
        </w:rPr>
        <w:t xml:space="preserve"> should be denied because Exhibit 19 was derived from Parker’s independently developed testimony.</w:t>
      </w:r>
      <w:r>
        <w:rPr>
          <w:noProof/>
        </w:rPr>
        <w:tab/>
      </w:r>
      <w:r w:rsidRPr="00B16E3F">
        <w:rPr>
          <w:i w:val="0"/>
          <w:iCs/>
          <w:noProof/>
        </w:rPr>
        <w:fldChar w:fldCharType="begin"/>
      </w:r>
      <w:r w:rsidRPr="00B16E3F">
        <w:rPr>
          <w:i w:val="0"/>
          <w:iCs/>
          <w:noProof/>
        </w:rPr>
        <w:instrText xml:space="preserve"> PAGEREF _Toc239117118 \h </w:instrText>
      </w:r>
      <w:r w:rsidRPr="00B16E3F">
        <w:rPr>
          <w:i w:val="0"/>
          <w:iCs/>
          <w:noProof/>
        </w:rPr>
      </w:r>
      <w:r w:rsidRPr="00B16E3F">
        <w:rPr>
          <w:i w:val="0"/>
          <w:iCs/>
          <w:noProof/>
        </w:rPr>
        <w:fldChar w:fldCharType="separate"/>
      </w:r>
      <w:r w:rsidR="000C3FBD" w:rsidRPr="00B16E3F">
        <w:rPr>
          <w:i w:val="0"/>
          <w:iCs/>
          <w:noProof/>
        </w:rPr>
        <w:t>11</w:t>
      </w:r>
      <w:r w:rsidRPr="00B16E3F">
        <w:rPr>
          <w:i w:val="0"/>
          <w:iCs/>
          <w:noProof/>
        </w:rPr>
        <w:fldChar w:fldCharType="end"/>
      </w:r>
    </w:p>
    <w:p w14:paraId="2E21C8AD" w14:textId="03D92515" w:rsidR="00537535" w:rsidRDefault="00537535">
      <w:pPr>
        <w:pStyle w:val="TOC2"/>
        <w:tabs>
          <w:tab w:val="left" w:pos="1080"/>
          <w:tab w:val="right" w:leader="dot" w:pos="9350"/>
        </w:tabs>
        <w:rPr>
          <w:rFonts w:asciiTheme="minorHAnsi" w:eastAsiaTheme="minorEastAsia" w:hAnsiTheme="minorHAnsi" w:cstheme="minorBidi"/>
          <w:caps w:val="0"/>
          <w:noProof/>
          <w:color w:val="auto"/>
          <w:kern w:val="2"/>
          <w:sz w:val="24"/>
          <w:szCs w:val="24"/>
          <w14:ligatures w14:val="standardContextual"/>
        </w:rPr>
      </w:pPr>
      <w:r>
        <w:rPr>
          <w:noProof/>
        </w:rPr>
        <w:t>II.</w:t>
      </w:r>
      <w:r>
        <w:rPr>
          <w:rFonts w:asciiTheme="minorHAnsi" w:eastAsiaTheme="minorEastAsia" w:hAnsiTheme="minorHAnsi" w:cstheme="minorBidi"/>
          <w:caps w:val="0"/>
          <w:noProof/>
          <w:color w:val="auto"/>
          <w:kern w:val="2"/>
          <w:sz w:val="24"/>
          <w:szCs w:val="24"/>
          <w14:ligatures w14:val="standardContextual"/>
        </w:rPr>
        <w:tab/>
      </w:r>
      <w:r>
        <w:rPr>
          <w:noProof/>
        </w:rPr>
        <w:t>The Government’s subpoena duces tecum must not be quashed because the substantial need exception applies to armana’s records.</w:t>
      </w:r>
      <w:r>
        <w:rPr>
          <w:noProof/>
        </w:rPr>
        <w:tab/>
      </w:r>
      <w:r>
        <w:rPr>
          <w:noProof/>
        </w:rPr>
        <w:fldChar w:fldCharType="begin"/>
      </w:r>
      <w:r>
        <w:rPr>
          <w:noProof/>
        </w:rPr>
        <w:instrText xml:space="preserve"> PAGEREF _Toc239117119 \h </w:instrText>
      </w:r>
      <w:r>
        <w:rPr>
          <w:noProof/>
        </w:rPr>
      </w:r>
      <w:r>
        <w:rPr>
          <w:noProof/>
        </w:rPr>
        <w:fldChar w:fldCharType="separate"/>
      </w:r>
      <w:r w:rsidR="000C3FBD">
        <w:rPr>
          <w:noProof/>
        </w:rPr>
        <w:t>11</w:t>
      </w:r>
      <w:r>
        <w:rPr>
          <w:noProof/>
        </w:rPr>
        <w:fldChar w:fldCharType="end"/>
      </w:r>
    </w:p>
    <w:p w14:paraId="611C5A74" w14:textId="3BA9960A" w:rsidR="00537535" w:rsidRDefault="00537535">
      <w:pPr>
        <w:pStyle w:val="TOC3"/>
        <w:tabs>
          <w:tab w:val="left" w:pos="1440"/>
          <w:tab w:val="right" w:leader="dot" w:pos="9350"/>
        </w:tabs>
        <w:rPr>
          <w:rFonts w:asciiTheme="minorHAnsi" w:eastAsiaTheme="minorEastAsia" w:hAnsiTheme="minorHAnsi" w:cstheme="minorBidi"/>
          <w:i w:val="0"/>
          <w:noProof/>
          <w:color w:val="auto"/>
          <w:kern w:val="2"/>
          <w:sz w:val="24"/>
          <w:szCs w:val="24"/>
          <w14:ligatures w14:val="standardContextual"/>
        </w:rPr>
      </w:pPr>
      <w:r>
        <w:rPr>
          <w:noProof/>
        </w:rPr>
        <w:t>A.</w:t>
      </w:r>
      <w:r>
        <w:rPr>
          <w:rFonts w:asciiTheme="minorHAnsi" w:eastAsiaTheme="minorEastAsia" w:hAnsiTheme="minorHAnsi" w:cstheme="minorBidi"/>
          <w:i w:val="0"/>
          <w:noProof/>
          <w:color w:val="auto"/>
          <w:kern w:val="2"/>
          <w:sz w:val="24"/>
          <w:szCs w:val="24"/>
          <w14:ligatures w14:val="standardContextual"/>
        </w:rPr>
        <w:tab/>
      </w:r>
      <w:r>
        <w:rPr>
          <w:noProof/>
        </w:rPr>
        <w:t>The substantial need exception applies in criminal cases.</w:t>
      </w:r>
      <w:r>
        <w:rPr>
          <w:noProof/>
        </w:rPr>
        <w:tab/>
      </w:r>
      <w:r w:rsidRPr="00B16E3F">
        <w:rPr>
          <w:i w:val="0"/>
          <w:iCs/>
          <w:noProof/>
        </w:rPr>
        <w:fldChar w:fldCharType="begin"/>
      </w:r>
      <w:r w:rsidRPr="00B16E3F">
        <w:rPr>
          <w:i w:val="0"/>
          <w:iCs/>
          <w:noProof/>
        </w:rPr>
        <w:instrText xml:space="preserve"> PAGEREF _Toc239117120 \h </w:instrText>
      </w:r>
      <w:r w:rsidRPr="00B16E3F">
        <w:rPr>
          <w:i w:val="0"/>
          <w:iCs/>
          <w:noProof/>
        </w:rPr>
      </w:r>
      <w:r w:rsidRPr="00B16E3F">
        <w:rPr>
          <w:i w:val="0"/>
          <w:iCs/>
          <w:noProof/>
        </w:rPr>
        <w:fldChar w:fldCharType="separate"/>
      </w:r>
      <w:r w:rsidR="000C3FBD" w:rsidRPr="00B16E3F">
        <w:rPr>
          <w:i w:val="0"/>
          <w:iCs/>
          <w:noProof/>
        </w:rPr>
        <w:t>12</w:t>
      </w:r>
      <w:r w:rsidRPr="00B16E3F">
        <w:rPr>
          <w:i w:val="0"/>
          <w:iCs/>
          <w:noProof/>
        </w:rPr>
        <w:fldChar w:fldCharType="end"/>
      </w:r>
    </w:p>
    <w:p w14:paraId="17C70A88" w14:textId="0747A4EF" w:rsidR="00537535" w:rsidRDefault="00537535">
      <w:pPr>
        <w:pStyle w:val="TOC3"/>
        <w:tabs>
          <w:tab w:val="left" w:pos="1440"/>
          <w:tab w:val="right" w:leader="dot" w:pos="9350"/>
        </w:tabs>
        <w:rPr>
          <w:rFonts w:asciiTheme="minorHAnsi" w:eastAsiaTheme="minorEastAsia" w:hAnsiTheme="minorHAnsi" w:cstheme="minorBidi"/>
          <w:i w:val="0"/>
          <w:noProof/>
          <w:color w:val="auto"/>
          <w:kern w:val="2"/>
          <w:sz w:val="24"/>
          <w:szCs w:val="24"/>
          <w14:ligatures w14:val="standardContextual"/>
        </w:rPr>
      </w:pPr>
      <w:r>
        <w:rPr>
          <w:noProof/>
        </w:rPr>
        <w:lastRenderedPageBreak/>
        <w:t>B.</w:t>
      </w:r>
      <w:r>
        <w:rPr>
          <w:rFonts w:asciiTheme="minorHAnsi" w:eastAsiaTheme="minorEastAsia" w:hAnsiTheme="minorHAnsi" w:cstheme="minorBidi"/>
          <w:i w:val="0"/>
          <w:noProof/>
          <w:color w:val="auto"/>
          <w:kern w:val="2"/>
          <w:sz w:val="24"/>
          <w:szCs w:val="24"/>
          <w14:ligatures w14:val="standardContextual"/>
        </w:rPr>
        <w:tab/>
      </w:r>
      <w:r>
        <w:rPr>
          <w:noProof/>
        </w:rPr>
        <w:t>Armana’s records are discoverable because they constitute fact work product and the Government has a substantial need for the information that it cannot obtain from another source without undue hardship.</w:t>
      </w:r>
      <w:r>
        <w:rPr>
          <w:noProof/>
        </w:rPr>
        <w:tab/>
      </w:r>
      <w:r w:rsidRPr="00B16E3F">
        <w:rPr>
          <w:i w:val="0"/>
          <w:iCs/>
          <w:noProof/>
        </w:rPr>
        <w:fldChar w:fldCharType="begin"/>
      </w:r>
      <w:r w:rsidRPr="00B16E3F">
        <w:rPr>
          <w:i w:val="0"/>
          <w:iCs/>
          <w:noProof/>
        </w:rPr>
        <w:instrText xml:space="preserve"> PAGEREF _Toc239117121 \h </w:instrText>
      </w:r>
      <w:r w:rsidRPr="00B16E3F">
        <w:rPr>
          <w:i w:val="0"/>
          <w:iCs/>
          <w:noProof/>
        </w:rPr>
      </w:r>
      <w:r w:rsidRPr="00B16E3F">
        <w:rPr>
          <w:i w:val="0"/>
          <w:iCs/>
          <w:noProof/>
        </w:rPr>
        <w:fldChar w:fldCharType="separate"/>
      </w:r>
      <w:r w:rsidR="000C3FBD" w:rsidRPr="00B16E3F">
        <w:rPr>
          <w:i w:val="0"/>
          <w:iCs/>
          <w:noProof/>
        </w:rPr>
        <w:t>14</w:t>
      </w:r>
      <w:r w:rsidRPr="00B16E3F">
        <w:rPr>
          <w:i w:val="0"/>
          <w:iCs/>
          <w:noProof/>
        </w:rPr>
        <w:fldChar w:fldCharType="end"/>
      </w:r>
    </w:p>
    <w:p w14:paraId="49EBB695" w14:textId="2642580B" w:rsidR="00537535" w:rsidRDefault="00537535">
      <w:pPr>
        <w:pStyle w:val="TOC4"/>
        <w:tabs>
          <w:tab w:val="left" w:pos="1680"/>
          <w:tab w:val="right" w:leader="dot" w:pos="9350"/>
        </w:tabs>
        <w:rPr>
          <w:rFonts w:asciiTheme="minorHAnsi" w:eastAsiaTheme="minorEastAsia" w:hAnsiTheme="minorHAnsi" w:cstheme="minorBidi"/>
          <w:iCs w:val="0"/>
          <w:noProof/>
          <w:color w:val="auto"/>
          <w:kern w:val="2"/>
          <w:sz w:val="24"/>
          <w14:ligatures w14:val="standardContextual"/>
        </w:rPr>
      </w:pPr>
      <w:r>
        <w:rPr>
          <w:noProof/>
        </w:rPr>
        <w:t>1.</w:t>
      </w:r>
      <w:r>
        <w:rPr>
          <w:rFonts w:asciiTheme="minorHAnsi" w:eastAsiaTheme="minorEastAsia" w:hAnsiTheme="minorHAnsi" w:cstheme="minorBidi"/>
          <w:iCs w:val="0"/>
          <w:noProof/>
          <w:color w:val="auto"/>
          <w:kern w:val="2"/>
          <w:sz w:val="24"/>
          <w14:ligatures w14:val="standardContextual"/>
        </w:rPr>
        <w:tab/>
      </w:r>
      <w:r>
        <w:rPr>
          <w:noProof/>
        </w:rPr>
        <w:t>Armana’s records of the Seton interview are fact work product.</w:t>
      </w:r>
      <w:r>
        <w:rPr>
          <w:noProof/>
        </w:rPr>
        <w:tab/>
      </w:r>
      <w:r>
        <w:rPr>
          <w:noProof/>
        </w:rPr>
        <w:fldChar w:fldCharType="begin"/>
      </w:r>
      <w:r>
        <w:rPr>
          <w:noProof/>
        </w:rPr>
        <w:instrText xml:space="preserve"> PAGEREF _Toc239117122 \h </w:instrText>
      </w:r>
      <w:r>
        <w:rPr>
          <w:noProof/>
        </w:rPr>
      </w:r>
      <w:r>
        <w:rPr>
          <w:noProof/>
        </w:rPr>
        <w:fldChar w:fldCharType="separate"/>
      </w:r>
      <w:r w:rsidR="000C3FBD">
        <w:rPr>
          <w:noProof/>
        </w:rPr>
        <w:t>15</w:t>
      </w:r>
      <w:r>
        <w:rPr>
          <w:noProof/>
        </w:rPr>
        <w:fldChar w:fldCharType="end"/>
      </w:r>
    </w:p>
    <w:p w14:paraId="72C84E4A" w14:textId="41493636" w:rsidR="00537535" w:rsidRDefault="00537535">
      <w:pPr>
        <w:pStyle w:val="TOC4"/>
        <w:tabs>
          <w:tab w:val="left" w:pos="1680"/>
          <w:tab w:val="right" w:leader="dot" w:pos="9350"/>
        </w:tabs>
        <w:rPr>
          <w:rFonts w:asciiTheme="minorHAnsi" w:eastAsiaTheme="minorEastAsia" w:hAnsiTheme="minorHAnsi" w:cstheme="minorBidi"/>
          <w:iCs w:val="0"/>
          <w:noProof/>
          <w:color w:val="auto"/>
          <w:kern w:val="2"/>
          <w:sz w:val="24"/>
          <w14:ligatures w14:val="standardContextual"/>
        </w:rPr>
      </w:pPr>
      <w:r>
        <w:rPr>
          <w:noProof/>
        </w:rPr>
        <w:t>2.</w:t>
      </w:r>
      <w:r>
        <w:rPr>
          <w:rFonts w:asciiTheme="minorHAnsi" w:eastAsiaTheme="minorEastAsia" w:hAnsiTheme="minorHAnsi" w:cstheme="minorBidi"/>
          <w:iCs w:val="0"/>
          <w:noProof/>
          <w:color w:val="auto"/>
          <w:kern w:val="2"/>
          <w:sz w:val="24"/>
          <w14:ligatures w14:val="standardContextual"/>
        </w:rPr>
        <w:tab/>
      </w:r>
      <w:r>
        <w:rPr>
          <w:noProof/>
        </w:rPr>
        <w:t>The Government has a substantial need for the information in Armana’s records of the Seton interview.</w:t>
      </w:r>
      <w:r>
        <w:rPr>
          <w:noProof/>
        </w:rPr>
        <w:tab/>
      </w:r>
      <w:r>
        <w:rPr>
          <w:noProof/>
        </w:rPr>
        <w:fldChar w:fldCharType="begin"/>
      </w:r>
      <w:r>
        <w:rPr>
          <w:noProof/>
        </w:rPr>
        <w:instrText xml:space="preserve"> PAGEREF _Toc239117123 \h </w:instrText>
      </w:r>
      <w:r>
        <w:rPr>
          <w:noProof/>
        </w:rPr>
      </w:r>
      <w:r>
        <w:rPr>
          <w:noProof/>
        </w:rPr>
        <w:fldChar w:fldCharType="separate"/>
      </w:r>
      <w:r w:rsidR="000C3FBD">
        <w:rPr>
          <w:noProof/>
        </w:rPr>
        <w:t>18</w:t>
      </w:r>
      <w:r>
        <w:rPr>
          <w:noProof/>
        </w:rPr>
        <w:fldChar w:fldCharType="end"/>
      </w:r>
    </w:p>
    <w:p w14:paraId="097056C3" w14:textId="256F1D79" w:rsidR="00537535" w:rsidRDefault="00537535" w:rsidP="00537535">
      <w:pPr>
        <w:pStyle w:val="TOC1"/>
        <w:rPr>
          <w:rFonts w:asciiTheme="minorHAnsi" w:eastAsiaTheme="minorEastAsia" w:hAnsiTheme="minorHAnsi" w:cstheme="minorBidi"/>
          <w:noProof/>
          <w:color w:val="auto"/>
          <w:kern w:val="2"/>
          <w:sz w:val="24"/>
          <w:szCs w:val="24"/>
          <w14:ligatures w14:val="standardContextual"/>
        </w:rPr>
      </w:pPr>
      <w:r>
        <w:rPr>
          <w:noProof/>
        </w:rPr>
        <w:t>Conclusion</w:t>
      </w:r>
      <w:r>
        <w:rPr>
          <w:noProof/>
        </w:rPr>
        <w:tab/>
      </w:r>
      <w:r>
        <w:rPr>
          <w:noProof/>
        </w:rPr>
        <w:fldChar w:fldCharType="begin"/>
      </w:r>
      <w:r>
        <w:rPr>
          <w:noProof/>
        </w:rPr>
        <w:instrText xml:space="preserve"> PAGEREF _Toc239117124 \h </w:instrText>
      </w:r>
      <w:r>
        <w:rPr>
          <w:noProof/>
        </w:rPr>
      </w:r>
      <w:r>
        <w:rPr>
          <w:noProof/>
        </w:rPr>
        <w:fldChar w:fldCharType="separate"/>
      </w:r>
      <w:r w:rsidR="000C3FBD">
        <w:rPr>
          <w:noProof/>
        </w:rPr>
        <w:t>20</w:t>
      </w:r>
      <w:r>
        <w:rPr>
          <w:noProof/>
        </w:rPr>
        <w:fldChar w:fldCharType="end"/>
      </w:r>
    </w:p>
    <w:p w14:paraId="3FA0FFF0" w14:textId="35BD1D47" w:rsidR="00C56D53" w:rsidRDefault="00C56D53">
      <w:pPr>
        <w:spacing w:after="160" w:line="278" w:lineRule="auto"/>
        <w:rPr>
          <w:rFonts w:eastAsiaTheme="majorEastAsia" w:cs="Times New Roman (Headings CS)"/>
          <w:caps/>
          <w:color w:val="000000" w:themeColor="text1"/>
          <w:szCs w:val="40"/>
        </w:rPr>
      </w:pPr>
      <w:r>
        <w:rPr>
          <w:rFonts w:eastAsiaTheme="majorEastAsia" w:cs="Times New Roman (Headings CS)"/>
          <w:caps/>
          <w:color w:val="000000" w:themeColor="text1"/>
          <w:szCs w:val="40"/>
        </w:rPr>
        <w:fldChar w:fldCharType="end"/>
      </w:r>
    </w:p>
    <w:p w14:paraId="4D7B0237" w14:textId="23EE9F67" w:rsidR="00C56D53" w:rsidRDefault="00C56D53">
      <w:pPr>
        <w:spacing w:after="160" w:line="278" w:lineRule="auto"/>
        <w:rPr>
          <w:rFonts w:eastAsiaTheme="majorEastAsia" w:cs="Times New Roman (Headings CS)"/>
          <w:caps/>
          <w:color w:val="000000" w:themeColor="text1"/>
          <w:szCs w:val="40"/>
        </w:rPr>
      </w:pPr>
      <w:r>
        <w:rPr>
          <w:rFonts w:eastAsiaTheme="majorEastAsia" w:cs="Times New Roman (Headings CS)"/>
          <w:caps/>
          <w:color w:val="000000" w:themeColor="text1"/>
          <w:szCs w:val="40"/>
        </w:rPr>
        <w:br w:type="page"/>
      </w:r>
    </w:p>
    <w:p w14:paraId="50A03622" w14:textId="77777777" w:rsidR="00026F44" w:rsidRDefault="00026F44" w:rsidP="00026F44">
      <w:pPr>
        <w:pStyle w:val="Heading1"/>
        <w:rPr>
          <w:rFonts w:eastAsia="Times New Roman"/>
          <w:u w:val="single"/>
        </w:rPr>
      </w:pPr>
      <w:bookmarkStart w:id="1" w:name="_Toc239117109"/>
      <w:r w:rsidRPr="00026F44">
        <w:rPr>
          <w:rFonts w:eastAsia="Times New Roman"/>
          <w:u w:val="single"/>
        </w:rPr>
        <w:lastRenderedPageBreak/>
        <w:t>Table of Authorities</w:t>
      </w:r>
      <w:bookmarkEnd w:id="1"/>
    </w:p>
    <w:p w14:paraId="2411D68D" w14:textId="77777777" w:rsidR="00537535" w:rsidRDefault="00F24283">
      <w:pPr>
        <w:pStyle w:val="TOAHeading"/>
        <w:tabs>
          <w:tab w:val="right" w:leader="dot" w:pos="9350"/>
        </w:tabs>
        <w:rPr>
          <w:rFonts w:asciiTheme="minorHAnsi" w:eastAsiaTheme="minorEastAsia" w:hAnsiTheme="minorHAnsi" w:cstheme="minorBidi"/>
          <w:b w:val="0"/>
          <w:bCs w:val="0"/>
          <w:noProof/>
        </w:rPr>
      </w:pPr>
      <w:r>
        <w:fldChar w:fldCharType="begin"/>
      </w:r>
      <w:r>
        <w:instrText xml:space="preserve"> TOA \h \c "1" \p </w:instrText>
      </w:r>
      <w:r>
        <w:fldChar w:fldCharType="separate"/>
      </w:r>
      <w:r w:rsidR="00537535">
        <w:rPr>
          <w:noProof/>
        </w:rPr>
        <w:t>Cases</w:t>
      </w:r>
    </w:p>
    <w:p w14:paraId="5B60B397" w14:textId="412E7C74" w:rsidR="00537535" w:rsidRDefault="00537535" w:rsidP="00983540">
      <w:pPr>
        <w:pStyle w:val="TableofAuthorities"/>
        <w:tabs>
          <w:tab w:val="right" w:leader="dot" w:pos="9350"/>
        </w:tabs>
        <w:ind w:left="360" w:hanging="360"/>
        <w:rPr>
          <w:noProof/>
        </w:rPr>
      </w:pPr>
      <w:r w:rsidRPr="00B43AAF">
        <w:rPr>
          <w:i/>
          <w:iCs/>
          <w:noProof/>
        </w:rPr>
        <w:t>Bourjaily v. United States</w:t>
      </w:r>
      <w:r>
        <w:rPr>
          <w:noProof/>
        </w:rPr>
        <w:t xml:space="preserve">, </w:t>
      </w:r>
      <w:r>
        <w:rPr>
          <w:noProof/>
        </w:rPr>
        <w:br/>
        <w:t>483 U.S. 171 (1987)</w:t>
      </w:r>
      <w:r>
        <w:rPr>
          <w:noProof/>
        </w:rPr>
        <w:tab/>
        <w:t>6</w:t>
      </w:r>
    </w:p>
    <w:p w14:paraId="27D695ED" w14:textId="2F6944D6" w:rsidR="00537535" w:rsidRDefault="00537535" w:rsidP="00983540">
      <w:pPr>
        <w:pStyle w:val="TableofAuthorities"/>
        <w:tabs>
          <w:tab w:val="right" w:leader="dot" w:pos="9350"/>
        </w:tabs>
        <w:ind w:left="360" w:hanging="360"/>
        <w:rPr>
          <w:noProof/>
        </w:rPr>
      </w:pPr>
      <w:r w:rsidRPr="00B43AAF">
        <w:rPr>
          <w:i/>
          <w:iCs/>
          <w:noProof/>
        </w:rPr>
        <w:t>Cheney v. U.S. Dist. Ct. for the D.C.</w:t>
      </w:r>
      <w:r>
        <w:rPr>
          <w:noProof/>
        </w:rPr>
        <w:t xml:space="preserve">, </w:t>
      </w:r>
      <w:r>
        <w:rPr>
          <w:noProof/>
        </w:rPr>
        <w:br/>
        <w:t>542 U.S. 367 (2004)</w:t>
      </w:r>
      <w:r>
        <w:rPr>
          <w:noProof/>
        </w:rPr>
        <w:tab/>
        <w:t>14</w:t>
      </w:r>
    </w:p>
    <w:p w14:paraId="6E42786A" w14:textId="74827F49" w:rsidR="00537535" w:rsidRDefault="00537535" w:rsidP="00983540">
      <w:pPr>
        <w:pStyle w:val="TableofAuthorities"/>
        <w:tabs>
          <w:tab w:val="right" w:leader="dot" w:pos="9350"/>
        </w:tabs>
        <w:ind w:left="360" w:hanging="360"/>
        <w:rPr>
          <w:noProof/>
        </w:rPr>
      </w:pPr>
      <w:r w:rsidRPr="00B43AAF">
        <w:rPr>
          <w:i/>
          <w:iCs/>
          <w:noProof/>
        </w:rPr>
        <w:t>F.T.C. v. Boehringer Ingelheim Pharms., Inc.</w:t>
      </w:r>
      <w:r>
        <w:rPr>
          <w:noProof/>
        </w:rPr>
        <w:t xml:space="preserve">, </w:t>
      </w:r>
      <w:r>
        <w:rPr>
          <w:noProof/>
        </w:rPr>
        <w:br/>
        <w:t>778 F.3d 142 (D.C. Cir. 2015)</w:t>
      </w:r>
      <w:r>
        <w:rPr>
          <w:noProof/>
        </w:rPr>
        <w:tab/>
        <w:t>passim</w:t>
      </w:r>
    </w:p>
    <w:p w14:paraId="07127A1D" w14:textId="4D5A008A" w:rsidR="00537535" w:rsidRDefault="00537535" w:rsidP="00983540">
      <w:pPr>
        <w:pStyle w:val="TableofAuthorities"/>
        <w:tabs>
          <w:tab w:val="right" w:leader="dot" w:pos="9350"/>
        </w:tabs>
        <w:ind w:left="360" w:hanging="360"/>
        <w:rPr>
          <w:noProof/>
        </w:rPr>
      </w:pPr>
      <w:r w:rsidRPr="00B43AAF">
        <w:rPr>
          <w:i/>
          <w:iCs/>
          <w:noProof/>
        </w:rPr>
        <w:t>Hickman v. Taylor</w:t>
      </w:r>
      <w:r>
        <w:rPr>
          <w:noProof/>
        </w:rPr>
        <w:t xml:space="preserve">, </w:t>
      </w:r>
      <w:r>
        <w:rPr>
          <w:noProof/>
        </w:rPr>
        <w:br/>
        <w:t>329 U.S. 495 (1947)</w:t>
      </w:r>
      <w:r>
        <w:rPr>
          <w:noProof/>
        </w:rPr>
        <w:tab/>
        <w:t>13</w:t>
      </w:r>
    </w:p>
    <w:p w14:paraId="6AE36AE5" w14:textId="10D39310" w:rsidR="00537535" w:rsidRDefault="00537535" w:rsidP="00983540">
      <w:pPr>
        <w:pStyle w:val="TableofAuthorities"/>
        <w:tabs>
          <w:tab w:val="right" w:leader="dot" w:pos="9350"/>
        </w:tabs>
        <w:ind w:left="360" w:hanging="360"/>
        <w:rPr>
          <w:noProof/>
        </w:rPr>
      </w:pPr>
      <w:r w:rsidRPr="00B43AAF">
        <w:rPr>
          <w:i/>
          <w:iCs/>
          <w:noProof/>
        </w:rPr>
        <w:t>In re Grand Jury Empanelled Oct. 18, 1979 (Appeal of Hughes)</w:t>
      </w:r>
      <w:r>
        <w:rPr>
          <w:noProof/>
        </w:rPr>
        <w:t xml:space="preserve">, </w:t>
      </w:r>
      <w:r>
        <w:rPr>
          <w:noProof/>
        </w:rPr>
        <w:br/>
        <w:t>633 F.2d 282 (3d Cir. 1980)</w:t>
      </w:r>
      <w:r>
        <w:rPr>
          <w:noProof/>
        </w:rPr>
        <w:tab/>
        <w:t>13</w:t>
      </w:r>
    </w:p>
    <w:p w14:paraId="3188D485" w14:textId="1FBD99FE" w:rsidR="00537535" w:rsidRDefault="00537535" w:rsidP="00983540">
      <w:pPr>
        <w:pStyle w:val="TableofAuthorities"/>
        <w:tabs>
          <w:tab w:val="right" w:leader="dot" w:pos="9350"/>
        </w:tabs>
        <w:ind w:left="360" w:hanging="360"/>
        <w:rPr>
          <w:noProof/>
        </w:rPr>
      </w:pPr>
      <w:r w:rsidRPr="00B43AAF">
        <w:rPr>
          <w:i/>
          <w:iCs/>
          <w:noProof/>
        </w:rPr>
        <w:t>In re Grand Jury Investigation</w:t>
      </w:r>
      <w:r>
        <w:rPr>
          <w:noProof/>
        </w:rPr>
        <w:t xml:space="preserve">, </w:t>
      </w:r>
      <w:r>
        <w:rPr>
          <w:noProof/>
        </w:rPr>
        <w:br/>
        <w:t>599 F.2d 1224 (3d Cir. 1979)</w:t>
      </w:r>
      <w:r>
        <w:rPr>
          <w:noProof/>
        </w:rPr>
        <w:tab/>
        <w:t>19</w:t>
      </w:r>
    </w:p>
    <w:p w14:paraId="694DB96C" w14:textId="47C95C32" w:rsidR="00537535" w:rsidRDefault="00537535" w:rsidP="00983540">
      <w:pPr>
        <w:pStyle w:val="TableofAuthorities"/>
        <w:tabs>
          <w:tab w:val="right" w:leader="dot" w:pos="9350"/>
        </w:tabs>
        <w:ind w:left="360" w:hanging="360"/>
        <w:rPr>
          <w:noProof/>
        </w:rPr>
      </w:pPr>
      <w:r w:rsidRPr="00B43AAF">
        <w:rPr>
          <w:i/>
          <w:iCs/>
          <w:noProof/>
        </w:rPr>
        <w:t>In re Grand Jury Procs.</w:t>
      </w:r>
      <w:r>
        <w:rPr>
          <w:noProof/>
        </w:rPr>
        <w:t xml:space="preserve">, </w:t>
      </w:r>
      <w:r>
        <w:rPr>
          <w:noProof/>
        </w:rPr>
        <w:br/>
        <w:t>43 F.3d 966 (5th Cir. 1994)</w:t>
      </w:r>
      <w:r>
        <w:rPr>
          <w:noProof/>
        </w:rPr>
        <w:tab/>
        <w:t>13</w:t>
      </w:r>
    </w:p>
    <w:p w14:paraId="65CF4C88" w14:textId="12E2C97A" w:rsidR="00537535" w:rsidRDefault="00537535" w:rsidP="00983540">
      <w:pPr>
        <w:pStyle w:val="TableofAuthorities"/>
        <w:tabs>
          <w:tab w:val="right" w:leader="dot" w:pos="9350"/>
        </w:tabs>
        <w:ind w:left="360" w:hanging="360"/>
        <w:rPr>
          <w:noProof/>
        </w:rPr>
      </w:pPr>
      <w:r w:rsidRPr="00B43AAF">
        <w:rPr>
          <w:i/>
          <w:iCs/>
          <w:noProof/>
        </w:rPr>
        <w:t>In re Grand Jury Subpoena (Mark Torf/Torf Env’t Mgmt.)</w:t>
      </w:r>
      <w:r>
        <w:rPr>
          <w:noProof/>
        </w:rPr>
        <w:t>,</w:t>
      </w:r>
      <w:r w:rsidRPr="00B43AAF">
        <w:rPr>
          <w:i/>
          <w:iCs/>
          <w:noProof/>
        </w:rPr>
        <w:t xml:space="preserve"> </w:t>
      </w:r>
      <w:r>
        <w:rPr>
          <w:i/>
          <w:iCs/>
          <w:noProof/>
        </w:rPr>
        <w:br/>
      </w:r>
      <w:r>
        <w:rPr>
          <w:noProof/>
        </w:rPr>
        <w:t>357 F.3d 900 (9th Cir. 2004)</w:t>
      </w:r>
      <w:r>
        <w:rPr>
          <w:noProof/>
        </w:rPr>
        <w:tab/>
        <w:t>13</w:t>
      </w:r>
    </w:p>
    <w:p w14:paraId="5CB7F79D" w14:textId="21580299" w:rsidR="00537535" w:rsidRDefault="00537535" w:rsidP="00983540">
      <w:pPr>
        <w:pStyle w:val="TableofAuthorities"/>
        <w:tabs>
          <w:tab w:val="right" w:leader="dot" w:pos="9350"/>
        </w:tabs>
        <w:ind w:left="360" w:hanging="360"/>
        <w:rPr>
          <w:noProof/>
        </w:rPr>
      </w:pPr>
      <w:r w:rsidRPr="00B43AAF">
        <w:rPr>
          <w:i/>
          <w:iCs/>
          <w:noProof/>
        </w:rPr>
        <w:t>In re Grand Jury Subpoena Dated July 6, 2005</w:t>
      </w:r>
      <w:r>
        <w:rPr>
          <w:noProof/>
        </w:rPr>
        <w:t xml:space="preserve">, </w:t>
      </w:r>
      <w:r>
        <w:rPr>
          <w:noProof/>
        </w:rPr>
        <w:br/>
        <w:t>510 F.3d 180 (2d Cir. 2007)</w:t>
      </w:r>
      <w:r>
        <w:rPr>
          <w:noProof/>
        </w:rPr>
        <w:tab/>
        <w:t>13</w:t>
      </w:r>
    </w:p>
    <w:p w14:paraId="18A325B1" w14:textId="71FEDFE0" w:rsidR="00537535" w:rsidRDefault="00537535" w:rsidP="00983540">
      <w:pPr>
        <w:pStyle w:val="TableofAuthorities"/>
        <w:tabs>
          <w:tab w:val="right" w:leader="dot" w:pos="9350"/>
        </w:tabs>
        <w:ind w:left="360" w:hanging="360"/>
        <w:rPr>
          <w:noProof/>
        </w:rPr>
      </w:pPr>
      <w:r w:rsidRPr="00B43AAF">
        <w:rPr>
          <w:i/>
          <w:iCs/>
          <w:noProof/>
        </w:rPr>
        <w:t>In re Grand Jury Subpoena</w:t>
      </w:r>
      <w:r>
        <w:rPr>
          <w:noProof/>
        </w:rPr>
        <w:t xml:space="preserve">, </w:t>
      </w:r>
      <w:r>
        <w:rPr>
          <w:noProof/>
        </w:rPr>
        <w:br/>
        <w:t>870 F.3d 312 (4th Cir. 2017)</w:t>
      </w:r>
      <w:r>
        <w:rPr>
          <w:noProof/>
        </w:rPr>
        <w:tab/>
        <w:t>13</w:t>
      </w:r>
    </w:p>
    <w:p w14:paraId="45E9C11B" w14:textId="59DF7601" w:rsidR="00537535" w:rsidRDefault="00537535" w:rsidP="00983540">
      <w:pPr>
        <w:pStyle w:val="TableofAuthorities"/>
        <w:tabs>
          <w:tab w:val="right" w:leader="dot" w:pos="9350"/>
        </w:tabs>
        <w:ind w:left="360" w:hanging="360"/>
        <w:rPr>
          <w:noProof/>
        </w:rPr>
      </w:pPr>
      <w:r w:rsidRPr="00B43AAF">
        <w:rPr>
          <w:i/>
          <w:iCs/>
          <w:noProof/>
        </w:rPr>
        <w:t>In re Green Grand Jury Procs.</w:t>
      </w:r>
      <w:r>
        <w:rPr>
          <w:noProof/>
        </w:rPr>
        <w:t xml:space="preserve">, </w:t>
      </w:r>
      <w:r>
        <w:rPr>
          <w:noProof/>
        </w:rPr>
        <w:br/>
        <w:t>492 F.3d 976 (8th Cir. 2007)</w:t>
      </w:r>
      <w:r>
        <w:rPr>
          <w:noProof/>
        </w:rPr>
        <w:tab/>
        <w:t>12, 13, 18</w:t>
      </w:r>
    </w:p>
    <w:p w14:paraId="33A1FF6D" w14:textId="6CBEF846" w:rsidR="00537535" w:rsidRDefault="00537535" w:rsidP="00983540">
      <w:pPr>
        <w:pStyle w:val="TableofAuthorities"/>
        <w:tabs>
          <w:tab w:val="right" w:leader="dot" w:pos="9350"/>
        </w:tabs>
        <w:ind w:left="360" w:hanging="360"/>
        <w:rPr>
          <w:noProof/>
        </w:rPr>
      </w:pPr>
      <w:r w:rsidRPr="00B43AAF">
        <w:rPr>
          <w:i/>
          <w:iCs/>
          <w:noProof/>
        </w:rPr>
        <w:t>In re Int’l Sys. &amp; Controls Corp Sec. Litig.</w:t>
      </w:r>
      <w:r>
        <w:rPr>
          <w:noProof/>
        </w:rPr>
        <w:t xml:space="preserve">, </w:t>
      </w:r>
      <w:r>
        <w:rPr>
          <w:noProof/>
        </w:rPr>
        <w:br/>
        <w:t>693 F.2d 1235 (5th Cir. 1982)</w:t>
      </w:r>
      <w:r>
        <w:rPr>
          <w:noProof/>
        </w:rPr>
        <w:tab/>
        <w:t>19</w:t>
      </w:r>
    </w:p>
    <w:p w14:paraId="68D0D189" w14:textId="7547958E" w:rsidR="00537535" w:rsidRDefault="00537535" w:rsidP="00983540">
      <w:pPr>
        <w:pStyle w:val="TableofAuthorities"/>
        <w:tabs>
          <w:tab w:val="right" w:leader="dot" w:pos="9350"/>
        </w:tabs>
        <w:ind w:left="360" w:hanging="360"/>
        <w:rPr>
          <w:noProof/>
        </w:rPr>
      </w:pPr>
      <w:r w:rsidRPr="00B43AAF">
        <w:rPr>
          <w:i/>
          <w:iCs/>
          <w:noProof/>
        </w:rPr>
        <w:lastRenderedPageBreak/>
        <w:t>In re Sealed Case</w:t>
      </w:r>
      <w:r>
        <w:rPr>
          <w:noProof/>
        </w:rPr>
        <w:t xml:space="preserve">, </w:t>
      </w:r>
      <w:r>
        <w:rPr>
          <w:noProof/>
        </w:rPr>
        <w:br/>
        <w:t xml:space="preserve">124 F.3d 230 (D.C. Cir. 1997), </w:t>
      </w:r>
      <w:r w:rsidRPr="00B43AAF">
        <w:rPr>
          <w:i/>
          <w:iCs/>
          <w:noProof/>
        </w:rPr>
        <w:t>rev’d on other grounds,</w:t>
      </w:r>
      <w:r>
        <w:rPr>
          <w:noProof/>
        </w:rPr>
        <w:t xml:space="preserve"> </w:t>
      </w:r>
      <w:r w:rsidRPr="00B43AAF">
        <w:rPr>
          <w:i/>
          <w:iCs/>
          <w:noProof/>
        </w:rPr>
        <w:t>Swidler &amp; Berlin v. United States</w:t>
      </w:r>
      <w:r>
        <w:rPr>
          <w:noProof/>
        </w:rPr>
        <w:t>, 524 U.S. 399 (1998)</w:t>
      </w:r>
      <w:r>
        <w:rPr>
          <w:noProof/>
        </w:rPr>
        <w:tab/>
        <w:t>15, 17</w:t>
      </w:r>
    </w:p>
    <w:p w14:paraId="2E0365EA" w14:textId="564159A7" w:rsidR="00537535" w:rsidRDefault="00537535" w:rsidP="00983540">
      <w:pPr>
        <w:pStyle w:val="TableofAuthorities"/>
        <w:tabs>
          <w:tab w:val="right" w:leader="dot" w:pos="9350"/>
        </w:tabs>
        <w:ind w:left="360" w:hanging="360"/>
        <w:rPr>
          <w:noProof/>
        </w:rPr>
      </w:pPr>
      <w:r w:rsidRPr="00B43AAF">
        <w:rPr>
          <w:i/>
          <w:iCs/>
          <w:noProof/>
        </w:rPr>
        <w:t>In re Search Warrant Issued June 13, 2019</w:t>
      </w:r>
      <w:r>
        <w:rPr>
          <w:noProof/>
        </w:rPr>
        <w:t xml:space="preserve">, </w:t>
      </w:r>
      <w:r>
        <w:rPr>
          <w:noProof/>
        </w:rPr>
        <w:br/>
        <w:t>942 F.3d 159 (4th Cir. 2019)</w:t>
      </w:r>
      <w:r>
        <w:rPr>
          <w:noProof/>
        </w:rPr>
        <w:tab/>
        <w:t>15</w:t>
      </w:r>
    </w:p>
    <w:p w14:paraId="5369801F" w14:textId="24193941" w:rsidR="00537535" w:rsidRDefault="00537535" w:rsidP="00983540">
      <w:pPr>
        <w:pStyle w:val="TableofAuthorities"/>
        <w:tabs>
          <w:tab w:val="right" w:leader="dot" w:pos="9350"/>
        </w:tabs>
        <w:ind w:left="360" w:hanging="360"/>
        <w:rPr>
          <w:noProof/>
        </w:rPr>
      </w:pPr>
      <w:r w:rsidRPr="00B43AAF">
        <w:rPr>
          <w:i/>
          <w:iCs/>
          <w:noProof/>
        </w:rPr>
        <w:t>Kastigar v. United States</w:t>
      </w:r>
      <w:r>
        <w:rPr>
          <w:noProof/>
        </w:rPr>
        <w:t xml:space="preserve">, </w:t>
      </w:r>
      <w:r>
        <w:rPr>
          <w:noProof/>
        </w:rPr>
        <w:br/>
        <w:t>406 U.S. 441 (1972)</w:t>
      </w:r>
      <w:r>
        <w:rPr>
          <w:noProof/>
        </w:rPr>
        <w:tab/>
        <w:t>4, 5, 9, 11</w:t>
      </w:r>
    </w:p>
    <w:p w14:paraId="1165155C" w14:textId="76B6476E" w:rsidR="00537535" w:rsidRDefault="00537535" w:rsidP="00983540">
      <w:pPr>
        <w:pStyle w:val="TableofAuthorities"/>
        <w:tabs>
          <w:tab w:val="right" w:leader="dot" w:pos="9350"/>
        </w:tabs>
        <w:ind w:left="360" w:hanging="360"/>
        <w:rPr>
          <w:noProof/>
        </w:rPr>
      </w:pPr>
      <w:r w:rsidRPr="00B43AAF">
        <w:rPr>
          <w:i/>
          <w:iCs/>
          <w:noProof/>
        </w:rPr>
        <w:t>King v. Odeco Inc.</w:t>
      </w:r>
      <w:r>
        <w:rPr>
          <w:noProof/>
        </w:rPr>
        <w:t xml:space="preserve">, </w:t>
      </w:r>
      <w:r>
        <w:rPr>
          <w:noProof/>
        </w:rPr>
        <w:br/>
        <w:t>106 F.3d 396, No. 95-31171, 1997 WL 33367 (5th Cir. Jan. 8, 1997) (per curiam)</w:t>
      </w:r>
      <w:r>
        <w:rPr>
          <w:noProof/>
        </w:rPr>
        <w:tab/>
        <w:t>18</w:t>
      </w:r>
    </w:p>
    <w:p w14:paraId="6DF113B4" w14:textId="49DF387A" w:rsidR="00537535" w:rsidRDefault="00537535" w:rsidP="00983540">
      <w:pPr>
        <w:pStyle w:val="TableofAuthorities"/>
        <w:tabs>
          <w:tab w:val="right" w:leader="dot" w:pos="9350"/>
        </w:tabs>
        <w:ind w:left="360" w:hanging="360"/>
        <w:rPr>
          <w:noProof/>
        </w:rPr>
      </w:pPr>
      <w:r w:rsidRPr="00B43AAF">
        <w:rPr>
          <w:i/>
          <w:iCs/>
          <w:noProof/>
        </w:rPr>
        <w:t>United States ex rel. Cairns v. D.S. Med., L.L.C.</w:t>
      </w:r>
      <w:r>
        <w:rPr>
          <w:noProof/>
        </w:rPr>
        <w:t xml:space="preserve">, </w:t>
      </w:r>
      <w:r>
        <w:rPr>
          <w:noProof/>
        </w:rPr>
        <w:br/>
        <w:t>No. 1:12CV00004 AGF, 2016 WL 7437919 (E.D. Mo. Dec. 22, 2016)</w:t>
      </w:r>
      <w:r>
        <w:rPr>
          <w:noProof/>
        </w:rPr>
        <w:tab/>
        <w:t>15</w:t>
      </w:r>
    </w:p>
    <w:p w14:paraId="548DE3D0" w14:textId="1386815B" w:rsidR="00537535" w:rsidRDefault="00537535" w:rsidP="00983540">
      <w:pPr>
        <w:pStyle w:val="TableofAuthorities"/>
        <w:tabs>
          <w:tab w:val="right" w:leader="dot" w:pos="9350"/>
        </w:tabs>
        <w:ind w:left="360" w:hanging="360"/>
        <w:rPr>
          <w:noProof/>
        </w:rPr>
      </w:pPr>
      <w:r w:rsidRPr="00B43AAF">
        <w:rPr>
          <w:i/>
          <w:iCs/>
          <w:noProof/>
        </w:rPr>
        <w:t>United States v. Bertie Ambulance Serv., Inc.</w:t>
      </w:r>
      <w:r>
        <w:rPr>
          <w:noProof/>
        </w:rPr>
        <w:t xml:space="preserve">, </w:t>
      </w:r>
      <w:r>
        <w:rPr>
          <w:noProof/>
        </w:rPr>
        <w:br/>
        <w:t>No. 2:14-CV-53-F, 2015 WL 3932167 (E.D.N.C. June 15, 2015)</w:t>
      </w:r>
      <w:r>
        <w:rPr>
          <w:noProof/>
        </w:rPr>
        <w:tab/>
        <w:t>15</w:t>
      </w:r>
    </w:p>
    <w:p w14:paraId="62699354" w14:textId="2A1D3C27" w:rsidR="00537535" w:rsidRDefault="00537535" w:rsidP="00983540">
      <w:pPr>
        <w:pStyle w:val="TableofAuthorities"/>
        <w:tabs>
          <w:tab w:val="right" w:leader="dot" w:pos="9350"/>
        </w:tabs>
        <w:ind w:left="360" w:hanging="360"/>
        <w:rPr>
          <w:noProof/>
        </w:rPr>
      </w:pPr>
      <w:r w:rsidRPr="00B43AAF">
        <w:rPr>
          <w:i/>
          <w:iCs/>
          <w:noProof/>
        </w:rPr>
        <w:t>United States v. Byrd</w:t>
      </w:r>
      <w:r>
        <w:rPr>
          <w:noProof/>
        </w:rPr>
        <w:t xml:space="preserve">, </w:t>
      </w:r>
      <w:r>
        <w:rPr>
          <w:noProof/>
        </w:rPr>
        <w:br/>
        <w:t>765 F.2d 1524 (11th Cir. 1985)</w:t>
      </w:r>
      <w:r>
        <w:rPr>
          <w:noProof/>
        </w:rPr>
        <w:tab/>
        <w:t>5</w:t>
      </w:r>
    </w:p>
    <w:p w14:paraId="0745E585" w14:textId="3E997192" w:rsidR="00537535" w:rsidRDefault="00537535" w:rsidP="00983540">
      <w:pPr>
        <w:pStyle w:val="TableofAuthorities"/>
        <w:tabs>
          <w:tab w:val="right" w:leader="dot" w:pos="9350"/>
        </w:tabs>
        <w:ind w:left="360" w:hanging="360"/>
        <w:rPr>
          <w:noProof/>
        </w:rPr>
      </w:pPr>
      <w:r w:rsidRPr="00B43AAF">
        <w:rPr>
          <w:i/>
          <w:iCs/>
          <w:noProof/>
        </w:rPr>
        <w:t>United States v. Caporale</w:t>
      </w:r>
      <w:r>
        <w:rPr>
          <w:noProof/>
        </w:rPr>
        <w:t>,</w:t>
      </w:r>
      <w:r w:rsidRPr="00B43AAF">
        <w:rPr>
          <w:i/>
          <w:iCs/>
          <w:noProof/>
        </w:rPr>
        <w:t xml:space="preserve"> </w:t>
      </w:r>
      <w:r>
        <w:rPr>
          <w:i/>
          <w:iCs/>
          <w:noProof/>
        </w:rPr>
        <w:br/>
      </w:r>
      <w:r>
        <w:rPr>
          <w:noProof/>
        </w:rPr>
        <w:t>806 F.2d 1487 (11th Cir. 1986)</w:t>
      </w:r>
      <w:r>
        <w:rPr>
          <w:noProof/>
        </w:rPr>
        <w:tab/>
        <w:t>7, 8, 9, 11</w:t>
      </w:r>
    </w:p>
    <w:p w14:paraId="1F82D74A" w14:textId="1FA6B9DE" w:rsidR="00537535" w:rsidRDefault="00537535" w:rsidP="00983540">
      <w:pPr>
        <w:pStyle w:val="TableofAuthorities"/>
        <w:tabs>
          <w:tab w:val="right" w:leader="dot" w:pos="9350"/>
        </w:tabs>
        <w:ind w:left="360" w:hanging="360"/>
        <w:rPr>
          <w:noProof/>
        </w:rPr>
      </w:pPr>
      <w:r w:rsidRPr="00B43AAF">
        <w:rPr>
          <w:i/>
          <w:iCs/>
          <w:noProof/>
        </w:rPr>
        <w:t>United States v. Hampton</w:t>
      </w:r>
      <w:r>
        <w:rPr>
          <w:noProof/>
        </w:rPr>
        <w:t xml:space="preserve">, </w:t>
      </w:r>
      <w:r>
        <w:rPr>
          <w:noProof/>
        </w:rPr>
        <w:br/>
        <w:t>775 F.2d 1479 (11th Cir. 1985)</w:t>
      </w:r>
      <w:r>
        <w:rPr>
          <w:noProof/>
        </w:rPr>
        <w:tab/>
        <w:t>6, 7, 8, 11</w:t>
      </w:r>
    </w:p>
    <w:p w14:paraId="7989FFA8" w14:textId="5A354C98" w:rsidR="00537535" w:rsidRDefault="00537535" w:rsidP="00983540">
      <w:pPr>
        <w:pStyle w:val="TableofAuthorities"/>
        <w:tabs>
          <w:tab w:val="right" w:leader="dot" w:pos="9350"/>
        </w:tabs>
        <w:ind w:left="360" w:hanging="360"/>
        <w:rPr>
          <w:noProof/>
        </w:rPr>
      </w:pPr>
      <w:r w:rsidRPr="00B43AAF">
        <w:rPr>
          <w:i/>
          <w:iCs/>
          <w:noProof/>
        </w:rPr>
        <w:t>United States v. Hubbell</w:t>
      </w:r>
      <w:r>
        <w:rPr>
          <w:noProof/>
        </w:rPr>
        <w:t xml:space="preserve">, </w:t>
      </w:r>
      <w:r>
        <w:rPr>
          <w:noProof/>
        </w:rPr>
        <w:br/>
        <w:t>530 U.S. 27 (2000)</w:t>
      </w:r>
      <w:r>
        <w:rPr>
          <w:noProof/>
        </w:rPr>
        <w:tab/>
        <w:t>6, 9</w:t>
      </w:r>
    </w:p>
    <w:p w14:paraId="3E21BEB3" w14:textId="49C83FFB" w:rsidR="00537535" w:rsidRDefault="00537535" w:rsidP="00983540">
      <w:pPr>
        <w:pStyle w:val="TableofAuthorities"/>
        <w:tabs>
          <w:tab w:val="right" w:leader="dot" w:pos="9350"/>
        </w:tabs>
        <w:ind w:left="360" w:hanging="360"/>
        <w:rPr>
          <w:noProof/>
        </w:rPr>
      </w:pPr>
      <w:r w:rsidRPr="00B43AAF">
        <w:rPr>
          <w:i/>
          <w:iCs/>
          <w:noProof/>
        </w:rPr>
        <w:t>United States v. Jimenez</w:t>
      </w:r>
      <w:r>
        <w:rPr>
          <w:noProof/>
        </w:rPr>
        <w:t xml:space="preserve">, </w:t>
      </w:r>
      <w:r>
        <w:rPr>
          <w:noProof/>
        </w:rPr>
        <w:br/>
        <w:t>256 F.3d 330 (5th Cir. 2001)</w:t>
      </w:r>
      <w:r>
        <w:rPr>
          <w:noProof/>
        </w:rPr>
        <w:tab/>
        <w:t>5</w:t>
      </w:r>
    </w:p>
    <w:p w14:paraId="2F9DBDCF" w14:textId="224B5514" w:rsidR="00537535" w:rsidRDefault="00537535" w:rsidP="00983540">
      <w:pPr>
        <w:pStyle w:val="TableofAuthorities"/>
        <w:tabs>
          <w:tab w:val="right" w:leader="dot" w:pos="9350"/>
        </w:tabs>
        <w:ind w:left="360" w:hanging="360"/>
        <w:rPr>
          <w:noProof/>
        </w:rPr>
      </w:pPr>
      <w:r w:rsidRPr="00B43AAF">
        <w:rPr>
          <w:i/>
          <w:iCs/>
          <w:noProof/>
        </w:rPr>
        <w:t>United States v. Montoya</w:t>
      </w:r>
      <w:r>
        <w:rPr>
          <w:noProof/>
        </w:rPr>
        <w:t xml:space="preserve">, </w:t>
      </w:r>
      <w:r>
        <w:rPr>
          <w:noProof/>
        </w:rPr>
        <w:br/>
        <w:t>45 F.3d 1286 (9th Cir. 1995)</w:t>
      </w:r>
      <w:r>
        <w:rPr>
          <w:noProof/>
        </w:rPr>
        <w:tab/>
        <w:t>5</w:t>
      </w:r>
    </w:p>
    <w:p w14:paraId="51876D70" w14:textId="3F0BB263" w:rsidR="00537535" w:rsidRDefault="00537535" w:rsidP="00983540">
      <w:pPr>
        <w:pStyle w:val="TableofAuthorities"/>
        <w:tabs>
          <w:tab w:val="right" w:leader="dot" w:pos="9350"/>
        </w:tabs>
        <w:ind w:left="360" w:hanging="360"/>
        <w:rPr>
          <w:noProof/>
        </w:rPr>
      </w:pPr>
      <w:r w:rsidRPr="00B43AAF">
        <w:rPr>
          <w:i/>
          <w:iCs/>
          <w:noProof/>
        </w:rPr>
        <w:t>United States v. Nemes</w:t>
      </w:r>
      <w:r>
        <w:rPr>
          <w:noProof/>
        </w:rPr>
        <w:t xml:space="preserve">, </w:t>
      </w:r>
      <w:r>
        <w:rPr>
          <w:noProof/>
        </w:rPr>
        <w:br/>
        <w:t>555 F.2d 51 (2d Cir. 1977)</w:t>
      </w:r>
      <w:r>
        <w:rPr>
          <w:noProof/>
        </w:rPr>
        <w:tab/>
        <w:t>7</w:t>
      </w:r>
    </w:p>
    <w:p w14:paraId="537E4737" w14:textId="3EC75CCD" w:rsidR="00537535" w:rsidRDefault="00537535" w:rsidP="00983540">
      <w:pPr>
        <w:pStyle w:val="TableofAuthorities"/>
        <w:tabs>
          <w:tab w:val="right" w:leader="dot" w:pos="9350"/>
        </w:tabs>
        <w:ind w:left="360" w:hanging="360"/>
        <w:rPr>
          <w:noProof/>
        </w:rPr>
      </w:pPr>
      <w:r w:rsidRPr="00B43AAF">
        <w:rPr>
          <w:i/>
          <w:iCs/>
          <w:noProof/>
        </w:rPr>
        <w:lastRenderedPageBreak/>
        <w:t>United States v. Nobles</w:t>
      </w:r>
      <w:r>
        <w:rPr>
          <w:noProof/>
        </w:rPr>
        <w:t xml:space="preserve">, </w:t>
      </w:r>
      <w:r>
        <w:rPr>
          <w:noProof/>
        </w:rPr>
        <w:br/>
        <w:t>422 U.S. 225 (1975)</w:t>
      </w:r>
      <w:r>
        <w:rPr>
          <w:noProof/>
        </w:rPr>
        <w:tab/>
        <w:t>11, 12, 13</w:t>
      </w:r>
    </w:p>
    <w:p w14:paraId="2E7EE78B" w14:textId="01400057" w:rsidR="00537535" w:rsidRDefault="00537535" w:rsidP="00983540">
      <w:pPr>
        <w:pStyle w:val="TableofAuthorities"/>
        <w:tabs>
          <w:tab w:val="right" w:leader="dot" w:pos="9350"/>
        </w:tabs>
        <w:ind w:left="360" w:hanging="360"/>
        <w:rPr>
          <w:noProof/>
        </w:rPr>
      </w:pPr>
      <w:r w:rsidRPr="00B43AAF">
        <w:rPr>
          <w:i/>
          <w:iCs/>
          <w:noProof/>
        </w:rPr>
        <w:t>United States v. North</w:t>
      </w:r>
      <w:r>
        <w:rPr>
          <w:noProof/>
        </w:rPr>
        <w:t>,</w:t>
      </w:r>
      <w:r w:rsidRPr="00B43AAF">
        <w:rPr>
          <w:i/>
          <w:iCs/>
          <w:noProof/>
        </w:rPr>
        <w:t xml:space="preserve"> </w:t>
      </w:r>
      <w:r>
        <w:rPr>
          <w:i/>
          <w:iCs/>
          <w:noProof/>
        </w:rPr>
        <w:br/>
      </w:r>
      <w:r>
        <w:rPr>
          <w:noProof/>
        </w:rPr>
        <w:t>910 F.2d 843 (D.C. Cir. 1990)</w:t>
      </w:r>
      <w:r>
        <w:rPr>
          <w:noProof/>
        </w:rPr>
        <w:tab/>
        <w:t>5</w:t>
      </w:r>
    </w:p>
    <w:p w14:paraId="55857BD0" w14:textId="0F59B13F" w:rsidR="00537535" w:rsidRDefault="00537535" w:rsidP="00983540">
      <w:pPr>
        <w:pStyle w:val="TableofAuthorities"/>
        <w:tabs>
          <w:tab w:val="right" w:leader="dot" w:pos="9350"/>
        </w:tabs>
        <w:ind w:left="360" w:hanging="360"/>
        <w:rPr>
          <w:noProof/>
        </w:rPr>
      </w:pPr>
      <w:r w:rsidRPr="00B43AAF">
        <w:rPr>
          <w:i/>
          <w:iCs/>
          <w:noProof/>
        </w:rPr>
        <w:t>United States v. North</w:t>
      </w:r>
      <w:r>
        <w:rPr>
          <w:noProof/>
        </w:rPr>
        <w:t xml:space="preserve">, </w:t>
      </w:r>
      <w:r>
        <w:rPr>
          <w:noProof/>
        </w:rPr>
        <w:br/>
        <w:t>920 F.2d 940 (D.C. Cir. 1990)</w:t>
      </w:r>
      <w:r>
        <w:rPr>
          <w:noProof/>
        </w:rPr>
        <w:tab/>
        <w:t>6, 9, 10</w:t>
      </w:r>
    </w:p>
    <w:p w14:paraId="7CEBBCDD" w14:textId="7EF174BB" w:rsidR="00537535" w:rsidRDefault="00537535" w:rsidP="00983540">
      <w:pPr>
        <w:pStyle w:val="TableofAuthorities"/>
        <w:tabs>
          <w:tab w:val="right" w:leader="dot" w:pos="9350"/>
        </w:tabs>
        <w:ind w:left="360" w:hanging="360"/>
        <w:rPr>
          <w:noProof/>
        </w:rPr>
      </w:pPr>
      <w:r w:rsidRPr="00B43AAF">
        <w:rPr>
          <w:i/>
          <w:iCs/>
          <w:noProof/>
        </w:rPr>
        <w:t>United States v. Schmidgall</w:t>
      </w:r>
      <w:r>
        <w:rPr>
          <w:noProof/>
        </w:rPr>
        <w:t xml:space="preserve">, </w:t>
      </w:r>
      <w:r>
        <w:rPr>
          <w:noProof/>
        </w:rPr>
        <w:br/>
        <w:t>25 F.3d 1523 (11th Cir. 1994)</w:t>
      </w:r>
      <w:r>
        <w:rPr>
          <w:noProof/>
        </w:rPr>
        <w:tab/>
        <w:t>6, 9, 10</w:t>
      </w:r>
    </w:p>
    <w:p w14:paraId="7AB97679" w14:textId="10183424" w:rsidR="00537535" w:rsidRDefault="00537535" w:rsidP="00983540">
      <w:pPr>
        <w:pStyle w:val="TableofAuthorities"/>
        <w:tabs>
          <w:tab w:val="right" w:leader="dot" w:pos="9350"/>
        </w:tabs>
        <w:ind w:left="360" w:hanging="360"/>
        <w:rPr>
          <w:noProof/>
        </w:rPr>
      </w:pPr>
      <w:r w:rsidRPr="00B43AAF">
        <w:rPr>
          <w:i/>
          <w:iCs/>
          <w:noProof/>
        </w:rPr>
        <w:t>Upjohn Co. v. United States</w:t>
      </w:r>
      <w:r>
        <w:rPr>
          <w:noProof/>
        </w:rPr>
        <w:t xml:space="preserve">, </w:t>
      </w:r>
      <w:r>
        <w:rPr>
          <w:noProof/>
        </w:rPr>
        <w:br/>
        <w:t>449 U.S. 383 (1981)</w:t>
      </w:r>
      <w:r>
        <w:rPr>
          <w:noProof/>
        </w:rPr>
        <w:tab/>
        <w:t>12, 18</w:t>
      </w:r>
    </w:p>
    <w:p w14:paraId="3802FA77" w14:textId="0B951116" w:rsidR="00537535" w:rsidRDefault="00537535" w:rsidP="00983540">
      <w:pPr>
        <w:pStyle w:val="TableofAuthorities"/>
        <w:tabs>
          <w:tab w:val="right" w:leader="dot" w:pos="9350"/>
        </w:tabs>
        <w:ind w:left="360" w:hanging="360"/>
        <w:rPr>
          <w:noProof/>
        </w:rPr>
      </w:pPr>
      <w:r w:rsidRPr="00B43AAF">
        <w:rPr>
          <w:i/>
          <w:iCs/>
          <w:noProof/>
        </w:rPr>
        <w:t>Wiedeman v. Canal Ins. Co.</w:t>
      </w:r>
      <w:r>
        <w:rPr>
          <w:noProof/>
        </w:rPr>
        <w:t xml:space="preserve">, </w:t>
      </w:r>
      <w:r>
        <w:rPr>
          <w:noProof/>
        </w:rPr>
        <w:br/>
        <w:t>No. 1:15-CV-4182-WSD, 2016 WL 6080908 (N.D. Ga. Oct. 18, 2016)</w:t>
      </w:r>
      <w:r>
        <w:rPr>
          <w:noProof/>
        </w:rPr>
        <w:tab/>
        <w:t>15</w:t>
      </w:r>
    </w:p>
    <w:p w14:paraId="3AC6F71F" w14:textId="654F8078" w:rsidR="00F24283" w:rsidRDefault="00F24283">
      <w:pPr>
        <w:pStyle w:val="TOAHeading"/>
        <w:tabs>
          <w:tab w:val="right" w:leader="dot" w:pos="9350"/>
        </w:tabs>
        <w:rPr>
          <w:rFonts w:asciiTheme="minorHAnsi" w:eastAsiaTheme="minorEastAsia" w:hAnsiTheme="minorHAnsi" w:cstheme="minorBidi"/>
          <w:b w:val="0"/>
          <w:bCs w:val="0"/>
          <w:noProof/>
        </w:rPr>
      </w:pPr>
      <w:r>
        <w:fldChar w:fldCharType="end"/>
      </w:r>
      <w:r>
        <w:fldChar w:fldCharType="begin"/>
      </w:r>
      <w:r>
        <w:instrText xml:space="preserve"> TOA \h \c "4" \p </w:instrText>
      </w:r>
      <w:r>
        <w:fldChar w:fldCharType="separate"/>
      </w:r>
      <w:r>
        <w:rPr>
          <w:noProof/>
        </w:rPr>
        <w:t>Rules</w:t>
      </w:r>
    </w:p>
    <w:p w14:paraId="7E033FF1" w14:textId="77777777" w:rsidR="00F24283" w:rsidRDefault="00F24283">
      <w:pPr>
        <w:pStyle w:val="TableofAuthorities"/>
        <w:tabs>
          <w:tab w:val="right" w:leader="dot" w:pos="9350"/>
        </w:tabs>
        <w:rPr>
          <w:noProof/>
        </w:rPr>
      </w:pPr>
      <w:r w:rsidRPr="00AB3A58">
        <w:rPr>
          <w:rFonts w:cs="Times New Roman (Body CS)"/>
          <w:smallCaps/>
          <w:noProof/>
        </w:rPr>
        <w:t>Fed. R. Crim. P.</w:t>
      </w:r>
      <w:r>
        <w:rPr>
          <w:noProof/>
        </w:rPr>
        <w:t xml:space="preserve"> 16</w:t>
      </w:r>
      <w:r>
        <w:rPr>
          <w:noProof/>
        </w:rPr>
        <w:tab/>
        <w:t>18</w:t>
      </w:r>
    </w:p>
    <w:p w14:paraId="5DB8FF07" w14:textId="77777777" w:rsidR="00F24283" w:rsidRDefault="00F24283">
      <w:pPr>
        <w:pStyle w:val="TableofAuthorities"/>
        <w:tabs>
          <w:tab w:val="right" w:leader="dot" w:pos="9350"/>
        </w:tabs>
        <w:rPr>
          <w:noProof/>
        </w:rPr>
      </w:pPr>
      <w:r w:rsidRPr="00AB3A58">
        <w:rPr>
          <w:rFonts w:cs="Times New Roman (Body CS)"/>
          <w:smallCaps/>
          <w:noProof/>
        </w:rPr>
        <w:t>Fed. R. Evid.</w:t>
      </w:r>
      <w:r>
        <w:rPr>
          <w:noProof/>
        </w:rPr>
        <w:t xml:space="preserve"> 502</w:t>
      </w:r>
      <w:r>
        <w:rPr>
          <w:noProof/>
        </w:rPr>
        <w:tab/>
        <w:t>18</w:t>
      </w:r>
    </w:p>
    <w:p w14:paraId="60CE4C68" w14:textId="77777777" w:rsidR="00F24283" w:rsidRDefault="00F24283">
      <w:pPr>
        <w:pStyle w:val="TOAHeading"/>
        <w:tabs>
          <w:tab w:val="right" w:leader="dot" w:pos="9350"/>
        </w:tabs>
        <w:rPr>
          <w:rFonts w:asciiTheme="minorHAnsi" w:eastAsiaTheme="minorEastAsia" w:hAnsiTheme="minorHAnsi" w:cstheme="minorBidi"/>
          <w:b w:val="0"/>
          <w:bCs w:val="0"/>
          <w:noProof/>
        </w:rPr>
      </w:pPr>
      <w:r>
        <w:fldChar w:fldCharType="end"/>
      </w:r>
      <w:r>
        <w:fldChar w:fldCharType="begin"/>
      </w:r>
      <w:r>
        <w:instrText xml:space="preserve"> TOA \h \c "7" \p </w:instrText>
      </w:r>
      <w:r>
        <w:fldChar w:fldCharType="separate"/>
      </w:r>
      <w:r>
        <w:rPr>
          <w:noProof/>
        </w:rPr>
        <w:t>Constitutional Provisions</w:t>
      </w:r>
    </w:p>
    <w:p w14:paraId="65562C70" w14:textId="77777777" w:rsidR="00F24283" w:rsidRDefault="00F24283">
      <w:pPr>
        <w:pStyle w:val="TableofAuthorities"/>
        <w:tabs>
          <w:tab w:val="right" w:leader="dot" w:pos="9350"/>
        </w:tabs>
        <w:rPr>
          <w:noProof/>
        </w:rPr>
      </w:pPr>
      <w:r>
        <w:rPr>
          <w:noProof/>
        </w:rPr>
        <w:t xml:space="preserve">U.S. </w:t>
      </w:r>
      <w:r w:rsidRPr="00F80198">
        <w:rPr>
          <w:smallCaps/>
          <w:noProof/>
        </w:rPr>
        <w:t xml:space="preserve">Const. </w:t>
      </w:r>
      <w:r>
        <w:rPr>
          <w:noProof/>
        </w:rPr>
        <w:t>amend. V</w:t>
      </w:r>
      <w:r>
        <w:rPr>
          <w:noProof/>
        </w:rPr>
        <w:tab/>
        <w:t>10</w:t>
      </w:r>
    </w:p>
    <w:p w14:paraId="78FF030F" w14:textId="35F3ABCA" w:rsidR="00002790" w:rsidRPr="00026F44" w:rsidRDefault="00F24283" w:rsidP="00026F44">
      <w:pPr>
        <w:pStyle w:val="BodyTextFirstIndent"/>
        <w:rPr>
          <w:spacing w:val="15"/>
          <w:szCs w:val="28"/>
        </w:rPr>
      </w:pPr>
      <w:r>
        <w:fldChar w:fldCharType="end"/>
      </w:r>
      <w:r w:rsidR="00002790" w:rsidRPr="00026F44">
        <w:br w:type="page"/>
      </w:r>
    </w:p>
    <w:p w14:paraId="5A3EB754" w14:textId="77777777" w:rsidR="00AC49D8" w:rsidRDefault="00AC49D8" w:rsidP="004137B3">
      <w:pPr>
        <w:pStyle w:val="Heading1"/>
        <w:rPr>
          <w:rFonts w:eastAsia="Times New Roman"/>
        </w:rPr>
        <w:sectPr w:rsidR="00AC49D8" w:rsidSect="00AC49D8">
          <w:pgSz w:w="12240" w:h="15840"/>
          <w:pgMar w:top="1440" w:right="1440" w:bottom="1440" w:left="1440" w:header="720" w:footer="720" w:gutter="0"/>
          <w:pgNumType w:fmt="lowerRoman" w:start="1"/>
          <w:cols w:space="720"/>
          <w:docGrid w:linePitch="360"/>
        </w:sectPr>
      </w:pPr>
    </w:p>
    <w:p w14:paraId="7158F1E4" w14:textId="72C48A6A" w:rsidR="00886C5D" w:rsidRDefault="00886C5D" w:rsidP="004137B3">
      <w:pPr>
        <w:pStyle w:val="Heading1"/>
        <w:rPr>
          <w:rFonts w:eastAsia="Times New Roman"/>
        </w:rPr>
      </w:pPr>
      <w:bookmarkStart w:id="2" w:name="_Toc239117110"/>
      <w:r>
        <w:rPr>
          <w:rFonts w:eastAsia="Times New Roman"/>
        </w:rPr>
        <w:lastRenderedPageBreak/>
        <w:t>Introduction</w:t>
      </w:r>
      <w:bookmarkEnd w:id="2"/>
    </w:p>
    <w:p w14:paraId="3744BA9D" w14:textId="73DCD6B4" w:rsidR="00886C5D" w:rsidRDefault="00886C5D" w:rsidP="00886C5D">
      <w:pPr>
        <w:pStyle w:val="BodyTextFirstIndent"/>
      </w:pPr>
      <w:r>
        <w:t xml:space="preserve">This Court should deny Defendant’s Motion to Suppress because the Government obtained Kennedy Parker’s testimony and Exhibit 19 from wholly independent sources, unrelated to </w:t>
      </w:r>
      <w:r w:rsidR="00545AF8">
        <w:t>Defendant</w:t>
      </w:r>
      <w:r>
        <w:t xml:space="preserve">’s compelled testimony. Thus, there is no violation under </w:t>
      </w:r>
      <w:r>
        <w:rPr>
          <w:i/>
          <w:iCs/>
        </w:rPr>
        <w:t>Kastigar v. United States</w:t>
      </w:r>
      <w:r>
        <w:t>.</w:t>
      </w:r>
    </w:p>
    <w:p w14:paraId="24733689" w14:textId="26E126CF" w:rsidR="00886C5D" w:rsidRDefault="00886C5D" w:rsidP="00886C5D">
      <w:pPr>
        <w:pStyle w:val="BodyTextFirstIndent"/>
      </w:pPr>
      <w:r>
        <w:t xml:space="preserve">This Court should deny Defendant’s Motion to Quash the Government’s subpoena </w:t>
      </w:r>
      <w:r>
        <w:rPr>
          <w:i/>
          <w:iCs/>
        </w:rPr>
        <w:t>duces tecum</w:t>
      </w:r>
      <w:r>
        <w:t xml:space="preserve"> because Maddox Armana’s records of the Sierra Seton interview are merely fact work product under the work-product doctrine. Accordingly, the Government has a substantial need for the information within these records that cannot be obtained otherwise without undue hardship. Thus, Armana’s records of the Seton interview are not protected under the work-product privilege and are discoverable by the Government.</w:t>
      </w:r>
    </w:p>
    <w:p w14:paraId="615C7C31" w14:textId="03113CDB" w:rsidR="00886C5D" w:rsidRDefault="00886C5D" w:rsidP="004137B3">
      <w:pPr>
        <w:pStyle w:val="Heading1"/>
      </w:pPr>
      <w:bookmarkStart w:id="3" w:name="_Toc239117111"/>
      <w:r>
        <w:t>Statement of facts</w:t>
      </w:r>
      <w:bookmarkEnd w:id="3"/>
    </w:p>
    <w:p w14:paraId="686B21DD" w14:textId="77777777" w:rsidR="00D10B0D" w:rsidRPr="00D10B0D" w:rsidRDefault="00D10B0D" w:rsidP="00D10B0D">
      <w:pPr>
        <w:pStyle w:val="BodyTextFirstIndent"/>
        <w:rPr>
          <w:sz w:val="24"/>
        </w:rPr>
      </w:pPr>
      <w:r w:rsidRPr="00D10B0D">
        <w:rPr>
          <w:b/>
          <w:bCs/>
          <w:i/>
          <w:iCs/>
        </w:rPr>
        <w:t xml:space="preserve">The Partnership that Led to Blood. </w:t>
      </w:r>
      <w:r w:rsidRPr="00D10B0D">
        <w:t>Since 2018, Defendant, Emily Calloway, and Saint Donovan have co-owned the Silver Palms Resort (“SP”). CF 9–10. Donovan was convicted of Killing of a Witness for the murder of Daniel Blake and Money Laundering Conspiracy in his operations at SP. CF 23. Defendant, as a fifty-fifty owner, has now been indicted on those same charges. CF 33.</w:t>
      </w:r>
    </w:p>
    <w:p w14:paraId="70FF12B8" w14:textId="09CB2B94" w:rsidR="00D10B0D" w:rsidRPr="00D10B0D" w:rsidRDefault="00D10B0D" w:rsidP="00D10B0D">
      <w:pPr>
        <w:pStyle w:val="BodyTextFirstIndent"/>
        <w:rPr>
          <w:sz w:val="24"/>
        </w:rPr>
      </w:pPr>
      <w:r w:rsidRPr="00D10B0D">
        <w:rPr>
          <w:b/>
          <w:bCs/>
          <w:i/>
          <w:iCs/>
        </w:rPr>
        <w:t>The Government’s Wall.</w:t>
      </w:r>
      <w:r w:rsidRPr="00D10B0D">
        <w:rPr>
          <w:b/>
          <w:bCs/>
        </w:rPr>
        <w:t xml:space="preserve"> </w:t>
      </w:r>
      <w:r w:rsidRPr="00D10B0D">
        <w:t xml:space="preserve">In building the case against Donovan, Defendant was court-ordered on August 23, 2024, and testified on October 10, 2024, under 18 </w:t>
      </w:r>
      <w:r w:rsidRPr="00D10B0D">
        <w:lastRenderedPageBreak/>
        <w:t xml:space="preserve">U.S.C. §§ 6002 and 6003. CF 4, 20–21. The trade-off in doing so: Defendant “would receive use and derivative-use immunity, which meant restricting, permanently, what [the Government] could ever use against her directly.” CF 21. To carefully uphold those protections, the Government split into two investigative teams. CF 22. Assistant United States Attorney Tatum Sinclair led Team Donovan, and Team Calloway was led by Agent Bryce Nolan, who continued investigating Defendant while entirely in the dark about Team Donovan’s activities. CF 22. Consistent with that division, Nolan was </w:t>
      </w:r>
      <w:r w:rsidRPr="00D10B0D">
        <w:rPr>
          <w:i/>
          <w:iCs/>
        </w:rPr>
        <w:t>never</w:t>
      </w:r>
      <w:r w:rsidRPr="00D10B0D">
        <w:t xml:space="preserve"> exposed to Defendant’s compelled testimony. CF 32. An iron-clad investigative wall was erected. Ex. 15.</w:t>
      </w:r>
    </w:p>
    <w:p w14:paraId="047E0B38" w14:textId="357A8442" w:rsidR="00D10B0D" w:rsidRPr="00D10B0D" w:rsidRDefault="00D10B0D" w:rsidP="00D10B0D">
      <w:pPr>
        <w:pStyle w:val="BodyTextFirstIndent"/>
        <w:rPr>
          <w:sz w:val="24"/>
        </w:rPr>
      </w:pPr>
      <w:r w:rsidRPr="00D10B0D">
        <w:rPr>
          <w:b/>
          <w:bCs/>
          <w:i/>
          <w:iCs/>
        </w:rPr>
        <w:t xml:space="preserve">Agent Nolan’s Investigation. </w:t>
      </w:r>
      <w:r w:rsidRPr="00D10B0D">
        <w:t>Before the immunity order, the Government obtained a roster of approximately one hundred SP employees, including Kennedy Parker. CF 18, Ex. 10. Going forward, Nolan’s investigative plan involved</w:t>
      </w:r>
      <w:r w:rsidR="00C43067">
        <w:t xml:space="preserve"> </w:t>
      </w:r>
      <w:r w:rsidRPr="00D10B0D">
        <w:t xml:space="preserve">continuing to pursue a pending treaty request regarding the money laundering conspiracy and interviewing SP employees. CF 29–30, Ex. 16–17. Nolan is </w:t>
      </w:r>
      <w:r w:rsidRPr="00D10B0D">
        <w:rPr>
          <w:i/>
          <w:iCs/>
        </w:rPr>
        <w:t>positive</w:t>
      </w:r>
      <w:r w:rsidRPr="00D10B0D">
        <w:t xml:space="preserve"> this plan was written, “between August 23 and August 27, 2024.” CF 29–31. Nolan then created a prioritized list of ten employees, including Parker, based on their frequency of shifts worked during 2023. CF 30, Ex. 17. </w:t>
      </w:r>
    </w:p>
    <w:p w14:paraId="728105E2" w14:textId="57549930" w:rsidR="00D10B0D" w:rsidRPr="00D10B0D" w:rsidRDefault="00D10B0D" w:rsidP="00D10B0D">
      <w:pPr>
        <w:pStyle w:val="BodyTextFirstIndent"/>
        <w:rPr>
          <w:sz w:val="24"/>
        </w:rPr>
      </w:pPr>
      <w:r w:rsidRPr="00D10B0D">
        <w:rPr>
          <w:b/>
          <w:bCs/>
          <w:i/>
          <w:iCs/>
        </w:rPr>
        <w:t>New Evidence Led to Defendant’s Indictment.</w:t>
      </w:r>
      <w:r w:rsidRPr="00D10B0D">
        <w:t xml:space="preserve"> Team Calloway conducted follow-up interviews in October 2024 before interviewing Kennedy Parker on October 31, 2024. CF 31–32. During the interview, Parker explained that Defendant </w:t>
      </w:r>
      <w:r w:rsidRPr="00D10B0D">
        <w:lastRenderedPageBreak/>
        <w:t xml:space="preserve">and Blake argued at the December 2023 staff Christmas party. CF 32. Then, Parker disclosed for the </w:t>
      </w:r>
      <w:r w:rsidRPr="00C43067">
        <w:t>first time</w:t>
      </w:r>
      <w:r w:rsidRPr="00D10B0D">
        <w:t xml:space="preserve"> that Defendant asked that same month to move a box labeled “Coastal” to an off-site storage unit. CF 32, Ex. 18. Coastal Event Solutions, LLC (“Coastal”) is a shell company implicated in the illegal money-laundering scheme. CF 11–12. The Government lawfully searched the unit on November 5, 2024, and recovered financial records that link Defendant to </w:t>
      </w:r>
      <w:r w:rsidR="00C43067">
        <w:t>SP’s illegal activity</w:t>
      </w:r>
      <w:r w:rsidRPr="00D10B0D">
        <w:t>. CF 33, Ex. 19–20. Based on Parker’s testimony, the warehouse evidence, and the evidence previously collected, the Government presented its case to a grand jury, which then indicted Defendant for Killing of a Witness and Money Laundering Conspiracy. CF 33. </w:t>
      </w:r>
    </w:p>
    <w:p w14:paraId="5ACBA530" w14:textId="5C856FCE" w:rsidR="00D10B0D" w:rsidRPr="00D10B0D" w:rsidRDefault="00D10B0D" w:rsidP="00D10B0D">
      <w:pPr>
        <w:pStyle w:val="BodyTextFirstIndent"/>
        <w:rPr>
          <w:sz w:val="24"/>
        </w:rPr>
      </w:pPr>
      <w:r w:rsidRPr="00D10B0D">
        <w:rPr>
          <w:b/>
          <w:bCs/>
          <w:i/>
          <w:iCs/>
        </w:rPr>
        <w:t>The Seton Interview.</w:t>
      </w:r>
      <w:r w:rsidRPr="00D10B0D">
        <w:t xml:space="preserve"> In early 2024, Defendant’s counsel hired private investigator Maddox Armana to investigate the financial structure underlying the Government’s case in anticipation of potential charges against Defendant. CF 43–44. Armana interviewed former Coastal operations manager—Sierra Seton—on February 15, 2024. CF 44–46. During the interview, Seton detailed Coastal’s operational framework, identifying key personnel and the mechanics of its financial transactions. CF 46. Armana’s records reflect the “factual account as [Seton] gave it</w:t>
      </w:r>
      <w:r w:rsidR="00C43067">
        <w:t>.</w:t>
      </w:r>
      <w:r w:rsidRPr="00D10B0D">
        <w:t>”</w:t>
      </w:r>
      <w:r w:rsidR="00C43067">
        <w:t xml:space="preserve"> </w:t>
      </w:r>
      <w:r w:rsidRPr="00D10B0D">
        <w:rPr>
          <w:i/>
          <w:iCs/>
        </w:rPr>
        <w:t>Id.</w:t>
      </w:r>
      <w:r w:rsidRPr="00D10B0D">
        <w:t> </w:t>
      </w:r>
    </w:p>
    <w:p w14:paraId="5644389F" w14:textId="5C8F6ABB" w:rsidR="00D10B0D" w:rsidRPr="00D10B0D" w:rsidRDefault="00D10B0D" w:rsidP="00D10B0D">
      <w:pPr>
        <w:pStyle w:val="BodyTextFirstIndent"/>
        <w:rPr>
          <w:sz w:val="24"/>
        </w:rPr>
      </w:pPr>
      <w:r w:rsidRPr="00D10B0D">
        <w:rPr>
          <w:b/>
          <w:bCs/>
          <w:i/>
          <w:iCs/>
        </w:rPr>
        <w:t>Coastal Witnesses Flee the Country.</w:t>
      </w:r>
      <w:r w:rsidRPr="00D10B0D">
        <w:t xml:space="preserve"> Seton fled the country after this interview. </w:t>
      </w:r>
      <w:r w:rsidRPr="00D10B0D">
        <w:rPr>
          <w:i/>
          <w:iCs/>
        </w:rPr>
        <w:t>Id.</w:t>
      </w:r>
      <w:r w:rsidRPr="00D10B0D">
        <w:t xml:space="preserve"> She was joined by Coastal’s registered agent, Ky Chandler. </w:t>
      </w:r>
      <w:r w:rsidRPr="00D10B0D">
        <w:rPr>
          <w:i/>
          <w:iCs/>
        </w:rPr>
        <w:t>Id.</w:t>
      </w:r>
      <w:r w:rsidRPr="00D10B0D">
        <w:t xml:space="preserve"> Armana has no </w:t>
      </w:r>
      <w:r w:rsidRPr="00D10B0D">
        <w:lastRenderedPageBreak/>
        <w:t xml:space="preserve">idea where Seton is. </w:t>
      </w:r>
      <w:r w:rsidRPr="00D10B0D">
        <w:rPr>
          <w:i/>
          <w:iCs/>
        </w:rPr>
        <w:t>Id.</w:t>
      </w:r>
      <w:r w:rsidRPr="00D10B0D">
        <w:t xml:space="preserve"> The Government cannot locate her. CF 18. Seton is “gone and unreachable,” and not a single other person can provide the information Seton gave Armana. CF 46, 47. Armana’s “notes are the </w:t>
      </w:r>
      <w:r w:rsidRPr="00D10B0D">
        <w:rPr>
          <w:i/>
          <w:iCs/>
        </w:rPr>
        <w:t>only</w:t>
      </w:r>
      <w:r w:rsidRPr="00D10B0D">
        <w:t xml:space="preserve"> </w:t>
      </w:r>
      <w:r w:rsidRPr="00D10B0D">
        <w:rPr>
          <w:i/>
          <w:iCs/>
        </w:rPr>
        <w:t>place</w:t>
      </w:r>
      <w:r w:rsidRPr="00D10B0D">
        <w:t xml:space="preserve"> that [Seton’s] account still exists.” </w:t>
      </w:r>
      <w:r w:rsidRPr="00D10B0D">
        <w:rPr>
          <w:i/>
          <w:iCs/>
        </w:rPr>
        <w:t>Id.</w:t>
      </w:r>
      <w:r w:rsidRPr="00D10B0D">
        <w:t xml:space="preserve"> (emphasis added).</w:t>
      </w:r>
    </w:p>
    <w:p w14:paraId="38B6B2CC" w14:textId="0FA96A1F" w:rsidR="00886C5D" w:rsidRPr="00886C5D" w:rsidRDefault="00886C5D" w:rsidP="004137B3">
      <w:pPr>
        <w:pStyle w:val="Heading1"/>
        <w:rPr>
          <w:rFonts w:eastAsia="Times New Roman"/>
        </w:rPr>
      </w:pPr>
      <w:bookmarkStart w:id="4" w:name="_Toc239117112"/>
      <w:r>
        <w:rPr>
          <w:rFonts w:eastAsia="Times New Roman"/>
        </w:rPr>
        <w:t>ARGUMENT</w:t>
      </w:r>
      <w:bookmarkEnd w:id="4"/>
    </w:p>
    <w:p w14:paraId="23F10EBA" w14:textId="7109A884" w:rsidR="00886C5D" w:rsidRPr="00886C5D" w:rsidRDefault="00886C5D" w:rsidP="004137B3">
      <w:pPr>
        <w:pStyle w:val="Heading2"/>
        <w:rPr>
          <w:rFonts w:eastAsia="Times New Roman"/>
        </w:rPr>
      </w:pPr>
      <w:bookmarkStart w:id="5" w:name="_Toc239117113"/>
      <w:r>
        <w:rPr>
          <w:rFonts w:eastAsia="Times New Roman"/>
        </w:rPr>
        <w:t xml:space="preserve">Parker’s testimony and Exhibit 19 cannot be suppressed because the Government established that both derived from sources wholly independent of </w:t>
      </w:r>
      <w:r w:rsidR="00545AF8">
        <w:rPr>
          <w:rFonts w:eastAsia="Times New Roman"/>
        </w:rPr>
        <w:t>Defendant</w:t>
      </w:r>
      <w:r>
        <w:rPr>
          <w:rFonts w:eastAsia="Times New Roman"/>
        </w:rPr>
        <w:t>’s compelled testimony.</w:t>
      </w:r>
      <w:bookmarkEnd w:id="5"/>
      <w:r>
        <w:rPr>
          <w:rFonts w:eastAsia="Times New Roman"/>
        </w:rPr>
        <w:t xml:space="preserve"> </w:t>
      </w:r>
    </w:p>
    <w:p w14:paraId="5BACB5AD" w14:textId="1C3A4364" w:rsidR="003F30DB" w:rsidRDefault="003F30DB" w:rsidP="003F30DB">
      <w:pPr>
        <w:pStyle w:val="BodyTextFirstIndent"/>
      </w:pPr>
      <w:r>
        <w:t xml:space="preserve">The Fifth Amendment privilege that no person “shall be compelled in any criminal case to be a witness against himself” is not absolute. U.S. </w:t>
      </w:r>
      <w:r w:rsidR="002E21FE">
        <w:rPr>
          <w:smallCaps/>
        </w:rPr>
        <w:t xml:space="preserve">Const. </w:t>
      </w:r>
      <w:r>
        <w:t>amend. V</w:t>
      </w:r>
      <w:r w:rsidR="002F3F80">
        <w:fldChar w:fldCharType="begin"/>
      </w:r>
      <w:r w:rsidR="002F3F80">
        <w:instrText xml:space="preserve"> TA \l "</w:instrText>
      </w:r>
      <w:r w:rsidR="002F3F80" w:rsidRPr="0035221D">
        <w:instrText xml:space="preserve">U.S. </w:instrText>
      </w:r>
      <w:r w:rsidR="002F3F80" w:rsidRPr="0035221D">
        <w:rPr>
          <w:smallCaps/>
        </w:rPr>
        <w:instrText xml:space="preserve">Const. </w:instrText>
      </w:r>
      <w:r w:rsidR="002F3F80" w:rsidRPr="0035221D">
        <w:instrText>amend. V</w:instrText>
      </w:r>
      <w:r w:rsidR="002F3F80">
        <w:instrText xml:space="preserve">" \s "U.S. Const. amend. V" \c 7 </w:instrText>
      </w:r>
      <w:r w:rsidR="002F3F80">
        <w:fldChar w:fldCharType="end"/>
      </w:r>
      <w:r>
        <w:t>. The Government may “compel testimony from an unwilling witness who invokes the Fifth Amendment privilege against</w:t>
      </w:r>
      <w:r w:rsidR="00D10B0D">
        <w:t xml:space="preserve"> . . . </w:t>
      </w:r>
      <w:r>
        <w:t xml:space="preserve">self-incrimination by conferring immunity.” </w:t>
      </w:r>
      <w:r>
        <w:rPr>
          <w:i/>
          <w:iCs/>
        </w:rPr>
        <w:t>Kastigar v. United States</w:t>
      </w:r>
      <w:r>
        <w:t>, 406 U.S. 441, 441 (1972)</w:t>
      </w:r>
      <w:r w:rsidR="002F3F80">
        <w:fldChar w:fldCharType="begin"/>
      </w:r>
      <w:r w:rsidR="002F3F80">
        <w:instrText xml:space="preserve"> TA \l "</w:instrText>
      </w:r>
      <w:r w:rsidR="002F3F80" w:rsidRPr="0035221D">
        <w:rPr>
          <w:i/>
          <w:iCs/>
        </w:rPr>
        <w:instrText>Kastigar v. United States</w:instrText>
      </w:r>
      <w:r w:rsidR="002F3F80" w:rsidRPr="0035221D">
        <w:instrText>, 406 U.S. 441 (1972)</w:instrText>
      </w:r>
      <w:r w:rsidR="002F3F80">
        <w:instrText xml:space="preserve">" \s "Kastigar" \c 1 </w:instrText>
      </w:r>
      <w:r w:rsidR="002F3F80">
        <w:fldChar w:fldCharType="end"/>
      </w:r>
      <w:r>
        <w:t>.</w:t>
      </w:r>
    </w:p>
    <w:p w14:paraId="0BC28717" w14:textId="4025537A" w:rsidR="003F30DB" w:rsidRDefault="003F30DB" w:rsidP="003F30DB">
      <w:pPr>
        <w:pStyle w:val="BodyTextFirstIndent"/>
      </w:pPr>
      <w:r>
        <w:t xml:space="preserve">Accordingly, 18 U.S.C. § 6003 authorizes the Government to compel testimony, while 18 U.S.C. § 6002 prohibits the broad use of that testimony against the witness. </w:t>
      </w:r>
      <w:r>
        <w:rPr>
          <w:i/>
          <w:iCs/>
        </w:rPr>
        <w:t>Id.</w:t>
      </w:r>
      <w:r>
        <w:t xml:space="preserve"> at 442, 448–49</w:t>
      </w:r>
      <w:r w:rsidR="002F3F80">
        <w:fldChar w:fldCharType="begin"/>
      </w:r>
      <w:r w:rsidR="002F3F80">
        <w:instrText xml:space="preserve"> TA \s "Kastigar" </w:instrText>
      </w:r>
      <w:r w:rsidR="002F3F80">
        <w:fldChar w:fldCharType="end"/>
      </w:r>
      <w:r>
        <w:t xml:space="preserve">. This does not bar subsequent prosecution. Instead, the Supreme Court of the United States, in </w:t>
      </w:r>
      <w:r>
        <w:rPr>
          <w:i/>
          <w:iCs/>
        </w:rPr>
        <w:t>Kastigar</w:t>
      </w:r>
      <w:r>
        <w:t xml:space="preserve">, held that when subsequent prosecution relates to the compelled testimony, the Government must prove that its evidence derives from “a legitimate source wholly independent of the compelled testimony.” </w:t>
      </w:r>
      <w:r w:rsidR="00C43067">
        <w:rPr>
          <w:i/>
          <w:iCs/>
        </w:rPr>
        <w:t>Id.</w:t>
      </w:r>
      <w:r>
        <w:t xml:space="preserve"> at 441</w:t>
      </w:r>
      <w:r w:rsidR="002F3F80">
        <w:fldChar w:fldCharType="begin"/>
      </w:r>
      <w:r w:rsidR="002F3F80">
        <w:instrText xml:space="preserve"> TA \s "Kastigar" </w:instrText>
      </w:r>
      <w:r w:rsidR="002F3F80">
        <w:fldChar w:fldCharType="end"/>
      </w:r>
      <w:r>
        <w:t>.</w:t>
      </w:r>
    </w:p>
    <w:p w14:paraId="40C53DA5" w14:textId="4F3081DB" w:rsidR="003F30DB" w:rsidRDefault="003F30DB" w:rsidP="003F30DB">
      <w:pPr>
        <w:pStyle w:val="BodyTextFirstIndent"/>
      </w:pPr>
      <w:r>
        <w:lastRenderedPageBreak/>
        <w:t xml:space="preserve">The Court describes this burden as “heavy.” </w:t>
      </w:r>
      <w:r w:rsidR="00C43067">
        <w:rPr>
          <w:i/>
          <w:iCs/>
        </w:rPr>
        <w:t>Id.</w:t>
      </w:r>
      <w:r>
        <w:t xml:space="preserve"> at 461</w:t>
      </w:r>
      <w:r w:rsidR="002F3F80">
        <w:fldChar w:fldCharType="begin"/>
      </w:r>
      <w:r w:rsidR="002F3F80">
        <w:instrText xml:space="preserve"> TA \s "Kastigar" </w:instrText>
      </w:r>
      <w:r w:rsidR="002F3F80">
        <w:fldChar w:fldCharType="end"/>
      </w:r>
      <w:r>
        <w:t xml:space="preserve">. However, circuit courts have held that the Government must only prove its sources by a preponderance of the evidence. </w:t>
      </w:r>
      <w:r>
        <w:rPr>
          <w:i/>
          <w:iCs/>
        </w:rPr>
        <w:t>See, e.g.</w:t>
      </w:r>
      <w:r>
        <w:t xml:space="preserve">, </w:t>
      </w:r>
      <w:r>
        <w:rPr>
          <w:i/>
          <w:iCs/>
        </w:rPr>
        <w:t>United States v. Jimenez</w:t>
      </w:r>
      <w:r>
        <w:t>, 256 F.3d 330, 348 (5th Cir. 2001)</w:t>
      </w:r>
      <w:r w:rsidR="002F3F80">
        <w:fldChar w:fldCharType="begin"/>
      </w:r>
      <w:r w:rsidR="002F3F80">
        <w:instrText xml:space="preserve"> TA \l "</w:instrText>
      </w:r>
      <w:r w:rsidR="002F3F80" w:rsidRPr="003A0566">
        <w:rPr>
          <w:i/>
          <w:iCs/>
        </w:rPr>
        <w:instrText>United States v. Jimenez</w:instrText>
      </w:r>
      <w:r w:rsidR="002F3F80" w:rsidRPr="003A0566">
        <w:instrText>, 256 F.3d 330 (5th Cir. 2001)</w:instrText>
      </w:r>
      <w:r w:rsidR="002F3F80">
        <w:instrText xml:space="preserve">" \s "Jimenez" \c 1 </w:instrText>
      </w:r>
      <w:r w:rsidR="002F3F80">
        <w:fldChar w:fldCharType="end"/>
      </w:r>
      <w:r>
        <w:t xml:space="preserve">; </w:t>
      </w:r>
      <w:r>
        <w:rPr>
          <w:i/>
          <w:iCs/>
        </w:rPr>
        <w:t>United States v. Montoya</w:t>
      </w:r>
      <w:r>
        <w:t>, 45 F.3d 1286, 1299 (9th Cir. 1995)</w:t>
      </w:r>
      <w:r w:rsidR="002F3F80">
        <w:fldChar w:fldCharType="begin"/>
      </w:r>
      <w:r w:rsidR="002F3F80">
        <w:instrText xml:space="preserve"> TA \l "</w:instrText>
      </w:r>
      <w:r w:rsidR="002F3F80" w:rsidRPr="003A0566">
        <w:rPr>
          <w:i/>
          <w:iCs/>
        </w:rPr>
        <w:instrText>United States v. Montoya</w:instrText>
      </w:r>
      <w:r w:rsidR="002F3F80" w:rsidRPr="003A0566">
        <w:instrText>, 45 F.3d 1286 (9th Cir. 1995)</w:instrText>
      </w:r>
      <w:r w:rsidR="002F3F80">
        <w:instrText xml:space="preserve">" \s "Montoya" \c 1 </w:instrText>
      </w:r>
      <w:r w:rsidR="002F3F80">
        <w:fldChar w:fldCharType="end"/>
      </w:r>
      <w:r>
        <w:t xml:space="preserve">; </w:t>
      </w:r>
      <w:r>
        <w:rPr>
          <w:i/>
          <w:iCs/>
        </w:rPr>
        <w:t>United States v. Byrd</w:t>
      </w:r>
      <w:r>
        <w:t>, 765 F.2d 1524, 1529 (11th Cir. 1985)</w:t>
      </w:r>
      <w:r w:rsidR="002F3F80">
        <w:fldChar w:fldCharType="begin"/>
      </w:r>
      <w:r w:rsidR="002F3F80">
        <w:instrText xml:space="preserve"> TA \l "</w:instrText>
      </w:r>
      <w:r w:rsidR="002F3F80" w:rsidRPr="003A0566">
        <w:rPr>
          <w:i/>
          <w:iCs/>
        </w:rPr>
        <w:instrText>United States v. Byrd</w:instrText>
      </w:r>
      <w:r w:rsidR="002F3F80" w:rsidRPr="003A0566">
        <w:instrText>, 765 F.2d 1524 (11th Cir. 1985)</w:instrText>
      </w:r>
      <w:r w:rsidR="002F3F80">
        <w:instrText xml:space="preserve">" \s "Byrd" \c 1 </w:instrText>
      </w:r>
      <w:r w:rsidR="002F3F80">
        <w:fldChar w:fldCharType="end"/>
      </w:r>
      <w:r>
        <w:t>.</w:t>
      </w:r>
    </w:p>
    <w:p w14:paraId="3EDA2DF7" w14:textId="6EAE474F" w:rsidR="00886C5D" w:rsidRPr="00886C5D" w:rsidRDefault="00886C5D" w:rsidP="004137B3">
      <w:pPr>
        <w:pStyle w:val="Heading3"/>
        <w:rPr>
          <w:rFonts w:eastAsia="Times New Roman"/>
        </w:rPr>
      </w:pPr>
      <w:bookmarkStart w:id="6" w:name="_Toc239117114"/>
      <w:r>
        <w:rPr>
          <w:rFonts w:eastAsia="Times New Roman"/>
        </w:rPr>
        <w:t xml:space="preserve">The Government must prove an independent source only by a preponderance because </w:t>
      </w:r>
      <w:r>
        <w:rPr>
          <w:rFonts w:eastAsia="Times New Roman"/>
          <w:iCs/>
        </w:rPr>
        <w:t>Kastigar</w:t>
      </w:r>
      <w:r>
        <w:rPr>
          <w:rFonts w:eastAsia="Times New Roman"/>
        </w:rPr>
        <w:t xml:space="preserve">’s “heavy burden” concerns what the Government must prove, not the </w:t>
      </w:r>
      <w:r w:rsidRPr="00CE7CA5">
        <w:t>evidentiary</w:t>
      </w:r>
      <w:r>
        <w:rPr>
          <w:rFonts w:eastAsia="Times New Roman"/>
        </w:rPr>
        <w:t xml:space="preserve"> standard.</w:t>
      </w:r>
      <w:bookmarkEnd w:id="6"/>
      <w:r>
        <w:rPr>
          <w:rFonts w:eastAsia="Times New Roman"/>
        </w:rPr>
        <w:t xml:space="preserve"> </w:t>
      </w:r>
    </w:p>
    <w:p w14:paraId="5F35418D" w14:textId="1FEB374C" w:rsidR="003F30DB" w:rsidRDefault="00C43067" w:rsidP="003F30DB">
      <w:pPr>
        <w:pStyle w:val="BodyTextFirstIndent"/>
      </w:pPr>
      <w:r>
        <w:t>T</w:t>
      </w:r>
      <w:r w:rsidR="003F30DB">
        <w:t xml:space="preserve">he term “heavy burden” is in reference to what the Government must show, legitimate independent sources, rather than the evidentiary burden itself. </w:t>
      </w:r>
      <w:r w:rsidR="003F30DB">
        <w:rPr>
          <w:i/>
          <w:iCs/>
        </w:rPr>
        <w:t>See Kastigar</w:t>
      </w:r>
      <w:r w:rsidR="003F30DB">
        <w:t>, 406 U.S. at 462</w:t>
      </w:r>
      <w:r w:rsidR="002F3F80">
        <w:fldChar w:fldCharType="begin"/>
      </w:r>
      <w:r w:rsidR="002F3F80">
        <w:instrText xml:space="preserve"> TA \s "Kastigar" </w:instrText>
      </w:r>
      <w:r w:rsidR="002F3F80">
        <w:fldChar w:fldCharType="end"/>
      </w:r>
      <w:r w:rsidR="003F30DB">
        <w:t xml:space="preserve">. </w:t>
      </w:r>
    </w:p>
    <w:p w14:paraId="1920B7C2" w14:textId="216855AE" w:rsidR="003F30DB" w:rsidRDefault="003F30DB" w:rsidP="003F30DB">
      <w:pPr>
        <w:pStyle w:val="BodyTextFirstIndent"/>
      </w:pPr>
      <w:r>
        <w:t xml:space="preserve">Circuit courts applying </w:t>
      </w:r>
      <w:r>
        <w:rPr>
          <w:i/>
          <w:iCs/>
        </w:rPr>
        <w:t>Kastigar</w:t>
      </w:r>
      <w:r>
        <w:t xml:space="preserve"> recognize this distinction. For example, in </w:t>
      </w:r>
      <w:r w:rsidR="00C43067">
        <w:rPr>
          <w:i/>
          <w:iCs/>
        </w:rPr>
        <w:t xml:space="preserve">United States v. </w:t>
      </w:r>
      <w:r>
        <w:rPr>
          <w:i/>
          <w:iCs/>
        </w:rPr>
        <w:t>North</w:t>
      </w:r>
      <w:r>
        <w:t xml:space="preserve">, the D.C. Circuit explained that the </w:t>
      </w:r>
      <w:r>
        <w:rPr>
          <w:i/>
          <w:iCs/>
        </w:rPr>
        <w:t>Kastigar</w:t>
      </w:r>
      <w:r>
        <w:t xml:space="preserve"> burden is “‘heavy’ not because of the evidentiary standard,” but because failure to establish an independent source “must result in exclusion of the [evidence].” 910 F.2d 843, 873 (D.C. Cir. 1990)</w:t>
      </w:r>
      <w:r w:rsidR="002F3F80">
        <w:fldChar w:fldCharType="begin"/>
      </w:r>
      <w:r w:rsidR="002F3F80">
        <w:instrText xml:space="preserve"> TA \l "</w:instrText>
      </w:r>
      <w:r w:rsidR="002F3F80" w:rsidRPr="003A0566">
        <w:rPr>
          <w:i/>
          <w:iCs/>
        </w:rPr>
        <w:instrText>United States v. North</w:instrText>
      </w:r>
      <w:r w:rsidR="002F3F80" w:rsidRPr="003A0566">
        <w:instrText>,</w:instrText>
      </w:r>
      <w:r w:rsidR="002F3F80" w:rsidRPr="003A0566">
        <w:rPr>
          <w:i/>
          <w:iCs/>
        </w:rPr>
        <w:instrText xml:space="preserve"> </w:instrText>
      </w:r>
      <w:r w:rsidR="002F3F80" w:rsidRPr="003A0566">
        <w:instrText>910 F.2d 843 (D.C. Cir. 1990)</w:instrText>
      </w:r>
      <w:r w:rsidR="002F3F80">
        <w:instrText xml:space="preserve">" \s "North (910)" \c 1 </w:instrText>
      </w:r>
      <w:r w:rsidR="002F3F80">
        <w:fldChar w:fldCharType="end"/>
      </w:r>
      <w:r>
        <w:t>. In other words, it is the consequence of failing to satisfy the burden that makes the burden heavy.</w:t>
      </w:r>
      <w:r>
        <w:rPr>
          <w:i/>
          <w:iCs/>
        </w:rPr>
        <w:t xml:space="preserve"> Id</w:t>
      </w:r>
      <w:r w:rsidR="002F3F80">
        <w:rPr>
          <w:i/>
          <w:iCs/>
        </w:rPr>
        <w:fldChar w:fldCharType="begin"/>
      </w:r>
      <w:r w:rsidR="002F3F80">
        <w:instrText xml:space="preserve"> TA \s "North (910)" </w:instrText>
      </w:r>
      <w:r w:rsidR="002F3F80">
        <w:rPr>
          <w:i/>
          <w:iCs/>
        </w:rPr>
        <w:fldChar w:fldCharType="end"/>
      </w:r>
      <w:r>
        <w:rPr>
          <w:i/>
          <w:iCs/>
        </w:rPr>
        <w:t>.</w:t>
      </w:r>
      <w:r>
        <w:t xml:space="preserve"> Other Circuits have adopted this reasoning and assess </w:t>
      </w:r>
      <w:r>
        <w:rPr>
          <w:i/>
          <w:iCs/>
        </w:rPr>
        <w:t xml:space="preserve">Kastigar </w:t>
      </w:r>
      <w:r>
        <w:t xml:space="preserve">issues using a preponderance of the evidence. </w:t>
      </w:r>
      <w:r>
        <w:rPr>
          <w:i/>
          <w:iCs/>
        </w:rPr>
        <w:t>See Jimenez</w:t>
      </w:r>
      <w:r>
        <w:t>, 256 F.3d at 348</w:t>
      </w:r>
      <w:r w:rsidR="002F3F80">
        <w:fldChar w:fldCharType="begin"/>
      </w:r>
      <w:r w:rsidR="002F3F80">
        <w:instrText xml:space="preserve"> TA \s "Jimenez" </w:instrText>
      </w:r>
      <w:r w:rsidR="002F3F80">
        <w:fldChar w:fldCharType="end"/>
      </w:r>
      <w:r>
        <w:t xml:space="preserve"> (applying the preponderance standard to </w:t>
      </w:r>
      <w:r>
        <w:rPr>
          <w:i/>
          <w:iCs/>
        </w:rPr>
        <w:t>Kastigar</w:t>
      </w:r>
      <w:r>
        <w:t xml:space="preserve"> hearings); </w:t>
      </w:r>
      <w:r>
        <w:rPr>
          <w:i/>
          <w:iCs/>
        </w:rPr>
        <w:t>Byrd</w:t>
      </w:r>
      <w:r>
        <w:t>, 765 F.2d at 1529</w:t>
      </w:r>
      <w:r w:rsidR="002F3F80">
        <w:fldChar w:fldCharType="begin"/>
      </w:r>
      <w:r w:rsidR="002F3F80">
        <w:instrText xml:space="preserve"> TA \s "Byrd" </w:instrText>
      </w:r>
      <w:r w:rsidR="002F3F80">
        <w:fldChar w:fldCharType="end"/>
      </w:r>
      <w:r>
        <w:t xml:space="preserve"> (distinguishing </w:t>
      </w:r>
      <w:r>
        <w:rPr>
          <w:i/>
          <w:iCs/>
        </w:rPr>
        <w:t>Kastigar</w:t>
      </w:r>
      <w:r>
        <w:t xml:space="preserve">’s heavy burden from the preponderance standard applied). This means in many instances, </w:t>
      </w:r>
      <w:r>
        <w:rPr>
          <w:i/>
          <w:iCs/>
        </w:rPr>
        <w:t>Kastigar</w:t>
      </w:r>
      <w:r>
        <w:t xml:space="preserve"> hearings are treated like </w:t>
      </w:r>
      <w:r>
        <w:lastRenderedPageBreak/>
        <w:t xml:space="preserve">preliminary questions under </w:t>
      </w:r>
      <w:r w:rsidRPr="004965C9">
        <w:t>Fed</w:t>
      </w:r>
      <w:r w:rsidR="004965C9" w:rsidRPr="004965C9">
        <w:t>eral</w:t>
      </w:r>
      <w:r w:rsidRPr="004965C9">
        <w:t xml:space="preserve"> R</w:t>
      </w:r>
      <w:r w:rsidR="004965C9" w:rsidRPr="004965C9">
        <w:t>ule of</w:t>
      </w:r>
      <w:r w:rsidRPr="004965C9">
        <w:t xml:space="preserve"> </w:t>
      </w:r>
      <w:r w:rsidR="004965C9" w:rsidRPr="004965C9">
        <w:t xml:space="preserve">Evidence </w:t>
      </w:r>
      <w:r w:rsidRPr="004965C9">
        <w:t>104(a).</w:t>
      </w:r>
      <w:r>
        <w:t xml:space="preserve"> </w:t>
      </w:r>
      <w:r>
        <w:rPr>
          <w:i/>
          <w:iCs/>
        </w:rPr>
        <w:t>Bourjaily v. United States</w:t>
      </w:r>
      <w:r>
        <w:t>, 483 U.S. 171, 175 (1987)</w:t>
      </w:r>
      <w:r w:rsidR="002F3F80">
        <w:fldChar w:fldCharType="begin"/>
      </w:r>
      <w:r w:rsidR="002F3F80">
        <w:instrText xml:space="preserve"> TA \l "</w:instrText>
      </w:r>
      <w:r w:rsidR="002F3F80" w:rsidRPr="003A0566">
        <w:rPr>
          <w:i/>
          <w:iCs/>
        </w:rPr>
        <w:instrText>Bourjaily v. United States</w:instrText>
      </w:r>
      <w:r w:rsidR="002F3F80" w:rsidRPr="003A0566">
        <w:instrText>, 483 U.S. 171 (1987)</w:instrText>
      </w:r>
      <w:r w:rsidR="002F3F80">
        <w:instrText xml:space="preserve">" \s "Bourjaily" \c 1 </w:instrText>
      </w:r>
      <w:r w:rsidR="002F3F80">
        <w:fldChar w:fldCharType="end"/>
      </w:r>
      <w:r>
        <w:t xml:space="preserve"> (applying preponderance to Rule 104(a) preliminary questions).</w:t>
      </w:r>
    </w:p>
    <w:p w14:paraId="173658C8" w14:textId="77777777" w:rsidR="003F30DB" w:rsidRDefault="003F30DB" w:rsidP="003F30DB">
      <w:pPr>
        <w:pStyle w:val="BodyTextFirstIndent"/>
        <w:rPr>
          <w:b/>
          <w:bCs/>
        </w:rPr>
      </w:pPr>
      <w:r>
        <w:t>Considering that, this Court should apply a standard of preponderance as to the independence of Parker’s testimony and Exhibit 19. However, even if this Court were to apply a heightened evidentiary standard, the Government still meets its burden, and the challenged evidence should not be suppressed.</w:t>
      </w:r>
    </w:p>
    <w:p w14:paraId="00784960" w14:textId="777E1D35" w:rsidR="00886C5D" w:rsidRPr="00886C5D" w:rsidRDefault="00886C5D" w:rsidP="004137B3">
      <w:pPr>
        <w:pStyle w:val="Heading3"/>
        <w:rPr>
          <w:rFonts w:eastAsia="Times New Roman"/>
        </w:rPr>
      </w:pPr>
      <w:bookmarkStart w:id="7" w:name="_Toc239117115"/>
      <w:r>
        <w:rPr>
          <w:rFonts w:eastAsia="Times New Roman"/>
        </w:rPr>
        <w:t xml:space="preserve">Parker’s testimony should not be suppressed because the Government independently selected Parker for an interview and independently developed </w:t>
      </w:r>
      <w:r w:rsidR="003B5901">
        <w:rPr>
          <w:rFonts w:eastAsia="Times New Roman"/>
        </w:rPr>
        <w:t>Parker’s</w:t>
      </w:r>
      <w:r>
        <w:rPr>
          <w:rFonts w:eastAsia="Times New Roman"/>
        </w:rPr>
        <w:t xml:space="preserve"> resulting testimony.</w:t>
      </w:r>
      <w:bookmarkEnd w:id="7"/>
      <w:r>
        <w:rPr>
          <w:rFonts w:eastAsia="Times New Roman"/>
        </w:rPr>
        <w:t xml:space="preserve">  </w:t>
      </w:r>
    </w:p>
    <w:p w14:paraId="4BC52E89" w14:textId="5B66291A" w:rsidR="003F30DB" w:rsidRDefault="003F30DB" w:rsidP="00C56D53">
      <w:pPr>
        <w:pStyle w:val="BodyTextFirstIndent"/>
      </w:pPr>
      <w:r>
        <w:t xml:space="preserve">The Government can provide an investigative chain, tracing the evidence back to independent sources, to prove that the challenged evidence is wholly independent of compelled testimony. </w:t>
      </w:r>
      <w:r>
        <w:rPr>
          <w:i/>
          <w:iCs/>
        </w:rPr>
        <w:t xml:space="preserve">See </w:t>
      </w:r>
      <w:r w:rsidR="00C43067">
        <w:rPr>
          <w:i/>
          <w:iCs/>
        </w:rPr>
        <w:t xml:space="preserve">United States v. </w:t>
      </w:r>
      <w:r>
        <w:rPr>
          <w:i/>
          <w:iCs/>
        </w:rPr>
        <w:t>Hubbell</w:t>
      </w:r>
      <w:r>
        <w:t>, 530 U.S.</w:t>
      </w:r>
      <w:r w:rsidR="00C43067">
        <w:t xml:space="preserve"> 27,</w:t>
      </w:r>
      <w:r>
        <w:t xml:space="preserve"> 42</w:t>
      </w:r>
      <w:r w:rsidR="00C43067">
        <w:t xml:space="preserve"> (2000)</w:t>
      </w:r>
      <w:r w:rsidR="002F3F80">
        <w:fldChar w:fldCharType="begin"/>
      </w:r>
      <w:r w:rsidR="002F3F80">
        <w:instrText xml:space="preserve"> TA \l "</w:instrText>
      </w:r>
      <w:r w:rsidR="002F3F80" w:rsidRPr="003A0566">
        <w:rPr>
          <w:i/>
          <w:iCs/>
        </w:rPr>
        <w:instrText>United States v. Hubbell</w:instrText>
      </w:r>
      <w:r w:rsidR="002F3F80" w:rsidRPr="003A0566">
        <w:instrText>, 530 U.S. 27 (2000)</w:instrText>
      </w:r>
      <w:r w:rsidR="002F3F80">
        <w:instrText xml:space="preserve">" \s "Hubbell" \c 1 </w:instrText>
      </w:r>
      <w:r w:rsidR="002F3F80">
        <w:fldChar w:fldCharType="end"/>
      </w:r>
      <w:r>
        <w:t xml:space="preserve">; </w:t>
      </w:r>
      <w:r>
        <w:rPr>
          <w:i/>
          <w:iCs/>
        </w:rPr>
        <w:t>United States v. Hampton</w:t>
      </w:r>
      <w:r>
        <w:t>, 775 F.2d 1479, 1487–90 (11th Cir. 1985)</w:t>
      </w:r>
      <w:r w:rsidR="002F3F80">
        <w:fldChar w:fldCharType="begin"/>
      </w:r>
      <w:r w:rsidR="002F3F80">
        <w:instrText xml:space="preserve"> TA \l "</w:instrText>
      </w:r>
      <w:r w:rsidR="002F3F80" w:rsidRPr="003A0566">
        <w:rPr>
          <w:i/>
          <w:iCs/>
        </w:rPr>
        <w:instrText>United States v. Hampton</w:instrText>
      </w:r>
      <w:r w:rsidR="002F3F80" w:rsidRPr="003A0566">
        <w:instrText>, 775 F.2d 1479 (11th Cir. 1985)</w:instrText>
      </w:r>
      <w:r w:rsidR="002F3F80">
        <w:instrText xml:space="preserve">" \s "Hampton" \c 1 </w:instrText>
      </w:r>
      <w:r w:rsidR="002F3F80">
        <w:fldChar w:fldCharType="end"/>
      </w:r>
      <w:r>
        <w:t xml:space="preserve">. In instances where the chain leads to a witness, the Government then must show that the resulting testimony of that witness is independently developed. </w:t>
      </w:r>
      <w:r>
        <w:rPr>
          <w:i/>
          <w:iCs/>
        </w:rPr>
        <w:t>See</w:t>
      </w:r>
      <w:r w:rsidR="00C56D53">
        <w:rPr>
          <w:i/>
          <w:iCs/>
        </w:rPr>
        <w:t xml:space="preserve"> United States v. North</w:t>
      </w:r>
      <w:r w:rsidR="00C56D53">
        <w:t xml:space="preserve">, 920 F.2d 940, </w:t>
      </w:r>
      <w:r w:rsidR="00026F44">
        <w:t>942–46</w:t>
      </w:r>
      <w:r w:rsidR="00C56D53">
        <w:t xml:space="preserve"> (</w:t>
      </w:r>
      <w:r w:rsidR="00026F44">
        <w:t xml:space="preserve">D.C. Cir. </w:t>
      </w:r>
      <w:r w:rsidR="00C56D53">
        <w:t>1990)</w:t>
      </w:r>
      <w:r w:rsidR="002F3F80">
        <w:fldChar w:fldCharType="begin"/>
      </w:r>
      <w:r w:rsidR="002F3F80">
        <w:instrText xml:space="preserve"> TA \l "</w:instrText>
      </w:r>
      <w:r w:rsidR="002F3F80" w:rsidRPr="003A0566">
        <w:rPr>
          <w:i/>
          <w:iCs/>
        </w:rPr>
        <w:instrText>United States v. North</w:instrText>
      </w:r>
      <w:r w:rsidR="002F3F80" w:rsidRPr="003A0566">
        <w:instrText>, 920 F.2d 940 (D.C. Cir. 1990)</w:instrText>
      </w:r>
      <w:r w:rsidR="002F3F80">
        <w:instrText xml:space="preserve">" \s "North (920)" \c 1 </w:instrText>
      </w:r>
      <w:r w:rsidR="002F3F80">
        <w:fldChar w:fldCharType="end"/>
      </w:r>
      <w:r w:rsidR="00C56D53">
        <w:t>;</w:t>
      </w:r>
      <w:r>
        <w:rPr>
          <w:i/>
          <w:iCs/>
        </w:rPr>
        <w:t xml:space="preserve"> United States v. Schmidgall</w:t>
      </w:r>
      <w:r>
        <w:t>, 25 F.3d 1523, 1528 (11th Cir. 1994)</w:t>
      </w:r>
      <w:r w:rsidR="002F3F80">
        <w:fldChar w:fldCharType="begin"/>
      </w:r>
      <w:r w:rsidR="002F3F80">
        <w:instrText xml:space="preserve"> TA \l "</w:instrText>
      </w:r>
      <w:r w:rsidR="002F3F80" w:rsidRPr="003A0566">
        <w:rPr>
          <w:i/>
          <w:iCs/>
        </w:rPr>
        <w:instrText>United States v. Schmidgall</w:instrText>
      </w:r>
      <w:r w:rsidR="002F3F80" w:rsidRPr="003A0566">
        <w:instrText>, 25 F.3d 1523 (11th Cir. 1994)</w:instrText>
      </w:r>
      <w:r w:rsidR="002F3F80">
        <w:instrText xml:space="preserve">" \s "Schmidgall" \c 1 </w:instrText>
      </w:r>
      <w:r w:rsidR="002F3F80">
        <w:fldChar w:fldCharType="end"/>
      </w:r>
      <w:r>
        <w:t>. The Government can make both showings here.</w:t>
      </w:r>
    </w:p>
    <w:p w14:paraId="6647C532" w14:textId="6453D95D" w:rsidR="00886C5D" w:rsidRPr="00C43067" w:rsidRDefault="00886C5D" w:rsidP="004137B3">
      <w:pPr>
        <w:pStyle w:val="Heading4"/>
        <w:rPr>
          <w:rFonts w:eastAsia="Times New Roman"/>
        </w:rPr>
      </w:pPr>
      <w:bookmarkStart w:id="8" w:name="_Toc239117116"/>
      <w:r w:rsidRPr="00C43067">
        <w:rPr>
          <w:rFonts w:eastAsia="Times New Roman"/>
        </w:rPr>
        <w:lastRenderedPageBreak/>
        <w:t xml:space="preserve">The </w:t>
      </w:r>
      <w:r w:rsidRPr="00C43067">
        <w:t>Government</w:t>
      </w:r>
      <w:r w:rsidRPr="00C43067">
        <w:rPr>
          <w:rFonts w:eastAsia="Times New Roman"/>
        </w:rPr>
        <w:t xml:space="preserve"> independently selected Parker for an interview because multiple exhibits </w:t>
      </w:r>
      <w:r w:rsidRPr="004137B3">
        <w:t>prove</w:t>
      </w:r>
      <w:r w:rsidRPr="00C43067">
        <w:rPr>
          <w:rFonts w:eastAsia="Times New Roman"/>
        </w:rPr>
        <w:t xml:space="preserve"> a path independent of </w:t>
      </w:r>
      <w:r w:rsidR="00545AF8">
        <w:rPr>
          <w:rFonts w:eastAsia="Times New Roman"/>
        </w:rPr>
        <w:t>Defendant</w:t>
      </w:r>
      <w:r w:rsidRPr="00C43067">
        <w:rPr>
          <w:rFonts w:eastAsia="Times New Roman"/>
        </w:rPr>
        <w:t>’s compelled testimony.</w:t>
      </w:r>
      <w:bookmarkEnd w:id="8"/>
      <w:r w:rsidRPr="00C43067">
        <w:rPr>
          <w:rFonts w:eastAsia="Times New Roman"/>
        </w:rPr>
        <w:t xml:space="preserve"> </w:t>
      </w:r>
    </w:p>
    <w:p w14:paraId="7251AB09" w14:textId="088980D3" w:rsidR="003F30DB" w:rsidRDefault="003F30DB" w:rsidP="003F30DB">
      <w:pPr>
        <w:pStyle w:val="BodyTextFirstIndent"/>
      </w:pPr>
      <w:r>
        <w:t xml:space="preserve">The Supreme Court has held that a sufficient showing includes more than a denial of taint. </w:t>
      </w:r>
      <w:r>
        <w:rPr>
          <w:i/>
          <w:iCs/>
        </w:rPr>
        <w:t>See</w:t>
      </w:r>
      <w:r>
        <w:t xml:space="preserve"> </w:t>
      </w:r>
      <w:r>
        <w:rPr>
          <w:i/>
          <w:iCs/>
        </w:rPr>
        <w:t>Hampton</w:t>
      </w:r>
      <w:r>
        <w:t>, 775 F.2d at 1485–86</w:t>
      </w:r>
      <w:r w:rsidR="002F3F80">
        <w:fldChar w:fldCharType="begin"/>
      </w:r>
      <w:r w:rsidR="002F3F80">
        <w:instrText xml:space="preserve"> TA \s "Hampton" </w:instrText>
      </w:r>
      <w:r w:rsidR="002F3F80">
        <w:fldChar w:fldCharType="end"/>
      </w:r>
      <w:r>
        <w:t xml:space="preserve"> (citing </w:t>
      </w:r>
      <w:r>
        <w:rPr>
          <w:i/>
          <w:iCs/>
        </w:rPr>
        <w:t>Kastigar</w:t>
      </w:r>
      <w:r>
        <w:t>, 406 U.S. at 453, 458–60). A proper chain accounts for “[e]ach step</w:t>
      </w:r>
      <w:r w:rsidR="00D10B0D">
        <w:t xml:space="preserve"> . . . </w:t>
      </w:r>
      <w:r>
        <w:t xml:space="preserve">by which the evidence presented was obtained.” </w:t>
      </w:r>
      <w:r w:rsidR="002F3F80">
        <w:rPr>
          <w:i/>
          <w:iCs/>
        </w:rPr>
        <w:t>Id.</w:t>
      </w:r>
      <w:r>
        <w:rPr>
          <w:i/>
          <w:iCs/>
        </w:rPr>
        <w:t xml:space="preserve"> </w:t>
      </w:r>
      <w:r>
        <w:t>at 1490</w:t>
      </w:r>
      <w:r w:rsidR="002F3F80">
        <w:fldChar w:fldCharType="begin"/>
      </w:r>
      <w:r w:rsidR="002F3F80">
        <w:instrText xml:space="preserve"> TA \s "Hampton" </w:instrText>
      </w:r>
      <w:r w:rsidR="002F3F80">
        <w:fldChar w:fldCharType="end"/>
      </w:r>
      <w:r>
        <w:t xml:space="preserve">; </w:t>
      </w:r>
      <w:r>
        <w:rPr>
          <w:i/>
          <w:iCs/>
        </w:rPr>
        <w:t>accord United States v. Nemes</w:t>
      </w:r>
      <w:r>
        <w:t>, 555 F.2d 51, 55 (2d Cir. 1977)</w:t>
      </w:r>
      <w:r w:rsidR="002F3F80">
        <w:fldChar w:fldCharType="begin"/>
      </w:r>
      <w:r w:rsidR="002F3F80">
        <w:instrText xml:space="preserve"> TA \l "</w:instrText>
      </w:r>
      <w:r w:rsidR="002F3F80" w:rsidRPr="003A0566">
        <w:rPr>
          <w:i/>
          <w:iCs/>
        </w:rPr>
        <w:instrText>United States v. Nemes</w:instrText>
      </w:r>
      <w:r w:rsidR="002F3F80" w:rsidRPr="003A0566">
        <w:instrText>, 555 F.2d 51 (2d Cir. 1977)</w:instrText>
      </w:r>
      <w:r w:rsidR="002F3F80">
        <w:instrText xml:space="preserve">" \s "Nemes" \c 1 </w:instrText>
      </w:r>
      <w:r w:rsidR="002F3F80">
        <w:fldChar w:fldCharType="end"/>
      </w:r>
      <w:r>
        <w:t>.</w:t>
      </w:r>
    </w:p>
    <w:p w14:paraId="421B7D0B" w14:textId="6E1F6265" w:rsidR="003F30DB" w:rsidRDefault="003F30DB" w:rsidP="003F30DB">
      <w:pPr>
        <w:pStyle w:val="BodyTextFirstIndent"/>
      </w:pPr>
      <w:r>
        <w:t xml:space="preserve">Providing a proper investigative chain is powerful. In some instances, it can even overcome signs of exposure. In </w:t>
      </w:r>
      <w:r>
        <w:rPr>
          <w:i/>
          <w:iCs/>
        </w:rPr>
        <w:t>United States v. Caporale</w:t>
      </w:r>
      <w:r>
        <w:t xml:space="preserve">, the Government conceded that it had reviewed the defendant’s immunized testimony, but because documents were produced demonstrating wholly independent sources, the Eleventh Circuit found no </w:t>
      </w:r>
      <w:r>
        <w:rPr>
          <w:i/>
          <w:iCs/>
        </w:rPr>
        <w:t>Kastigar</w:t>
      </w:r>
      <w:r>
        <w:t xml:space="preserve"> violation. </w:t>
      </w:r>
      <w:r w:rsidR="00C43067">
        <w:rPr>
          <w:i/>
          <w:iCs/>
        </w:rPr>
        <w:t>United States v. Caporale</w:t>
      </w:r>
      <w:r w:rsidR="00C43067">
        <w:t>,</w:t>
      </w:r>
      <w:r w:rsidR="00C43067">
        <w:rPr>
          <w:i/>
          <w:iCs/>
        </w:rPr>
        <w:t xml:space="preserve"> </w:t>
      </w:r>
      <w:r>
        <w:t>806 F.2d 1487, 1518–19 (11th Cir. 1986)</w:t>
      </w:r>
      <w:r w:rsidR="002F3F80">
        <w:fldChar w:fldCharType="begin"/>
      </w:r>
      <w:r w:rsidR="002F3F80">
        <w:instrText xml:space="preserve"> TA \l "</w:instrText>
      </w:r>
      <w:r w:rsidR="002F3F80" w:rsidRPr="003A0566">
        <w:rPr>
          <w:i/>
          <w:iCs/>
        </w:rPr>
        <w:instrText>United States v. Caporale</w:instrText>
      </w:r>
      <w:r w:rsidR="002F3F80" w:rsidRPr="003A0566">
        <w:instrText>,</w:instrText>
      </w:r>
      <w:r w:rsidR="002F3F80" w:rsidRPr="003A0566">
        <w:rPr>
          <w:i/>
          <w:iCs/>
        </w:rPr>
        <w:instrText xml:space="preserve"> </w:instrText>
      </w:r>
      <w:r w:rsidR="002F3F80" w:rsidRPr="003A0566">
        <w:instrText>806 F.2d 1487 (11th Cir. 1986)</w:instrText>
      </w:r>
      <w:r w:rsidR="002F3F80">
        <w:instrText xml:space="preserve">" \s "Caporale" \c 1 </w:instrText>
      </w:r>
      <w:r w:rsidR="002F3F80">
        <w:fldChar w:fldCharType="end"/>
      </w:r>
      <w:r>
        <w:t xml:space="preserve">. Conversely, in </w:t>
      </w:r>
      <w:r>
        <w:rPr>
          <w:i/>
          <w:iCs/>
        </w:rPr>
        <w:t>Hampton</w:t>
      </w:r>
      <w:r>
        <w:t>, the Government’s good-faith belief that its investigation was untainted was insufficient due to the absence of actual tracing. 775 F.2d at 1489–90</w:t>
      </w:r>
      <w:r w:rsidR="002F3F80">
        <w:fldChar w:fldCharType="begin"/>
      </w:r>
      <w:r w:rsidR="002F3F80">
        <w:instrText xml:space="preserve"> TA \s "Hampton" </w:instrText>
      </w:r>
      <w:r w:rsidR="002F3F80">
        <w:fldChar w:fldCharType="end"/>
      </w:r>
      <w:r>
        <w:t xml:space="preserve">. The difference was proof. The Government in </w:t>
      </w:r>
      <w:r>
        <w:rPr>
          <w:i/>
          <w:iCs/>
        </w:rPr>
        <w:t>Caporale</w:t>
      </w:r>
      <w:r>
        <w:t xml:space="preserve"> documented where evidence came from, where in </w:t>
      </w:r>
      <w:r>
        <w:rPr>
          <w:i/>
          <w:iCs/>
        </w:rPr>
        <w:t>Hampton</w:t>
      </w:r>
      <w:r>
        <w:t xml:space="preserve"> only assurances were offered. </w:t>
      </w:r>
      <w:r>
        <w:rPr>
          <w:i/>
          <w:iCs/>
        </w:rPr>
        <w:t>Id.</w:t>
      </w:r>
      <w:r w:rsidR="002F3F80">
        <w:rPr>
          <w:i/>
          <w:iCs/>
        </w:rPr>
        <w:fldChar w:fldCharType="begin"/>
      </w:r>
      <w:r w:rsidR="002F3F80">
        <w:instrText xml:space="preserve"> TA \s "Hampton" </w:instrText>
      </w:r>
      <w:r w:rsidR="002F3F80">
        <w:rPr>
          <w:i/>
          <w:iCs/>
        </w:rPr>
        <w:fldChar w:fldCharType="end"/>
      </w:r>
      <w:r>
        <w:t xml:space="preserve">; </w:t>
      </w:r>
      <w:r>
        <w:rPr>
          <w:i/>
          <w:iCs/>
        </w:rPr>
        <w:t>Caporale</w:t>
      </w:r>
      <w:r>
        <w:t>, 806 F.2d at 1518–19</w:t>
      </w:r>
      <w:r w:rsidR="002F3F80">
        <w:fldChar w:fldCharType="begin"/>
      </w:r>
      <w:r w:rsidR="002F3F80">
        <w:instrText xml:space="preserve"> TA \s "Caporale" </w:instrText>
      </w:r>
      <w:r w:rsidR="002F3F80">
        <w:fldChar w:fldCharType="end"/>
      </w:r>
      <w:r>
        <w:t>.</w:t>
      </w:r>
    </w:p>
    <w:p w14:paraId="3398E3BE" w14:textId="27407236" w:rsidR="003F30DB" w:rsidRDefault="003F30DB" w:rsidP="003F30DB">
      <w:pPr>
        <w:pStyle w:val="BodyTextFirstIndent"/>
      </w:pPr>
      <w:r>
        <w:t xml:space="preserve">The investigative chain concerning Parker’s selection for interview is sufficient because it can be traced to multiple independently derived exhibits. Like in </w:t>
      </w:r>
      <w:r>
        <w:rPr>
          <w:i/>
          <w:iCs/>
        </w:rPr>
        <w:t>Caporale</w:t>
      </w:r>
      <w:r>
        <w:t xml:space="preserve">, the Government does not rely on conclusory denials of taint. </w:t>
      </w:r>
      <w:r>
        <w:rPr>
          <w:i/>
          <w:iCs/>
        </w:rPr>
        <w:t>See</w:t>
      </w:r>
      <w:r>
        <w:t xml:space="preserve"> 806 F.2d </w:t>
      </w:r>
      <w:r>
        <w:lastRenderedPageBreak/>
        <w:t>at 1518–19</w:t>
      </w:r>
      <w:r w:rsidR="002F3F80">
        <w:fldChar w:fldCharType="begin"/>
      </w:r>
      <w:r w:rsidR="002F3F80">
        <w:instrText xml:space="preserve"> TA \s "Caporale" </w:instrText>
      </w:r>
      <w:r w:rsidR="002F3F80">
        <w:fldChar w:fldCharType="end"/>
      </w:r>
      <w:r>
        <w:t xml:space="preserve">. Nolan first established an investigative chain by creating a to-do list (Exhibit 16) that outlined </w:t>
      </w:r>
      <w:r w:rsidR="00BA17AB">
        <w:t>Team Calloway’s</w:t>
      </w:r>
      <w:r>
        <w:t xml:space="preserve"> plan to continue investigating employees. CF 29–30, Ex. 16. This plan is an extension of the untainted employee roster (Exhibit 10) that listed Parker among ninety-nine other employees. CF 18, Ex. 10. The next step in this chain is seen where Nolan created a prioritized interview list (Exhibit 17) of ten employees that explicitly named Parker. </w:t>
      </w:r>
      <w:r>
        <w:rPr>
          <w:i/>
          <w:iCs/>
        </w:rPr>
        <w:t>Cf. Hampton</w:t>
      </w:r>
      <w:r>
        <w:t>, 775 F.2d at 1489–90</w:t>
      </w:r>
      <w:r w:rsidR="002F3F80">
        <w:fldChar w:fldCharType="begin"/>
      </w:r>
      <w:r w:rsidR="002F3F80">
        <w:instrText xml:space="preserve"> TA \s "Hampton" </w:instrText>
      </w:r>
      <w:r w:rsidR="002F3F80">
        <w:fldChar w:fldCharType="end"/>
      </w:r>
      <w:r>
        <w:t xml:space="preserve"> (reasoning that no documentation was provided); CF 30, Ex. 17. </w:t>
      </w:r>
    </w:p>
    <w:p w14:paraId="0B65B436" w14:textId="7C7F42ED" w:rsidR="003F30DB" w:rsidRDefault="003F30DB" w:rsidP="003F30DB">
      <w:pPr>
        <w:pStyle w:val="BodyTextFirstIndent"/>
      </w:pPr>
      <w:r>
        <w:t xml:space="preserve">The timeline of these steps further confirms each exhibit’s independence. Nolan testified that Exhibit 16 was written before </w:t>
      </w:r>
      <w:r w:rsidR="00545AF8">
        <w:t>Defendant</w:t>
      </w:r>
      <w:r>
        <w:t xml:space="preserve"> ever spoke to Sinclair. CF 22, 29. Likewise, Nolan was “sure” Exhibit 17 was written before </w:t>
      </w:r>
      <w:r w:rsidR="00545AF8">
        <w:t>Defendant</w:t>
      </w:r>
      <w:r>
        <w:t xml:space="preserve"> testified at Donovan’s trial. CF 31. Thus, despite being undated, the Government supplies the sequence of Exhibits 16 and 17. </w:t>
      </w:r>
    </w:p>
    <w:p w14:paraId="7ADB8807" w14:textId="0DC1E449" w:rsidR="00886C5D" w:rsidRPr="003F30DB" w:rsidRDefault="003F30DB" w:rsidP="003F30DB">
      <w:pPr>
        <w:pStyle w:val="BodyTextFirstIndent"/>
      </w:pPr>
      <w:r>
        <w:t xml:space="preserve">The Defense might argue that Nolan’s testimony resembles the good-faith belief held insufficient in </w:t>
      </w:r>
      <w:r>
        <w:rPr>
          <w:i/>
          <w:iCs/>
        </w:rPr>
        <w:t>Hampton</w:t>
      </w:r>
      <w:r>
        <w:t xml:space="preserve">. </w:t>
      </w:r>
      <w:r>
        <w:rPr>
          <w:i/>
          <w:iCs/>
        </w:rPr>
        <w:t>See</w:t>
      </w:r>
      <w:r>
        <w:t xml:space="preserve"> 775 F.2d at 1489–90</w:t>
      </w:r>
      <w:r w:rsidR="002F3F80">
        <w:fldChar w:fldCharType="begin"/>
      </w:r>
      <w:r w:rsidR="002F3F80">
        <w:instrText xml:space="preserve"> TA \s "Hampton" </w:instrText>
      </w:r>
      <w:r w:rsidR="002F3F80">
        <w:fldChar w:fldCharType="end"/>
      </w:r>
      <w:r>
        <w:t xml:space="preserve">. Not so. Nolan’s assurances should not be viewed as substituting for an investigative chain. Rather, </w:t>
      </w:r>
      <w:r w:rsidR="00BA17AB">
        <w:t>Nolan’s</w:t>
      </w:r>
      <w:r>
        <w:t xml:space="preserve"> testimony is offered to show the reliability and independence of the tracing already in the record. Ex. 10, 16, 17. Considering this tracing, the Government’s path of exhibits to Parker clearly establishes a chain independent of </w:t>
      </w:r>
      <w:r w:rsidR="00545AF8">
        <w:t>Defendant’s</w:t>
      </w:r>
      <w:r>
        <w:t xml:space="preserve"> testimony. Just as the actual exposure in </w:t>
      </w:r>
      <w:r>
        <w:rPr>
          <w:i/>
          <w:iCs/>
        </w:rPr>
        <w:t>Caporale</w:t>
      </w:r>
      <w:r>
        <w:t xml:space="preserve"> did not defeat an otherwise documented chain, here the mere possibility of taint cannot negate the Government’s actual </w:t>
      </w:r>
      <w:r>
        <w:lastRenderedPageBreak/>
        <w:t xml:space="preserve">showing. </w:t>
      </w:r>
      <w:r>
        <w:rPr>
          <w:i/>
          <w:iCs/>
        </w:rPr>
        <w:t xml:space="preserve">See </w:t>
      </w:r>
      <w:r>
        <w:t>806 F.2d at 1518–19</w:t>
      </w:r>
      <w:r w:rsidR="002F3F80">
        <w:fldChar w:fldCharType="begin"/>
      </w:r>
      <w:r w:rsidR="002F3F80">
        <w:instrText xml:space="preserve"> TA \s "Caporale" </w:instrText>
      </w:r>
      <w:r w:rsidR="002F3F80">
        <w:fldChar w:fldCharType="end"/>
      </w:r>
      <w:r>
        <w:t>. Thus, Parker’s selection for interview does not violate</w:t>
      </w:r>
      <w:r>
        <w:rPr>
          <w:i/>
          <w:iCs/>
        </w:rPr>
        <w:t xml:space="preserve"> Kastigar</w:t>
      </w:r>
      <w:r>
        <w:t xml:space="preserve">. </w:t>
      </w:r>
      <w:r>
        <w:rPr>
          <w:i/>
          <w:iCs/>
        </w:rPr>
        <w:t xml:space="preserve">See </w:t>
      </w:r>
      <w:r>
        <w:t>406 U.S. at 460</w:t>
      </w:r>
      <w:r w:rsidR="002F3F80">
        <w:fldChar w:fldCharType="begin"/>
      </w:r>
      <w:r w:rsidR="002F3F80">
        <w:instrText xml:space="preserve"> TA \s "Kastigar" </w:instrText>
      </w:r>
      <w:r w:rsidR="002F3F80">
        <w:fldChar w:fldCharType="end"/>
      </w:r>
      <w:r>
        <w:t>.</w:t>
      </w:r>
    </w:p>
    <w:p w14:paraId="0408C099" w14:textId="345B9F4F" w:rsidR="00886C5D" w:rsidRPr="00886C5D" w:rsidRDefault="00886C5D" w:rsidP="004137B3">
      <w:pPr>
        <w:pStyle w:val="Heading4"/>
        <w:rPr>
          <w:rFonts w:eastAsia="Times New Roman"/>
        </w:rPr>
      </w:pPr>
      <w:bookmarkStart w:id="9" w:name="_Toc239117117"/>
      <w:r>
        <w:rPr>
          <w:rFonts w:eastAsia="Times New Roman"/>
        </w:rPr>
        <w:t xml:space="preserve">The Government independently developed Parker’s testimony because neither Parker’s account nor Nolan’s questioning were tainted by </w:t>
      </w:r>
      <w:r w:rsidR="00545AF8">
        <w:rPr>
          <w:rFonts w:eastAsia="Times New Roman"/>
        </w:rPr>
        <w:t>Defendant’s</w:t>
      </w:r>
      <w:r>
        <w:rPr>
          <w:rFonts w:eastAsia="Times New Roman"/>
        </w:rPr>
        <w:t xml:space="preserve"> compelled testimony.</w:t>
      </w:r>
      <w:bookmarkEnd w:id="9"/>
      <w:r>
        <w:rPr>
          <w:rFonts w:eastAsia="Times New Roman"/>
        </w:rPr>
        <w:t xml:space="preserve"> </w:t>
      </w:r>
    </w:p>
    <w:p w14:paraId="1F5AB9E7" w14:textId="0DE774F3" w:rsidR="003F30DB" w:rsidRDefault="003F30DB" w:rsidP="003F30DB">
      <w:pPr>
        <w:pStyle w:val="BodyTextFirstIndent"/>
      </w:pPr>
      <w:r>
        <w:t xml:space="preserve">The Supreme Court bars compelled testimony from serving as an “investigatory lead.” </w:t>
      </w:r>
      <w:r w:rsidR="00C43067">
        <w:rPr>
          <w:i/>
          <w:iCs/>
        </w:rPr>
        <w:t>Id</w:t>
      </w:r>
      <w:r w:rsidR="002F3F80">
        <w:rPr>
          <w:i/>
          <w:iCs/>
        </w:rPr>
        <w:fldChar w:fldCharType="begin"/>
      </w:r>
      <w:r w:rsidR="002F3F80">
        <w:instrText xml:space="preserve"> TA \s "Kastigar" </w:instrText>
      </w:r>
      <w:r w:rsidR="002F3F80">
        <w:rPr>
          <w:i/>
          <w:iCs/>
        </w:rPr>
        <w:fldChar w:fldCharType="end"/>
      </w:r>
      <w:r w:rsidR="00C43067">
        <w:rPr>
          <w:i/>
          <w:iCs/>
        </w:rPr>
        <w:t>.</w:t>
      </w:r>
      <w:r>
        <w:t xml:space="preserve">; </w:t>
      </w:r>
      <w:r>
        <w:rPr>
          <w:i/>
          <w:iCs/>
        </w:rPr>
        <w:t>accord Hubbell</w:t>
      </w:r>
      <w:r>
        <w:t>, 530 U.S. at 39–40</w:t>
      </w:r>
      <w:r w:rsidR="002F3F80">
        <w:fldChar w:fldCharType="begin"/>
      </w:r>
      <w:r w:rsidR="002F3F80">
        <w:instrText xml:space="preserve"> TA \s "Hubbell" </w:instrText>
      </w:r>
      <w:r w:rsidR="002F3F80">
        <w:fldChar w:fldCharType="end"/>
      </w:r>
      <w:r>
        <w:t xml:space="preserve">. To prevent this, courts conduct factual inquiries into the “presence or absence of causal links” between testimony elicited from a witness and compelled testimony from the defendant. </w:t>
      </w:r>
      <w:r>
        <w:rPr>
          <w:i/>
          <w:iCs/>
        </w:rPr>
        <w:t>North</w:t>
      </w:r>
      <w:r>
        <w:t>, 920 F.2d</w:t>
      </w:r>
      <w:r w:rsidR="00C56D53">
        <w:t xml:space="preserve"> at</w:t>
      </w:r>
      <w:r>
        <w:t xml:space="preserve"> 946</w:t>
      </w:r>
      <w:r w:rsidR="002F3F80">
        <w:fldChar w:fldCharType="begin"/>
      </w:r>
      <w:r w:rsidR="002F3F80">
        <w:instrText xml:space="preserve"> TA \s "North (920)" </w:instrText>
      </w:r>
      <w:r w:rsidR="002F3F80">
        <w:fldChar w:fldCharType="end"/>
      </w:r>
      <w:r>
        <w:t>.</w:t>
      </w:r>
    </w:p>
    <w:p w14:paraId="769AA423" w14:textId="7F51D54E" w:rsidR="003F30DB" w:rsidRDefault="003F30DB" w:rsidP="003F30DB">
      <w:pPr>
        <w:pStyle w:val="BodyTextFirstIndent"/>
      </w:pPr>
      <w:r>
        <w:t xml:space="preserve">If compelled testimony does not actually shape a witness’s account, then their resulting testimony is independent. In </w:t>
      </w:r>
      <w:r>
        <w:rPr>
          <w:i/>
          <w:iCs/>
        </w:rPr>
        <w:t>North</w:t>
      </w:r>
      <w:r>
        <w:t>, the D.C. Circuit held that the Government must prove that its witnesses “did not draw upon . .</w:t>
      </w:r>
      <w:r w:rsidR="00D10B0D">
        <w:t xml:space="preserve"> .</w:t>
      </w:r>
      <w:r>
        <w:t xml:space="preserve"> immunized testimony” when recalling their account. </w:t>
      </w:r>
      <w:r>
        <w:rPr>
          <w:i/>
          <w:iCs/>
        </w:rPr>
        <w:t>Id.</w:t>
      </w:r>
      <w:r>
        <w:t xml:space="preserve"> at 943</w:t>
      </w:r>
      <w:r w:rsidR="002F3F80">
        <w:fldChar w:fldCharType="begin"/>
      </w:r>
      <w:r w:rsidR="002F3F80">
        <w:instrText xml:space="preserve"> TA \s "North (920)" </w:instrText>
      </w:r>
      <w:r w:rsidR="002F3F80">
        <w:fldChar w:fldCharType="end"/>
      </w:r>
      <w:r>
        <w:t xml:space="preserve">. Exposure alone, however, is not fatal. Testimony may remain untainted where the “exposure to immunized testimony was so peripheral.” </w:t>
      </w:r>
      <w:r>
        <w:rPr>
          <w:i/>
          <w:iCs/>
        </w:rPr>
        <w:t>Id.</w:t>
      </w:r>
      <w:r>
        <w:t xml:space="preserve"> at 946</w:t>
      </w:r>
      <w:r w:rsidR="002F3F80">
        <w:fldChar w:fldCharType="begin"/>
      </w:r>
      <w:r w:rsidR="002F3F80">
        <w:instrText xml:space="preserve"> TA \s "North (920)" </w:instrText>
      </w:r>
      <w:r w:rsidR="002F3F80">
        <w:fldChar w:fldCharType="end"/>
      </w:r>
      <w:r>
        <w:t xml:space="preserve"> (explaining that a witness who “only saw a newspaper headline” could still have untainted testimony). </w:t>
      </w:r>
      <w:r>
        <w:rPr>
          <w:i/>
          <w:iCs/>
        </w:rPr>
        <w:t>Schmidgall</w:t>
      </w:r>
      <w:r>
        <w:t xml:space="preserve"> displays that this rule also applies to investigators eliciting testimony. </w:t>
      </w:r>
      <w:r>
        <w:rPr>
          <w:i/>
          <w:iCs/>
        </w:rPr>
        <w:t xml:space="preserve">See </w:t>
      </w:r>
      <w:r>
        <w:t>25 F.3d at 1528–29</w:t>
      </w:r>
      <w:r w:rsidR="00FF1997">
        <w:fldChar w:fldCharType="begin"/>
      </w:r>
      <w:r w:rsidR="00FF1997">
        <w:instrText xml:space="preserve"> TA \s "Schmidgall" </w:instrText>
      </w:r>
      <w:r w:rsidR="00FF1997">
        <w:fldChar w:fldCharType="end"/>
      </w:r>
      <w:r>
        <w:t xml:space="preserve">. There, evidence was excluded because an exposed agent subsequently questioned a witness. </w:t>
      </w:r>
      <w:r>
        <w:rPr>
          <w:i/>
          <w:iCs/>
        </w:rPr>
        <w:t>Id</w:t>
      </w:r>
      <w:r w:rsidR="00FF1997">
        <w:rPr>
          <w:i/>
          <w:iCs/>
        </w:rPr>
        <w:fldChar w:fldCharType="begin"/>
      </w:r>
      <w:r w:rsidR="00FF1997">
        <w:instrText xml:space="preserve"> TA \s "Schmidgall" </w:instrText>
      </w:r>
      <w:r w:rsidR="00FF1997">
        <w:rPr>
          <w:i/>
          <w:iCs/>
        </w:rPr>
        <w:fldChar w:fldCharType="end"/>
      </w:r>
      <w:r>
        <w:rPr>
          <w:i/>
          <w:iCs/>
        </w:rPr>
        <w:t>.</w:t>
      </w:r>
      <w:r>
        <w:t xml:space="preserve"> Despite the outcome, the court noted that eliminating “all abstract possibility of taint [would not have been] necessary.” </w:t>
      </w:r>
      <w:r>
        <w:rPr>
          <w:i/>
          <w:iCs/>
        </w:rPr>
        <w:t>Id.</w:t>
      </w:r>
      <w:r>
        <w:t xml:space="preserve"> at 1529</w:t>
      </w:r>
      <w:r w:rsidR="00FF1997">
        <w:fldChar w:fldCharType="begin"/>
      </w:r>
      <w:r w:rsidR="00FF1997">
        <w:instrText xml:space="preserve"> TA \s "Schmidgall" </w:instrText>
      </w:r>
      <w:r w:rsidR="00FF1997">
        <w:fldChar w:fldCharType="end"/>
      </w:r>
      <w:r>
        <w:t xml:space="preserve"> (citing </w:t>
      </w:r>
      <w:r>
        <w:rPr>
          <w:i/>
          <w:iCs/>
        </w:rPr>
        <w:t>Byrd</w:t>
      </w:r>
      <w:r>
        <w:t xml:space="preserve">, 765 F.2d at 1529). </w:t>
      </w:r>
      <w:r>
        <w:lastRenderedPageBreak/>
        <w:t xml:space="preserve">The Government must only show that it did not draw upon the immunized testimony through questioning. </w:t>
      </w:r>
      <w:r>
        <w:rPr>
          <w:i/>
          <w:iCs/>
        </w:rPr>
        <w:t xml:space="preserve">See </w:t>
      </w:r>
      <w:r w:rsidR="00176ABD">
        <w:rPr>
          <w:i/>
          <w:iCs/>
        </w:rPr>
        <w:t>id.</w:t>
      </w:r>
      <w:r>
        <w:t xml:space="preserve"> at 1528–29</w:t>
      </w:r>
      <w:r w:rsidR="00FF1997">
        <w:fldChar w:fldCharType="begin"/>
      </w:r>
      <w:r w:rsidR="00FF1997">
        <w:instrText xml:space="preserve"> TA \s "Schmidgall" </w:instrText>
      </w:r>
      <w:r w:rsidR="00FF1997">
        <w:fldChar w:fldCharType="end"/>
      </w:r>
      <w:r>
        <w:t>.</w:t>
      </w:r>
    </w:p>
    <w:p w14:paraId="2597CF06" w14:textId="6AF880F3" w:rsidR="003F30DB" w:rsidRDefault="003F30DB" w:rsidP="003F30DB">
      <w:pPr>
        <w:pStyle w:val="BodyTextFirstIndent"/>
      </w:pPr>
      <w:r>
        <w:t xml:space="preserve">Here, Parker’s account is unshaped by </w:t>
      </w:r>
      <w:r w:rsidR="00545AF8">
        <w:t>Defendant’s</w:t>
      </w:r>
      <w:r>
        <w:t xml:space="preserve"> testimony because there is no causal relationship between the two. Unlike the witness in </w:t>
      </w:r>
      <w:r>
        <w:rPr>
          <w:i/>
          <w:iCs/>
        </w:rPr>
        <w:t>Schmidgall</w:t>
      </w:r>
      <w:r>
        <w:t xml:space="preserve">, the record indicates that Parker was “never” exposed to any compelled testimony. CF 42. Even if the news coverage of Donovan’s trial was considered an exposure, it is likely “so peripheral” that it would not shape testimony. CF 32; </w:t>
      </w:r>
      <w:r>
        <w:rPr>
          <w:i/>
          <w:iCs/>
        </w:rPr>
        <w:t>North</w:t>
      </w:r>
      <w:r>
        <w:t>, 920 F.2d at 946</w:t>
      </w:r>
      <w:r w:rsidR="00FF1997">
        <w:fldChar w:fldCharType="begin"/>
      </w:r>
      <w:r w:rsidR="00FF1997">
        <w:instrText xml:space="preserve"> TA \s "North (920)" </w:instrText>
      </w:r>
      <w:r w:rsidR="00FF1997">
        <w:fldChar w:fldCharType="end"/>
      </w:r>
      <w:r>
        <w:t xml:space="preserve">. Exposure like seeing a “newspaper headline,” or, by analogy, having general awareness of the news does not establish a causal link. </w:t>
      </w:r>
      <w:r>
        <w:rPr>
          <w:i/>
          <w:iCs/>
        </w:rPr>
        <w:t>See North</w:t>
      </w:r>
      <w:r>
        <w:t>, 920 F.2d at 946</w:t>
      </w:r>
      <w:r w:rsidR="00FF1997">
        <w:fldChar w:fldCharType="begin"/>
      </w:r>
      <w:r w:rsidR="00FF1997">
        <w:instrText xml:space="preserve"> TA \s "North (920)" </w:instrText>
      </w:r>
      <w:r w:rsidR="00FF1997">
        <w:fldChar w:fldCharType="end"/>
      </w:r>
      <w:r>
        <w:t>.</w:t>
      </w:r>
    </w:p>
    <w:p w14:paraId="3C8C347D" w14:textId="24E4AC7E" w:rsidR="00886C5D" w:rsidRPr="003F30DB" w:rsidRDefault="003F30DB" w:rsidP="003F30DB">
      <w:pPr>
        <w:pStyle w:val="BodyTextFirstIndent"/>
      </w:pPr>
      <w:r>
        <w:t xml:space="preserve">Nolan’s questioning of Parker shares this same notion. Similar to Parker, and unlike the agent in </w:t>
      </w:r>
      <w:r>
        <w:rPr>
          <w:i/>
          <w:iCs/>
        </w:rPr>
        <w:t>Schmidgall</w:t>
      </w:r>
      <w:r>
        <w:t xml:space="preserve">, Nolan was never exposed to </w:t>
      </w:r>
      <w:r w:rsidR="00545AF8">
        <w:t>Defendant’s</w:t>
      </w:r>
      <w:r>
        <w:t xml:space="preserve"> testimony. CF 32. This was done in accordance with the Government’s investigative wall erected on August 23, 2024. CF 28–29. Although Sinclair and Nolan met socially after </w:t>
      </w:r>
      <w:r w:rsidR="00176ABD">
        <w:t>the wall</w:t>
      </w:r>
      <w:r>
        <w:t>, the record indicates that the wall was maintained. CF 32. The Defense might argue these meetings exposed Nolan, and that</w:t>
      </w:r>
      <w:r w:rsidR="00176ABD">
        <w:t>,</w:t>
      </w:r>
      <w:r>
        <w:t xml:space="preserve"> as a result</w:t>
      </w:r>
      <w:r w:rsidR="00176ABD">
        <w:t>,</w:t>
      </w:r>
      <w:r>
        <w:t xml:space="preserve"> </w:t>
      </w:r>
      <w:r w:rsidR="00BA17AB">
        <w:t>the</w:t>
      </w:r>
      <w:r>
        <w:t xml:space="preserve"> questioning was tainted. But that inference is the “abstract possibility of taint” the Government need not negate. </w:t>
      </w:r>
      <w:r>
        <w:rPr>
          <w:i/>
          <w:iCs/>
        </w:rPr>
        <w:t>See Schmidgall</w:t>
      </w:r>
      <w:r>
        <w:t>, 25 F.3d at 1529</w:t>
      </w:r>
      <w:r w:rsidR="00FF1997">
        <w:fldChar w:fldCharType="begin"/>
      </w:r>
      <w:r w:rsidR="00FF1997">
        <w:instrText xml:space="preserve"> TA \s "Schmidgall" </w:instrText>
      </w:r>
      <w:r w:rsidR="00FF1997">
        <w:fldChar w:fldCharType="end"/>
      </w:r>
      <w:r>
        <w:t xml:space="preserve">. Because the record indicates little to no exposure by either Parker or Nolan, </w:t>
      </w:r>
      <w:r w:rsidR="00545AF8">
        <w:t>Defendant’s</w:t>
      </w:r>
      <w:r>
        <w:t xml:space="preserve"> compelled testimony could not have shaped Parker’s account, and the testimony should not be suppressed. </w:t>
      </w:r>
      <w:r w:rsidR="00886C5D">
        <w:t xml:space="preserve"> </w:t>
      </w:r>
    </w:p>
    <w:p w14:paraId="7D8E04C6" w14:textId="36359EA4" w:rsidR="00886C5D" w:rsidRPr="00886C5D" w:rsidRDefault="00176ABD" w:rsidP="00537535">
      <w:pPr>
        <w:pStyle w:val="Heading3"/>
        <w:rPr>
          <w:rFonts w:eastAsia="Times New Roman"/>
        </w:rPr>
      </w:pPr>
      <w:bookmarkStart w:id="10" w:name="_Toc239117118"/>
      <w:r>
        <w:rPr>
          <w:rFonts w:eastAsia="Times New Roman"/>
        </w:rPr>
        <w:lastRenderedPageBreak/>
        <w:t>Defendant’s</w:t>
      </w:r>
      <w:r w:rsidR="00886C5D">
        <w:rPr>
          <w:rFonts w:eastAsia="Times New Roman"/>
        </w:rPr>
        <w:t xml:space="preserve"> </w:t>
      </w:r>
      <w:r>
        <w:rPr>
          <w:rFonts w:eastAsia="Times New Roman"/>
        </w:rPr>
        <w:t>M</w:t>
      </w:r>
      <w:r w:rsidR="00886C5D">
        <w:rPr>
          <w:rFonts w:eastAsia="Times New Roman"/>
        </w:rPr>
        <w:t xml:space="preserve">otion to </w:t>
      </w:r>
      <w:r w:rsidRPr="004137B3">
        <w:t>S</w:t>
      </w:r>
      <w:r w:rsidR="00886C5D" w:rsidRPr="004137B3">
        <w:t>uppress</w:t>
      </w:r>
      <w:r w:rsidR="00886C5D">
        <w:rPr>
          <w:rFonts w:eastAsia="Times New Roman"/>
        </w:rPr>
        <w:t xml:space="preserve"> should be denied because Exhibit 19 was derived from Parker’s independently developed testimony.</w:t>
      </w:r>
      <w:bookmarkEnd w:id="10"/>
      <w:r w:rsidR="00886C5D">
        <w:rPr>
          <w:rFonts w:eastAsia="Times New Roman"/>
        </w:rPr>
        <w:t xml:space="preserve"> </w:t>
      </w:r>
    </w:p>
    <w:p w14:paraId="6D4EF4BB" w14:textId="4844D9BA" w:rsidR="003F30DB" w:rsidRDefault="00176ABD" w:rsidP="003F30DB">
      <w:pPr>
        <w:pStyle w:val="BodyTextFirstIndent"/>
      </w:pPr>
      <w:r>
        <w:t xml:space="preserve">The Government is required under </w:t>
      </w:r>
      <w:r w:rsidR="003F30DB">
        <w:t xml:space="preserve">18 U.S.C. § 6002 to prove that its evidence derives from sources wholly independent of compelled testimony. </w:t>
      </w:r>
      <w:r w:rsidR="003F30DB">
        <w:rPr>
          <w:i/>
          <w:iCs/>
        </w:rPr>
        <w:t>See Kastigar</w:t>
      </w:r>
      <w:r w:rsidR="003F30DB">
        <w:t>, 406 U.S. at 460</w:t>
      </w:r>
      <w:r w:rsidR="00FF1997">
        <w:fldChar w:fldCharType="begin"/>
      </w:r>
      <w:r w:rsidR="00FF1997">
        <w:instrText xml:space="preserve"> TA \s "Kastigar" </w:instrText>
      </w:r>
      <w:r w:rsidR="00FF1997">
        <w:fldChar w:fldCharType="end"/>
      </w:r>
      <w:r w:rsidR="003F30DB">
        <w:t xml:space="preserve">. Inherently, evidence that stems from an established independent source simply extends the untainted investigative chain. </w:t>
      </w:r>
      <w:r w:rsidR="003F30DB">
        <w:rPr>
          <w:i/>
          <w:iCs/>
        </w:rPr>
        <w:t>See id.</w:t>
      </w:r>
      <w:r w:rsidR="00FF1997">
        <w:rPr>
          <w:i/>
          <w:iCs/>
        </w:rPr>
        <w:fldChar w:fldCharType="begin"/>
      </w:r>
      <w:r w:rsidR="00FF1997">
        <w:instrText xml:space="preserve"> TA \s "Kastigar" </w:instrText>
      </w:r>
      <w:r w:rsidR="00FF1997">
        <w:rPr>
          <w:i/>
          <w:iCs/>
        </w:rPr>
        <w:fldChar w:fldCharType="end"/>
      </w:r>
      <w:r w:rsidR="003F30DB">
        <w:t xml:space="preserve">; </w:t>
      </w:r>
      <w:r w:rsidR="003F30DB">
        <w:rPr>
          <w:i/>
          <w:iCs/>
        </w:rPr>
        <w:t>Hampton</w:t>
      </w:r>
      <w:r w:rsidR="003F30DB">
        <w:t>, 775 F.2d at 1487–90</w:t>
      </w:r>
      <w:r w:rsidR="00FF1997">
        <w:fldChar w:fldCharType="begin"/>
      </w:r>
      <w:r w:rsidR="00FF1997">
        <w:instrText xml:space="preserve"> TA \s "Hampton" </w:instrText>
      </w:r>
      <w:r w:rsidR="00FF1997">
        <w:fldChar w:fldCharType="end"/>
      </w:r>
      <w:r w:rsidR="003F30DB">
        <w:t xml:space="preserve">; </w:t>
      </w:r>
      <w:r w:rsidR="003F30DB">
        <w:rPr>
          <w:i/>
          <w:iCs/>
        </w:rPr>
        <w:t>see also Caporale</w:t>
      </w:r>
      <w:r w:rsidR="003F30DB">
        <w:t>, 806 F.2d at 1518–19</w:t>
      </w:r>
      <w:r w:rsidR="00FF1997">
        <w:fldChar w:fldCharType="begin"/>
      </w:r>
      <w:r w:rsidR="00FF1997">
        <w:instrText xml:space="preserve"> TA \s "Caporale" </w:instrText>
      </w:r>
      <w:r w:rsidR="00FF1997">
        <w:fldChar w:fldCharType="end"/>
      </w:r>
      <w:r w:rsidR="003F30DB">
        <w:t xml:space="preserve"> (finding no </w:t>
      </w:r>
      <w:r w:rsidR="003F30DB">
        <w:rPr>
          <w:i/>
          <w:iCs/>
        </w:rPr>
        <w:t>Kastigar</w:t>
      </w:r>
      <w:r w:rsidR="003F30DB">
        <w:t xml:space="preserve"> violation where the Government traced the challenged evidence to independent sources). </w:t>
      </w:r>
    </w:p>
    <w:p w14:paraId="02AED703" w14:textId="14AA4B7B" w:rsidR="00886C5D" w:rsidRPr="003F30DB" w:rsidRDefault="003F30DB" w:rsidP="003F30DB">
      <w:pPr>
        <w:pStyle w:val="BodyTextFirstIndent"/>
      </w:pPr>
      <w:r>
        <w:t xml:space="preserve">For Exhibit 19, Parker’s testimony is that established independent source. During the interview with Nolan, Parker disclosed the previously unknown storage unit, which investigators then searched to discover Exhibit 19. CF 32–33. As stated above, the Government independently selected Parker to be interviewed and elicited testimony without taint. Given that, the established investigative chain extends to Exhibit 19, making it wholly independent of </w:t>
      </w:r>
      <w:r w:rsidR="00545AF8">
        <w:t>Defendant’s</w:t>
      </w:r>
      <w:r>
        <w:t xml:space="preserve"> compelled testimony. Thus, Defen</w:t>
      </w:r>
      <w:r w:rsidR="00176ABD">
        <w:t>dant</w:t>
      </w:r>
      <w:r>
        <w:t xml:space="preserve">’s </w:t>
      </w:r>
      <w:r w:rsidR="00176ABD">
        <w:t>M</w:t>
      </w:r>
      <w:r>
        <w:t xml:space="preserve">otion to </w:t>
      </w:r>
      <w:r w:rsidR="00176ABD">
        <w:t>S</w:t>
      </w:r>
      <w:r>
        <w:t>uppress should be denied as to both Parker’s testimony and Exhibit 19.</w:t>
      </w:r>
    </w:p>
    <w:p w14:paraId="3A67CDAB" w14:textId="2407F40C" w:rsidR="008775A5" w:rsidRPr="005F0495" w:rsidRDefault="004137B3" w:rsidP="00537535">
      <w:pPr>
        <w:pStyle w:val="Heading2"/>
      </w:pPr>
      <w:bookmarkStart w:id="11" w:name="_Toc239117119"/>
      <w:r>
        <w:t>T</w:t>
      </w:r>
      <w:r w:rsidR="008775A5" w:rsidRPr="005F0495">
        <w:t xml:space="preserve">he </w:t>
      </w:r>
      <w:r>
        <w:t>G</w:t>
      </w:r>
      <w:r w:rsidR="00D65367">
        <w:t xml:space="preserve">overnment’s </w:t>
      </w:r>
      <w:r>
        <w:t>s</w:t>
      </w:r>
      <w:r w:rsidR="008775A5" w:rsidRPr="005F0495">
        <w:t xml:space="preserve">ubpoena duces tecum must </w:t>
      </w:r>
      <w:r w:rsidR="001D506B">
        <w:t xml:space="preserve">not </w:t>
      </w:r>
      <w:r w:rsidR="008775A5" w:rsidRPr="005F0495">
        <w:t xml:space="preserve">be quashed because the </w:t>
      </w:r>
      <w:r w:rsidR="001D506B">
        <w:t>substantial need</w:t>
      </w:r>
      <w:r w:rsidR="0003716C">
        <w:t xml:space="preserve"> </w:t>
      </w:r>
      <w:r w:rsidR="001D506B">
        <w:t>exception applies to armana’s records.</w:t>
      </w:r>
      <w:bookmarkEnd w:id="11"/>
    </w:p>
    <w:p w14:paraId="2DE51F1A" w14:textId="3E1F7C31" w:rsidR="00AD116B" w:rsidRDefault="00227506" w:rsidP="00AD116B">
      <w:pPr>
        <w:pStyle w:val="BodyTextFirstIndent"/>
      </w:pPr>
      <w:r>
        <w:t>The work-product privilege</w:t>
      </w:r>
      <w:r w:rsidR="00082A90">
        <w:t>,</w:t>
      </w:r>
      <w:r>
        <w:t xml:space="preserve"> as set out in</w:t>
      </w:r>
      <w:r w:rsidR="000806CB">
        <w:t xml:space="preserve"> </w:t>
      </w:r>
      <w:r w:rsidRPr="00227506">
        <w:rPr>
          <w:i/>
          <w:iCs/>
        </w:rPr>
        <w:t>Hickman</w:t>
      </w:r>
      <w:r w:rsidR="000806CB">
        <w:rPr>
          <w:i/>
          <w:iCs/>
        </w:rPr>
        <w:t xml:space="preserve"> v. Taylor</w:t>
      </w:r>
      <w:r w:rsidR="00082A90">
        <w:t>,</w:t>
      </w:r>
      <w:r>
        <w:t xml:space="preserve"> was applied to criminal cases by the Supreme Court in </w:t>
      </w:r>
      <w:r>
        <w:rPr>
          <w:i/>
          <w:iCs/>
        </w:rPr>
        <w:t>United States v. Nobles</w:t>
      </w:r>
      <w:r w:rsidR="00082A90">
        <w:t>.</w:t>
      </w:r>
      <w:r w:rsidR="0090508C">
        <w:t xml:space="preserve"> </w:t>
      </w:r>
      <w:r w:rsidR="0090508C">
        <w:rPr>
          <w:i/>
          <w:iCs/>
        </w:rPr>
        <w:t>United States v. Nobles</w:t>
      </w:r>
      <w:r w:rsidR="0090508C">
        <w:t>, 422 U.S. 225, 23</w:t>
      </w:r>
      <w:r w:rsidR="00082A90">
        <w:t>6</w:t>
      </w:r>
      <w:r w:rsidR="0090508C">
        <w:t xml:space="preserve"> (1975)</w:t>
      </w:r>
      <w:r w:rsidR="00FF1997">
        <w:fldChar w:fldCharType="begin"/>
      </w:r>
      <w:r w:rsidR="00FF1997">
        <w:instrText xml:space="preserve"> TA \l "</w:instrText>
      </w:r>
      <w:r w:rsidR="00FF1997" w:rsidRPr="003A0566">
        <w:rPr>
          <w:i/>
          <w:iCs/>
        </w:rPr>
        <w:instrText>United States v. Nobles</w:instrText>
      </w:r>
      <w:r w:rsidR="00FF1997" w:rsidRPr="003A0566">
        <w:instrText>, 422 U.S. 225 (1975)</w:instrText>
      </w:r>
      <w:r w:rsidR="00FF1997">
        <w:instrText xml:space="preserve">" \s "Nobles" \c 1 </w:instrText>
      </w:r>
      <w:r w:rsidR="00FF1997">
        <w:fldChar w:fldCharType="end"/>
      </w:r>
      <w:r w:rsidR="0090508C">
        <w:t xml:space="preserve">. </w:t>
      </w:r>
      <w:r w:rsidR="005F0495">
        <w:t xml:space="preserve">The work-product </w:t>
      </w:r>
      <w:r w:rsidR="0014441F">
        <w:t xml:space="preserve">doctrine “shelters the mental </w:t>
      </w:r>
      <w:r w:rsidR="0014441F">
        <w:lastRenderedPageBreak/>
        <w:t xml:space="preserve">processes of the attorney, providing a privileged area within which he can analyze and prepare his client’s case.” </w:t>
      </w:r>
      <w:r w:rsidR="0090508C">
        <w:rPr>
          <w:i/>
          <w:iCs/>
        </w:rPr>
        <w:t>Id.</w:t>
      </w:r>
      <w:r w:rsidR="00FF1997">
        <w:rPr>
          <w:i/>
          <w:iCs/>
        </w:rPr>
        <w:fldChar w:fldCharType="begin"/>
      </w:r>
      <w:r w:rsidR="00FF1997">
        <w:instrText xml:space="preserve"> TA \s "Nobles" </w:instrText>
      </w:r>
      <w:r w:rsidR="00FF1997">
        <w:rPr>
          <w:i/>
          <w:iCs/>
        </w:rPr>
        <w:fldChar w:fldCharType="end"/>
      </w:r>
      <w:r w:rsidR="0090508C">
        <w:t xml:space="preserve"> </w:t>
      </w:r>
      <w:r w:rsidR="00D9531F">
        <w:t>Accordingly</w:t>
      </w:r>
      <w:r w:rsidR="0014441F">
        <w:t xml:space="preserve">, </w:t>
      </w:r>
      <w:r w:rsidR="00365E71">
        <w:t xml:space="preserve">documents or records created by an attorney in the anticipation of litigation are protected under the doctrine. </w:t>
      </w:r>
      <w:r w:rsidR="00CB061B">
        <w:rPr>
          <w:i/>
          <w:iCs/>
        </w:rPr>
        <w:t>Id</w:t>
      </w:r>
      <w:r w:rsidR="00FF1997">
        <w:rPr>
          <w:i/>
          <w:iCs/>
        </w:rPr>
        <w:fldChar w:fldCharType="begin"/>
      </w:r>
      <w:r w:rsidR="00FF1997">
        <w:instrText xml:space="preserve"> TA \s "Nobles" </w:instrText>
      </w:r>
      <w:r w:rsidR="00FF1997">
        <w:rPr>
          <w:i/>
          <w:iCs/>
        </w:rPr>
        <w:fldChar w:fldCharType="end"/>
      </w:r>
      <w:r w:rsidR="00CB061B">
        <w:rPr>
          <w:i/>
          <w:iCs/>
        </w:rPr>
        <w:t>.</w:t>
      </w:r>
      <w:r w:rsidR="00365E71">
        <w:t xml:space="preserve"> (quoting </w:t>
      </w:r>
      <w:r w:rsidR="00365E71">
        <w:rPr>
          <w:i/>
          <w:iCs/>
        </w:rPr>
        <w:t>Hickman v. Taylor</w:t>
      </w:r>
      <w:r w:rsidR="00365E71">
        <w:t xml:space="preserve">, 329 U.S. 495, 508 (1947)); </w:t>
      </w:r>
      <w:r w:rsidR="00106426" w:rsidRPr="00106426">
        <w:rPr>
          <w:rFonts w:cs="Times New Roman (Body CS)"/>
          <w:smallCaps/>
        </w:rPr>
        <w:t>Fed. R. Evid.</w:t>
      </w:r>
      <w:r w:rsidR="00106426">
        <w:t xml:space="preserve"> 502(g)(2)</w:t>
      </w:r>
      <w:r w:rsidR="00FF1997">
        <w:fldChar w:fldCharType="begin"/>
      </w:r>
      <w:r w:rsidR="00FF1997">
        <w:instrText xml:space="preserve"> TA \l "</w:instrText>
      </w:r>
      <w:r w:rsidR="00FF1997" w:rsidRPr="003A0566">
        <w:rPr>
          <w:rFonts w:cs="Times New Roman (Body CS)"/>
          <w:smallCaps/>
        </w:rPr>
        <w:instrText>Fed. R. Evid.</w:instrText>
      </w:r>
      <w:r w:rsidR="00FF1997" w:rsidRPr="003A0566">
        <w:instrText xml:space="preserve"> 502</w:instrText>
      </w:r>
      <w:r w:rsidR="00FF1997">
        <w:instrText xml:space="preserve">" \s "Fed. R. Evid. 502(g)(2)" \c 4 </w:instrText>
      </w:r>
      <w:r w:rsidR="00FF1997">
        <w:fldChar w:fldCharType="end"/>
      </w:r>
      <w:r w:rsidR="00106426">
        <w:t>.</w:t>
      </w:r>
      <w:r w:rsidR="00365E71">
        <w:t xml:space="preserve"> </w:t>
      </w:r>
      <w:r w:rsidR="00082A90">
        <w:t xml:space="preserve">This includes </w:t>
      </w:r>
      <w:r w:rsidR="00D33957">
        <w:t>private investigators hired by the client’s attorney.</w:t>
      </w:r>
      <w:r w:rsidR="00D33957" w:rsidRPr="00D33957">
        <w:rPr>
          <w:i/>
          <w:iCs/>
        </w:rPr>
        <w:t xml:space="preserve"> </w:t>
      </w:r>
      <w:r w:rsidR="00D33957">
        <w:rPr>
          <w:i/>
          <w:iCs/>
        </w:rPr>
        <w:t>Nobles</w:t>
      </w:r>
      <w:r w:rsidR="00D33957">
        <w:t>, 422 U.S. at 238–39</w:t>
      </w:r>
      <w:r w:rsidR="00FF1997">
        <w:fldChar w:fldCharType="begin"/>
      </w:r>
      <w:r w:rsidR="00FF1997">
        <w:instrText xml:space="preserve"> TA \s "Nobles" </w:instrText>
      </w:r>
      <w:r w:rsidR="00FF1997">
        <w:fldChar w:fldCharType="end"/>
      </w:r>
      <w:r w:rsidR="00D33957">
        <w:t xml:space="preserve">; </w:t>
      </w:r>
      <w:r w:rsidR="00D33957">
        <w:rPr>
          <w:i/>
          <w:iCs/>
        </w:rPr>
        <w:t xml:space="preserve">see </w:t>
      </w:r>
      <w:r w:rsidR="00D33957" w:rsidRPr="00D33957">
        <w:rPr>
          <w:i/>
          <w:iCs/>
        </w:rPr>
        <w:t>also</w:t>
      </w:r>
      <w:r w:rsidR="00D33957">
        <w:t xml:space="preserve"> </w:t>
      </w:r>
      <w:r w:rsidR="00D33957" w:rsidRPr="00D33957">
        <w:rPr>
          <w:rFonts w:cs="Times New Roman (Body CS)"/>
          <w:smallCaps/>
        </w:rPr>
        <w:t>Fed</w:t>
      </w:r>
      <w:r w:rsidR="00D33957" w:rsidRPr="00F367DB">
        <w:rPr>
          <w:rFonts w:cs="Times New Roman (Body CS)"/>
          <w:smallCaps/>
        </w:rPr>
        <w:t>. R. Crim. P.</w:t>
      </w:r>
      <w:r w:rsidR="00D33957">
        <w:t xml:space="preserve"> 16(b)(2)</w:t>
      </w:r>
      <w:r w:rsidR="00FF1997">
        <w:fldChar w:fldCharType="begin"/>
      </w:r>
      <w:r w:rsidR="00FF1997">
        <w:instrText xml:space="preserve"> TA \l "</w:instrText>
      </w:r>
      <w:r w:rsidR="00FF1997" w:rsidRPr="003A0566">
        <w:rPr>
          <w:rFonts w:cs="Times New Roman (Body CS)"/>
          <w:smallCaps/>
        </w:rPr>
        <w:instrText>Fed. R. Crim. P.</w:instrText>
      </w:r>
      <w:r w:rsidR="00FF1997" w:rsidRPr="003A0566">
        <w:instrText xml:space="preserve"> 16</w:instrText>
      </w:r>
      <w:r w:rsidR="00FF1997">
        <w:instrText xml:space="preserve">" \s "Fed. R. Crim. P. 16" \c 4 </w:instrText>
      </w:r>
      <w:r w:rsidR="00FF1997">
        <w:fldChar w:fldCharType="end"/>
      </w:r>
      <w:r w:rsidR="00D33957">
        <w:t xml:space="preserve"> (extending work-product privilege to a defendant’s agents).</w:t>
      </w:r>
    </w:p>
    <w:p w14:paraId="2364EB6C" w14:textId="4D45C884" w:rsidR="00356FDA" w:rsidRDefault="00F911EB" w:rsidP="0003716C">
      <w:pPr>
        <w:pStyle w:val="BodyTextFirstIndent"/>
      </w:pPr>
      <w:r>
        <w:t>However, work-product privilege is not absolute. The privilege is subject to the substantial need exception.</w:t>
      </w:r>
      <w:r w:rsidR="0003716C">
        <w:t xml:space="preserve"> </w:t>
      </w:r>
      <w:r w:rsidR="003F30DB">
        <w:rPr>
          <w:i/>
          <w:iCs/>
        </w:rPr>
        <w:t>In re Green Grand Jury Procs.</w:t>
      </w:r>
      <w:r w:rsidR="003F30DB">
        <w:t>, 492 F.3d 976, 980 (8th Cir. 2007)</w:t>
      </w:r>
      <w:r w:rsidR="00FF1997">
        <w:fldChar w:fldCharType="begin"/>
      </w:r>
      <w:r w:rsidR="00FF1997">
        <w:instrText xml:space="preserve"> TA \l "</w:instrText>
      </w:r>
      <w:r w:rsidR="00FF1997" w:rsidRPr="003A0566">
        <w:rPr>
          <w:i/>
          <w:iCs/>
        </w:rPr>
        <w:instrText>In re Green Grand Jury Procs.</w:instrText>
      </w:r>
      <w:r w:rsidR="00FF1997" w:rsidRPr="003A0566">
        <w:instrText>, 492 F.3d 976 (8th Cir. 2007)</w:instrText>
      </w:r>
      <w:r w:rsidR="00FF1997">
        <w:instrText xml:space="preserve">" \s "In re Green Grand Jury Procs." \c 1 </w:instrText>
      </w:r>
      <w:r w:rsidR="00FF1997">
        <w:fldChar w:fldCharType="end"/>
      </w:r>
      <w:r w:rsidR="003F30DB">
        <w:t xml:space="preserve"> (quoting </w:t>
      </w:r>
      <w:r w:rsidR="003F30DB">
        <w:rPr>
          <w:i/>
          <w:iCs/>
        </w:rPr>
        <w:t>In re Murphy</w:t>
      </w:r>
      <w:r w:rsidR="003F30DB">
        <w:t xml:space="preserve">, 560 F.2d 326, 336 (8th Cir. 1977)); </w:t>
      </w:r>
      <w:r w:rsidR="003F30DB">
        <w:rPr>
          <w:i/>
          <w:iCs/>
        </w:rPr>
        <w:t>accord Upjohn Co.</w:t>
      </w:r>
      <w:r w:rsidR="00176ABD">
        <w:rPr>
          <w:i/>
          <w:iCs/>
        </w:rPr>
        <w:t xml:space="preserve"> v. United States</w:t>
      </w:r>
      <w:r w:rsidR="003F30DB">
        <w:t xml:space="preserve">, 449 U.S. </w:t>
      </w:r>
      <w:r w:rsidR="00176ABD">
        <w:t>383,</w:t>
      </w:r>
      <w:r w:rsidR="003F30DB">
        <w:t xml:space="preserve"> 400</w:t>
      </w:r>
      <w:r w:rsidR="00176ABD">
        <w:t xml:space="preserve"> (1981)</w:t>
      </w:r>
      <w:r w:rsidR="00FF1997">
        <w:fldChar w:fldCharType="begin"/>
      </w:r>
      <w:r w:rsidR="00FF1997">
        <w:instrText xml:space="preserve"> TA \l "</w:instrText>
      </w:r>
      <w:r w:rsidR="00FF1997" w:rsidRPr="003A0566">
        <w:rPr>
          <w:i/>
          <w:iCs/>
        </w:rPr>
        <w:instrText>Upjohn Co. v. United States</w:instrText>
      </w:r>
      <w:r w:rsidR="00FF1997" w:rsidRPr="003A0566">
        <w:instrText>, 449 U.S. 383 (1981)</w:instrText>
      </w:r>
      <w:r w:rsidR="00FF1997">
        <w:instrText xml:space="preserve">" \s "Upjohn" \c 1 </w:instrText>
      </w:r>
      <w:r w:rsidR="00FF1997">
        <w:fldChar w:fldCharType="end"/>
      </w:r>
      <w:r w:rsidR="003F30DB">
        <w:t xml:space="preserve">. </w:t>
      </w:r>
      <w:r w:rsidR="00356FDA">
        <w:t xml:space="preserve">Thus, under this exception, Armana’s records of the Seton interview are not protected by work-product privilege and the Government’s subpoena </w:t>
      </w:r>
      <w:r w:rsidR="00356FDA" w:rsidRPr="003F30DB">
        <w:rPr>
          <w:i/>
          <w:iCs/>
        </w:rPr>
        <w:t>duces tecum</w:t>
      </w:r>
      <w:r w:rsidR="00356FDA">
        <w:t xml:space="preserve"> should not be quashed.</w:t>
      </w:r>
    </w:p>
    <w:p w14:paraId="47F409B2" w14:textId="67558283" w:rsidR="00A72F79" w:rsidRDefault="00493D73" w:rsidP="00537535">
      <w:pPr>
        <w:pStyle w:val="Heading3"/>
        <w:numPr>
          <w:ilvl w:val="0"/>
          <w:numId w:val="25"/>
        </w:numPr>
        <w:ind w:left="720"/>
      </w:pPr>
      <w:bookmarkStart w:id="12" w:name="_Toc239117120"/>
      <w:r>
        <w:t>The substantial need exception applies in criminal cases.</w:t>
      </w:r>
      <w:bookmarkEnd w:id="12"/>
      <w:r>
        <w:t xml:space="preserve"> </w:t>
      </w:r>
    </w:p>
    <w:p w14:paraId="40BE6903" w14:textId="686405F0" w:rsidR="00622395" w:rsidRPr="003738FE" w:rsidRDefault="00A72F79" w:rsidP="004908CF">
      <w:pPr>
        <w:pStyle w:val="BodyTextFirstIndent"/>
      </w:pPr>
      <w:r>
        <w:t xml:space="preserve">Although the Supreme Court has not applied the </w:t>
      </w:r>
      <w:r w:rsidR="0003716C">
        <w:t xml:space="preserve">substantial need </w:t>
      </w:r>
      <w:r>
        <w:t xml:space="preserve">exception itself, the </w:t>
      </w:r>
      <w:r w:rsidR="0003716C">
        <w:t xml:space="preserve">work-product </w:t>
      </w:r>
      <w:r>
        <w:t>doctrine applie</w:t>
      </w:r>
      <w:r w:rsidR="0003716C">
        <w:t>s</w:t>
      </w:r>
      <w:r>
        <w:t xml:space="preserve"> to criminal cases,</w:t>
      </w:r>
      <w:r w:rsidR="006F1A5C">
        <w:t xml:space="preserve"> and the Court</w:t>
      </w:r>
      <w:r>
        <w:t xml:space="preserve"> </w:t>
      </w:r>
      <w:r w:rsidR="0003716C">
        <w:t xml:space="preserve">has </w:t>
      </w:r>
      <w:r>
        <w:t>never suggest</w:t>
      </w:r>
      <w:r w:rsidR="006F1A5C">
        <w:t>ed the</w:t>
      </w:r>
      <w:r>
        <w:t xml:space="preserve"> exception would not apply. In </w:t>
      </w:r>
      <w:r>
        <w:rPr>
          <w:i/>
          <w:iCs/>
        </w:rPr>
        <w:t>Nobles</w:t>
      </w:r>
      <w:r>
        <w:t>, the Supreme Court found that</w:t>
      </w:r>
      <w:r w:rsidR="006F1A5C">
        <w:t xml:space="preserve"> </w:t>
      </w:r>
      <w:r>
        <w:t>the work-product “</w:t>
      </w:r>
      <w:r w:rsidRPr="00A72F79">
        <w:t>doctrine</w:t>
      </w:r>
      <w:r>
        <w:t xml:space="preserve"> applies to criminal litigation as well as civil</w:t>
      </w:r>
      <w:r w:rsidR="00D10B0D">
        <w:t xml:space="preserve"> . . . .</w:t>
      </w:r>
      <w:r>
        <w:t>” 422 U.S. at 236</w:t>
      </w:r>
      <w:r w:rsidR="00FF1997">
        <w:fldChar w:fldCharType="begin"/>
      </w:r>
      <w:r w:rsidR="00FF1997">
        <w:instrText xml:space="preserve"> TA \s "Nobles" </w:instrText>
      </w:r>
      <w:r w:rsidR="00FF1997">
        <w:fldChar w:fldCharType="end"/>
      </w:r>
      <w:r>
        <w:t xml:space="preserve">. The Court </w:t>
      </w:r>
      <w:r w:rsidR="006F1A5C">
        <w:t xml:space="preserve">went on to explain that “[t]he privilege derived from the work-product doctrine is </w:t>
      </w:r>
      <w:r w:rsidR="006F1A5C" w:rsidRPr="006F1A5C">
        <w:t>not</w:t>
      </w:r>
      <w:r w:rsidR="006F1A5C">
        <w:t xml:space="preserve"> absolute.” </w:t>
      </w:r>
      <w:r w:rsidR="006F1A5C">
        <w:rPr>
          <w:i/>
          <w:iCs/>
        </w:rPr>
        <w:t>Id.</w:t>
      </w:r>
      <w:r w:rsidR="006F1A5C">
        <w:t xml:space="preserve"> at 239</w:t>
      </w:r>
      <w:r w:rsidR="00FF1997">
        <w:fldChar w:fldCharType="begin"/>
      </w:r>
      <w:r w:rsidR="00FF1997">
        <w:instrText xml:space="preserve"> TA \s "Nobles" </w:instrText>
      </w:r>
      <w:r w:rsidR="00FF1997">
        <w:fldChar w:fldCharType="end"/>
      </w:r>
      <w:r w:rsidR="006F1A5C">
        <w:t>.</w:t>
      </w:r>
      <w:r w:rsidR="003738FE">
        <w:t xml:space="preserve"> A</w:t>
      </w:r>
      <w:r w:rsidR="006F1A5C">
        <w:t xml:space="preserve">lthough the Supreme Court </w:t>
      </w:r>
      <w:r w:rsidR="006F1A5C">
        <w:lastRenderedPageBreak/>
        <w:t xml:space="preserve">found that the privilege was waived in </w:t>
      </w:r>
      <w:r w:rsidR="006F1A5C">
        <w:rPr>
          <w:i/>
          <w:iCs/>
        </w:rPr>
        <w:t>Nobles</w:t>
      </w:r>
      <w:r w:rsidR="006F1A5C">
        <w:t xml:space="preserve">, this heavily suggests other exceptions—such as substantial need—equally apply to the work-product doctrine in criminal cases. </w:t>
      </w:r>
      <w:r w:rsidR="006F1A5C">
        <w:rPr>
          <w:i/>
          <w:iCs/>
        </w:rPr>
        <w:t>Id.</w:t>
      </w:r>
      <w:r w:rsidR="006F1A5C">
        <w:t xml:space="preserve"> at 239–40</w:t>
      </w:r>
      <w:r w:rsidR="00FF1997">
        <w:fldChar w:fldCharType="begin"/>
      </w:r>
      <w:r w:rsidR="00FF1997">
        <w:instrText xml:space="preserve"> TA \s "Nobles" </w:instrText>
      </w:r>
      <w:r w:rsidR="00FF1997">
        <w:fldChar w:fldCharType="end"/>
      </w:r>
      <w:r w:rsidR="006F1A5C">
        <w:t>.</w:t>
      </w:r>
      <w:r w:rsidR="00945664">
        <w:t xml:space="preserve"> Moreover, the Supreme Court largely based its rationale on its opinion in </w:t>
      </w:r>
      <w:r w:rsidR="00945664">
        <w:rPr>
          <w:i/>
          <w:iCs/>
        </w:rPr>
        <w:t>Hickman</w:t>
      </w:r>
      <w:r w:rsidR="00945664">
        <w:t xml:space="preserve">. </w:t>
      </w:r>
      <w:r w:rsidR="00945664">
        <w:rPr>
          <w:i/>
          <w:iCs/>
        </w:rPr>
        <w:t>See id.</w:t>
      </w:r>
      <w:r w:rsidR="00945664">
        <w:t xml:space="preserve"> at </w:t>
      </w:r>
      <w:r w:rsidR="003738FE">
        <w:t>237–38</w:t>
      </w:r>
      <w:r w:rsidR="00FF1997">
        <w:fldChar w:fldCharType="begin"/>
      </w:r>
      <w:r w:rsidR="00FF1997">
        <w:instrText xml:space="preserve"> TA \s "Nobles" </w:instrText>
      </w:r>
      <w:r w:rsidR="00FF1997">
        <w:fldChar w:fldCharType="end"/>
      </w:r>
      <w:r w:rsidR="003738FE">
        <w:t xml:space="preserve">. </w:t>
      </w:r>
      <w:r w:rsidR="00176ABD">
        <w:t>There</w:t>
      </w:r>
      <w:r w:rsidR="003738FE">
        <w:t xml:space="preserve">, the Court provided that a party may overcome the work-product privilege if that party “establish[es] adequate reasons to justify production through a subpoena or court order.” </w:t>
      </w:r>
      <w:r w:rsidR="003738FE">
        <w:rPr>
          <w:i/>
          <w:iCs/>
        </w:rPr>
        <w:t>Hickman v. Taylor</w:t>
      </w:r>
      <w:r w:rsidR="003738FE">
        <w:t>, 329 U.S. 495, 512 (1947)</w:t>
      </w:r>
      <w:r w:rsidR="00FF1997">
        <w:fldChar w:fldCharType="begin"/>
      </w:r>
      <w:r w:rsidR="00FF1997">
        <w:instrText xml:space="preserve"> TA \l "</w:instrText>
      </w:r>
      <w:r w:rsidR="00FF1997" w:rsidRPr="003A0566">
        <w:rPr>
          <w:i/>
          <w:iCs/>
        </w:rPr>
        <w:instrText>Hickman v. Taylor</w:instrText>
      </w:r>
      <w:r w:rsidR="00FF1997" w:rsidRPr="003A0566">
        <w:instrText>, 329 U.S. 495 (1947)</w:instrText>
      </w:r>
      <w:r w:rsidR="00FF1997">
        <w:instrText xml:space="preserve">" \s "Hickman" \c 1 </w:instrText>
      </w:r>
      <w:r w:rsidR="00FF1997">
        <w:fldChar w:fldCharType="end"/>
      </w:r>
      <w:r w:rsidR="003738FE">
        <w:t xml:space="preserve">. Thus, through </w:t>
      </w:r>
      <w:r w:rsidR="003738FE">
        <w:rPr>
          <w:i/>
          <w:iCs/>
        </w:rPr>
        <w:t>Nobles</w:t>
      </w:r>
      <w:r w:rsidR="003738FE">
        <w:t xml:space="preserve"> and </w:t>
      </w:r>
      <w:r w:rsidR="003F30DB">
        <w:t xml:space="preserve">its </w:t>
      </w:r>
      <w:r w:rsidR="003738FE">
        <w:t xml:space="preserve">reliance on </w:t>
      </w:r>
      <w:r w:rsidR="003738FE">
        <w:rPr>
          <w:i/>
          <w:iCs/>
        </w:rPr>
        <w:t>Hickman</w:t>
      </w:r>
      <w:r w:rsidR="003738FE">
        <w:t>, the substantial need exception applies to criminal cases.</w:t>
      </w:r>
    </w:p>
    <w:p w14:paraId="37BF589A" w14:textId="7ACB042E" w:rsidR="00A72F79" w:rsidRPr="008E2FEE" w:rsidRDefault="00945664" w:rsidP="00BD4BAF">
      <w:pPr>
        <w:pStyle w:val="BodyTextFirstIndent"/>
      </w:pPr>
      <w:r>
        <w:t>S</w:t>
      </w:r>
      <w:r w:rsidR="00A72F79">
        <w:t xml:space="preserve">everal </w:t>
      </w:r>
      <w:r w:rsidR="003F30DB">
        <w:t>c</w:t>
      </w:r>
      <w:r w:rsidR="00A72F79">
        <w:t xml:space="preserve">ircuit </w:t>
      </w:r>
      <w:r w:rsidR="003F30DB">
        <w:t>c</w:t>
      </w:r>
      <w:r w:rsidR="00A72F79">
        <w:t xml:space="preserve">ourts have </w:t>
      </w:r>
      <w:r w:rsidR="003F30DB">
        <w:t>recognized the substantial need exception in the criminal context</w:t>
      </w:r>
      <w:r w:rsidR="00BD4BAF">
        <w:t xml:space="preserve">. This </w:t>
      </w:r>
      <w:r w:rsidR="00E10DE6">
        <w:t>includ</w:t>
      </w:r>
      <w:r w:rsidR="00BD4BAF">
        <w:t>es</w:t>
      </w:r>
      <w:r w:rsidR="00E10DE6">
        <w:t xml:space="preserve"> the Second, </w:t>
      </w:r>
      <w:r w:rsidR="008F33A3">
        <w:t xml:space="preserve">Third, </w:t>
      </w:r>
      <w:r w:rsidR="00E10DE6">
        <w:t xml:space="preserve">Fourth, Fifth, </w:t>
      </w:r>
      <w:r w:rsidR="006F325D">
        <w:t xml:space="preserve">Eighth, </w:t>
      </w:r>
      <w:r w:rsidR="002639A8">
        <w:t xml:space="preserve">and </w:t>
      </w:r>
      <w:r w:rsidR="00E10DE6">
        <w:t>Nint</w:t>
      </w:r>
      <w:r w:rsidR="002639A8">
        <w:t>h</w:t>
      </w:r>
      <w:r w:rsidR="000726B0">
        <w:t xml:space="preserve"> Circuits</w:t>
      </w:r>
      <w:r w:rsidR="00E10DE6">
        <w:t xml:space="preserve">. </w:t>
      </w:r>
      <w:r w:rsidR="0072539A">
        <w:rPr>
          <w:i/>
          <w:iCs/>
        </w:rPr>
        <w:t>See, e</w:t>
      </w:r>
      <w:r w:rsidR="003726CA">
        <w:rPr>
          <w:i/>
          <w:iCs/>
        </w:rPr>
        <w:t>.g.</w:t>
      </w:r>
      <w:r w:rsidR="0072539A">
        <w:t>,</w:t>
      </w:r>
      <w:r w:rsidR="003726CA">
        <w:rPr>
          <w:i/>
          <w:iCs/>
        </w:rPr>
        <w:t xml:space="preserve"> </w:t>
      </w:r>
      <w:r w:rsidR="004E61C2">
        <w:rPr>
          <w:i/>
          <w:iCs/>
        </w:rPr>
        <w:t xml:space="preserve">In re </w:t>
      </w:r>
      <w:r w:rsidR="00FF1997">
        <w:rPr>
          <w:i/>
          <w:iCs/>
        </w:rPr>
        <w:t>G</w:t>
      </w:r>
      <w:r w:rsidR="004E61C2">
        <w:rPr>
          <w:i/>
          <w:iCs/>
        </w:rPr>
        <w:t>rand Jury Subpoena Dated July 6, 2005</w:t>
      </w:r>
      <w:r w:rsidR="004E61C2">
        <w:t>, 510 F.3d 180, 185–88 (2d Cir. 2007)</w:t>
      </w:r>
      <w:r w:rsidR="00FF1997">
        <w:fldChar w:fldCharType="begin"/>
      </w:r>
      <w:r w:rsidR="00FF1997">
        <w:instrText xml:space="preserve"> TA \l "</w:instrText>
      </w:r>
      <w:r w:rsidR="00FF1997" w:rsidRPr="003A0566">
        <w:rPr>
          <w:i/>
          <w:iCs/>
        </w:rPr>
        <w:instrText xml:space="preserve">In re </w:instrText>
      </w:r>
      <w:r w:rsidR="00FF1997">
        <w:rPr>
          <w:i/>
          <w:iCs/>
        </w:rPr>
        <w:instrText>G</w:instrText>
      </w:r>
      <w:r w:rsidR="00FF1997" w:rsidRPr="003A0566">
        <w:rPr>
          <w:i/>
          <w:iCs/>
        </w:rPr>
        <w:instrText>rand Jury Subpoena Dated July 6, 2005</w:instrText>
      </w:r>
      <w:r w:rsidR="00FF1997" w:rsidRPr="003A0566">
        <w:instrText>, 510 F.3d 180 (2d Cir. 2007)</w:instrText>
      </w:r>
      <w:r w:rsidR="00FF1997">
        <w:instrText xml:space="preserve">" \s "In re Grand Jury Subpoena Dated July 6, 2005" \c 1 </w:instrText>
      </w:r>
      <w:r w:rsidR="00FF1997">
        <w:fldChar w:fldCharType="end"/>
      </w:r>
      <w:r w:rsidR="00E10DE6">
        <w:t xml:space="preserve">; </w:t>
      </w:r>
      <w:r w:rsidR="008F33A3">
        <w:rPr>
          <w:i/>
          <w:iCs/>
        </w:rPr>
        <w:t>In re Grand Jury Empanelled Oct. 18, 1979 (Appeal of Hughes)</w:t>
      </w:r>
      <w:r w:rsidR="008F33A3">
        <w:t>, 633 F.2d 282, 290 (3d Cir. 1980)</w:t>
      </w:r>
      <w:r w:rsidR="00FF1997">
        <w:fldChar w:fldCharType="begin"/>
      </w:r>
      <w:r w:rsidR="00FF1997">
        <w:instrText xml:space="preserve"> TA \l "</w:instrText>
      </w:r>
      <w:r w:rsidR="00FF1997" w:rsidRPr="003A0566">
        <w:rPr>
          <w:i/>
          <w:iCs/>
        </w:rPr>
        <w:instrText>In re Grand Jury Empanelled Oct. 18, 1979 (Appeal of Hughes)</w:instrText>
      </w:r>
      <w:r w:rsidR="00FF1997" w:rsidRPr="003A0566">
        <w:instrText>, 633 F.2d 282 (3d Cir. 1980)</w:instrText>
      </w:r>
      <w:r w:rsidR="00FF1997">
        <w:instrText xml:space="preserve">" \s "In re Grand Jury Empanelled Oct. 18, 1979 (Appeal of Hughes)" \c 1 </w:instrText>
      </w:r>
      <w:r w:rsidR="00FF1997">
        <w:fldChar w:fldCharType="end"/>
      </w:r>
      <w:r w:rsidR="008F33A3">
        <w:t xml:space="preserve"> (</w:t>
      </w:r>
      <w:r w:rsidR="00BA59D7">
        <w:t xml:space="preserve">implicitly applying the substantial need exception and </w:t>
      </w:r>
      <w:r w:rsidR="008F33A3">
        <w:t xml:space="preserve">providing exception to work-product privilege for “good cause”); </w:t>
      </w:r>
      <w:r w:rsidR="00E10DE6" w:rsidRPr="00AC0B03">
        <w:rPr>
          <w:i/>
          <w:iCs/>
        </w:rPr>
        <w:t>In re Grand Jury Subpoena</w:t>
      </w:r>
      <w:r w:rsidR="00E10DE6">
        <w:t>, 870 F.3d 312,</w:t>
      </w:r>
      <w:r w:rsidR="00276CCB">
        <w:t xml:space="preserve"> 316, 320 n.5</w:t>
      </w:r>
      <w:r w:rsidR="00E10DE6">
        <w:t xml:space="preserve"> (4th Cir. 2017)</w:t>
      </w:r>
      <w:r w:rsidR="00FF1997">
        <w:fldChar w:fldCharType="begin"/>
      </w:r>
      <w:r w:rsidR="00FF1997">
        <w:instrText xml:space="preserve"> TA \l "</w:instrText>
      </w:r>
      <w:r w:rsidR="00FF1997" w:rsidRPr="003A0566">
        <w:rPr>
          <w:i/>
          <w:iCs/>
        </w:rPr>
        <w:instrText>In re Grand Jury Subpoena</w:instrText>
      </w:r>
      <w:r w:rsidR="00FF1997" w:rsidRPr="003A0566">
        <w:instrText>, 870 F.3d 312, 316 (4th Cir. 2017)</w:instrText>
      </w:r>
      <w:r w:rsidR="00FF1997">
        <w:instrText xml:space="preserve">" \s "In re Grand Jury Subpoena" \c 1 </w:instrText>
      </w:r>
      <w:r w:rsidR="00FF1997">
        <w:fldChar w:fldCharType="end"/>
      </w:r>
      <w:r w:rsidR="00E10DE6">
        <w:t xml:space="preserve">; </w:t>
      </w:r>
      <w:r w:rsidR="00E10DE6">
        <w:rPr>
          <w:i/>
          <w:iCs/>
        </w:rPr>
        <w:t>In re Grand Jury Procs.</w:t>
      </w:r>
      <w:r w:rsidR="00E10DE6">
        <w:t xml:space="preserve">, 43 F.3d 966, </w:t>
      </w:r>
      <w:r w:rsidR="0072539A">
        <w:t>970–71</w:t>
      </w:r>
      <w:r w:rsidR="00E10DE6">
        <w:t xml:space="preserve"> (5th Cir. 1994)</w:t>
      </w:r>
      <w:r w:rsidR="00FF1997">
        <w:fldChar w:fldCharType="begin"/>
      </w:r>
      <w:r w:rsidR="00FF1997">
        <w:instrText xml:space="preserve"> TA \l "</w:instrText>
      </w:r>
      <w:r w:rsidR="00FF1997" w:rsidRPr="003A0566">
        <w:rPr>
          <w:i/>
          <w:iCs/>
        </w:rPr>
        <w:instrText>In re Grand Jury Procs.</w:instrText>
      </w:r>
      <w:r w:rsidR="00FF1997" w:rsidRPr="003A0566">
        <w:instrText>, 43 F.3d 966 (5th Cir. 1994)</w:instrText>
      </w:r>
      <w:r w:rsidR="00FF1997">
        <w:instrText xml:space="preserve">" \s "In re Grand Jury Procs." \c 1 </w:instrText>
      </w:r>
      <w:r w:rsidR="00FF1997">
        <w:fldChar w:fldCharType="end"/>
      </w:r>
      <w:r w:rsidR="00E10DE6">
        <w:t>;</w:t>
      </w:r>
      <w:r w:rsidR="000726B0">
        <w:t xml:space="preserve"> </w:t>
      </w:r>
      <w:r w:rsidR="006F325D">
        <w:rPr>
          <w:i/>
          <w:iCs/>
        </w:rPr>
        <w:t>Green Grand Jury Procs.</w:t>
      </w:r>
      <w:r w:rsidR="006F325D">
        <w:t xml:space="preserve">, 492 F.3d </w:t>
      </w:r>
      <w:r w:rsidR="003F30DB">
        <w:t>at</w:t>
      </w:r>
      <w:r w:rsidR="006F325D">
        <w:t xml:space="preserve"> 980–82</w:t>
      </w:r>
      <w:r w:rsidR="00FF1997">
        <w:fldChar w:fldCharType="begin"/>
      </w:r>
      <w:r w:rsidR="00FF1997">
        <w:instrText xml:space="preserve"> TA \s "In re Green Grand Jury Procs." </w:instrText>
      </w:r>
      <w:r w:rsidR="00FF1997">
        <w:fldChar w:fldCharType="end"/>
      </w:r>
      <w:r w:rsidR="006F325D">
        <w:t xml:space="preserve"> (applying the substantial need exception analysis); </w:t>
      </w:r>
      <w:r w:rsidR="000726B0">
        <w:rPr>
          <w:i/>
          <w:iCs/>
        </w:rPr>
        <w:t>In re Grand Jury Subpoena (Mark Torf/Torf E</w:t>
      </w:r>
      <w:r w:rsidR="00A629C3">
        <w:rPr>
          <w:i/>
          <w:iCs/>
        </w:rPr>
        <w:t>nv’</w:t>
      </w:r>
      <w:r w:rsidR="000726B0">
        <w:rPr>
          <w:i/>
          <w:iCs/>
        </w:rPr>
        <w:t xml:space="preserve">t </w:t>
      </w:r>
      <w:r w:rsidR="00A629C3">
        <w:rPr>
          <w:i/>
          <w:iCs/>
        </w:rPr>
        <w:t>M</w:t>
      </w:r>
      <w:r w:rsidR="000726B0">
        <w:rPr>
          <w:i/>
          <w:iCs/>
        </w:rPr>
        <w:t>g</w:t>
      </w:r>
      <w:r w:rsidR="00A629C3">
        <w:rPr>
          <w:i/>
          <w:iCs/>
        </w:rPr>
        <w:t>m</w:t>
      </w:r>
      <w:r w:rsidR="000726B0">
        <w:rPr>
          <w:i/>
          <w:iCs/>
        </w:rPr>
        <w:t>t</w:t>
      </w:r>
      <w:r w:rsidR="00A629C3">
        <w:rPr>
          <w:i/>
          <w:iCs/>
        </w:rPr>
        <w:t>.</w:t>
      </w:r>
      <w:r w:rsidR="000726B0">
        <w:rPr>
          <w:i/>
          <w:iCs/>
        </w:rPr>
        <w:t>)</w:t>
      </w:r>
      <w:r w:rsidR="000726B0">
        <w:t>,</w:t>
      </w:r>
      <w:r w:rsidR="000726B0">
        <w:rPr>
          <w:i/>
          <w:iCs/>
        </w:rPr>
        <w:t xml:space="preserve"> </w:t>
      </w:r>
      <w:r w:rsidR="000726B0">
        <w:t>357 F.3d 900, 906–10 (9th Cir. 2004)</w:t>
      </w:r>
      <w:r w:rsidR="00FF1997">
        <w:fldChar w:fldCharType="begin"/>
      </w:r>
      <w:r w:rsidR="00FF1997">
        <w:instrText xml:space="preserve"> TA \l "</w:instrText>
      </w:r>
      <w:r w:rsidR="00FF1997" w:rsidRPr="003A0566">
        <w:rPr>
          <w:i/>
          <w:iCs/>
        </w:rPr>
        <w:instrText>In re Grand Jury Subpoena (Mark Torf/Torf Env’t Mgmt.)</w:instrText>
      </w:r>
      <w:r w:rsidR="00FF1997" w:rsidRPr="003A0566">
        <w:instrText>,</w:instrText>
      </w:r>
      <w:r w:rsidR="00FF1997" w:rsidRPr="003A0566">
        <w:rPr>
          <w:i/>
          <w:iCs/>
        </w:rPr>
        <w:instrText xml:space="preserve"> </w:instrText>
      </w:r>
      <w:r w:rsidR="00FF1997" w:rsidRPr="003A0566">
        <w:instrText>357 F.3d 900 (9th Cir. 2004)</w:instrText>
      </w:r>
      <w:r w:rsidR="00FF1997">
        <w:instrText xml:space="preserve">" \s "Mark Torf/Torf Env’t Mgmt." \c 1 </w:instrText>
      </w:r>
      <w:r w:rsidR="00FF1997">
        <w:fldChar w:fldCharType="end"/>
      </w:r>
      <w:r w:rsidR="000726B0">
        <w:t xml:space="preserve"> (applying the substantial need exception</w:t>
      </w:r>
      <w:r w:rsidR="006F325D">
        <w:t xml:space="preserve"> analysis</w:t>
      </w:r>
      <w:r w:rsidR="000726B0">
        <w:t>)</w:t>
      </w:r>
      <w:r w:rsidR="00E10DE6">
        <w:t>.</w:t>
      </w:r>
      <w:r w:rsidR="008E2FEE">
        <w:t xml:space="preserve"> </w:t>
      </w:r>
    </w:p>
    <w:p w14:paraId="4BB30221" w14:textId="7B76678E" w:rsidR="009E359D" w:rsidRPr="009E359D" w:rsidRDefault="00FE6D0C" w:rsidP="00176ABD">
      <w:pPr>
        <w:pStyle w:val="BodyTextFirstIndent"/>
      </w:pPr>
      <w:r>
        <w:lastRenderedPageBreak/>
        <w:t xml:space="preserve">Construing the work-product doctrine to exclude the substantial </w:t>
      </w:r>
      <w:r w:rsidR="00176ABD">
        <w:t xml:space="preserve">need </w:t>
      </w:r>
      <w:r w:rsidR="0002516E">
        <w:t xml:space="preserve">exception </w:t>
      </w:r>
      <w:r>
        <w:t xml:space="preserve">derogates the ability to search for the truth in criminal cases. In </w:t>
      </w:r>
      <w:r>
        <w:rPr>
          <w:i/>
          <w:iCs/>
        </w:rPr>
        <w:t>Cheney v.</w:t>
      </w:r>
      <w:r w:rsidR="004C5408">
        <w:rPr>
          <w:i/>
          <w:iCs/>
        </w:rPr>
        <w:t xml:space="preserve"> United States District Court for the District of Columbia</w:t>
      </w:r>
      <w:r>
        <w:t xml:space="preserve">, the Supreme Court distinguished the function of privilege in civil cases and criminal cases, comparing its analysis in </w:t>
      </w:r>
      <w:r>
        <w:rPr>
          <w:i/>
          <w:iCs/>
        </w:rPr>
        <w:t>United States v. Nixon</w:t>
      </w:r>
      <w:r>
        <w:t xml:space="preserve">. </w:t>
      </w:r>
      <w:r>
        <w:rPr>
          <w:i/>
          <w:iCs/>
        </w:rPr>
        <w:t>Cheney v.</w:t>
      </w:r>
      <w:r w:rsidR="004C5408">
        <w:rPr>
          <w:i/>
          <w:iCs/>
        </w:rPr>
        <w:t xml:space="preserve"> U.S. Dist. Ct. for the D.C.</w:t>
      </w:r>
      <w:r>
        <w:t>, 542 U.S. 367, 384 (2004)</w:t>
      </w:r>
      <w:r w:rsidR="00FF1997">
        <w:fldChar w:fldCharType="begin"/>
      </w:r>
      <w:r w:rsidR="00FF1997">
        <w:instrText xml:space="preserve"> TA \l "</w:instrText>
      </w:r>
      <w:r w:rsidR="00FF1997" w:rsidRPr="003A0566">
        <w:rPr>
          <w:i/>
          <w:iCs/>
        </w:rPr>
        <w:instrText>Cheney v. U.S. Dist. Ct. for the D.C.</w:instrText>
      </w:r>
      <w:r w:rsidR="00FF1997" w:rsidRPr="003A0566">
        <w:instrText>, 542 U.S. 367 (2004)</w:instrText>
      </w:r>
      <w:r w:rsidR="00FF1997">
        <w:instrText xml:space="preserve">" \s "Cheney" \c 1 </w:instrText>
      </w:r>
      <w:r w:rsidR="00FF1997">
        <w:fldChar w:fldCharType="end"/>
      </w:r>
      <w:r>
        <w:t xml:space="preserve">. The </w:t>
      </w:r>
      <w:r>
        <w:rPr>
          <w:i/>
          <w:iCs/>
        </w:rPr>
        <w:t>Cheney</w:t>
      </w:r>
      <w:r>
        <w:t xml:space="preserve"> Court explained that </w:t>
      </w:r>
      <w:r w:rsidR="0029120F">
        <w:t xml:space="preserve">“the need for information in the criminal context is much weightier” and </w:t>
      </w:r>
      <w:r>
        <w:t xml:space="preserve">“privilege claims that shield information from a grand jury or a </w:t>
      </w:r>
      <w:r w:rsidRPr="0029120F">
        <w:t>criminal trial</w:t>
      </w:r>
      <w:r>
        <w:t xml:space="preserve"> are not to be ‘expansively construed, for they are in derogation of the search for truth.’” </w:t>
      </w:r>
      <w:r>
        <w:rPr>
          <w:i/>
          <w:iCs/>
        </w:rPr>
        <w:t>Id.</w:t>
      </w:r>
      <w:r w:rsidR="00FF1997">
        <w:rPr>
          <w:i/>
          <w:iCs/>
        </w:rPr>
        <w:fldChar w:fldCharType="begin"/>
      </w:r>
      <w:r w:rsidR="00FF1997">
        <w:instrText xml:space="preserve"> TA \s "Cheney" </w:instrText>
      </w:r>
      <w:r w:rsidR="00FF1997">
        <w:rPr>
          <w:i/>
          <w:iCs/>
        </w:rPr>
        <w:fldChar w:fldCharType="end"/>
      </w:r>
      <w:r>
        <w:t xml:space="preserve"> (quoting </w:t>
      </w:r>
      <w:r>
        <w:rPr>
          <w:i/>
          <w:iCs/>
        </w:rPr>
        <w:t>United States v. Nixon</w:t>
      </w:r>
      <w:r>
        <w:t xml:space="preserve">, 418 U.S. 683, </w:t>
      </w:r>
      <w:r w:rsidR="0029120F">
        <w:t>708–</w:t>
      </w:r>
      <w:r>
        <w:t xml:space="preserve">10 (1974)). </w:t>
      </w:r>
      <w:r w:rsidR="0029120F">
        <w:t>Thus, the work-product privilege cannot be construed so broadly as to entirely bar the Government from obtaining work product when there is a substantial need.</w:t>
      </w:r>
      <w:r w:rsidR="00176ABD">
        <w:t xml:space="preserve"> </w:t>
      </w:r>
      <w:r w:rsidR="009E359D">
        <w:t>Therefore, the substantial need exception applies here to Armana’s records of the Seton interview.</w:t>
      </w:r>
    </w:p>
    <w:p w14:paraId="2AB7B06C" w14:textId="4ED3D876" w:rsidR="000D2475" w:rsidRDefault="00493D73" w:rsidP="004137B3">
      <w:pPr>
        <w:pStyle w:val="Heading3"/>
      </w:pPr>
      <w:bookmarkStart w:id="13" w:name="_Toc239117121"/>
      <w:r>
        <w:t>Armana’s records</w:t>
      </w:r>
      <w:r w:rsidR="00661091">
        <w:t xml:space="preserve"> are discoverable because they</w:t>
      </w:r>
      <w:r>
        <w:t xml:space="preserve"> constitute fact work product</w:t>
      </w:r>
      <w:r w:rsidR="004C3203">
        <w:t xml:space="preserve"> and the Government has a substantial need for the information that it cannot obtain from another source without undue hardship.</w:t>
      </w:r>
      <w:bookmarkEnd w:id="13"/>
    </w:p>
    <w:p w14:paraId="7049BCCF" w14:textId="2A70ACEB" w:rsidR="00417486" w:rsidRDefault="00417486" w:rsidP="00417486">
      <w:pPr>
        <w:pStyle w:val="BodyTextFirstIndent"/>
      </w:pPr>
      <w:r w:rsidRPr="00176ABD">
        <w:t>Under the work-product doctrine, courts recognize two different categories of work product: ordinary or fact work product and opinion work product.</w:t>
      </w:r>
      <w:r>
        <w:t xml:space="preserve"> Fact work product is a “‘transaction of the factual events involved,’ and opinion work product </w:t>
      </w:r>
      <w:r w:rsidR="00D10B0D">
        <w:t>. . .</w:t>
      </w:r>
      <w:r>
        <w:t xml:space="preserve"> ‘represents the actual thoughts and impressions of the attorney.’” </w:t>
      </w:r>
      <w:r w:rsidR="00B22EBD">
        <w:rPr>
          <w:i/>
          <w:iCs/>
        </w:rPr>
        <w:t xml:space="preserve">In re </w:t>
      </w:r>
      <w:r>
        <w:rPr>
          <w:i/>
          <w:iCs/>
        </w:rPr>
        <w:t xml:space="preserve">Search </w:t>
      </w:r>
      <w:r>
        <w:rPr>
          <w:i/>
          <w:iCs/>
        </w:rPr>
        <w:lastRenderedPageBreak/>
        <w:t>Warrant Issued June 13, 2019</w:t>
      </w:r>
      <w:r>
        <w:t>, 942 F.3d 159, 174 (4th Cir. 2019)</w:t>
      </w:r>
      <w:r w:rsidR="00B22EBD">
        <w:fldChar w:fldCharType="begin"/>
      </w:r>
      <w:r w:rsidR="00B22EBD">
        <w:instrText xml:space="preserve"> TA \l "</w:instrText>
      </w:r>
      <w:r w:rsidR="00B22EBD" w:rsidRPr="003A0566">
        <w:rPr>
          <w:i/>
          <w:iCs/>
        </w:rPr>
        <w:instrText>In re Search Warrant Issued June 13, 2019</w:instrText>
      </w:r>
      <w:r w:rsidR="00B22EBD" w:rsidRPr="003A0566">
        <w:instrText>, 942 F.3d 159 (4th Cir. 2019)</w:instrText>
      </w:r>
      <w:r w:rsidR="00B22EBD">
        <w:instrText xml:space="preserve">" \s "Search Warrant" \c 1 </w:instrText>
      </w:r>
      <w:r w:rsidR="00B22EBD">
        <w:fldChar w:fldCharType="end"/>
      </w:r>
      <w:r>
        <w:t xml:space="preserve"> (quoting</w:t>
      </w:r>
      <w:r>
        <w:rPr>
          <w:i/>
          <w:iCs/>
        </w:rPr>
        <w:t xml:space="preserve"> Grand Jury Subpoena</w:t>
      </w:r>
      <w:r>
        <w:t xml:space="preserve">, 870 F.3d </w:t>
      </w:r>
      <w:r w:rsidR="00176ABD">
        <w:t>at</w:t>
      </w:r>
      <w:r>
        <w:t xml:space="preserve"> 316). </w:t>
      </w:r>
    </w:p>
    <w:p w14:paraId="397E082A" w14:textId="797A6244" w:rsidR="00661091" w:rsidRPr="008E2FEE" w:rsidRDefault="00661091" w:rsidP="004137B3">
      <w:pPr>
        <w:pStyle w:val="Heading4"/>
        <w:numPr>
          <w:ilvl w:val="0"/>
          <w:numId w:val="21"/>
        </w:numPr>
        <w:ind w:left="1080"/>
      </w:pPr>
      <w:bookmarkStart w:id="14" w:name="_Toc239117122"/>
      <w:r>
        <w:t>Armana’s records of the Seton interview are fact work product</w:t>
      </w:r>
      <w:r w:rsidR="008A48F5">
        <w:t>.</w:t>
      </w:r>
      <w:bookmarkEnd w:id="14"/>
    </w:p>
    <w:p w14:paraId="46337B5C" w14:textId="1F84825D" w:rsidR="003366FA" w:rsidRDefault="004629A8" w:rsidP="0090508C">
      <w:pPr>
        <w:pStyle w:val="BodyTextFirstIndent"/>
      </w:pPr>
      <w:r>
        <w:t xml:space="preserve">When records of an interview are not “sharply focused or weeded” by counsel, the record is fact work product. </w:t>
      </w:r>
      <w:r w:rsidR="008847FB" w:rsidRPr="0051014D">
        <w:rPr>
          <w:i/>
          <w:iCs/>
        </w:rPr>
        <w:t xml:space="preserve">F.T.C. </w:t>
      </w:r>
      <w:r w:rsidR="008847FB">
        <w:rPr>
          <w:i/>
          <w:iCs/>
        </w:rPr>
        <w:t>v. Boehringer Ingelheim Pharms., Inc.</w:t>
      </w:r>
      <w:r w:rsidR="008847FB">
        <w:t>, 778 F.3d 142, 158 (D.C. Cir. 2015)</w:t>
      </w:r>
      <w:r w:rsidR="00B22EBD">
        <w:fldChar w:fldCharType="begin"/>
      </w:r>
      <w:r w:rsidR="00B22EBD">
        <w:instrText xml:space="preserve"> TA \l "</w:instrText>
      </w:r>
      <w:r w:rsidR="00B22EBD" w:rsidRPr="003A0566">
        <w:rPr>
          <w:i/>
          <w:iCs/>
        </w:rPr>
        <w:instrText>F.T.C. v. Boehringer Ingelheim Pharms., Inc.</w:instrText>
      </w:r>
      <w:r w:rsidR="00B22EBD" w:rsidRPr="003A0566">
        <w:instrText>, 778 F.3d 142 (D.C. Cir. 2015)</w:instrText>
      </w:r>
      <w:r w:rsidR="00B22EBD">
        <w:instrText xml:space="preserve">" \s "Boehringer" \c 1 </w:instrText>
      </w:r>
      <w:r w:rsidR="00B22EBD">
        <w:fldChar w:fldCharType="end"/>
      </w:r>
      <w:r w:rsidR="008847FB">
        <w:t xml:space="preserve"> (citing </w:t>
      </w:r>
      <w:r>
        <w:rPr>
          <w:i/>
          <w:iCs/>
        </w:rPr>
        <w:t>In re Sealed Case</w:t>
      </w:r>
      <w:r>
        <w:t>, 124 F.3d 230, 236 (D.C. Cir. 1997)</w:t>
      </w:r>
      <w:r w:rsidR="008847FB">
        <w:t>)</w:t>
      </w:r>
      <w:r>
        <w:t xml:space="preserve">; </w:t>
      </w:r>
      <w:r w:rsidR="00F452A3">
        <w:rPr>
          <w:i/>
          <w:iCs/>
        </w:rPr>
        <w:t>United States v. Bertie Ambulance Serv., Inc.</w:t>
      </w:r>
      <w:r w:rsidR="00F452A3">
        <w:t>, No. 2:14-CV-53-F, 2015 WL 3932167, at *5–6 (E.D.N.C. June 15, 2015)</w:t>
      </w:r>
      <w:r w:rsidR="00B22EBD">
        <w:fldChar w:fldCharType="begin"/>
      </w:r>
      <w:r w:rsidR="00B22EBD">
        <w:instrText xml:space="preserve"> TA \l "</w:instrText>
      </w:r>
      <w:r w:rsidR="00B22EBD" w:rsidRPr="003A0566">
        <w:rPr>
          <w:i/>
          <w:iCs/>
        </w:rPr>
        <w:instrText>United States v. Bertie Ambulance Serv., Inc.</w:instrText>
      </w:r>
      <w:r w:rsidR="00B22EBD" w:rsidRPr="003A0566">
        <w:instrText>, No. 2:14-CV-53-F, 2015 WL 3932167 (E.D.N.C. June 15, 2015)</w:instrText>
      </w:r>
      <w:r w:rsidR="00B22EBD">
        <w:instrText xml:space="preserve">" \s "Bertie" \c 1 </w:instrText>
      </w:r>
      <w:r w:rsidR="00B22EBD">
        <w:fldChar w:fldCharType="end"/>
      </w:r>
      <w:r w:rsidR="00F452A3">
        <w:t xml:space="preserve">; </w:t>
      </w:r>
      <w:r w:rsidR="008847FB">
        <w:rPr>
          <w:i/>
          <w:iCs/>
        </w:rPr>
        <w:t>Wiedeman v. Canal Ins. Co.</w:t>
      </w:r>
      <w:r w:rsidR="008847FB">
        <w:t>, No. 1:15-</w:t>
      </w:r>
      <w:r w:rsidR="00621A16">
        <w:t>CV</w:t>
      </w:r>
      <w:r w:rsidR="008847FB">
        <w:t>-4182-WSD, 2016 WL 608</w:t>
      </w:r>
      <w:r w:rsidR="00B9684E">
        <w:t>0908, at *1–2 (N.D. Ga. Oct. 18, 2016)</w:t>
      </w:r>
      <w:r w:rsidR="00B22EBD">
        <w:fldChar w:fldCharType="begin"/>
      </w:r>
      <w:r w:rsidR="00B22EBD">
        <w:instrText xml:space="preserve"> TA \l "</w:instrText>
      </w:r>
      <w:r w:rsidR="00B22EBD" w:rsidRPr="003A0566">
        <w:rPr>
          <w:i/>
          <w:iCs/>
        </w:rPr>
        <w:instrText>Wiedeman v. Canal Ins. Co.</w:instrText>
      </w:r>
      <w:r w:rsidR="00B22EBD" w:rsidRPr="003A0566">
        <w:instrText>, No. 1:15-CV-4182-WSD, 2016 WL 6080908 (N.D. Ga. Oct. 18, 2016)</w:instrText>
      </w:r>
      <w:r w:rsidR="00B22EBD">
        <w:instrText xml:space="preserve">" \s "Wiedeman" \c 1 </w:instrText>
      </w:r>
      <w:r w:rsidR="00B22EBD">
        <w:fldChar w:fldCharType="end"/>
      </w:r>
      <w:r w:rsidR="00B9684E">
        <w:t xml:space="preserve">; </w:t>
      </w:r>
      <w:r w:rsidR="00B9684E">
        <w:rPr>
          <w:i/>
          <w:iCs/>
        </w:rPr>
        <w:t>United States ex rel. Cairns v. D.S. Med., L.L.C.</w:t>
      </w:r>
      <w:r w:rsidR="00B9684E">
        <w:t>, No. 1:12CV00004 AGF, 2016 WL 7437919, at *5 (E.D. Mo. Dec. 22, 2016)</w:t>
      </w:r>
      <w:r w:rsidR="00B22EBD">
        <w:fldChar w:fldCharType="begin"/>
      </w:r>
      <w:r w:rsidR="00B22EBD">
        <w:instrText xml:space="preserve"> TA \l "</w:instrText>
      </w:r>
      <w:r w:rsidR="00B22EBD" w:rsidRPr="003A0566">
        <w:rPr>
          <w:i/>
          <w:iCs/>
        </w:rPr>
        <w:instrText>United States ex rel. Cairns v. D.S. Med., L.L.C.</w:instrText>
      </w:r>
      <w:r w:rsidR="00B22EBD" w:rsidRPr="003A0566">
        <w:instrText>, No. 1:12CV00004 AGF, 2016 WL 7437919 (E.D. Mo. Dec. 22, 2016)</w:instrText>
      </w:r>
      <w:r w:rsidR="00B22EBD">
        <w:instrText xml:space="preserve">" \s "Cairns" \c 1 </w:instrText>
      </w:r>
      <w:r w:rsidR="00B22EBD">
        <w:fldChar w:fldCharType="end"/>
      </w:r>
      <w:r w:rsidR="0068158B">
        <w:t xml:space="preserve">. </w:t>
      </w:r>
    </w:p>
    <w:p w14:paraId="05205A3C" w14:textId="6262E180" w:rsidR="0002516E" w:rsidRPr="0002516E" w:rsidRDefault="0068158B" w:rsidP="0002516E">
      <w:pPr>
        <w:pStyle w:val="BodyTextFirstIndent"/>
        <w:rPr>
          <w:i/>
          <w:iCs/>
        </w:rPr>
      </w:pPr>
      <w:r w:rsidRPr="003366FA">
        <w:t xml:space="preserve">For example, </w:t>
      </w:r>
      <w:r w:rsidR="003366FA">
        <w:t xml:space="preserve">in </w:t>
      </w:r>
      <w:r w:rsidR="003366FA">
        <w:rPr>
          <w:i/>
          <w:iCs/>
        </w:rPr>
        <w:t>In re Sealed Case</w:t>
      </w:r>
      <w:r w:rsidR="003366FA">
        <w:t xml:space="preserve">, a preliminary interview by the client was found to be fact work product </w:t>
      </w:r>
      <w:r w:rsidR="00BE0643">
        <w:t>because there was no focus of the interview given by the lawyer.</w:t>
      </w:r>
      <w:r w:rsidR="0002516E">
        <w:t xml:space="preserve"> </w:t>
      </w:r>
      <w:r w:rsidR="00BE0643">
        <w:t xml:space="preserve">124 F.3d 230, 236 (D.C. Cir. 1997), </w:t>
      </w:r>
      <w:r w:rsidR="00BE0643">
        <w:rPr>
          <w:i/>
          <w:iCs/>
        </w:rPr>
        <w:t>rev’d on other grounds,</w:t>
      </w:r>
      <w:r w:rsidR="00BE0643">
        <w:t xml:space="preserve"> </w:t>
      </w:r>
      <w:r w:rsidR="00BE0643">
        <w:rPr>
          <w:i/>
          <w:iCs/>
        </w:rPr>
        <w:t>Swidler &amp; Berlin v. United States</w:t>
      </w:r>
      <w:r w:rsidR="00BE0643">
        <w:t>, 524 U.S. 399 (1998)</w:t>
      </w:r>
      <w:r w:rsidR="00B22EBD">
        <w:fldChar w:fldCharType="begin"/>
      </w:r>
      <w:r w:rsidR="00B22EBD">
        <w:instrText xml:space="preserve"> TA \l "</w:instrText>
      </w:r>
      <w:r w:rsidR="00B22EBD" w:rsidRPr="003A0566">
        <w:rPr>
          <w:i/>
          <w:iCs/>
        </w:rPr>
        <w:instrText>In re Sealed Case</w:instrText>
      </w:r>
      <w:r w:rsidR="00B22EBD" w:rsidRPr="003A0566">
        <w:instrText xml:space="preserve">, 124 F.3d 230 (D.C. Cir. 1997), </w:instrText>
      </w:r>
      <w:r w:rsidR="00B22EBD" w:rsidRPr="003A0566">
        <w:rPr>
          <w:i/>
          <w:iCs/>
        </w:rPr>
        <w:instrText>rev’d on other grounds,</w:instrText>
      </w:r>
      <w:r w:rsidR="00B22EBD" w:rsidRPr="003A0566">
        <w:instrText xml:space="preserve"> </w:instrText>
      </w:r>
      <w:r w:rsidR="00B22EBD" w:rsidRPr="003A0566">
        <w:rPr>
          <w:i/>
          <w:iCs/>
        </w:rPr>
        <w:instrText>Swidler &amp; Berlin v. United States</w:instrText>
      </w:r>
      <w:r w:rsidR="00B22EBD" w:rsidRPr="003A0566">
        <w:instrText>, 524 U.S. 399 (1998)</w:instrText>
      </w:r>
      <w:r w:rsidR="00B22EBD">
        <w:instrText xml:space="preserve">" \s "Sealed Case" \c 1 </w:instrText>
      </w:r>
      <w:r w:rsidR="00B22EBD">
        <w:fldChar w:fldCharType="end"/>
      </w:r>
      <w:r w:rsidR="00BE0643">
        <w:t>. The court “</w:t>
      </w:r>
      <w:r w:rsidR="00BE0643" w:rsidRPr="00BE0643">
        <w:t>held that attorney notes of preliminary interviews with a witness were not necessarily opinion work product</w:t>
      </w:r>
      <w:r w:rsidR="0002516E">
        <w:t>”</w:t>
      </w:r>
      <w:r w:rsidR="00BE0643" w:rsidRPr="00BE0643">
        <w:t xml:space="preserve"> </w:t>
      </w:r>
      <w:r w:rsidR="0002516E">
        <w:t xml:space="preserve">because merely choosing to record a fact is not sufficient to make the document opinion work product. </w:t>
      </w:r>
      <w:r w:rsidR="0002516E">
        <w:rPr>
          <w:i/>
          <w:iCs/>
        </w:rPr>
        <w:t>Boehringer</w:t>
      </w:r>
      <w:r w:rsidR="0002516E">
        <w:t>, 778 F.3d at 152</w:t>
      </w:r>
      <w:r w:rsidR="00B22EBD">
        <w:fldChar w:fldCharType="begin"/>
      </w:r>
      <w:r w:rsidR="00B22EBD">
        <w:instrText xml:space="preserve"> TA \s "Boehringer" </w:instrText>
      </w:r>
      <w:r w:rsidR="00B22EBD">
        <w:fldChar w:fldCharType="end"/>
      </w:r>
      <w:r w:rsidR="0002516E">
        <w:t xml:space="preserve"> (quoting </w:t>
      </w:r>
      <w:r w:rsidR="0002516E">
        <w:rPr>
          <w:i/>
          <w:iCs/>
        </w:rPr>
        <w:t>Sealed Case</w:t>
      </w:r>
      <w:r w:rsidR="0002516E">
        <w:t xml:space="preserve">, 124 F.3d at 236). There must be some indication the record was “sharply focused or weeded” by the lawyer. </w:t>
      </w:r>
      <w:r w:rsidR="0002516E">
        <w:rPr>
          <w:i/>
          <w:iCs/>
        </w:rPr>
        <w:t>Id</w:t>
      </w:r>
      <w:r w:rsidR="00B22EBD">
        <w:rPr>
          <w:i/>
          <w:iCs/>
        </w:rPr>
        <w:fldChar w:fldCharType="begin"/>
      </w:r>
      <w:r w:rsidR="00B22EBD">
        <w:instrText xml:space="preserve"> TA \s "Boehringer" </w:instrText>
      </w:r>
      <w:r w:rsidR="00B22EBD">
        <w:rPr>
          <w:i/>
          <w:iCs/>
        </w:rPr>
        <w:fldChar w:fldCharType="end"/>
      </w:r>
      <w:r w:rsidR="0002516E">
        <w:rPr>
          <w:i/>
          <w:iCs/>
        </w:rPr>
        <w:t>.</w:t>
      </w:r>
    </w:p>
    <w:p w14:paraId="46CD0A03" w14:textId="0FCC0CB5" w:rsidR="00BE0643" w:rsidRDefault="00BE0643" w:rsidP="00BE0643">
      <w:pPr>
        <w:pStyle w:val="BodyTextFirstIndent"/>
      </w:pPr>
      <w:r>
        <w:lastRenderedPageBreak/>
        <w:t xml:space="preserve">Additionally, </w:t>
      </w:r>
      <w:r w:rsidR="0068158B" w:rsidRPr="003366FA">
        <w:t>in</w:t>
      </w:r>
      <w:r w:rsidR="00176ABD">
        <w:t xml:space="preserve"> </w:t>
      </w:r>
      <w:r w:rsidR="003366FA">
        <w:rPr>
          <w:i/>
          <w:iCs/>
        </w:rPr>
        <w:t>Boehringer</w:t>
      </w:r>
      <w:r w:rsidR="003366FA">
        <w:t>, financial documents prepared at the request of the attorney for settlement negotiations were found to be fact work product.</w:t>
      </w:r>
      <w:r w:rsidR="0002516E">
        <w:t xml:space="preserve"> </w:t>
      </w:r>
      <w:r w:rsidR="00B22EBD">
        <w:rPr>
          <w:i/>
          <w:iCs/>
        </w:rPr>
        <w:t>Id.</w:t>
      </w:r>
      <w:r w:rsidR="003366FA">
        <w:t xml:space="preserve"> at 151–53</w:t>
      </w:r>
      <w:r w:rsidR="00B22EBD">
        <w:fldChar w:fldCharType="begin"/>
      </w:r>
      <w:r w:rsidR="00B22EBD">
        <w:instrText xml:space="preserve"> TA \s "Boehringer" </w:instrText>
      </w:r>
      <w:r w:rsidR="00B22EBD">
        <w:fldChar w:fldCharType="end"/>
      </w:r>
      <w:r w:rsidR="003366FA">
        <w:t>. The court explained that to be considered opinion work product, the documents must be sharply focused or weeded by the lawyer and that “[w]</w:t>
      </w:r>
      <w:r w:rsidR="003366FA" w:rsidRPr="003366FA">
        <w:t>here an attorney</w:t>
      </w:r>
      <w:r w:rsidR="003366FA">
        <w:t>’</w:t>
      </w:r>
      <w:r w:rsidR="003366FA" w:rsidRPr="003366FA">
        <w:t xml:space="preserve">s mental impressions are those that </w:t>
      </w:r>
      <w:r w:rsidR="003366FA">
        <w:t>‘</w:t>
      </w:r>
      <w:r w:rsidR="003366FA" w:rsidRPr="003366FA">
        <w:t>a layman would have</w:t>
      </w:r>
      <w:r w:rsidR="00D10B0D">
        <w:t xml:space="preserve"> . . .</w:t>
      </w:r>
      <w:r w:rsidR="003366FA" w:rsidRPr="003366FA">
        <w:t xml:space="preserve">, and in no way reveal </w:t>
      </w:r>
      <w:r w:rsidR="00D10B0D">
        <w:t>. . .</w:t>
      </w:r>
      <w:r w:rsidR="003366FA" w:rsidRPr="003366FA">
        <w:t xml:space="preserve"> legal theory,</w:t>
      </w:r>
      <w:r w:rsidR="003366FA">
        <w:t>’</w:t>
      </w:r>
      <w:r w:rsidR="003366FA" w:rsidRPr="003366FA">
        <w:t xml:space="preserve"> those impressions are not opinion work product.</w:t>
      </w:r>
      <w:r w:rsidR="00FB12D2">
        <w:t>”</w:t>
      </w:r>
      <w:r w:rsidR="003366FA">
        <w:t xml:space="preserve"> </w:t>
      </w:r>
      <w:r w:rsidR="003366FA">
        <w:rPr>
          <w:i/>
          <w:iCs/>
        </w:rPr>
        <w:t>Id.</w:t>
      </w:r>
      <w:r w:rsidR="003366FA">
        <w:t xml:space="preserve"> at 152</w:t>
      </w:r>
      <w:r w:rsidR="00B22EBD">
        <w:fldChar w:fldCharType="begin"/>
      </w:r>
      <w:r w:rsidR="00B22EBD">
        <w:instrText xml:space="preserve"> TA \s "Boehringer" </w:instrText>
      </w:r>
      <w:r w:rsidR="00B22EBD">
        <w:fldChar w:fldCharType="end"/>
      </w:r>
      <w:r w:rsidR="003366FA">
        <w:t xml:space="preserve"> (first quoting </w:t>
      </w:r>
      <w:r w:rsidR="003366FA">
        <w:rPr>
          <w:i/>
          <w:iCs/>
        </w:rPr>
        <w:t>Sealed Case</w:t>
      </w:r>
      <w:r w:rsidR="003366FA">
        <w:t xml:space="preserve">, 124 F.3d </w:t>
      </w:r>
      <w:r>
        <w:t>at</w:t>
      </w:r>
      <w:r w:rsidR="003366FA">
        <w:t xml:space="preserve"> 236</w:t>
      </w:r>
      <w:r>
        <w:t xml:space="preserve">; </w:t>
      </w:r>
      <w:r w:rsidR="003366FA">
        <w:t xml:space="preserve">and then quoting </w:t>
      </w:r>
      <w:r w:rsidR="003366FA">
        <w:rPr>
          <w:i/>
          <w:iCs/>
        </w:rPr>
        <w:t>In re HealthSouth Corp. Sec. Litig.</w:t>
      </w:r>
      <w:r w:rsidR="003366FA">
        <w:t xml:space="preserve">, 250 F.R.D. 8, 11 (D.D.C. 2008)). </w:t>
      </w:r>
      <w:r>
        <w:t>Thus, interview notes that are not sharply focused or weeded by counsel and do not reveal any impressions beyond what a layman would opine are fact work product.</w:t>
      </w:r>
    </w:p>
    <w:p w14:paraId="7D91BF4E" w14:textId="57AC09EF" w:rsidR="00A93065" w:rsidRDefault="00BE0643" w:rsidP="00A93065">
      <w:pPr>
        <w:pStyle w:val="BodyTextFirstIndent"/>
      </w:pPr>
      <w:r>
        <w:t>Armana’s records of the Seton interview were not sharply focused or weeded by counsel and reveal nothing more than layman impressions.</w:t>
      </w:r>
      <w:r w:rsidR="00D02C48">
        <w:t xml:space="preserve"> </w:t>
      </w:r>
      <w:r w:rsidR="00F358DB">
        <w:t xml:space="preserve">In the interview, “Seton spoke about how Coastal actually operated, the people connected to the company, and how the money moved.” CF 46. She also “gave real, specific, factual information in those notes about how that company worked and who ran it.” CF 46. </w:t>
      </w:r>
      <w:r w:rsidR="00176ABD">
        <w:t xml:space="preserve">While deposed, </w:t>
      </w:r>
      <w:r w:rsidR="00F358DB">
        <w:t xml:space="preserve">Armana never suggested any information given by Seton </w:t>
      </w:r>
      <w:r w:rsidR="00176ABD">
        <w:t xml:space="preserve">was excluded </w:t>
      </w:r>
      <w:r w:rsidR="00F358DB">
        <w:t xml:space="preserve">or hand-picked what information to record. Armana’s records contain simply contain “the </w:t>
      </w:r>
      <w:r w:rsidR="00F358DB" w:rsidRPr="00176ABD">
        <w:t>factual account as Sierra gave it to [Armana].</w:t>
      </w:r>
      <w:r w:rsidR="00F358DB">
        <w:t xml:space="preserve">” CF 46. </w:t>
      </w:r>
      <w:r w:rsidR="006074FF">
        <w:t>Although Armana was hired by Defendant’s lawyers to investigate the case and help with understanding,</w:t>
      </w:r>
      <w:r w:rsidR="00FB12D2">
        <w:t xml:space="preserve"> </w:t>
      </w:r>
      <w:r w:rsidR="006074FF">
        <w:t xml:space="preserve">those lawyers never specifically directed Armana to interview Seton. </w:t>
      </w:r>
      <w:r w:rsidR="00FB12D2">
        <w:t xml:space="preserve">CF 43. </w:t>
      </w:r>
      <w:r w:rsidR="006074FF">
        <w:t>Th</w:t>
      </w:r>
      <w:r w:rsidR="00A93065">
        <w:t>us,</w:t>
      </w:r>
      <w:r w:rsidR="006074FF">
        <w:t xml:space="preserve"> </w:t>
      </w:r>
      <w:r w:rsidR="00A93065">
        <w:lastRenderedPageBreak/>
        <w:t xml:space="preserve">the </w:t>
      </w:r>
      <w:r w:rsidR="006074FF">
        <w:t xml:space="preserve">lawyers </w:t>
      </w:r>
      <w:r w:rsidR="00A93065">
        <w:t xml:space="preserve">could not have “sharply focused or weeded” the interview. </w:t>
      </w:r>
      <w:r w:rsidR="00A93065">
        <w:rPr>
          <w:i/>
          <w:iCs/>
        </w:rPr>
        <w:t>Boehringer</w:t>
      </w:r>
      <w:r w:rsidR="00A93065">
        <w:t>, 778 F.3d at 152</w:t>
      </w:r>
      <w:r w:rsidR="00B22EBD">
        <w:fldChar w:fldCharType="begin"/>
      </w:r>
      <w:r w:rsidR="00B22EBD">
        <w:instrText xml:space="preserve"> TA \s "Boehringer" </w:instrText>
      </w:r>
      <w:r w:rsidR="00B22EBD">
        <w:fldChar w:fldCharType="end"/>
      </w:r>
      <w:r w:rsidR="00A93065">
        <w:t xml:space="preserve">; </w:t>
      </w:r>
      <w:r w:rsidR="00A93065">
        <w:rPr>
          <w:i/>
          <w:iCs/>
        </w:rPr>
        <w:t>Sealed Case</w:t>
      </w:r>
      <w:r w:rsidR="00A93065">
        <w:t>, 124 F.3d at 236</w:t>
      </w:r>
      <w:r w:rsidR="00B22EBD">
        <w:fldChar w:fldCharType="begin"/>
      </w:r>
      <w:r w:rsidR="00B22EBD">
        <w:instrText xml:space="preserve"> TA \s "Sealed Case" </w:instrText>
      </w:r>
      <w:r w:rsidR="00B22EBD">
        <w:fldChar w:fldCharType="end"/>
      </w:r>
      <w:r w:rsidR="00A93065">
        <w:t xml:space="preserve">. </w:t>
      </w:r>
    </w:p>
    <w:p w14:paraId="5CB07EC0" w14:textId="076940A0" w:rsidR="00A93065" w:rsidRDefault="00A93065" w:rsidP="00A93065">
      <w:pPr>
        <w:pStyle w:val="BodyTextFirstIndent"/>
      </w:pPr>
      <w:r>
        <w:t xml:space="preserve">Defendant will likely argue that the red text in Armana’s records is opinion work product because it includes Armana’s “thoughts, follow-ups, questions, and </w:t>
      </w:r>
      <w:r w:rsidR="00D10B0D">
        <w:t xml:space="preserve">. . . </w:t>
      </w:r>
      <w:r>
        <w:t>theories</w:t>
      </w:r>
      <w:r w:rsidR="00D10B0D">
        <w:t xml:space="preserve"> . . . .</w:t>
      </w:r>
      <w:r w:rsidR="00FB12D2">
        <w:t xml:space="preserve">” </w:t>
      </w:r>
      <w:r>
        <w:t xml:space="preserve">CF 46. However, this argument fails because the interview was not “sharply focused or weeded” by the defense lawyers. </w:t>
      </w:r>
      <w:r>
        <w:rPr>
          <w:i/>
          <w:iCs/>
        </w:rPr>
        <w:t>Boehringer</w:t>
      </w:r>
      <w:r>
        <w:t>, 778 F.3d at 152</w:t>
      </w:r>
      <w:r w:rsidR="00B22EBD">
        <w:fldChar w:fldCharType="begin"/>
      </w:r>
      <w:r w:rsidR="00B22EBD">
        <w:instrText xml:space="preserve"> TA \s "Boehringer" </w:instrText>
      </w:r>
      <w:r w:rsidR="00B22EBD">
        <w:fldChar w:fldCharType="end"/>
      </w:r>
      <w:r>
        <w:t xml:space="preserve">; </w:t>
      </w:r>
      <w:r>
        <w:rPr>
          <w:i/>
          <w:iCs/>
        </w:rPr>
        <w:t>Sealed Case</w:t>
      </w:r>
      <w:r>
        <w:t>, 124 F.3d at 236</w:t>
      </w:r>
      <w:r w:rsidR="00B22EBD">
        <w:fldChar w:fldCharType="begin"/>
      </w:r>
      <w:r w:rsidR="00B22EBD">
        <w:instrText xml:space="preserve"> TA \s "Sealed Case" </w:instrText>
      </w:r>
      <w:r w:rsidR="00B22EBD">
        <w:fldChar w:fldCharType="end"/>
      </w:r>
      <w:r>
        <w:t xml:space="preserve">. </w:t>
      </w:r>
      <w:r w:rsidR="00FB12D2">
        <w:t>In fact</w:t>
      </w:r>
      <w:r w:rsidR="000502A8">
        <w:t xml:space="preserve">, the defense lawyers were never involved at all. </w:t>
      </w:r>
      <w:r>
        <w:t xml:space="preserve">Thus, </w:t>
      </w:r>
      <w:r w:rsidR="00176ABD">
        <w:t>the</w:t>
      </w:r>
      <w:r>
        <w:t xml:space="preserve"> </w:t>
      </w:r>
      <w:r w:rsidR="00176ABD">
        <w:t>record</w:t>
      </w:r>
      <w:r>
        <w:t xml:space="preserve"> do</w:t>
      </w:r>
      <w:r w:rsidR="00176ABD">
        <w:t>es</w:t>
      </w:r>
      <w:r>
        <w:t xml:space="preserve"> not reveal any legal theories or </w:t>
      </w:r>
      <w:r w:rsidR="000502A8">
        <w:t xml:space="preserve">impressions of the attorney, </w:t>
      </w:r>
      <w:r w:rsidR="00176ABD">
        <w:t xml:space="preserve">but </w:t>
      </w:r>
      <w:r w:rsidR="000502A8">
        <w:t>only impressions any layman would have.</w:t>
      </w:r>
      <w:r w:rsidR="000502A8" w:rsidRPr="000502A8">
        <w:rPr>
          <w:i/>
          <w:iCs/>
        </w:rPr>
        <w:t xml:space="preserve"> </w:t>
      </w:r>
      <w:r w:rsidR="000502A8">
        <w:rPr>
          <w:i/>
          <w:iCs/>
        </w:rPr>
        <w:t>See Boehringer</w:t>
      </w:r>
      <w:r w:rsidR="000502A8">
        <w:t>, 778 F.3d at 152</w:t>
      </w:r>
      <w:r w:rsidR="00B22EBD">
        <w:fldChar w:fldCharType="begin"/>
      </w:r>
      <w:r w:rsidR="00B22EBD">
        <w:instrText xml:space="preserve"> TA \s "Boehringer" </w:instrText>
      </w:r>
      <w:r w:rsidR="00B22EBD">
        <w:fldChar w:fldCharType="end"/>
      </w:r>
      <w:r w:rsidR="000502A8">
        <w:t xml:space="preserve"> (first quoting </w:t>
      </w:r>
      <w:r w:rsidR="000502A8">
        <w:rPr>
          <w:i/>
          <w:iCs/>
        </w:rPr>
        <w:t>Sealed Case</w:t>
      </w:r>
      <w:r w:rsidR="000502A8">
        <w:t xml:space="preserve">, 124 F.3d at 236; and then quoting </w:t>
      </w:r>
      <w:r w:rsidR="000502A8">
        <w:rPr>
          <w:i/>
          <w:iCs/>
        </w:rPr>
        <w:t>In re HealthSouth Corp. Sec. Litig.</w:t>
      </w:r>
      <w:r w:rsidR="000502A8">
        <w:t>, 250 F.R.D. 8, 11 (D.D.C. 2008)).</w:t>
      </w:r>
    </w:p>
    <w:p w14:paraId="6BD9F554" w14:textId="0E07F054" w:rsidR="00F358DB" w:rsidRDefault="000502A8" w:rsidP="00CF4FE0">
      <w:pPr>
        <w:pStyle w:val="BodyTextFirstIndent"/>
      </w:pPr>
      <w:r>
        <w:t xml:space="preserve">Nevertheless, at absolute bottom, the factual recount of Seton’s statements </w:t>
      </w:r>
      <w:r w:rsidR="007C1513">
        <w:t>is</w:t>
      </w:r>
      <w:r>
        <w:t xml:space="preserve"> fact work product and </w:t>
      </w:r>
      <w:r w:rsidR="00CF4FE0">
        <w:t xml:space="preserve">any opinion work product may be redacted when the records are produced. For example, in </w:t>
      </w:r>
      <w:r w:rsidR="00CF4FE0">
        <w:rPr>
          <w:i/>
          <w:iCs/>
        </w:rPr>
        <w:t>Boehringer</w:t>
      </w:r>
      <w:r w:rsidR="00CF4FE0">
        <w:t>, on remand, the trial court was charged with “</w:t>
      </w:r>
      <w:r w:rsidR="00CF4FE0" w:rsidRPr="00CF4FE0">
        <w:t>determin[ing] which of the sampled documents may be produced, in full or in redacted form, as factual work product.</w:t>
      </w:r>
      <w:r w:rsidR="00CF4FE0">
        <w:t>”</w:t>
      </w:r>
      <w:r w:rsidR="00176ABD">
        <w:t xml:space="preserve"> </w:t>
      </w:r>
      <w:r w:rsidR="00176ABD">
        <w:rPr>
          <w:i/>
          <w:iCs/>
        </w:rPr>
        <w:t>Id.</w:t>
      </w:r>
      <w:r w:rsidR="00176ABD">
        <w:t xml:space="preserve"> </w:t>
      </w:r>
      <w:r w:rsidR="00CF4FE0">
        <w:t>at 158</w:t>
      </w:r>
      <w:r w:rsidR="00B22EBD">
        <w:fldChar w:fldCharType="begin"/>
      </w:r>
      <w:r w:rsidR="00B22EBD">
        <w:instrText xml:space="preserve"> TA \s "Boehringer" </w:instrText>
      </w:r>
      <w:r w:rsidR="00B22EBD">
        <w:fldChar w:fldCharType="end"/>
      </w:r>
      <w:r w:rsidR="00CF4FE0">
        <w:t>. Th</w:t>
      </w:r>
      <w:r w:rsidR="00421160">
        <w:t>erefore</w:t>
      </w:r>
      <w:r w:rsidR="00CF4FE0">
        <w:t>, even if this Court determines Armana’s records contain some opinion work product, the fact work product must still be produced upon a showing of substantial need by the Government.</w:t>
      </w:r>
    </w:p>
    <w:p w14:paraId="5F77BB95" w14:textId="53299D98" w:rsidR="009E359D" w:rsidRDefault="00661091" w:rsidP="00C56D53">
      <w:pPr>
        <w:pStyle w:val="Heading4"/>
      </w:pPr>
      <w:bookmarkStart w:id="15" w:name="_Toc239117123"/>
      <w:r>
        <w:lastRenderedPageBreak/>
        <w:t>The Government has a substantial need for the information in Armana’s records of the Seton interview.</w:t>
      </w:r>
      <w:bookmarkEnd w:id="15"/>
      <w:r>
        <w:t xml:space="preserve"> </w:t>
      </w:r>
    </w:p>
    <w:p w14:paraId="415EBF1A" w14:textId="663016AC" w:rsidR="00EE4332" w:rsidRPr="00D47C6C" w:rsidRDefault="00D47C6C" w:rsidP="001361A6">
      <w:pPr>
        <w:pStyle w:val="BodyTextFirstIndent"/>
      </w:pPr>
      <w:r>
        <w:t xml:space="preserve">Fact “work product is generally discoverable ‘upon a showing of substantial need and an inability to secure the substantial equivalent of the materials by alternate means without undue hardship.’” </w:t>
      </w:r>
      <w:r>
        <w:rPr>
          <w:i/>
          <w:iCs/>
        </w:rPr>
        <w:t>Green Grand Jury Procs.</w:t>
      </w:r>
      <w:r>
        <w:t>, 492 F.3d at 980</w:t>
      </w:r>
      <w:r w:rsidR="00B22EBD">
        <w:fldChar w:fldCharType="begin"/>
      </w:r>
      <w:r w:rsidR="00B22EBD">
        <w:instrText xml:space="preserve"> TA \s "In re Green Grand Jury Procs." </w:instrText>
      </w:r>
      <w:r w:rsidR="00B22EBD">
        <w:fldChar w:fldCharType="end"/>
      </w:r>
      <w:r>
        <w:t xml:space="preserve"> (quoting </w:t>
      </w:r>
      <w:r>
        <w:rPr>
          <w:i/>
          <w:iCs/>
        </w:rPr>
        <w:t>In re Murphy</w:t>
      </w:r>
      <w:r>
        <w:t xml:space="preserve">, 560 F.2d 326, 336 (8th Cir. 1977)); </w:t>
      </w:r>
      <w:r>
        <w:rPr>
          <w:i/>
          <w:iCs/>
        </w:rPr>
        <w:t>accord Upjohn</w:t>
      </w:r>
      <w:r>
        <w:t xml:space="preserve">, 449 U.S. </w:t>
      </w:r>
      <w:r w:rsidR="00176ABD">
        <w:t>at</w:t>
      </w:r>
      <w:r>
        <w:t xml:space="preserve"> 400</w:t>
      </w:r>
      <w:r w:rsidR="00B22EBD">
        <w:fldChar w:fldCharType="begin"/>
      </w:r>
      <w:r w:rsidR="00B22EBD">
        <w:instrText xml:space="preserve"> TA \s "Upjohn" </w:instrText>
      </w:r>
      <w:r w:rsidR="00B22EBD">
        <w:fldChar w:fldCharType="end"/>
      </w:r>
      <w:r>
        <w:t xml:space="preserve">. </w:t>
      </w:r>
    </w:p>
    <w:p w14:paraId="35BBE0C0" w14:textId="1FDA001D" w:rsidR="00D06554" w:rsidRPr="00D3255B" w:rsidRDefault="00D06554" w:rsidP="001361A6">
      <w:pPr>
        <w:pStyle w:val="BodyTextFirstIndent"/>
      </w:pPr>
      <w:r>
        <w:t xml:space="preserve">Substantial need is proven when the </w:t>
      </w:r>
      <w:r w:rsidR="00D3255B">
        <w:t xml:space="preserve">materials are relevant, have a unique value from information in the party’s possession, and “‘special circumstances’ excuse the [party’s] failure to obtain the requested materials itself.” </w:t>
      </w:r>
      <w:r w:rsidR="00D3255B">
        <w:rPr>
          <w:i/>
          <w:iCs/>
        </w:rPr>
        <w:t>Boehringer</w:t>
      </w:r>
      <w:r w:rsidR="00D3255B">
        <w:t>, 778 F.3d at 155</w:t>
      </w:r>
      <w:r w:rsidR="00B22EBD">
        <w:fldChar w:fldCharType="begin"/>
      </w:r>
      <w:r w:rsidR="00B22EBD">
        <w:instrText xml:space="preserve"> TA \s "Boehringer" </w:instrText>
      </w:r>
      <w:r w:rsidR="00B22EBD">
        <w:fldChar w:fldCharType="end"/>
      </w:r>
      <w:r w:rsidR="00D3255B">
        <w:t xml:space="preserve"> (first citing </w:t>
      </w:r>
      <w:r w:rsidR="00D3255B">
        <w:rPr>
          <w:i/>
          <w:iCs/>
        </w:rPr>
        <w:t>Mitchell v. Bass</w:t>
      </w:r>
      <w:r w:rsidR="00D3255B">
        <w:t xml:space="preserve">, 252 F.2d 513, 518–19 (8th Cir. 1958); then citing </w:t>
      </w:r>
      <w:r w:rsidR="00D3255B">
        <w:rPr>
          <w:i/>
          <w:iCs/>
        </w:rPr>
        <w:t>Burke v. United States</w:t>
      </w:r>
      <w:r w:rsidR="00D3255B">
        <w:t xml:space="preserve">, 32 F.R.D. 213, 923–27 (E.D.N.Y. 1963); then citing </w:t>
      </w:r>
      <w:r w:rsidR="00D3255B">
        <w:rPr>
          <w:i/>
          <w:iCs/>
        </w:rPr>
        <w:t>Hauger v. Chi., Rock Island &amp; Pac. R.R. Co.</w:t>
      </w:r>
      <w:r w:rsidR="00D3255B">
        <w:t xml:space="preserve">, 216 F.2d 501, 505–06 (7th Cir. 1954); and then citing </w:t>
      </w:r>
      <w:r w:rsidR="00D3255B">
        <w:rPr>
          <w:i/>
          <w:iCs/>
        </w:rPr>
        <w:t>Guilford Nat’l Bank of Greensboro v. S. Ry. Co.</w:t>
      </w:r>
      <w:r w:rsidR="00D3255B">
        <w:t>, 297 F.2d 921, 923–27 (4th Cir. 1962)).</w:t>
      </w:r>
      <w:r w:rsidR="003D0055">
        <w:t xml:space="preserve"> Thus, the Government </w:t>
      </w:r>
      <w:r w:rsidR="0038762A">
        <w:t>will</w:t>
      </w:r>
      <w:r w:rsidR="003D0055">
        <w:t xml:space="preserve"> prove substantial need if Armana’s records are relevant, unique from information in its possession, and special circumstances excuse its inability to obtain the information.</w:t>
      </w:r>
    </w:p>
    <w:p w14:paraId="3116DCE9" w14:textId="1BBB5A52" w:rsidR="00EE4332" w:rsidRPr="00FD2BFA" w:rsidRDefault="00D06554" w:rsidP="0028771F">
      <w:pPr>
        <w:pStyle w:val="BodyTextFirstIndent"/>
      </w:pPr>
      <w:r>
        <w:t xml:space="preserve">Undue hardship </w:t>
      </w:r>
      <w:r w:rsidR="00D47C6C">
        <w:t>is proven when a witness is</w:t>
      </w:r>
      <w:r>
        <w:t xml:space="preserve"> the only one with the information and that witness is now</w:t>
      </w:r>
      <w:r w:rsidR="00D47C6C">
        <w:t xml:space="preserve"> unavai</w:t>
      </w:r>
      <w:r>
        <w:t xml:space="preserve">lable. </w:t>
      </w:r>
      <w:r w:rsidR="00FD2BFA">
        <w:t xml:space="preserve">For example, in </w:t>
      </w:r>
      <w:r w:rsidR="00FD2BFA">
        <w:rPr>
          <w:i/>
          <w:iCs/>
        </w:rPr>
        <w:t>King v. Odeco Inc.</w:t>
      </w:r>
      <w:r w:rsidR="00FD2BFA">
        <w:t>, the Fifth Circuit explained that a party “can claim undue hardship if [that party] cannot obtain the information [it] seeks by deposition.”</w:t>
      </w:r>
      <w:r w:rsidR="004B5A42">
        <w:t xml:space="preserve"> </w:t>
      </w:r>
      <w:r w:rsidR="00FD2BFA" w:rsidRPr="003D0055">
        <w:t xml:space="preserve">106 F.3d 396, </w:t>
      </w:r>
      <w:r w:rsidR="00061ADA" w:rsidRPr="003D0055">
        <w:t>No. 95-31171, 1997 WL 33367, at *3 (5th Cir. Jan. 8, 1997) (per curiam)</w:t>
      </w:r>
      <w:r w:rsidR="00B22EBD">
        <w:fldChar w:fldCharType="begin"/>
      </w:r>
      <w:r w:rsidR="00B22EBD">
        <w:instrText xml:space="preserve"> TA \l "</w:instrText>
      </w:r>
      <w:r w:rsidR="00B22EBD" w:rsidRPr="003A0566">
        <w:rPr>
          <w:i/>
          <w:iCs/>
        </w:rPr>
        <w:instrText>King v. Odeco Inc.</w:instrText>
      </w:r>
      <w:r w:rsidR="00B22EBD" w:rsidRPr="003A0566">
        <w:instrText>, 106 F.3d 396, No. 95-31171, 1997 WL 33367 (5th Cir. Jan. 8, 1997) (per curiam)</w:instrText>
      </w:r>
      <w:r w:rsidR="00B22EBD">
        <w:instrText xml:space="preserve">" \s "King" \c 1 </w:instrText>
      </w:r>
      <w:r w:rsidR="00B22EBD">
        <w:fldChar w:fldCharType="end"/>
      </w:r>
      <w:r w:rsidR="0028771F" w:rsidRPr="003D0055">
        <w:t>;</w:t>
      </w:r>
      <w:r w:rsidR="0028771F">
        <w:t xml:space="preserve"> </w:t>
      </w:r>
      <w:r w:rsidR="0028771F">
        <w:rPr>
          <w:i/>
          <w:iCs/>
        </w:rPr>
        <w:t xml:space="preserve">accord In re Int’l Sys. &amp; Controls </w:t>
      </w:r>
      <w:r w:rsidR="0028771F">
        <w:rPr>
          <w:i/>
          <w:iCs/>
        </w:rPr>
        <w:lastRenderedPageBreak/>
        <w:t>Corp Sec. Litig.</w:t>
      </w:r>
      <w:r w:rsidR="0028771F">
        <w:t>, 693 F.2d 1235, 1240 (5th Cir. 1982)</w:t>
      </w:r>
      <w:r w:rsidR="00B22EBD">
        <w:fldChar w:fldCharType="begin"/>
      </w:r>
      <w:r w:rsidR="00B22EBD">
        <w:instrText xml:space="preserve"> TA \l "</w:instrText>
      </w:r>
      <w:r w:rsidR="00B22EBD" w:rsidRPr="003A0566">
        <w:rPr>
          <w:i/>
          <w:iCs/>
        </w:rPr>
        <w:instrText>In re Int’l Sys. &amp; Controls Corp Sec. Litig.</w:instrText>
      </w:r>
      <w:r w:rsidR="00B22EBD" w:rsidRPr="003A0566">
        <w:instrText>, 693 F.2d 1235 (5th Cir. 1982)</w:instrText>
      </w:r>
      <w:r w:rsidR="00B22EBD">
        <w:instrText xml:space="preserve">" \s "nt’l Sys. &amp; Controls Corp Sec. Litig." \c 1 </w:instrText>
      </w:r>
      <w:r w:rsidR="00B22EBD">
        <w:fldChar w:fldCharType="end"/>
      </w:r>
      <w:r w:rsidR="0028771F">
        <w:t xml:space="preserve">; </w:t>
      </w:r>
      <w:r w:rsidR="0028771F">
        <w:rPr>
          <w:i/>
          <w:iCs/>
        </w:rPr>
        <w:t>In re Grand Jury Investigation</w:t>
      </w:r>
      <w:r w:rsidR="0028771F">
        <w:t>, 599 F.2d 1224, 1231–32 (3d Cir. 1979)</w:t>
      </w:r>
      <w:r w:rsidR="00B22EBD">
        <w:fldChar w:fldCharType="begin"/>
      </w:r>
      <w:r w:rsidR="00B22EBD">
        <w:instrText xml:space="preserve"> TA \l "</w:instrText>
      </w:r>
      <w:r w:rsidR="00B22EBD" w:rsidRPr="003A0566">
        <w:rPr>
          <w:i/>
          <w:iCs/>
        </w:rPr>
        <w:instrText>In re Grand Jury Investigation</w:instrText>
      </w:r>
      <w:r w:rsidR="00B22EBD" w:rsidRPr="003A0566">
        <w:instrText>, 599 F.2d 1224 (3d Cir. 1979)</w:instrText>
      </w:r>
      <w:r w:rsidR="00B22EBD">
        <w:instrText xml:space="preserve">" \s "Grand Jury Investigation" \c 1 </w:instrText>
      </w:r>
      <w:r w:rsidR="00B22EBD">
        <w:fldChar w:fldCharType="end"/>
      </w:r>
      <w:r w:rsidR="0028771F">
        <w:t xml:space="preserve">. Thus, the Government </w:t>
      </w:r>
      <w:r w:rsidR="0038762A">
        <w:t>will</w:t>
      </w:r>
      <w:r w:rsidR="0028771F">
        <w:t xml:space="preserve"> prove undue hardship if Seton is unavailable.</w:t>
      </w:r>
      <w:r w:rsidR="00061ADA">
        <w:t xml:space="preserve"> </w:t>
      </w:r>
    </w:p>
    <w:p w14:paraId="70F31DE5" w14:textId="10E2AF0C" w:rsidR="00362AC6" w:rsidRPr="00E92D4C" w:rsidRDefault="00AD6D9A" w:rsidP="00362AC6">
      <w:pPr>
        <w:pStyle w:val="BodyTextFirstIndent"/>
      </w:pPr>
      <w:r>
        <w:t xml:space="preserve">The Government has a substantial </w:t>
      </w:r>
      <w:r w:rsidR="00FB12D2">
        <w:t xml:space="preserve">need </w:t>
      </w:r>
      <w:r>
        <w:t xml:space="preserve">for Armana’s interview records. </w:t>
      </w:r>
      <w:r w:rsidR="00F33E9B">
        <w:t xml:space="preserve">The Seton interview records are highly relevant to the case </w:t>
      </w:r>
      <w:r w:rsidR="004B5A42">
        <w:t>for a multitude of reasons. First,</w:t>
      </w:r>
      <w:r w:rsidR="00F33E9B">
        <w:t xml:space="preserve"> </w:t>
      </w:r>
      <w:r w:rsidR="00057B94">
        <w:t xml:space="preserve">Defendant </w:t>
      </w:r>
      <w:r w:rsidR="00FB12D2">
        <w:t>was</w:t>
      </w:r>
      <w:r w:rsidR="00057B94">
        <w:t xml:space="preserve"> indicted </w:t>
      </w:r>
      <w:r w:rsidR="00F33E9B">
        <w:t xml:space="preserve">for </w:t>
      </w:r>
      <w:r w:rsidR="00057B94">
        <w:t>Money Laundering Conspiracy</w:t>
      </w:r>
      <w:r w:rsidR="004B5A42">
        <w:t xml:space="preserve"> and</w:t>
      </w:r>
      <w:r w:rsidR="00F33E9B">
        <w:t xml:space="preserve"> was a fifty-fifty partner in SP</w:t>
      </w:r>
      <w:r w:rsidR="004B5A42">
        <w:t xml:space="preserve">. CF 17, 33. Second, </w:t>
      </w:r>
      <w:r w:rsidR="00F33E9B">
        <w:t>Seton was an operations manager at Coastal</w:t>
      </w:r>
      <w:r w:rsidR="004B5A42">
        <w:t>. CF 18.</w:t>
      </w:r>
      <w:r w:rsidR="00F33E9B">
        <w:t xml:space="preserve"> </w:t>
      </w:r>
      <w:r w:rsidR="004B5A42">
        <w:t>Third, in the interview,</w:t>
      </w:r>
      <w:r w:rsidR="00F33E9B">
        <w:t xml:space="preserve"> “Seton spoke about how Coastal actually operated, the people connected to the company, and how the money moved.</w:t>
      </w:r>
      <w:r w:rsidR="004B5A42">
        <w:t>”</w:t>
      </w:r>
      <w:r w:rsidR="00F33E9B">
        <w:t xml:space="preserve"> CF 46.</w:t>
      </w:r>
      <w:r w:rsidR="00362AC6">
        <w:t xml:space="preserve"> These records connect Defendant to Coastal and the entire money laundering </w:t>
      </w:r>
      <w:r w:rsidR="004B5A42">
        <w:t>scheme and thus are highly relevant</w:t>
      </w:r>
      <w:r w:rsidR="00362AC6">
        <w:t>.</w:t>
      </w:r>
      <w:r w:rsidR="004B5A42">
        <w:t xml:space="preserve"> </w:t>
      </w:r>
      <w:r w:rsidR="004B5A42">
        <w:rPr>
          <w:i/>
          <w:iCs/>
        </w:rPr>
        <w:t>See Boehringer</w:t>
      </w:r>
      <w:r w:rsidR="004B5A42">
        <w:t>, 778 F.3d at 155</w:t>
      </w:r>
      <w:r w:rsidR="00B22EBD">
        <w:fldChar w:fldCharType="begin"/>
      </w:r>
      <w:r w:rsidR="00B22EBD">
        <w:instrText xml:space="preserve"> TA \s "Boehringer" </w:instrText>
      </w:r>
      <w:r w:rsidR="00B22EBD">
        <w:fldChar w:fldCharType="end"/>
      </w:r>
      <w:r w:rsidR="004B5A42">
        <w:t>.</w:t>
      </w:r>
      <w:r w:rsidR="00362AC6">
        <w:t xml:space="preserve"> Further, Seton is the </w:t>
      </w:r>
      <w:r w:rsidR="00362AC6">
        <w:rPr>
          <w:i/>
          <w:iCs/>
        </w:rPr>
        <w:t>only</w:t>
      </w:r>
      <w:r w:rsidR="00362AC6">
        <w:t xml:space="preserve"> person who can provide the information given to Arman</w:t>
      </w:r>
      <w:r w:rsidR="001E70BC">
        <w:t>a</w:t>
      </w:r>
      <w:r w:rsidR="00362AC6">
        <w:t xml:space="preserve">, making it unique and unlike any other information in the Government’s possession. </w:t>
      </w:r>
      <w:r w:rsidR="004B5A42">
        <w:rPr>
          <w:i/>
          <w:iCs/>
        </w:rPr>
        <w:t>See id</w:t>
      </w:r>
      <w:r w:rsidR="00B22EBD">
        <w:rPr>
          <w:i/>
          <w:iCs/>
        </w:rPr>
        <w:fldChar w:fldCharType="begin"/>
      </w:r>
      <w:r w:rsidR="00B22EBD">
        <w:instrText xml:space="preserve"> TA \s "Boehringer" </w:instrText>
      </w:r>
      <w:r w:rsidR="00B22EBD">
        <w:rPr>
          <w:i/>
          <w:iCs/>
        </w:rPr>
        <w:fldChar w:fldCharType="end"/>
      </w:r>
      <w:r w:rsidR="004B5A42">
        <w:rPr>
          <w:i/>
          <w:iCs/>
        </w:rPr>
        <w:t>.</w:t>
      </w:r>
      <w:r w:rsidR="004B5A42">
        <w:t>;</w:t>
      </w:r>
      <w:r w:rsidR="004B5A42">
        <w:rPr>
          <w:i/>
          <w:iCs/>
        </w:rPr>
        <w:t xml:space="preserve"> </w:t>
      </w:r>
      <w:r w:rsidR="00362AC6">
        <w:t>CF 47</w:t>
      </w:r>
      <w:r w:rsidR="004B5A42">
        <w:t>.</w:t>
      </w:r>
      <w:r w:rsidR="00362AC6">
        <w:t xml:space="preserve"> Lastly, Seton fled the country with Chandler and “is gone and unreachable.” CF 46. The Government was unaware of Seton’s existence until after she fled the country, and the Government is still unable to locate her. CF 18. Armana is </w:t>
      </w:r>
      <w:r w:rsidR="004B5A42">
        <w:t xml:space="preserve">also </w:t>
      </w:r>
      <w:r w:rsidR="00362AC6">
        <w:t xml:space="preserve">unaware of Seton’s whereabouts. CF 46. Thus, “‘special circumstances’ excuse the [Government’s] failure to obtain the requested materials itself.” </w:t>
      </w:r>
      <w:r w:rsidR="00362AC6">
        <w:rPr>
          <w:i/>
          <w:iCs/>
        </w:rPr>
        <w:t>Boehringer</w:t>
      </w:r>
      <w:r w:rsidR="00362AC6">
        <w:t>, 778 F.3d at 155</w:t>
      </w:r>
      <w:r w:rsidR="00B22EBD">
        <w:fldChar w:fldCharType="begin"/>
      </w:r>
      <w:r w:rsidR="00B22EBD">
        <w:instrText xml:space="preserve"> TA \s "Boehringer" </w:instrText>
      </w:r>
      <w:r w:rsidR="00B22EBD">
        <w:fldChar w:fldCharType="end"/>
      </w:r>
      <w:r w:rsidR="00362AC6">
        <w:t>. Therefore, the Government has a substantial need for Armana’s records of the Seton interview.</w:t>
      </w:r>
    </w:p>
    <w:p w14:paraId="2D41E198" w14:textId="0C257952" w:rsidR="002A0041" w:rsidRDefault="00AD6D9A" w:rsidP="00CF4FE0">
      <w:pPr>
        <w:pStyle w:val="BodyTextFirstIndent"/>
      </w:pPr>
      <w:r>
        <w:lastRenderedPageBreak/>
        <w:t xml:space="preserve">The Government cannot obtain substantially similar information without undue hardship. </w:t>
      </w:r>
      <w:r w:rsidR="00A77523">
        <w:t xml:space="preserve">In Donovan’s trial, because Blake was dead and Seton and Chandler fled the country, Defendant was the only person able to “explain the structure of the payments flowing out of </w:t>
      </w:r>
      <w:r w:rsidR="00D72332">
        <w:t>[</w:t>
      </w:r>
      <w:r w:rsidR="00A77523">
        <w:t>S</w:t>
      </w:r>
      <w:r w:rsidR="00D72332">
        <w:t>P]</w:t>
      </w:r>
      <w:r w:rsidR="00A77523">
        <w:t xml:space="preserve"> down to the shell corporations.” CF 28. </w:t>
      </w:r>
      <w:r w:rsidR="00D72332">
        <w:t xml:space="preserve">Because neither the Government nor Armana can locate Seton, </w:t>
      </w:r>
      <w:r w:rsidR="00362AC6">
        <w:t>t</w:t>
      </w:r>
      <w:r w:rsidR="00A77523">
        <w:t xml:space="preserve">he circumstances here are nearly identical, except now Defendant cannot be compelled to testify. </w:t>
      </w:r>
      <w:r w:rsidR="00362AC6">
        <w:t xml:space="preserve">CF </w:t>
      </w:r>
      <w:r w:rsidR="00D72332">
        <w:t xml:space="preserve">18, </w:t>
      </w:r>
      <w:r w:rsidR="00362AC6">
        <w:t xml:space="preserve">46. </w:t>
      </w:r>
      <w:r w:rsidR="00A77523">
        <w:t>There is not a single person left who can explain how the money moves from SP to Coastal.</w:t>
      </w:r>
      <w:r w:rsidR="0028771F">
        <w:t xml:space="preserve"> Thus, as provided by </w:t>
      </w:r>
      <w:r w:rsidR="0028771F" w:rsidRPr="0028771F">
        <w:rPr>
          <w:i/>
          <w:iCs/>
        </w:rPr>
        <w:t>King</w:t>
      </w:r>
      <w:r w:rsidR="0028771F" w:rsidRPr="0028771F">
        <w:t xml:space="preserve">, </w:t>
      </w:r>
      <w:r w:rsidR="0028771F">
        <w:rPr>
          <w:i/>
          <w:iCs/>
        </w:rPr>
        <w:t>Int</w:t>
      </w:r>
      <w:r w:rsidR="009B30A6">
        <w:rPr>
          <w:i/>
          <w:iCs/>
        </w:rPr>
        <w:t>ernational</w:t>
      </w:r>
      <w:r w:rsidR="0028771F">
        <w:rPr>
          <w:i/>
          <w:iCs/>
        </w:rPr>
        <w:t xml:space="preserve"> Sys</w:t>
      </w:r>
      <w:r w:rsidR="009B30A6">
        <w:rPr>
          <w:i/>
          <w:iCs/>
        </w:rPr>
        <w:t>tems</w:t>
      </w:r>
      <w:r w:rsidR="0028771F">
        <w:rPr>
          <w:i/>
          <w:iCs/>
        </w:rPr>
        <w:t xml:space="preserve"> </w:t>
      </w:r>
      <w:r w:rsidR="009B30A6">
        <w:rPr>
          <w:i/>
          <w:iCs/>
        </w:rPr>
        <w:t>and</w:t>
      </w:r>
      <w:r w:rsidR="0028771F">
        <w:rPr>
          <w:i/>
          <w:iCs/>
        </w:rPr>
        <w:t xml:space="preserve"> Controls Cor</w:t>
      </w:r>
      <w:r w:rsidR="009B30A6">
        <w:rPr>
          <w:i/>
          <w:iCs/>
        </w:rPr>
        <w:t>p.</w:t>
      </w:r>
      <w:r w:rsidR="0028771F">
        <w:t>, and</w:t>
      </w:r>
      <w:r w:rsidR="009B30A6">
        <w:t xml:space="preserve"> </w:t>
      </w:r>
      <w:r w:rsidR="0028771F">
        <w:rPr>
          <w:i/>
          <w:iCs/>
        </w:rPr>
        <w:t>Grand Jury Investigation</w:t>
      </w:r>
      <w:r w:rsidR="0028771F">
        <w:t>, Seton is unavailable and the Government cannot obtain the information without undue hardship.</w:t>
      </w:r>
    </w:p>
    <w:p w14:paraId="49980C56" w14:textId="0A016A8D" w:rsidR="00E92D4C" w:rsidRDefault="00E92D4C" w:rsidP="00CF4FE0">
      <w:pPr>
        <w:pStyle w:val="BodyTextFirstIndent"/>
      </w:pPr>
      <w:r>
        <w:t xml:space="preserve">Therefore, because the Government has demonstrated a substantial need for </w:t>
      </w:r>
      <w:r w:rsidR="00EC72E3">
        <w:t>the information in Armana’s records that cannot be obtained without undue hardship, Defendant’s Motion to Quash must be denied.</w:t>
      </w:r>
    </w:p>
    <w:p w14:paraId="54A36131" w14:textId="754F4882" w:rsidR="00886C5D" w:rsidRDefault="00886C5D" w:rsidP="00D306AD">
      <w:pPr>
        <w:pStyle w:val="Heading1"/>
      </w:pPr>
      <w:bookmarkStart w:id="16" w:name="_Toc239117124"/>
      <w:r>
        <w:t>Conclusion</w:t>
      </w:r>
      <w:bookmarkEnd w:id="16"/>
    </w:p>
    <w:p w14:paraId="20FE6274" w14:textId="14AC03F3" w:rsidR="00886C5D" w:rsidRDefault="00886C5D" w:rsidP="00886C5D">
      <w:pPr>
        <w:pStyle w:val="BodyTextFirstIndent"/>
      </w:pPr>
      <w:r w:rsidRPr="00886C5D">
        <w:t xml:space="preserve">For the foregoing reasons, the Government respectfully requests this Court deny Defendant’s Motion to Suppress and Motion to Quash. Because Parker’s testimony derives from sources wholly independent of </w:t>
      </w:r>
      <w:r w:rsidR="00D72332">
        <w:t>Defendant</w:t>
      </w:r>
      <w:r w:rsidRPr="00886C5D">
        <w:t xml:space="preserve">’s testimony, there is no </w:t>
      </w:r>
      <w:r w:rsidRPr="00D72332">
        <w:rPr>
          <w:i/>
          <w:iCs/>
        </w:rPr>
        <w:t>Kastigar</w:t>
      </w:r>
      <w:r w:rsidRPr="00886C5D">
        <w:t xml:space="preserve"> violation at hand. The Government adequately documented the investigative chain leading to Parker, and Nolan elicited </w:t>
      </w:r>
      <w:r w:rsidR="00BA17AB">
        <w:t>Parker’s</w:t>
      </w:r>
      <w:r w:rsidRPr="00886C5D">
        <w:t xml:space="preserve"> testimony without taint. Further, Exhibit 19 is simply another link in the independent investigative </w:t>
      </w:r>
      <w:r w:rsidRPr="00886C5D">
        <w:lastRenderedPageBreak/>
        <w:t>chain that led the Government to Parker. Moreover, Armana’s records of the Seton interview are not protected by the work-product privilege and are discoverable by the Government through the substantial need exception. Therefore, Defendant is not entitled to relief, and both motions must be denied.</w:t>
      </w:r>
    </w:p>
    <w:p w14:paraId="10C4E2DE" w14:textId="77777777" w:rsidR="00EA68EF" w:rsidRDefault="00EA68EF" w:rsidP="0016731A">
      <w:pPr>
        <w:pStyle w:val="BodyTextFirstIndent"/>
        <w:jc w:val="right"/>
      </w:pPr>
    </w:p>
    <w:p w14:paraId="6B1348E4" w14:textId="3D8775F4" w:rsidR="0016731A" w:rsidRDefault="0016731A" w:rsidP="0016731A">
      <w:pPr>
        <w:pStyle w:val="BodyTextFirstIndent"/>
        <w:jc w:val="right"/>
      </w:pPr>
      <w:r>
        <w:t>Respectfully submitted,</w:t>
      </w:r>
    </w:p>
    <w:p w14:paraId="629C1F98" w14:textId="43612B89" w:rsidR="0016731A" w:rsidRDefault="0016731A" w:rsidP="0016731A">
      <w:pPr>
        <w:pStyle w:val="BodyTextFirstIndent"/>
        <w:spacing w:line="240" w:lineRule="auto"/>
        <w:jc w:val="right"/>
      </w:pPr>
      <w:r>
        <w:rPr>
          <w:u w:val="single"/>
        </w:rPr>
        <w:t>/s/         Team 316</w:t>
      </w:r>
    </w:p>
    <w:p w14:paraId="4957CBFC" w14:textId="0D911A48" w:rsidR="0016731A" w:rsidRPr="0016731A" w:rsidRDefault="0016731A" w:rsidP="0016731A">
      <w:pPr>
        <w:pStyle w:val="BodyTextFirstIndent"/>
        <w:spacing w:line="240" w:lineRule="auto"/>
        <w:jc w:val="right"/>
        <w:rPr>
          <w:i/>
          <w:iCs/>
        </w:rPr>
      </w:pPr>
      <w:r>
        <w:rPr>
          <w:i/>
          <w:iCs/>
        </w:rPr>
        <w:t>Attorneys for the United States of America</w:t>
      </w:r>
    </w:p>
    <w:sectPr w:rsidR="0016731A" w:rsidRPr="0016731A" w:rsidSect="00AC49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9A239" w14:textId="77777777" w:rsidR="00B25129" w:rsidRDefault="00B25129" w:rsidP="00F71A82">
      <w:r>
        <w:separator/>
      </w:r>
    </w:p>
  </w:endnote>
  <w:endnote w:type="continuationSeparator" w:id="0">
    <w:p w14:paraId="2C205180" w14:textId="77777777" w:rsidR="00B25129" w:rsidRDefault="00B25129" w:rsidP="00F71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Headings C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Body CS)">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4944717"/>
      <w:docPartObj>
        <w:docPartGallery w:val="Page Numbers (Bottom of Page)"/>
        <w:docPartUnique/>
      </w:docPartObj>
    </w:sdtPr>
    <w:sdtEndPr>
      <w:rPr>
        <w:rStyle w:val="PageNumber"/>
      </w:rPr>
    </w:sdtEndPr>
    <w:sdtContent>
      <w:p w14:paraId="1F777559" w14:textId="77777777" w:rsidR="00620AF6" w:rsidRDefault="00620AF6" w:rsidP="00AC49D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44DDA735" w14:textId="77777777" w:rsidR="00620AF6" w:rsidRDefault="00620AF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481578654"/>
      <w:docPartObj>
        <w:docPartGallery w:val="Page Numbers (Bottom of Page)"/>
        <w:docPartUnique/>
      </w:docPartObj>
    </w:sdtPr>
    <w:sdtEndPr>
      <w:rPr>
        <w:rStyle w:val="PageNumber"/>
      </w:rPr>
    </w:sdtEndPr>
    <w:sdtContent>
      <w:p w14:paraId="7C3D8555" w14:textId="55B2C4A8" w:rsidR="00AC49D8" w:rsidRPr="00AC49D8" w:rsidRDefault="00AC49D8" w:rsidP="003A12F8">
        <w:pPr>
          <w:pStyle w:val="Footer"/>
          <w:framePr w:wrap="none" w:vAnchor="text" w:hAnchor="margin" w:xAlign="center" w:y="1"/>
          <w:rPr>
            <w:rStyle w:val="PageNumber"/>
            <w:rFonts w:ascii="Times New Roman" w:hAnsi="Times New Roman" w:cs="Times New Roman"/>
          </w:rPr>
        </w:pPr>
        <w:r w:rsidRPr="00AC49D8">
          <w:rPr>
            <w:rStyle w:val="PageNumber"/>
            <w:rFonts w:ascii="Times New Roman" w:hAnsi="Times New Roman" w:cs="Times New Roman"/>
          </w:rPr>
          <w:fldChar w:fldCharType="begin"/>
        </w:r>
        <w:r w:rsidRPr="00AC49D8">
          <w:rPr>
            <w:rStyle w:val="PageNumber"/>
            <w:rFonts w:ascii="Times New Roman" w:hAnsi="Times New Roman" w:cs="Times New Roman"/>
          </w:rPr>
          <w:instrText xml:space="preserve"> PAGE </w:instrText>
        </w:r>
        <w:r w:rsidRPr="00AC49D8">
          <w:rPr>
            <w:rStyle w:val="PageNumber"/>
            <w:rFonts w:ascii="Times New Roman" w:hAnsi="Times New Roman" w:cs="Times New Roman"/>
          </w:rPr>
          <w:fldChar w:fldCharType="separate"/>
        </w:r>
        <w:r w:rsidRPr="00AC49D8">
          <w:rPr>
            <w:rStyle w:val="PageNumber"/>
            <w:rFonts w:ascii="Times New Roman" w:hAnsi="Times New Roman" w:cs="Times New Roman"/>
            <w:noProof/>
          </w:rPr>
          <w:t>i</w:t>
        </w:r>
        <w:r w:rsidRPr="00AC49D8">
          <w:rPr>
            <w:rStyle w:val="PageNumber"/>
            <w:rFonts w:ascii="Times New Roman" w:hAnsi="Times New Roman" w:cs="Times New Roman"/>
          </w:rPr>
          <w:fldChar w:fldCharType="end"/>
        </w:r>
      </w:p>
    </w:sdtContent>
  </w:sdt>
  <w:p w14:paraId="54F120F6" w14:textId="77777777" w:rsidR="00620AF6" w:rsidRDefault="00620AF6">
    <w:pPr>
      <w:pStyle w:val="Footer"/>
    </w:pPr>
  </w:p>
  <w:p w14:paraId="418A667E" w14:textId="77777777" w:rsidR="00620AF6" w:rsidRDefault="00620A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B66B" w14:textId="77777777" w:rsidR="00620AF6" w:rsidRDefault="00620AF6">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622C1" w14:textId="77777777" w:rsidR="00B25129" w:rsidRDefault="00B25129" w:rsidP="00F71A82">
      <w:r>
        <w:separator/>
      </w:r>
    </w:p>
  </w:footnote>
  <w:footnote w:type="continuationSeparator" w:id="0">
    <w:p w14:paraId="0552355A" w14:textId="77777777" w:rsidR="00B25129" w:rsidRDefault="00B25129" w:rsidP="00F71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0C23" w14:textId="44852CF1" w:rsidR="00620AF6" w:rsidRPr="007A7E5C" w:rsidRDefault="00620AF6" w:rsidP="00DD5049">
    <w:pPr>
      <w:pStyle w:val="Header"/>
      <w:jc w:val="right"/>
      <w:rPr>
        <w:rFonts w:ascii="Times New Roman" w:hAnsi="Times New Roman" w:cs="Times New Roman"/>
        <w:szCs w:val="28"/>
      </w:rPr>
    </w:pPr>
    <w:r w:rsidRPr="007A7E5C">
      <w:rPr>
        <w:rFonts w:ascii="Times New Roman" w:hAnsi="Times New Roman" w:cs="Times New Roman"/>
        <w:szCs w:val="28"/>
      </w:rPr>
      <w:t>Team 316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9C0"/>
    <w:multiLevelType w:val="hybridMultilevel"/>
    <w:tmpl w:val="81400ACE"/>
    <w:lvl w:ilvl="0" w:tplc="77A6B376">
      <w:start w:val="1"/>
      <w:numFmt w:val="upperRoman"/>
      <w:lvlText w:val="%1."/>
      <w:lvlJc w:val="righ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229D4"/>
    <w:multiLevelType w:val="multilevel"/>
    <w:tmpl w:val="81400ACE"/>
    <w:styleLink w:val="CurrentList3"/>
    <w:lvl w:ilvl="0">
      <w:start w:val="1"/>
      <w:numFmt w:val="upperRoman"/>
      <w:lvlText w:val="%1."/>
      <w:lvlJc w:val="righ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726F97"/>
    <w:multiLevelType w:val="hybridMultilevel"/>
    <w:tmpl w:val="8460CCD8"/>
    <w:lvl w:ilvl="0" w:tplc="525A9D56">
      <w:start w:val="1"/>
      <w:numFmt w:val="decimal"/>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D50A3C"/>
    <w:multiLevelType w:val="hybridMultilevel"/>
    <w:tmpl w:val="02C8334E"/>
    <w:lvl w:ilvl="0" w:tplc="EC06423E">
      <w:start w:val="1"/>
      <w:numFmt w:val="upperRoman"/>
      <w:pStyle w:val="Heading2"/>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438FA"/>
    <w:multiLevelType w:val="hybridMultilevel"/>
    <w:tmpl w:val="46C8CCBC"/>
    <w:lvl w:ilvl="0" w:tplc="2190DF5A">
      <w:start w:val="1"/>
      <w:numFmt w:val="upperLetter"/>
      <w:pStyle w:val="Heading3"/>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582C5B"/>
    <w:multiLevelType w:val="multilevel"/>
    <w:tmpl w:val="8E245E22"/>
    <w:styleLink w:val="CurrentList4"/>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8382471"/>
    <w:multiLevelType w:val="multilevel"/>
    <w:tmpl w:val="7C1261F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28DB0970"/>
    <w:multiLevelType w:val="multilevel"/>
    <w:tmpl w:val="F72CE078"/>
    <w:styleLink w:val="CurrentList5"/>
    <w:lvl w:ilvl="0">
      <w:start w:val="1"/>
      <w:numFmt w:val="decimal"/>
      <w:lvlText w:val="%1."/>
      <w:lvlJc w:val="left"/>
      <w:pPr>
        <w:ind w:left="72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035B8D"/>
    <w:multiLevelType w:val="multilevel"/>
    <w:tmpl w:val="8460CCD8"/>
    <w:styleLink w:val="CurrentList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6F7476A"/>
    <w:multiLevelType w:val="multilevel"/>
    <w:tmpl w:val="8A509440"/>
    <w:styleLink w:val="CurrentList1"/>
    <w:lvl w:ilvl="0">
      <w:start w:val="1"/>
      <w:numFmt w:val="upperRoman"/>
      <w:lvlText w:val="%1."/>
      <w:lvlJc w:val="right"/>
      <w:pPr>
        <w:ind w:left="720" w:hanging="17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B717A99"/>
    <w:multiLevelType w:val="multilevel"/>
    <w:tmpl w:val="42C62FDE"/>
    <w:lvl w:ilvl="0">
      <w:start w:val="3"/>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55346FD9"/>
    <w:multiLevelType w:val="multilevel"/>
    <w:tmpl w:val="34EEE050"/>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9194E87"/>
    <w:multiLevelType w:val="multilevel"/>
    <w:tmpl w:val="AB0A1BAC"/>
    <w:lvl w:ilvl="0">
      <w:start w:val="2"/>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5A070981"/>
    <w:multiLevelType w:val="multilevel"/>
    <w:tmpl w:val="8460CCD8"/>
    <w:styleLink w:val="CurrentList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F947BB9"/>
    <w:multiLevelType w:val="multilevel"/>
    <w:tmpl w:val="6546CDF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5" w15:restartNumberingAfterBreak="0">
    <w:nsid w:val="60FD03DD"/>
    <w:multiLevelType w:val="multilevel"/>
    <w:tmpl w:val="C44AC13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2006E66"/>
    <w:multiLevelType w:val="hybridMultilevel"/>
    <w:tmpl w:val="BD5268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E14EFB"/>
    <w:multiLevelType w:val="multilevel"/>
    <w:tmpl w:val="54E2E0B8"/>
    <w:lvl w:ilvl="0">
      <w:start w:val="2"/>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8" w15:restartNumberingAfterBreak="0">
    <w:nsid w:val="77F67CAD"/>
    <w:multiLevelType w:val="multilevel"/>
    <w:tmpl w:val="8460CCD8"/>
    <w:styleLink w:val="CurrentList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02411202">
    <w:abstractNumId w:val="0"/>
  </w:num>
  <w:num w:numId="2" w16cid:durableId="1876308205">
    <w:abstractNumId w:val="9"/>
  </w:num>
  <w:num w:numId="3" w16cid:durableId="153032288">
    <w:abstractNumId w:val="3"/>
  </w:num>
  <w:num w:numId="4" w16cid:durableId="341586771">
    <w:abstractNumId w:val="4"/>
  </w:num>
  <w:num w:numId="5" w16cid:durableId="396244421">
    <w:abstractNumId w:val="11"/>
  </w:num>
  <w:num w:numId="6" w16cid:durableId="666633027">
    <w:abstractNumId w:val="4"/>
    <w:lvlOverride w:ilvl="0">
      <w:startOverride w:val="1"/>
    </w:lvlOverride>
  </w:num>
  <w:num w:numId="7" w16cid:durableId="1062414121">
    <w:abstractNumId w:val="14"/>
  </w:num>
  <w:num w:numId="8" w16cid:durableId="1533614729">
    <w:abstractNumId w:val="10"/>
  </w:num>
  <w:num w:numId="9" w16cid:durableId="192575079">
    <w:abstractNumId w:val="15"/>
  </w:num>
  <w:num w:numId="10" w16cid:durableId="989598245">
    <w:abstractNumId w:val="17"/>
  </w:num>
  <w:num w:numId="11" w16cid:durableId="510031548">
    <w:abstractNumId w:val="6"/>
  </w:num>
  <w:num w:numId="12" w16cid:durableId="555706949">
    <w:abstractNumId w:val="12"/>
  </w:num>
  <w:num w:numId="13" w16cid:durableId="1774789792">
    <w:abstractNumId w:val="3"/>
    <w:lvlOverride w:ilvl="0">
      <w:startOverride w:val="1"/>
    </w:lvlOverride>
  </w:num>
  <w:num w:numId="14" w16cid:durableId="677586820">
    <w:abstractNumId w:val="4"/>
    <w:lvlOverride w:ilvl="0">
      <w:startOverride w:val="1"/>
    </w:lvlOverride>
  </w:num>
  <w:num w:numId="15" w16cid:durableId="793408545">
    <w:abstractNumId w:val="16"/>
  </w:num>
  <w:num w:numId="16" w16cid:durableId="1979800669">
    <w:abstractNumId w:val="1"/>
  </w:num>
  <w:num w:numId="17" w16cid:durableId="1629821525">
    <w:abstractNumId w:val="5"/>
  </w:num>
  <w:num w:numId="18" w16cid:durableId="1323116519">
    <w:abstractNumId w:val="7"/>
  </w:num>
  <w:num w:numId="19" w16cid:durableId="1195728886">
    <w:abstractNumId w:val="2"/>
  </w:num>
  <w:num w:numId="20" w16cid:durableId="807746240">
    <w:abstractNumId w:val="4"/>
    <w:lvlOverride w:ilvl="0">
      <w:startOverride w:val="1"/>
    </w:lvlOverride>
  </w:num>
  <w:num w:numId="21" w16cid:durableId="479270332">
    <w:abstractNumId w:val="2"/>
    <w:lvlOverride w:ilvl="0">
      <w:startOverride w:val="1"/>
    </w:lvlOverride>
  </w:num>
  <w:num w:numId="22" w16cid:durableId="1162238751">
    <w:abstractNumId w:val="13"/>
  </w:num>
  <w:num w:numId="23" w16cid:durableId="1497762863">
    <w:abstractNumId w:val="18"/>
  </w:num>
  <w:num w:numId="24" w16cid:durableId="1741051332">
    <w:abstractNumId w:val="8"/>
  </w:num>
  <w:num w:numId="25" w16cid:durableId="97911345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E25"/>
    <w:rsid w:val="00002790"/>
    <w:rsid w:val="00011A09"/>
    <w:rsid w:val="0002516E"/>
    <w:rsid w:val="00026F44"/>
    <w:rsid w:val="0003716C"/>
    <w:rsid w:val="000502A8"/>
    <w:rsid w:val="00057B94"/>
    <w:rsid w:val="00061ADA"/>
    <w:rsid w:val="000622A4"/>
    <w:rsid w:val="000726B0"/>
    <w:rsid w:val="000774F4"/>
    <w:rsid w:val="000806CB"/>
    <w:rsid w:val="00082A90"/>
    <w:rsid w:val="000C3FBD"/>
    <w:rsid w:val="000C6E4B"/>
    <w:rsid w:val="000C7354"/>
    <w:rsid w:val="000D2475"/>
    <w:rsid w:val="000E6F0F"/>
    <w:rsid w:val="00106426"/>
    <w:rsid w:val="001361A6"/>
    <w:rsid w:val="0014441F"/>
    <w:rsid w:val="00144E33"/>
    <w:rsid w:val="00163745"/>
    <w:rsid w:val="0016731A"/>
    <w:rsid w:val="00176ABD"/>
    <w:rsid w:val="0019238A"/>
    <w:rsid w:val="00196C7C"/>
    <w:rsid w:val="001B7F3E"/>
    <w:rsid w:val="001D506B"/>
    <w:rsid w:val="001E70BC"/>
    <w:rsid w:val="001F6560"/>
    <w:rsid w:val="00200B5C"/>
    <w:rsid w:val="00204875"/>
    <w:rsid w:val="0022052F"/>
    <w:rsid w:val="00227506"/>
    <w:rsid w:val="0024337C"/>
    <w:rsid w:val="002639A8"/>
    <w:rsid w:val="00275D38"/>
    <w:rsid w:val="00276CCB"/>
    <w:rsid w:val="0028771F"/>
    <w:rsid w:val="0029120F"/>
    <w:rsid w:val="002A0041"/>
    <w:rsid w:val="002E024D"/>
    <w:rsid w:val="002E21FE"/>
    <w:rsid w:val="002E35F1"/>
    <w:rsid w:val="002F3F80"/>
    <w:rsid w:val="00302CBF"/>
    <w:rsid w:val="0031315C"/>
    <w:rsid w:val="003366FA"/>
    <w:rsid w:val="0035080F"/>
    <w:rsid w:val="00356FDA"/>
    <w:rsid w:val="00362AC6"/>
    <w:rsid w:val="00365E71"/>
    <w:rsid w:val="003679B0"/>
    <w:rsid w:val="003726CA"/>
    <w:rsid w:val="003738FE"/>
    <w:rsid w:val="00383B04"/>
    <w:rsid w:val="0038762A"/>
    <w:rsid w:val="003A71A2"/>
    <w:rsid w:val="003B5901"/>
    <w:rsid w:val="003D0055"/>
    <w:rsid w:val="003F30DB"/>
    <w:rsid w:val="003F3782"/>
    <w:rsid w:val="003F6616"/>
    <w:rsid w:val="00407D6C"/>
    <w:rsid w:val="004137B3"/>
    <w:rsid w:val="00417486"/>
    <w:rsid w:val="00421160"/>
    <w:rsid w:val="00425A7A"/>
    <w:rsid w:val="004273C1"/>
    <w:rsid w:val="00455C0E"/>
    <w:rsid w:val="004629A8"/>
    <w:rsid w:val="004708F5"/>
    <w:rsid w:val="004908CF"/>
    <w:rsid w:val="00493D73"/>
    <w:rsid w:val="004965C9"/>
    <w:rsid w:val="004B5A42"/>
    <w:rsid w:val="004C23C8"/>
    <w:rsid w:val="004C3203"/>
    <w:rsid w:val="004C5408"/>
    <w:rsid w:val="004D5F17"/>
    <w:rsid w:val="004E61C2"/>
    <w:rsid w:val="0051014D"/>
    <w:rsid w:val="00537535"/>
    <w:rsid w:val="00545AF8"/>
    <w:rsid w:val="005675D9"/>
    <w:rsid w:val="00583B02"/>
    <w:rsid w:val="00584696"/>
    <w:rsid w:val="005876B6"/>
    <w:rsid w:val="005F0495"/>
    <w:rsid w:val="006049DB"/>
    <w:rsid w:val="006074FF"/>
    <w:rsid w:val="00620AF6"/>
    <w:rsid w:val="00621A16"/>
    <w:rsid w:val="00622395"/>
    <w:rsid w:val="006278FF"/>
    <w:rsid w:val="0063037D"/>
    <w:rsid w:val="00630F6B"/>
    <w:rsid w:val="00642D9B"/>
    <w:rsid w:val="00661091"/>
    <w:rsid w:val="0068158B"/>
    <w:rsid w:val="00696C6E"/>
    <w:rsid w:val="006B3F38"/>
    <w:rsid w:val="006E3D3A"/>
    <w:rsid w:val="006F1A5C"/>
    <w:rsid w:val="006F325D"/>
    <w:rsid w:val="00717BBC"/>
    <w:rsid w:val="00723704"/>
    <w:rsid w:val="0072539A"/>
    <w:rsid w:val="00726829"/>
    <w:rsid w:val="0072745B"/>
    <w:rsid w:val="007702E1"/>
    <w:rsid w:val="007934A5"/>
    <w:rsid w:val="007A1F6B"/>
    <w:rsid w:val="007A7E5C"/>
    <w:rsid w:val="007B7454"/>
    <w:rsid w:val="007C1513"/>
    <w:rsid w:val="007D4136"/>
    <w:rsid w:val="007E2539"/>
    <w:rsid w:val="008050BC"/>
    <w:rsid w:val="008226BF"/>
    <w:rsid w:val="00845DA9"/>
    <w:rsid w:val="0086019D"/>
    <w:rsid w:val="008775A5"/>
    <w:rsid w:val="008847FB"/>
    <w:rsid w:val="00885531"/>
    <w:rsid w:val="00886C5D"/>
    <w:rsid w:val="008900AE"/>
    <w:rsid w:val="008A48F5"/>
    <w:rsid w:val="008B65D8"/>
    <w:rsid w:val="008E2FEE"/>
    <w:rsid w:val="008E4B89"/>
    <w:rsid w:val="008E5619"/>
    <w:rsid w:val="008F33A3"/>
    <w:rsid w:val="00903EB6"/>
    <w:rsid w:val="0090508C"/>
    <w:rsid w:val="00925ED2"/>
    <w:rsid w:val="0093255C"/>
    <w:rsid w:val="00945664"/>
    <w:rsid w:val="009677F5"/>
    <w:rsid w:val="00983540"/>
    <w:rsid w:val="009A0FAE"/>
    <w:rsid w:val="009A5504"/>
    <w:rsid w:val="009B30A6"/>
    <w:rsid w:val="009B502E"/>
    <w:rsid w:val="009E359D"/>
    <w:rsid w:val="00A103B8"/>
    <w:rsid w:val="00A21A8B"/>
    <w:rsid w:val="00A41E0F"/>
    <w:rsid w:val="00A629C3"/>
    <w:rsid w:val="00A72F79"/>
    <w:rsid w:val="00A77523"/>
    <w:rsid w:val="00A93065"/>
    <w:rsid w:val="00AB2681"/>
    <w:rsid w:val="00AC2E25"/>
    <w:rsid w:val="00AC49D8"/>
    <w:rsid w:val="00AD116B"/>
    <w:rsid w:val="00AD6D9A"/>
    <w:rsid w:val="00B16E3F"/>
    <w:rsid w:val="00B22EBD"/>
    <w:rsid w:val="00B25129"/>
    <w:rsid w:val="00B2732F"/>
    <w:rsid w:val="00B30EC8"/>
    <w:rsid w:val="00B33DEA"/>
    <w:rsid w:val="00B33E24"/>
    <w:rsid w:val="00B474F4"/>
    <w:rsid w:val="00B9684E"/>
    <w:rsid w:val="00BA17AB"/>
    <w:rsid w:val="00BA59D7"/>
    <w:rsid w:val="00BB6EEE"/>
    <w:rsid w:val="00BC2A9D"/>
    <w:rsid w:val="00BD4BAF"/>
    <w:rsid w:val="00BD64C5"/>
    <w:rsid w:val="00BD71C6"/>
    <w:rsid w:val="00BE0643"/>
    <w:rsid w:val="00C307E6"/>
    <w:rsid w:val="00C43067"/>
    <w:rsid w:val="00C5430F"/>
    <w:rsid w:val="00C56D53"/>
    <w:rsid w:val="00C71D47"/>
    <w:rsid w:val="00CA5199"/>
    <w:rsid w:val="00CB061B"/>
    <w:rsid w:val="00CB7250"/>
    <w:rsid w:val="00CE45DD"/>
    <w:rsid w:val="00CE7CA5"/>
    <w:rsid w:val="00CF37B5"/>
    <w:rsid w:val="00CF4FE0"/>
    <w:rsid w:val="00D02C48"/>
    <w:rsid w:val="00D06554"/>
    <w:rsid w:val="00D06C7E"/>
    <w:rsid w:val="00D10B0D"/>
    <w:rsid w:val="00D17019"/>
    <w:rsid w:val="00D306AD"/>
    <w:rsid w:val="00D3255B"/>
    <w:rsid w:val="00D33957"/>
    <w:rsid w:val="00D42EFB"/>
    <w:rsid w:val="00D47C6C"/>
    <w:rsid w:val="00D65367"/>
    <w:rsid w:val="00D72332"/>
    <w:rsid w:val="00D9531F"/>
    <w:rsid w:val="00DD5049"/>
    <w:rsid w:val="00E069A5"/>
    <w:rsid w:val="00E10DE6"/>
    <w:rsid w:val="00E11F2E"/>
    <w:rsid w:val="00E163FD"/>
    <w:rsid w:val="00E3615D"/>
    <w:rsid w:val="00E62082"/>
    <w:rsid w:val="00E86DE8"/>
    <w:rsid w:val="00E92D4C"/>
    <w:rsid w:val="00EA68EF"/>
    <w:rsid w:val="00EC18FA"/>
    <w:rsid w:val="00EC255F"/>
    <w:rsid w:val="00EC5E07"/>
    <w:rsid w:val="00EC72E3"/>
    <w:rsid w:val="00EE4332"/>
    <w:rsid w:val="00F05FB1"/>
    <w:rsid w:val="00F060F8"/>
    <w:rsid w:val="00F069F1"/>
    <w:rsid w:val="00F16694"/>
    <w:rsid w:val="00F24283"/>
    <w:rsid w:val="00F33E9B"/>
    <w:rsid w:val="00F358DB"/>
    <w:rsid w:val="00F367DB"/>
    <w:rsid w:val="00F37D22"/>
    <w:rsid w:val="00F4045F"/>
    <w:rsid w:val="00F43385"/>
    <w:rsid w:val="00F452A3"/>
    <w:rsid w:val="00F5441C"/>
    <w:rsid w:val="00F71A82"/>
    <w:rsid w:val="00F911EB"/>
    <w:rsid w:val="00F923FF"/>
    <w:rsid w:val="00FB12D2"/>
    <w:rsid w:val="00FD2BFA"/>
    <w:rsid w:val="00FE6D0C"/>
    <w:rsid w:val="00FF1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E14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F6B"/>
    <w:pPr>
      <w:spacing w:after="0" w:line="240" w:lineRule="auto"/>
    </w:pPr>
    <w:rPr>
      <w:rFonts w:ascii="Times New Roman" w:eastAsia="Times New Roman" w:hAnsi="Times New Roman" w:cs="Times New Roman"/>
      <w:kern w:val="0"/>
      <w:sz w:val="28"/>
      <w14:ligatures w14:val="none"/>
    </w:rPr>
  </w:style>
  <w:style w:type="paragraph" w:styleId="Heading1">
    <w:name w:val="heading 1"/>
    <w:basedOn w:val="Normal"/>
    <w:next w:val="BodyTextFirstIndent"/>
    <w:link w:val="Heading1Char"/>
    <w:uiPriority w:val="9"/>
    <w:qFormat/>
    <w:rsid w:val="004137B3"/>
    <w:pPr>
      <w:keepNext/>
      <w:keepLines/>
      <w:spacing w:line="480" w:lineRule="auto"/>
      <w:jc w:val="center"/>
      <w:outlineLvl w:val="0"/>
    </w:pPr>
    <w:rPr>
      <w:rFonts w:eastAsiaTheme="majorEastAsia" w:cs="Times New Roman (Headings CS)"/>
      <w:b/>
      <w:caps/>
      <w:color w:val="000000" w:themeColor="text1"/>
      <w:szCs w:val="40"/>
    </w:rPr>
  </w:style>
  <w:style w:type="paragraph" w:styleId="Heading2">
    <w:name w:val="heading 2"/>
    <w:basedOn w:val="Normal"/>
    <w:next w:val="BodyTextFirstIndent"/>
    <w:link w:val="Heading2Char"/>
    <w:uiPriority w:val="9"/>
    <w:unhideWhenUsed/>
    <w:qFormat/>
    <w:rsid w:val="004137B3"/>
    <w:pPr>
      <w:keepNext/>
      <w:keepLines/>
      <w:numPr>
        <w:numId w:val="3"/>
      </w:numPr>
      <w:spacing w:after="280"/>
      <w:ind w:left="187" w:hanging="187"/>
      <w:jc w:val="both"/>
      <w:outlineLvl w:val="1"/>
    </w:pPr>
    <w:rPr>
      <w:rFonts w:eastAsiaTheme="majorEastAsia" w:cs="Times New Roman (Headings CS)"/>
      <w:b/>
      <w:caps/>
      <w:color w:val="000000" w:themeColor="text1"/>
      <w:szCs w:val="32"/>
    </w:rPr>
  </w:style>
  <w:style w:type="paragraph" w:styleId="Heading3">
    <w:name w:val="heading 3"/>
    <w:basedOn w:val="Normal"/>
    <w:next w:val="BodyTextFirstIndent"/>
    <w:link w:val="Heading3Char"/>
    <w:uiPriority w:val="9"/>
    <w:unhideWhenUsed/>
    <w:qFormat/>
    <w:rsid w:val="004137B3"/>
    <w:pPr>
      <w:keepNext/>
      <w:keepLines/>
      <w:numPr>
        <w:numId w:val="4"/>
      </w:numPr>
      <w:spacing w:after="280"/>
      <w:ind w:left="720"/>
      <w:jc w:val="both"/>
      <w:outlineLvl w:val="2"/>
    </w:pPr>
    <w:rPr>
      <w:rFonts w:eastAsiaTheme="majorEastAsia" w:cstheme="majorBidi"/>
      <w:b/>
      <w:i/>
      <w:color w:val="000000" w:themeColor="text1"/>
      <w:szCs w:val="28"/>
    </w:rPr>
  </w:style>
  <w:style w:type="paragraph" w:styleId="Heading4">
    <w:name w:val="heading 4"/>
    <w:basedOn w:val="Normal"/>
    <w:next w:val="Normal"/>
    <w:link w:val="Heading4Char"/>
    <w:uiPriority w:val="9"/>
    <w:unhideWhenUsed/>
    <w:qFormat/>
    <w:rsid w:val="004137B3"/>
    <w:pPr>
      <w:keepNext/>
      <w:keepLines/>
      <w:numPr>
        <w:numId w:val="19"/>
      </w:numPr>
      <w:spacing w:after="280"/>
      <w:ind w:left="1080"/>
      <w:jc w:val="both"/>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AC2E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2E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2E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2E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2E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7B3"/>
    <w:rPr>
      <w:rFonts w:ascii="Times New Roman" w:eastAsiaTheme="majorEastAsia" w:hAnsi="Times New Roman" w:cs="Times New Roman (Headings CS)"/>
      <w:b/>
      <w:caps/>
      <w:color w:val="000000" w:themeColor="text1"/>
      <w:kern w:val="0"/>
      <w:sz w:val="28"/>
      <w:szCs w:val="40"/>
      <w14:ligatures w14:val="none"/>
    </w:rPr>
  </w:style>
  <w:style w:type="character" w:customStyle="1" w:styleId="Heading2Char">
    <w:name w:val="Heading 2 Char"/>
    <w:basedOn w:val="DefaultParagraphFont"/>
    <w:link w:val="Heading2"/>
    <w:uiPriority w:val="9"/>
    <w:rsid w:val="004137B3"/>
    <w:rPr>
      <w:rFonts w:ascii="Times New Roman" w:eastAsiaTheme="majorEastAsia" w:hAnsi="Times New Roman" w:cs="Times New Roman (Headings CS)"/>
      <w:b/>
      <w:caps/>
      <w:color w:val="000000" w:themeColor="text1"/>
      <w:kern w:val="0"/>
      <w:sz w:val="28"/>
      <w:szCs w:val="32"/>
      <w14:ligatures w14:val="none"/>
    </w:rPr>
  </w:style>
  <w:style w:type="character" w:customStyle="1" w:styleId="Heading3Char">
    <w:name w:val="Heading 3 Char"/>
    <w:basedOn w:val="DefaultParagraphFont"/>
    <w:link w:val="Heading3"/>
    <w:uiPriority w:val="9"/>
    <w:rsid w:val="004137B3"/>
    <w:rPr>
      <w:rFonts w:ascii="Times New Roman" w:eastAsiaTheme="majorEastAsia" w:hAnsi="Times New Roman" w:cstheme="majorBidi"/>
      <w:b/>
      <w:i/>
      <w:color w:val="000000" w:themeColor="text1"/>
      <w:kern w:val="0"/>
      <w:sz w:val="28"/>
      <w:szCs w:val="28"/>
      <w14:ligatures w14:val="none"/>
    </w:rPr>
  </w:style>
  <w:style w:type="character" w:customStyle="1" w:styleId="Heading4Char">
    <w:name w:val="Heading 4 Char"/>
    <w:basedOn w:val="DefaultParagraphFont"/>
    <w:link w:val="Heading4"/>
    <w:uiPriority w:val="9"/>
    <w:rsid w:val="004137B3"/>
    <w:rPr>
      <w:rFonts w:ascii="Times New Roman" w:eastAsiaTheme="majorEastAsia" w:hAnsi="Times New Roman" w:cstheme="majorBidi"/>
      <w:b/>
      <w:iCs/>
      <w:color w:val="000000" w:themeColor="text1"/>
      <w:kern w:val="0"/>
      <w:sz w:val="28"/>
      <w14:ligatures w14:val="none"/>
    </w:rPr>
  </w:style>
  <w:style w:type="character" w:customStyle="1" w:styleId="Heading5Char">
    <w:name w:val="Heading 5 Char"/>
    <w:basedOn w:val="DefaultParagraphFont"/>
    <w:link w:val="Heading5"/>
    <w:uiPriority w:val="9"/>
    <w:semiHidden/>
    <w:rsid w:val="00AC2E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2E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2E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2E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2E25"/>
    <w:rPr>
      <w:rFonts w:eastAsiaTheme="majorEastAsia" w:cstheme="majorBidi"/>
      <w:color w:val="272727" w:themeColor="text1" w:themeTint="D8"/>
    </w:rPr>
  </w:style>
  <w:style w:type="paragraph" w:styleId="Title">
    <w:name w:val="Title"/>
    <w:basedOn w:val="Normal"/>
    <w:next w:val="Normal"/>
    <w:link w:val="TitleChar"/>
    <w:uiPriority w:val="10"/>
    <w:qFormat/>
    <w:rsid w:val="00002790"/>
    <w:pPr>
      <w:spacing w:line="480" w:lineRule="auto"/>
      <w:contextualSpacing/>
      <w:jc w:val="center"/>
    </w:pPr>
    <w:rPr>
      <w:rFonts w:eastAsiaTheme="majorEastAsia" w:cs="Times New Roman (Headings CS)"/>
      <w:b/>
      <w:caps/>
      <w:spacing w:val="-10"/>
      <w:kern w:val="28"/>
      <w:szCs w:val="56"/>
    </w:rPr>
  </w:style>
  <w:style w:type="character" w:customStyle="1" w:styleId="TitleChar">
    <w:name w:val="Title Char"/>
    <w:basedOn w:val="DefaultParagraphFont"/>
    <w:link w:val="Title"/>
    <w:uiPriority w:val="10"/>
    <w:rsid w:val="00002790"/>
    <w:rPr>
      <w:rFonts w:ascii="Times New Roman" w:eastAsiaTheme="majorEastAsia" w:hAnsi="Times New Roman" w:cs="Times New Roman (Headings CS)"/>
      <w:b/>
      <w:caps/>
      <w:spacing w:val="-10"/>
      <w:kern w:val="28"/>
      <w:sz w:val="28"/>
      <w:szCs w:val="56"/>
      <w14:ligatures w14:val="none"/>
    </w:rPr>
  </w:style>
  <w:style w:type="paragraph" w:styleId="Subtitle">
    <w:name w:val="Subtitle"/>
    <w:aliases w:val="Section Titles"/>
    <w:basedOn w:val="Normal"/>
    <w:next w:val="BodyTextFirstIndent"/>
    <w:link w:val="SubtitleChar"/>
    <w:uiPriority w:val="11"/>
    <w:qFormat/>
    <w:rsid w:val="007A1F6B"/>
    <w:pPr>
      <w:numPr>
        <w:ilvl w:val="1"/>
      </w:numPr>
      <w:spacing w:line="480" w:lineRule="auto"/>
      <w:jc w:val="center"/>
    </w:pPr>
    <w:rPr>
      <w:rFonts w:eastAsiaTheme="majorEastAsia" w:cs="Times New Roman (Headings CS)"/>
      <w:b/>
      <w:caps/>
      <w:color w:val="000000" w:themeColor="text1"/>
      <w:spacing w:val="15"/>
      <w:szCs w:val="28"/>
    </w:rPr>
  </w:style>
  <w:style w:type="character" w:customStyle="1" w:styleId="SubtitleChar">
    <w:name w:val="Subtitle Char"/>
    <w:aliases w:val="Section Titles Char"/>
    <w:basedOn w:val="DefaultParagraphFont"/>
    <w:link w:val="Subtitle"/>
    <w:uiPriority w:val="11"/>
    <w:rsid w:val="007A1F6B"/>
    <w:rPr>
      <w:rFonts w:ascii="Times New Roman" w:eastAsiaTheme="majorEastAsia" w:hAnsi="Times New Roman" w:cs="Times New Roman (Headings CS)"/>
      <w:b/>
      <w:caps/>
      <w:color w:val="000000" w:themeColor="text1"/>
      <w:spacing w:val="15"/>
      <w:kern w:val="0"/>
      <w:sz w:val="28"/>
      <w:szCs w:val="28"/>
      <w14:ligatures w14:val="none"/>
    </w:rPr>
  </w:style>
  <w:style w:type="paragraph" w:styleId="Quote">
    <w:name w:val="Quote"/>
    <w:basedOn w:val="Normal"/>
    <w:next w:val="Normal"/>
    <w:link w:val="QuoteChar"/>
    <w:uiPriority w:val="29"/>
    <w:rsid w:val="00AC2E25"/>
    <w:pPr>
      <w:spacing w:before="160"/>
      <w:jc w:val="center"/>
    </w:pPr>
    <w:rPr>
      <w:i/>
      <w:iCs/>
      <w:color w:val="404040" w:themeColor="text1" w:themeTint="BF"/>
    </w:rPr>
  </w:style>
  <w:style w:type="character" w:customStyle="1" w:styleId="QuoteChar">
    <w:name w:val="Quote Char"/>
    <w:basedOn w:val="DefaultParagraphFont"/>
    <w:link w:val="Quote"/>
    <w:uiPriority w:val="29"/>
    <w:rsid w:val="00AC2E25"/>
    <w:rPr>
      <w:i/>
      <w:iCs/>
      <w:color w:val="404040" w:themeColor="text1" w:themeTint="BF"/>
    </w:rPr>
  </w:style>
  <w:style w:type="paragraph" w:styleId="ListParagraph">
    <w:name w:val="List Paragraph"/>
    <w:basedOn w:val="Normal"/>
    <w:uiPriority w:val="34"/>
    <w:rsid w:val="00AC2E25"/>
    <w:pPr>
      <w:ind w:left="720"/>
      <w:contextualSpacing/>
    </w:pPr>
  </w:style>
  <w:style w:type="character" w:styleId="IntenseEmphasis">
    <w:name w:val="Intense Emphasis"/>
    <w:basedOn w:val="DefaultParagraphFont"/>
    <w:uiPriority w:val="21"/>
    <w:rsid w:val="00AC2E25"/>
    <w:rPr>
      <w:i/>
      <w:iCs/>
      <w:color w:val="0F4761" w:themeColor="accent1" w:themeShade="BF"/>
    </w:rPr>
  </w:style>
  <w:style w:type="paragraph" w:styleId="IntenseQuote">
    <w:name w:val="Intense Quote"/>
    <w:basedOn w:val="Normal"/>
    <w:next w:val="Normal"/>
    <w:link w:val="IntenseQuoteChar"/>
    <w:uiPriority w:val="30"/>
    <w:rsid w:val="00AC2E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2E25"/>
    <w:rPr>
      <w:i/>
      <w:iCs/>
      <w:color w:val="0F4761" w:themeColor="accent1" w:themeShade="BF"/>
    </w:rPr>
  </w:style>
  <w:style w:type="character" w:styleId="IntenseReference">
    <w:name w:val="Intense Reference"/>
    <w:basedOn w:val="DefaultParagraphFont"/>
    <w:uiPriority w:val="32"/>
    <w:rsid w:val="00AC2E25"/>
    <w:rPr>
      <w:b/>
      <w:bCs/>
      <w:smallCaps/>
      <w:color w:val="0F4761" w:themeColor="accent1" w:themeShade="BF"/>
      <w:spacing w:val="5"/>
    </w:rPr>
  </w:style>
  <w:style w:type="paragraph" w:styleId="BodyText">
    <w:name w:val="Body Text"/>
    <w:basedOn w:val="Normal"/>
    <w:link w:val="BodyTextChar"/>
    <w:uiPriority w:val="99"/>
    <w:semiHidden/>
    <w:unhideWhenUsed/>
    <w:rsid w:val="00EC18FA"/>
    <w:pPr>
      <w:spacing w:after="120"/>
    </w:pPr>
  </w:style>
  <w:style w:type="character" w:customStyle="1" w:styleId="BodyTextChar">
    <w:name w:val="Body Text Char"/>
    <w:basedOn w:val="DefaultParagraphFont"/>
    <w:link w:val="BodyText"/>
    <w:uiPriority w:val="99"/>
    <w:semiHidden/>
    <w:rsid w:val="00EC18FA"/>
    <w:rPr>
      <w:rFonts w:ascii="Times New Roman" w:hAnsi="Times New Roman"/>
      <w:sz w:val="26"/>
    </w:rPr>
  </w:style>
  <w:style w:type="paragraph" w:styleId="BodyTextFirstIndent">
    <w:name w:val="Body Text First Indent"/>
    <w:aliases w:val="Brief Body Text"/>
    <w:basedOn w:val="BodyText"/>
    <w:link w:val="BodyTextFirstIndentChar"/>
    <w:uiPriority w:val="99"/>
    <w:unhideWhenUsed/>
    <w:qFormat/>
    <w:rsid w:val="007A1F6B"/>
    <w:pPr>
      <w:spacing w:after="0" w:line="480" w:lineRule="auto"/>
      <w:ind w:firstLine="360"/>
      <w:jc w:val="both"/>
    </w:pPr>
  </w:style>
  <w:style w:type="character" w:customStyle="1" w:styleId="BodyTextFirstIndentChar">
    <w:name w:val="Body Text First Indent Char"/>
    <w:aliases w:val="Brief Body Text Char"/>
    <w:basedOn w:val="BodyTextChar"/>
    <w:link w:val="BodyTextFirstIndent"/>
    <w:uiPriority w:val="99"/>
    <w:rsid w:val="007A1F6B"/>
    <w:rPr>
      <w:rFonts w:ascii="Times New Roman" w:eastAsia="Times New Roman" w:hAnsi="Times New Roman" w:cs="Times New Roman"/>
      <w:kern w:val="0"/>
      <w:sz w:val="28"/>
      <w14:ligatures w14:val="none"/>
    </w:rPr>
  </w:style>
  <w:style w:type="numbering" w:customStyle="1" w:styleId="CurrentList1">
    <w:name w:val="Current List1"/>
    <w:uiPriority w:val="99"/>
    <w:rsid w:val="005F0495"/>
    <w:pPr>
      <w:numPr>
        <w:numId w:val="2"/>
      </w:numPr>
    </w:pPr>
  </w:style>
  <w:style w:type="numbering" w:customStyle="1" w:styleId="CurrentList2">
    <w:name w:val="Current List2"/>
    <w:uiPriority w:val="99"/>
    <w:rsid w:val="000D2475"/>
    <w:pPr>
      <w:numPr>
        <w:numId w:val="5"/>
      </w:numPr>
    </w:pPr>
  </w:style>
  <w:style w:type="character" w:customStyle="1" w:styleId="cohovertext">
    <w:name w:val="co_hovertext"/>
    <w:basedOn w:val="DefaultParagraphFont"/>
    <w:rsid w:val="009B502E"/>
  </w:style>
  <w:style w:type="paragraph" w:styleId="FootnoteText">
    <w:name w:val="footnote text"/>
    <w:basedOn w:val="Normal"/>
    <w:link w:val="FootnoteTextChar"/>
    <w:uiPriority w:val="99"/>
    <w:semiHidden/>
    <w:unhideWhenUsed/>
    <w:rsid w:val="00F71A82"/>
    <w:rPr>
      <w:sz w:val="20"/>
      <w:szCs w:val="20"/>
    </w:rPr>
  </w:style>
  <w:style w:type="character" w:customStyle="1" w:styleId="FootnoteTextChar">
    <w:name w:val="Footnote Text Char"/>
    <w:basedOn w:val="DefaultParagraphFont"/>
    <w:link w:val="FootnoteText"/>
    <w:uiPriority w:val="99"/>
    <w:semiHidden/>
    <w:rsid w:val="00F71A82"/>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F71A82"/>
    <w:rPr>
      <w:vertAlign w:val="superscript"/>
    </w:rPr>
  </w:style>
  <w:style w:type="character" w:styleId="CommentReference">
    <w:name w:val="annotation reference"/>
    <w:basedOn w:val="DefaultParagraphFont"/>
    <w:uiPriority w:val="99"/>
    <w:semiHidden/>
    <w:unhideWhenUsed/>
    <w:rsid w:val="00BD4BAF"/>
    <w:rPr>
      <w:sz w:val="16"/>
      <w:szCs w:val="16"/>
    </w:rPr>
  </w:style>
  <w:style w:type="paragraph" w:styleId="CommentText">
    <w:name w:val="annotation text"/>
    <w:basedOn w:val="Normal"/>
    <w:link w:val="CommentTextChar"/>
    <w:uiPriority w:val="99"/>
    <w:semiHidden/>
    <w:unhideWhenUsed/>
    <w:rsid w:val="00BD4BAF"/>
    <w:rPr>
      <w:sz w:val="20"/>
      <w:szCs w:val="20"/>
    </w:rPr>
  </w:style>
  <w:style w:type="character" w:customStyle="1" w:styleId="CommentTextChar">
    <w:name w:val="Comment Text Char"/>
    <w:basedOn w:val="DefaultParagraphFont"/>
    <w:link w:val="CommentText"/>
    <w:uiPriority w:val="99"/>
    <w:semiHidden/>
    <w:rsid w:val="00BD4BA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D4BAF"/>
    <w:rPr>
      <w:b/>
      <w:bCs/>
    </w:rPr>
  </w:style>
  <w:style w:type="character" w:customStyle="1" w:styleId="CommentSubjectChar">
    <w:name w:val="Comment Subject Char"/>
    <w:basedOn w:val="CommentTextChar"/>
    <w:link w:val="CommentSubject"/>
    <w:uiPriority w:val="99"/>
    <w:semiHidden/>
    <w:rsid w:val="00BD4BAF"/>
    <w:rPr>
      <w:rFonts w:ascii="Times New Roman" w:eastAsia="Times New Roman" w:hAnsi="Times New Roman" w:cs="Times New Roman"/>
      <w:b/>
      <w:bCs/>
      <w:kern w:val="0"/>
      <w:sz w:val="20"/>
      <w:szCs w:val="20"/>
      <w14:ligatures w14:val="none"/>
    </w:rPr>
  </w:style>
  <w:style w:type="character" w:styleId="Hyperlink">
    <w:name w:val="Hyperlink"/>
    <w:basedOn w:val="DefaultParagraphFont"/>
    <w:uiPriority w:val="99"/>
    <w:unhideWhenUsed/>
    <w:rsid w:val="00BE0643"/>
    <w:rPr>
      <w:color w:val="467886" w:themeColor="hyperlink"/>
      <w:u w:val="single"/>
    </w:rPr>
  </w:style>
  <w:style w:type="character" w:styleId="UnresolvedMention">
    <w:name w:val="Unresolved Mention"/>
    <w:basedOn w:val="DefaultParagraphFont"/>
    <w:uiPriority w:val="99"/>
    <w:semiHidden/>
    <w:unhideWhenUsed/>
    <w:rsid w:val="00BE0643"/>
    <w:rPr>
      <w:color w:val="605E5C"/>
      <w:shd w:val="clear" w:color="auto" w:fill="E1DFDD"/>
    </w:rPr>
  </w:style>
  <w:style w:type="paragraph" w:customStyle="1" w:styleId="p1">
    <w:name w:val="p1"/>
    <w:basedOn w:val="Normal"/>
    <w:rsid w:val="00A93065"/>
    <w:rPr>
      <w:rFonts w:ascii="Courier New" w:hAnsi="Courier New" w:cs="Courier New"/>
      <w:color w:val="141413"/>
      <w:sz w:val="18"/>
      <w:szCs w:val="18"/>
    </w:rPr>
  </w:style>
  <w:style w:type="character" w:customStyle="1" w:styleId="apple-converted-space">
    <w:name w:val="apple-converted-space"/>
    <w:basedOn w:val="DefaultParagraphFont"/>
    <w:rsid w:val="00A93065"/>
  </w:style>
  <w:style w:type="paragraph" w:styleId="NormalWeb">
    <w:name w:val="Normal (Web)"/>
    <w:basedOn w:val="Normal"/>
    <w:uiPriority w:val="99"/>
    <w:unhideWhenUsed/>
    <w:rsid w:val="00886C5D"/>
    <w:pPr>
      <w:spacing w:before="100" w:beforeAutospacing="1" w:after="100" w:afterAutospacing="1"/>
    </w:pPr>
  </w:style>
  <w:style w:type="paragraph" w:styleId="Header">
    <w:name w:val="header"/>
    <w:basedOn w:val="Normal"/>
    <w:link w:val="HeaderChar"/>
    <w:uiPriority w:val="99"/>
    <w:unhideWhenUsed/>
    <w:rsid w:val="00620AF6"/>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0AF6"/>
    <w:rPr>
      <w:kern w:val="0"/>
      <w14:ligatures w14:val="none"/>
    </w:rPr>
  </w:style>
  <w:style w:type="paragraph" w:styleId="Footer">
    <w:name w:val="footer"/>
    <w:basedOn w:val="Normal"/>
    <w:link w:val="FooterChar"/>
    <w:uiPriority w:val="99"/>
    <w:unhideWhenUsed/>
    <w:rsid w:val="00620AF6"/>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0AF6"/>
    <w:rPr>
      <w:kern w:val="0"/>
      <w14:ligatures w14:val="none"/>
    </w:rPr>
  </w:style>
  <w:style w:type="character" w:styleId="PageNumber">
    <w:name w:val="page number"/>
    <w:basedOn w:val="DefaultParagraphFont"/>
    <w:uiPriority w:val="99"/>
    <w:semiHidden/>
    <w:unhideWhenUsed/>
    <w:rsid w:val="00620AF6"/>
  </w:style>
  <w:style w:type="paragraph" w:styleId="TOC1">
    <w:name w:val="toc 1"/>
    <w:basedOn w:val="Heading1"/>
    <w:next w:val="Normal"/>
    <w:autoRedefine/>
    <w:uiPriority w:val="39"/>
    <w:unhideWhenUsed/>
    <w:rsid w:val="00537535"/>
    <w:pPr>
      <w:tabs>
        <w:tab w:val="right" w:leader="dot" w:pos="9350"/>
      </w:tabs>
      <w:spacing w:after="280" w:line="240" w:lineRule="auto"/>
    </w:pPr>
    <w:rPr>
      <w:b w:val="0"/>
    </w:rPr>
  </w:style>
  <w:style w:type="paragraph" w:styleId="TOC2">
    <w:name w:val="toc 2"/>
    <w:basedOn w:val="Heading2"/>
    <w:next w:val="Normal"/>
    <w:autoRedefine/>
    <w:uiPriority w:val="39"/>
    <w:unhideWhenUsed/>
    <w:rsid w:val="00026F44"/>
    <w:pPr>
      <w:numPr>
        <w:numId w:val="0"/>
      </w:numPr>
      <w:ind w:left="720" w:hanging="360"/>
    </w:pPr>
    <w:rPr>
      <w:b w:val="0"/>
    </w:rPr>
  </w:style>
  <w:style w:type="paragraph" w:styleId="TOC3">
    <w:name w:val="toc 3"/>
    <w:basedOn w:val="Heading3"/>
    <w:next w:val="Normal"/>
    <w:autoRedefine/>
    <w:uiPriority w:val="39"/>
    <w:unhideWhenUsed/>
    <w:rsid w:val="00026F44"/>
    <w:pPr>
      <w:numPr>
        <w:numId w:val="0"/>
      </w:numPr>
      <w:ind w:left="1080" w:hanging="360"/>
    </w:pPr>
    <w:rPr>
      <w:b w:val="0"/>
    </w:rPr>
  </w:style>
  <w:style w:type="paragraph" w:styleId="TOC4">
    <w:name w:val="toc 4"/>
    <w:basedOn w:val="Heading4"/>
    <w:next w:val="Normal"/>
    <w:autoRedefine/>
    <w:uiPriority w:val="39"/>
    <w:unhideWhenUsed/>
    <w:rsid w:val="00026F44"/>
    <w:pPr>
      <w:numPr>
        <w:numId w:val="0"/>
      </w:numPr>
      <w:ind w:left="1440" w:hanging="360"/>
    </w:pPr>
    <w:rPr>
      <w:b w:val="0"/>
    </w:rPr>
  </w:style>
  <w:style w:type="numbering" w:customStyle="1" w:styleId="CurrentList3">
    <w:name w:val="Current List3"/>
    <w:uiPriority w:val="99"/>
    <w:rsid w:val="004137B3"/>
    <w:pPr>
      <w:numPr>
        <w:numId w:val="16"/>
      </w:numPr>
    </w:pPr>
  </w:style>
  <w:style w:type="numbering" w:customStyle="1" w:styleId="CurrentList4">
    <w:name w:val="Current List4"/>
    <w:uiPriority w:val="99"/>
    <w:rsid w:val="004137B3"/>
    <w:pPr>
      <w:numPr>
        <w:numId w:val="17"/>
      </w:numPr>
    </w:pPr>
  </w:style>
  <w:style w:type="numbering" w:customStyle="1" w:styleId="CurrentList5">
    <w:name w:val="Current List5"/>
    <w:uiPriority w:val="99"/>
    <w:rsid w:val="004137B3"/>
    <w:pPr>
      <w:numPr>
        <w:numId w:val="18"/>
      </w:numPr>
    </w:pPr>
  </w:style>
  <w:style w:type="numbering" w:customStyle="1" w:styleId="CurrentList6">
    <w:name w:val="Current List6"/>
    <w:uiPriority w:val="99"/>
    <w:rsid w:val="00C56D53"/>
    <w:pPr>
      <w:numPr>
        <w:numId w:val="22"/>
      </w:numPr>
    </w:pPr>
  </w:style>
  <w:style w:type="numbering" w:customStyle="1" w:styleId="CurrentList7">
    <w:name w:val="Current List7"/>
    <w:uiPriority w:val="99"/>
    <w:rsid w:val="00C56D53"/>
    <w:pPr>
      <w:numPr>
        <w:numId w:val="23"/>
      </w:numPr>
    </w:pPr>
  </w:style>
  <w:style w:type="numbering" w:customStyle="1" w:styleId="CurrentList8">
    <w:name w:val="Current List8"/>
    <w:uiPriority w:val="99"/>
    <w:rsid w:val="00C56D53"/>
    <w:pPr>
      <w:numPr>
        <w:numId w:val="24"/>
      </w:numPr>
    </w:pPr>
  </w:style>
  <w:style w:type="paragraph" w:styleId="TOAHeading">
    <w:name w:val="toa heading"/>
    <w:basedOn w:val="Normal"/>
    <w:next w:val="Normal"/>
    <w:uiPriority w:val="99"/>
    <w:semiHidden/>
    <w:unhideWhenUsed/>
    <w:rsid w:val="00F24283"/>
    <w:pPr>
      <w:spacing w:after="280"/>
    </w:pPr>
    <w:rPr>
      <w:rFonts w:eastAsiaTheme="majorEastAsia" w:cstheme="majorBidi"/>
      <w:b/>
      <w:bCs/>
      <w:color w:val="000000" w:themeColor="text1"/>
    </w:rPr>
  </w:style>
  <w:style w:type="paragraph" w:styleId="TableofAuthorities">
    <w:name w:val="table of authorities"/>
    <w:basedOn w:val="Normal"/>
    <w:next w:val="Normal"/>
    <w:uiPriority w:val="99"/>
    <w:semiHidden/>
    <w:unhideWhenUsed/>
    <w:rsid w:val="00F24283"/>
    <w:pPr>
      <w:spacing w:after="280"/>
      <w:ind w:left="274" w:hanging="27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5932</Words>
  <Characters>33819</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2026-09-09T00:44:00Z</dcterms:created>
  <dcterms:modified xsi:type="dcterms:W3CDTF">2026-09-09T00:44:00Z</dcterms:modified>
</cp:coreProperties>
</file>