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516D" w14:textId="77777777" w:rsidR="00FE67E3" w:rsidRPr="00F236FC" w:rsidRDefault="00FE67E3" w:rsidP="00FE67E3">
      <w:pPr>
        <w:pBdr>
          <w:bottom w:val="thickThinSmallGap" w:sz="24" w:space="1" w:color="auto"/>
        </w:pBdr>
        <w:jc w:val="center"/>
        <w:rPr>
          <w:rFonts w:asciiTheme="majorBidi" w:hAnsiTheme="majorBidi" w:cstheme="majorBidi"/>
          <w:szCs w:val="28"/>
        </w:rPr>
      </w:pPr>
      <w:r w:rsidRPr="04C45DBA">
        <w:rPr>
          <w:rFonts w:asciiTheme="majorBidi" w:hAnsiTheme="majorBidi" w:cstheme="majorBidi"/>
          <w:szCs w:val="28"/>
        </w:rPr>
        <w:t xml:space="preserve">Case No. </w:t>
      </w:r>
      <w:r>
        <w:rPr>
          <w:rFonts w:asciiTheme="majorBidi" w:hAnsiTheme="majorBidi" w:cstheme="majorBidi"/>
          <w:szCs w:val="28"/>
        </w:rPr>
        <w:t>2025-CF-00416</w:t>
      </w:r>
    </w:p>
    <w:p w14:paraId="7135AA39" w14:textId="77777777" w:rsidR="00FE67E3" w:rsidRPr="00F236FC" w:rsidRDefault="00FE67E3" w:rsidP="00FE67E3">
      <w:pPr>
        <w:pBdr>
          <w:bottom w:val="thickThinSmallGap" w:sz="24" w:space="1" w:color="auto"/>
        </w:pBdr>
        <w:jc w:val="center"/>
        <w:rPr>
          <w:rFonts w:asciiTheme="majorBidi" w:hAnsiTheme="majorBidi" w:cstheme="majorBidi"/>
          <w:szCs w:val="28"/>
        </w:rPr>
      </w:pPr>
    </w:p>
    <w:p w14:paraId="32D02E91" w14:textId="77777777" w:rsidR="00FE67E3" w:rsidRPr="00F236FC" w:rsidRDefault="00FE67E3" w:rsidP="00FE67E3">
      <w:pPr>
        <w:jc w:val="center"/>
        <w:rPr>
          <w:rFonts w:asciiTheme="majorBidi" w:hAnsiTheme="majorBidi" w:cstheme="majorBidi"/>
          <w:szCs w:val="28"/>
        </w:rPr>
      </w:pPr>
    </w:p>
    <w:p w14:paraId="77972CB1" w14:textId="77777777" w:rsidR="00FE67E3" w:rsidRPr="00BB6AF5" w:rsidRDefault="00FE67E3" w:rsidP="00FE67E3">
      <w:pPr>
        <w:jc w:val="center"/>
        <w:rPr>
          <w:rFonts w:asciiTheme="majorBidi" w:hAnsiTheme="majorBidi" w:cstheme="majorBidi"/>
          <w:b/>
          <w:bCs/>
          <w:szCs w:val="28"/>
        </w:rPr>
      </w:pPr>
      <w:r w:rsidRPr="04C45DBA">
        <w:rPr>
          <w:rFonts w:asciiTheme="majorBidi" w:hAnsiTheme="majorBidi" w:cstheme="majorBidi"/>
          <w:b/>
          <w:bCs/>
          <w:szCs w:val="28"/>
        </w:rPr>
        <w:t xml:space="preserve">IN THE </w:t>
      </w:r>
      <w:r>
        <w:rPr>
          <w:rFonts w:asciiTheme="majorBidi" w:hAnsiTheme="majorBidi" w:cstheme="majorBidi"/>
          <w:b/>
          <w:bCs/>
          <w:szCs w:val="28"/>
        </w:rPr>
        <w:t xml:space="preserve">UNITED STATES </w:t>
      </w:r>
      <w:r w:rsidRPr="04C45DBA">
        <w:rPr>
          <w:rFonts w:asciiTheme="majorBidi" w:hAnsiTheme="majorBidi" w:cstheme="majorBidi"/>
          <w:b/>
          <w:bCs/>
          <w:szCs w:val="28"/>
        </w:rPr>
        <w:t xml:space="preserve">DISTRICT COURT </w:t>
      </w:r>
      <w:r>
        <w:rPr>
          <w:rFonts w:asciiTheme="majorBidi" w:hAnsiTheme="majorBidi" w:cstheme="majorBidi"/>
          <w:b/>
          <w:bCs/>
          <w:szCs w:val="28"/>
        </w:rPr>
        <w:t>FOR THE FOURTEENTH JUDICIAL DISTRICT</w:t>
      </w:r>
    </w:p>
    <w:p w14:paraId="7D9A6F18" w14:textId="77777777" w:rsidR="00FE67E3" w:rsidRPr="000C2E87" w:rsidRDefault="00FE67E3" w:rsidP="00FE67E3">
      <w:pPr>
        <w:pBdr>
          <w:bottom w:val="single" w:sz="4" w:space="1" w:color="auto"/>
        </w:pBdr>
        <w:jc w:val="center"/>
        <w:rPr>
          <w:rFonts w:asciiTheme="majorBidi" w:hAnsiTheme="majorBidi" w:cstheme="majorBidi"/>
          <w:b/>
          <w:bCs/>
          <w:szCs w:val="28"/>
        </w:rPr>
      </w:pPr>
    </w:p>
    <w:p w14:paraId="28A4E208" w14:textId="77777777" w:rsidR="00FE67E3" w:rsidRDefault="00FE67E3" w:rsidP="00FE67E3">
      <w:pPr>
        <w:jc w:val="center"/>
        <w:rPr>
          <w:rFonts w:asciiTheme="majorBidi" w:hAnsiTheme="majorBidi" w:cstheme="majorBidi"/>
          <w:smallCaps/>
          <w:szCs w:val="28"/>
        </w:rPr>
      </w:pPr>
    </w:p>
    <w:p w14:paraId="58801F8D" w14:textId="77777777" w:rsidR="00FE67E3" w:rsidRPr="00620AF6" w:rsidRDefault="00FE67E3" w:rsidP="00FE67E3">
      <w:pPr>
        <w:jc w:val="center"/>
        <w:rPr>
          <w:rFonts w:asciiTheme="majorBidi" w:hAnsiTheme="majorBidi" w:cstheme="majorBidi"/>
          <w:smallCaps/>
          <w:szCs w:val="28"/>
        </w:rPr>
      </w:pPr>
      <w:r>
        <w:rPr>
          <w:rFonts w:asciiTheme="majorBidi" w:hAnsiTheme="majorBidi" w:cstheme="majorBidi"/>
          <w:smallCaps/>
          <w:szCs w:val="28"/>
        </w:rPr>
        <w:t>United States of America,</w:t>
      </w:r>
    </w:p>
    <w:p w14:paraId="46474B79" w14:textId="77777777" w:rsidR="00FE67E3" w:rsidRPr="000C2E87" w:rsidRDefault="00FE67E3" w:rsidP="00FE67E3">
      <w:pPr>
        <w:jc w:val="center"/>
        <w:rPr>
          <w:rFonts w:asciiTheme="majorBidi" w:hAnsiTheme="majorBidi" w:cstheme="majorBidi"/>
          <w:smallCaps/>
          <w:szCs w:val="28"/>
        </w:rPr>
      </w:pPr>
    </w:p>
    <w:p w14:paraId="38274656" w14:textId="0D93BAB8" w:rsidR="00FE67E3" w:rsidRPr="000C2E87" w:rsidRDefault="00E006B6" w:rsidP="00FE67E3">
      <w:pPr>
        <w:jc w:val="center"/>
        <w:rPr>
          <w:rFonts w:asciiTheme="majorBidi" w:hAnsiTheme="majorBidi" w:cstheme="majorBidi"/>
          <w:smallCaps/>
          <w:szCs w:val="28"/>
        </w:rPr>
      </w:pPr>
      <w:r w:rsidRPr="00E006B6">
        <w:rPr>
          <w:rFonts w:asciiTheme="majorBidi" w:hAnsiTheme="majorBidi" w:cs="Times New Roman (Headings CS)"/>
          <w:szCs w:val="28"/>
        </w:rPr>
        <w:t>v</w:t>
      </w:r>
      <w:r w:rsidR="00FE67E3" w:rsidRPr="04C45DBA">
        <w:rPr>
          <w:rFonts w:asciiTheme="majorBidi" w:hAnsiTheme="majorBidi" w:cstheme="majorBidi"/>
          <w:smallCaps/>
          <w:szCs w:val="28"/>
        </w:rPr>
        <w:t>.</w:t>
      </w:r>
    </w:p>
    <w:p w14:paraId="55C221DD" w14:textId="77777777" w:rsidR="00FE67E3" w:rsidRPr="000C2E87" w:rsidRDefault="00FE67E3" w:rsidP="00FE67E3">
      <w:pPr>
        <w:jc w:val="center"/>
        <w:rPr>
          <w:rFonts w:asciiTheme="majorBidi" w:hAnsiTheme="majorBidi" w:cstheme="majorBidi"/>
          <w:smallCaps/>
          <w:szCs w:val="28"/>
        </w:rPr>
      </w:pPr>
    </w:p>
    <w:p w14:paraId="139A0636" w14:textId="77777777" w:rsidR="00FE67E3" w:rsidRPr="000C2E87" w:rsidRDefault="00FE67E3" w:rsidP="00FE67E3">
      <w:pPr>
        <w:jc w:val="center"/>
        <w:rPr>
          <w:rFonts w:asciiTheme="majorBidi" w:hAnsiTheme="majorBidi" w:cstheme="majorBidi"/>
          <w:szCs w:val="28"/>
        </w:rPr>
      </w:pPr>
      <w:r>
        <w:rPr>
          <w:rFonts w:asciiTheme="majorBidi" w:hAnsiTheme="majorBidi" w:cstheme="majorBidi"/>
          <w:smallCaps/>
          <w:szCs w:val="28"/>
        </w:rPr>
        <w:t>Emily Calloway,</w:t>
      </w:r>
    </w:p>
    <w:p w14:paraId="16ED00D0" w14:textId="77777777" w:rsidR="00FE67E3" w:rsidRDefault="00FE67E3" w:rsidP="00FE67E3">
      <w:pPr>
        <w:ind w:left="4320" w:firstLine="720"/>
        <w:rPr>
          <w:rFonts w:asciiTheme="majorBidi" w:hAnsiTheme="majorBidi" w:cstheme="majorBidi"/>
          <w:i/>
          <w:iCs/>
          <w:szCs w:val="28"/>
        </w:rPr>
      </w:pPr>
    </w:p>
    <w:p w14:paraId="1D44F213" w14:textId="77777777" w:rsidR="00FE67E3" w:rsidRPr="000C2E87" w:rsidRDefault="00FE67E3" w:rsidP="00FE67E3">
      <w:pPr>
        <w:ind w:left="4320" w:firstLine="720"/>
        <w:rPr>
          <w:rFonts w:asciiTheme="majorBidi" w:hAnsiTheme="majorBidi" w:cstheme="majorBidi"/>
          <w:i/>
          <w:iCs/>
          <w:szCs w:val="28"/>
        </w:rPr>
      </w:pPr>
      <w:r w:rsidRPr="04C45DBA">
        <w:rPr>
          <w:rFonts w:asciiTheme="majorBidi" w:hAnsiTheme="majorBidi" w:cstheme="majorBidi"/>
          <w:i/>
          <w:iCs/>
          <w:szCs w:val="28"/>
        </w:rPr>
        <w:t>Defendant.</w:t>
      </w:r>
    </w:p>
    <w:p w14:paraId="79077374" w14:textId="77777777" w:rsidR="00FE67E3" w:rsidRPr="000C2E87" w:rsidRDefault="00FE67E3" w:rsidP="00FE67E3">
      <w:pPr>
        <w:pBdr>
          <w:bottom w:val="single" w:sz="4" w:space="1" w:color="auto"/>
        </w:pBdr>
        <w:ind w:firstLine="720"/>
        <w:rPr>
          <w:rFonts w:asciiTheme="majorBidi" w:hAnsiTheme="majorBidi" w:cstheme="majorBidi"/>
          <w:i/>
          <w:iCs/>
          <w:szCs w:val="28"/>
        </w:rPr>
      </w:pPr>
    </w:p>
    <w:p w14:paraId="2DE51DF5" w14:textId="77777777" w:rsidR="00FE67E3" w:rsidRPr="000C2E87" w:rsidRDefault="00FE67E3" w:rsidP="00FE67E3">
      <w:pPr>
        <w:jc w:val="center"/>
        <w:rPr>
          <w:rFonts w:asciiTheme="majorBidi" w:hAnsiTheme="majorBidi" w:cstheme="majorBidi"/>
          <w:szCs w:val="28"/>
        </w:rPr>
      </w:pPr>
    </w:p>
    <w:p w14:paraId="49BAFA5F" w14:textId="10873291" w:rsidR="00FE67E3" w:rsidRPr="000C2E87" w:rsidRDefault="00FE67E3" w:rsidP="00FE67E3">
      <w:pPr>
        <w:pBdr>
          <w:bottom w:val="single" w:sz="4" w:space="1" w:color="auto"/>
        </w:pBdr>
        <w:jc w:val="center"/>
        <w:rPr>
          <w:rFonts w:asciiTheme="majorBidi" w:hAnsiTheme="majorBidi" w:cstheme="majorBidi"/>
          <w:b/>
          <w:bCs/>
          <w:szCs w:val="28"/>
        </w:rPr>
      </w:pPr>
      <w:r w:rsidRPr="04C45DBA">
        <w:rPr>
          <w:rFonts w:asciiTheme="majorBidi" w:hAnsiTheme="majorBidi" w:cstheme="majorBidi"/>
          <w:b/>
          <w:bCs/>
          <w:szCs w:val="28"/>
        </w:rPr>
        <w:t xml:space="preserve">MOVANT’S MEMORANDUM OF LAW IN </w:t>
      </w:r>
      <w:r>
        <w:rPr>
          <w:rFonts w:asciiTheme="majorBidi" w:hAnsiTheme="majorBidi" w:cstheme="majorBidi"/>
          <w:b/>
          <w:bCs/>
          <w:szCs w:val="28"/>
        </w:rPr>
        <w:t>SUPPORT OF EMILY CALLOWAY’S</w:t>
      </w:r>
      <w:r w:rsidRPr="04C45DBA">
        <w:rPr>
          <w:rFonts w:asciiTheme="majorBidi" w:hAnsiTheme="majorBidi" w:cstheme="majorBidi"/>
          <w:b/>
          <w:bCs/>
          <w:szCs w:val="28"/>
        </w:rPr>
        <w:t xml:space="preserve"> MOTION </w:t>
      </w:r>
      <w:r>
        <w:rPr>
          <w:rFonts w:asciiTheme="majorBidi" w:hAnsiTheme="majorBidi" w:cstheme="majorBidi"/>
          <w:b/>
          <w:bCs/>
          <w:szCs w:val="28"/>
        </w:rPr>
        <w:t>TO SUPPRESS AND MOTION TO QUASH</w:t>
      </w:r>
    </w:p>
    <w:p w14:paraId="2523FB76" w14:textId="77777777" w:rsidR="00FE67E3" w:rsidRPr="000C2E87" w:rsidRDefault="00FE67E3" w:rsidP="00FE67E3">
      <w:pPr>
        <w:pBdr>
          <w:bottom w:val="single" w:sz="4" w:space="1" w:color="auto"/>
        </w:pBdr>
        <w:jc w:val="center"/>
        <w:rPr>
          <w:rFonts w:asciiTheme="majorBidi" w:hAnsiTheme="majorBidi" w:cstheme="majorBidi"/>
          <w:b/>
          <w:bCs/>
          <w:szCs w:val="28"/>
        </w:rPr>
      </w:pPr>
    </w:p>
    <w:p w14:paraId="70729563" w14:textId="77777777" w:rsidR="00FE67E3" w:rsidRPr="00620AF6" w:rsidRDefault="00FE67E3" w:rsidP="00FE67E3">
      <w:pPr>
        <w:pStyle w:val="Heading2"/>
        <w:numPr>
          <w:ilvl w:val="0"/>
          <w:numId w:val="0"/>
        </w:numPr>
        <w:rPr>
          <w:i/>
          <w:iCs/>
        </w:rPr>
      </w:pPr>
    </w:p>
    <w:p w14:paraId="76D9E7A7" w14:textId="77777777" w:rsidR="00FE67E3" w:rsidRDefault="00FE67E3" w:rsidP="00FE67E3">
      <w:pPr>
        <w:ind w:left="6480"/>
        <w:rPr>
          <w:sz w:val="26"/>
          <w:szCs w:val="26"/>
        </w:rPr>
      </w:pPr>
    </w:p>
    <w:p w14:paraId="2098F911" w14:textId="77777777" w:rsidR="00FE67E3" w:rsidRDefault="00FE67E3" w:rsidP="00FE67E3">
      <w:pPr>
        <w:ind w:left="6480"/>
        <w:rPr>
          <w:sz w:val="26"/>
          <w:szCs w:val="26"/>
        </w:rPr>
      </w:pPr>
    </w:p>
    <w:p w14:paraId="2797BD58" w14:textId="77777777" w:rsidR="00FE67E3" w:rsidRDefault="00FE67E3" w:rsidP="00FE67E3">
      <w:pPr>
        <w:ind w:left="6480"/>
        <w:rPr>
          <w:sz w:val="26"/>
          <w:szCs w:val="26"/>
        </w:rPr>
      </w:pPr>
    </w:p>
    <w:p w14:paraId="0347AD58" w14:textId="77777777" w:rsidR="00FE67E3" w:rsidRDefault="00FE67E3" w:rsidP="00FE67E3">
      <w:pPr>
        <w:ind w:left="6480"/>
        <w:rPr>
          <w:sz w:val="26"/>
          <w:szCs w:val="26"/>
        </w:rPr>
      </w:pPr>
    </w:p>
    <w:p w14:paraId="6FD1AA4F" w14:textId="77777777" w:rsidR="00FE67E3" w:rsidRDefault="00FE67E3" w:rsidP="00FE67E3">
      <w:pPr>
        <w:ind w:left="6480"/>
        <w:rPr>
          <w:sz w:val="26"/>
          <w:szCs w:val="26"/>
        </w:rPr>
      </w:pPr>
    </w:p>
    <w:p w14:paraId="597F9262" w14:textId="77777777" w:rsidR="00FE67E3" w:rsidRDefault="00FE67E3" w:rsidP="00FE67E3">
      <w:pPr>
        <w:ind w:left="6480"/>
        <w:rPr>
          <w:sz w:val="26"/>
          <w:szCs w:val="26"/>
        </w:rPr>
      </w:pPr>
    </w:p>
    <w:p w14:paraId="0E1FA9C6" w14:textId="77777777" w:rsidR="00FE67E3" w:rsidRDefault="00FE67E3" w:rsidP="00FE67E3">
      <w:pPr>
        <w:ind w:left="6480"/>
        <w:rPr>
          <w:sz w:val="26"/>
          <w:szCs w:val="26"/>
        </w:rPr>
      </w:pPr>
    </w:p>
    <w:p w14:paraId="6FC0C12E" w14:textId="77777777" w:rsidR="00FE67E3" w:rsidRDefault="00FE67E3" w:rsidP="00FE67E3">
      <w:pPr>
        <w:ind w:left="5040"/>
        <w:rPr>
          <w:sz w:val="26"/>
          <w:szCs w:val="26"/>
        </w:rPr>
      </w:pPr>
    </w:p>
    <w:p w14:paraId="50C00103" w14:textId="77777777" w:rsidR="00FE67E3" w:rsidRDefault="00FE67E3" w:rsidP="00FE67E3">
      <w:pPr>
        <w:jc w:val="right"/>
        <w:rPr>
          <w:sz w:val="26"/>
          <w:szCs w:val="26"/>
          <w:u w:val="thick"/>
        </w:rPr>
      </w:pPr>
    </w:p>
    <w:p w14:paraId="70F3C14E" w14:textId="77777777" w:rsidR="00FE67E3" w:rsidRDefault="00FE67E3" w:rsidP="00FE67E3">
      <w:pPr>
        <w:jc w:val="right"/>
        <w:rPr>
          <w:sz w:val="26"/>
          <w:szCs w:val="26"/>
          <w:u w:val="thick"/>
        </w:rPr>
      </w:pPr>
    </w:p>
    <w:p w14:paraId="524BB8C8" w14:textId="77777777" w:rsidR="00FE67E3" w:rsidRDefault="00FE67E3" w:rsidP="00FE67E3">
      <w:pPr>
        <w:jc w:val="right"/>
        <w:rPr>
          <w:sz w:val="26"/>
          <w:szCs w:val="26"/>
          <w:u w:val="thick"/>
        </w:rPr>
      </w:pPr>
    </w:p>
    <w:p w14:paraId="3DFCBCA1" w14:textId="77777777" w:rsidR="00FE67E3" w:rsidRDefault="00FE67E3" w:rsidP="00FE67E3">
      <w:pPr>
        <w:jc w:val="right"/>
        <w:rPr>
          <w:sz w:val="26"/>
          <w:szCs w:val="26"/>
          <w:u w:val="thick"/>
        </w:rPr>
      </w:pPr>
    </w:p>
    <w:p w14:paraId="23DD3C84" w14:textId="77777777" w:rsidR="00FE67E3" w:rsidRDefault="00FE67E3" w:rsidP="00FE67E3">
      <w:pPr>
        <w:jc w:val="right"/>
        <w:rPr>
          <w:sz w:val="26"/>
          <w:szCs w:val="26"/>
          <w:u w:val="thick"/>
        </w:rPr>
      </w:pPr>
    </w:p>
    <w:p w14:paraId="79674720" w14:textId="77777777" w:rsidR="00FE67E3" w:rsidRPr="000F6846" w:rsidRDefault="00FE67E3" w:rsidP="00FE67E3">
      <w:pPr>
        <w:jc w:val="right"/>
        <w:rPr>
          <w:szCs w:val="28"/>
          <w:u w:val="thick"/>
        </w:rPr>
      </w:pPr>
      <w:r w:rsidRPr="000F6846">
        <w:rPr>
          <w:szCs w:val="28"/>
          <w:u w:val="thick"/>
        </w:rPr>
        <w:t>/s/          Team 316</w:t>
      </w:r>
    </w:p>
    <w:p w14:paraId="316D8372" w14:textId="008C42FC" w:rsidR="00FE67E3" w:rsidRDefault="00FE67E3" w:rsidP="00FE67E3">
      <w:pPr>
        <w:spacing w:after="160" w:line="278" w:lineRule="auto"/>
        <w:jc w:val="right"/>
        <w:rPr>
          <w:rFonts w:cs="Times New Roman (Headings CS)"/>
          <w:b/>
          <w:caps/>
          <w:color w:val="000000" w:themeColor="text1"/>
          <w:spacing w:val="15"/>
          <w:sz w:val="26"/>
          <w:szCs w:val="28"/>
        </w:rPr>
      </w:pPr>
      <w:r w:rsidRPr="000C2E87">
        <w:rPr>
          <w:rFonts w:asciiTheme="majorBidi" w:hAnsiTheme="majorBidi" w:cstheme="majorBidi"/>
          <w:i/>
          <w:iCs/>
          <w:szCs w:val="28"/>
        </w:rPr>
        <w:t xml:space="preserve">Attorneys for </w:t>
      </w:r>
      <w:r>
        <w:rPr>
          <w:rFonts w:asciiTheme="majorBidi" w:hAnsiTheme="majorBidi" w:cstheme="majorBidi"/>
          <w:i/>
          <w:iCs/>
          <w:szCs w:val="28"/>
        </w:rPr>
        <w:t>Emily Calloway</w:t>
      </w:r>
      <w:r>
        <w:br w:type="page"/>
      </w:r>
    </w:p>
    <w:p w14:paraId="7BE7F774" w14:textId="77777777" w:rsidR="00301551" w:rsidRDefault="00301551" w:rsidP="00301551">
      <w:pPr>
        <w:pStyle w:val="Heading1"/>
        <w:rPr>
          <w:rFonts w:eastAsia="Times New Roman"/>
          <w:u w:val="single"/>
        </w:rPr>
        <w:sectPr w:rsidR="00301551" w:rsidSect="00301551">
          <w:footerReference w:type="even" r:id="rId7"/>
          <w:footerReference w:type="default" r:id="rId8"/>
          <w:headerReference w:type="first" r:id="rId9"/>
          <w:pgSz w:w="12240" w:h="15840"/>
          <w:pgMar w:top="1440" w:right="1440" w:bottom="1440" w:left="1440" w:header="720" w:footer="720" w:gutter="0"/>
          <w:cols w:space="720"/>
          <w:titlePg/>
          <w:docGrid w:linePitch="381"/>
        </w:sectPr>
      </w:pPr>
      <w:bookmarkStart w:id="0" w:name="_Toc239118271"/>
    </w:p>
    <w:p w14:paraId="54695902" w14:textId="77777777" w:rsidR="00301551" w:rsidRDefault="00301551" w:rsidP="00301551">
      <w:pPr>
        <w:pStyle w:val="Heading1"/>
        <w:rPr>
          <w:rFonts w:eastAsia="Times New Roman"/>
          <w:u w:val="single"/>
        </w:rPr>
      </w:pPr>
      <w:r>
        <w:rPr>
          <w:rFonts w:eastAsia="Times New Roman"/>
          <w:u w:val="single"/>
        </w:rPr>
        <w:lastRenderedPageBreak/>
        <w:t>Table of Contents</w:t>
      </w:r>
      <w:bookmarkEnd w:id="0"/>
    </w:p>
    <w:p w14:paraId="638E6EA5" w14:textId="6A0D9359" w:rsidR="00301551" w:rsidRPr="00593EE2"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Pr>
          <w:u w:val="single"/>
        </w:rPr>
        <w:fldChar w:fldCharType="begin"/>
      </w:r>
      <w:r>
        <w:rPr>
          <w:u w:val="single"/>
        </w:rPr>
        <w:instrText xml:space="preserve"> TOC \o "1-4" \u </w:instrText>
      </w:r>
      <w:r>
        <w:rPr>
          <w:u w:val="single"/>
        </w:rPr>
        <w:fldChar w:fldCharType="separate"/>
      </w:r>
      <w:r w:rsidRPr="00593EE2">
        <w:rPr>
          <w:noProof/>
        </w:rPr>
        <w:t>Table of Contents</w:t>
      </w:r>
      <w:r w:rsidRPr="00593EE2">
        <w:rPr>
          <w:noProof/>
        </w:rPr>
        <w:tab/>
      </w:r>
      <w:r w:rsidRPr="00593EE2">
        <w:rPr>
          <w:noProof/>
        </w:rPr>
        <w:fldChar w:fldCharType="begin"/>
      </w:r>
      <w:r w:rsidRPr="00593EE2">
        <w:rPr>
          <w:noProof/>
        </w:rPr>
        <w:instrText xml:space="preserve"> PAGEREF _Toc239118271 \h </w:instrText>
      </w:r>
      <w:r w:rsidRPr="00593EE2">
        <w:rPr>
          <w:noProof/>
        </w:rPr>
      </w:r>
      <w:r w:rsidRPr="00593EE2">
        <w:rPr>
          <w:noProof/>
        </w:rPr>
        <w:fldChar w:fldCharType="separate"/>
      </w:r>
      <w:r w:rsidR="00752D51" w:rsidRPr="00593EE2">
        <w:rPr>
          <w:caps w:val="0"/>
          <w:noProof/>
        </w:rPr>
        <w:t>i</w:t>
      </w:r>
      <w:r w:rsidRPr="00593EE2">
        <w:rPr>
          <w:noProof/>
        </w:rPr>
        <w:fldChar w:fldCharType="end"/>
      </w:r>
    </w:p>
    <w:p w14:paraId="6A37A580" w14:textId="6C2EDA50" w:rsidR="00301551"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sidRPr="00593EE2">
        <w:rPr>
          <w:noProof/>
        </w:rPr>
        <w:t>Table of Authorities</w:t>
      </w:r>
      <w:r>
        <w:rPr>
          <w:noProof/>
        </w:rPr>
        <w:tab/>
      </w:r>
      <w:r>
        <w:rPr>
          <w:noProof/>
        </w:rPr>
        <w:fldChar w:fldCharType="begin"/>
      </w:r>
      <w:r>
        <w:rPr>
          <w:noProof/>
        </w:rPr>
        <w:instrText xml:space="preserve"> PAGEREF _Toc239118272 \h </w:instrText>
      </w:r>
      <w:r>
        <w:rPr>
          <w:noProof/>
        </w:rPr>
      </w:r>
      <w:r>
        <w:rPr>
          <w:noProof/>
        </w:rPr>
        <w:fldChar w:fldCharType="separate"/>
      </w:r>
      <w:r w:rsidR="00752D51">
        <w:rPr>
          <w:caps w:val="0"/>
          <w:noProof/>
        </w:rPr>
        <w:t>iii</w:t>
      </w:r>
      <w:r>
        <w:rPr>
          <w:noProof/>
        </w:rPr>
        <w:fldChar w:fldCharType="end"/>
      </w:r>
    </w:p>
    <w:p w14:paraId="73D51F7A" w14:textId="39A155E1" w:rsidR="00301551"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sidRPr="008455D6">
        <w:rPr>
          <w:noProof/>
        </w:rPr>
        <w:t>INtroduction</w:t>
      </w:r>
      <w:r>
        <w:rPr>
          <w:noProof/>
        </w:rPr>
        <w:tab/>
      </w:r>
      <w:r>
        <w:rPr>
          <w:noProof/>
        </w:rPr>
        <w:fldChar w:fldCharType="begin"/>
      </w:r>
      <w:r>
        <w:rPr>
          <w:noProof/>
        </w:rPr>
        <w:instrText xml:space="preserve"> PAGEREF _Toc239118273 \h </w:instrText>
      </w:r>
      <w:r>
        <w:rPr>
          <w:noProof/>
        </w:rPr>
      </w:r>
      <w:r>
        <w:rPr>
          <w:noProof/>
        </w:rPr>
        <w:fldChar w:fldCharType="separate"/>
      </w:r>
      <w:r w:rsidR="00752D51">
        <w:rPr>
          <w:noProof/>
        </w:rPr>
        <w:t>1</w:t>
      </w:r>
      <w:r>
        <w:rPr>
          <w:noProof/>
        </w:rPr>
        <w:fldChar w:fldCharType="end"/>
      </w:r>
    </w:p>
    <w:p w14:paraId="52256E73" w14:textId="2B84B1E0" w:rsidR="00301551"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Pr>
          <w:noProof/>
        </w:rPr>
        <w:t>Statement of Facts</w:t>
      </w:r>
      <w:r>
        <w:rPr>
          <w:noProof/>
        </w:rPr>
        <w:tab/>
      </w:r>
      <w:r>
        <w:rPr>
          <w:noProof/>
        </w:rPr>
        <w:fldChar w:fldCharType="begin"/>
      </w:r>
      <w:r>
        <w:rPr>
          <w:noProof/>
        </w:rPr>
        <w:instrText xml:space="preserve"> PAGEREF _Toc239118274 \h </w:instrText>
      </w:r>
      <w:r>
        <w:rPr>
          <w:noProof/>
        </w:rPr>
      </w:r>
      <w:r>
        <w:rPr>
          <w:noProof/>
        </w:rPr>
        <w:fldChar w:fldCharType="separate"/>
      </w:r>
      <w:r w:rsidR="00752D51">
        <w:rPr>
          <w:noProof/>
        </w:rPr>
        <w:t>1</w:t>
      </w:r>
      <w:r>
        <w:rPr>
          <w:noProof/>
        </w:rPr>
        <w:fldChar w:fldCharType="end"/>
      </w:r>
    </w:p>
    <w:p w14:paraId="010B179C" w14:textId="0F3CECD4" w:rsidR="00301551"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sidRPr="008455D6">
        <w:rPr>
          <w:noProof/>
        </w:rPr>
        <w:t>ARGUMENT</w:t>
      </w:r>
      <w:r>
        <w:rPr>
          <w:noProof/>
        </w:rPr>
        <w:tab/>
      </w:r>
      <w:r>
        <w:rPr>
          <w:noProof/>
        </w:rPr>
        <w:fldChar w:fldCharType="begin"/>
      </w:r>
      <w:r>
        <w:rPr>
          <w:noProof/>
        </w:rPr>
        <w:instrText xml:space="preserve"> PAGEREF _Toc239118275 \h </w:instrText>
      </w:r>
      <w:r>
        <w:rPr>
          <w:noProof/>
        </w:rPr>
      </w:r>
      <w:r>
        <w:rPr>
          <w:noProof/>
        </w:rPr>
        <w:fldChar w:fldCharType="separate"/>
      </w:r>
      <w:r w:rsidR="00752D51">
        <w:rPr>
          <w:noProof/>
        </w:rPr>
        <w:t>3</w:t>
      </w:r>
      <w:r>
        <w:rPr>
          <w:noProof/>
        </w:rPr>
        <w:fldChar w:fldCharType="end"/>
      </w:r>
    </w:p>
    <w:p w14:paraId="21956961" w14:textId="1ACC4491" w:rsidR="00301551" w:rsidRDefault="00301551">
      <w:pPr>
        <w:pStyle w:val="TOC2"/>
        <w:tabs>
          <w:tab w:val="left" w:pos="1080"/>
          <w:tab w:val="right" w:leader="dot" w:pos="9350"/>
        </w:tabs>
        <w:rPr>
          <w:rFonts w:asciiTheme="minorHAnsi" w:eastAsiaTheme="minorEastAsia" w:hAnsiTheme="minorHAnsi" w:cstheme="minorBidi"/>
          <w:caps w:val="0"/>
          <w:noProof/>
          <w:kern w:val="2"/>
          <w:sz w:val="24"/>
          <w14:ligatures w14:val="standardContextual"/>
        </w:rPr>
      </w:pPr>
      <w:r w:rsidRPr="008455D6">
        <w:rPr>
          <w:noProof/>
        </w:rPr>
        <w:t>I.</w:t>
      </w:r>
      <w:r>
        <w:rPr>
          <w:rFonts w:asciiTheme="minorHAnsi" w:eastAsiaTheme="minorEastAsia" w:hAnsiTheme="minorHAnsi" w:cstheme="minorBidi"/>
          <w:caps w:val="0"/>
          <w:noProof/>
          <w:kern w:val="2"/>
          <w:sz w:val="24"/>
          <w14:ligatures w14:val="standardContextual"/>
        </w:rPr>
        <w:tab/>
      </w:r>
      <w:r w:rsidRPr="008455D6">
        <w:rPr>
          <w:noProof/>
        </w:rPr>
        <w:t>Parker’s testimony and Exhibit 19 must be suppressed because the Government cannot prove either derives from a source wholly independent of Calloway’s compelled testimony.</w:t>
      </w:r>
      <w:r>
        <w:rPr>
          <w:noProof/>
        </w:rPr>
        <w:tab/>
      </w:r>
      <w:r>
        <w:rPr>
          <w:noProof/>
        </w:rPr>
        <w:fldChar w:fldCharType="begin"/>
      </w:r>
      <w:r>
        <w:rPr>
          <w:noProof/>
        </w:rPr>
        <w:instrText xml:space="preserve"> PAGEREF _Toc239118276 \h </w:instrText>
      </w:r>
      <w:r>
        <w:rPr>
          <w:noProof/>
        </w:rPr>
      </w:r>
      <w:r>
        <w:rPr>
          <w:noProof/>
        </w:rPr>
        <w:fldChar w:fldCharType="separate"/>
      </w:r>
      <w:r w:rsidR="00752D51">
        <w:rPr>
          <w:noProof/>
        </w:rPr>
        <w:t>3</w:t>
      </w:r>
      <w:r>
        <w:rPr>
          <w:noProof/>
        </w:rPr>
        <w:fldChar w:fldCharType="end"/>
      </w:r>
    </w:p>
    <w:p w14:paraId="7BF8806F" w14:textId="293E6FAB" w:rsidR="00301551" w:rsidRDefault="00301551">
      <w:pPr>
        <w:pStyle w:val="TOC3"/>
        <w:tabs>
          <w:tab w:val="left" w:pos="1440"/>
          <w:tab w:val="right" w:leader="dot" w:pos="9350"/>
        </w:tabs>
        <w:rPr>
          <w:rFonts w:asciiTheme="minorHAnsi" w:eastAsiaTheme="minorEastAsia" w:hAnsiTheme="minorHAnsi" w:cstheme="minorBidi"/>
          <w:i w:val="0"/>
          <w:noProof/>
          <w:kern w:val="2"/>
          <w:sz w:val="24"/>
          <w14:ligatures w14:val="standardContextual"/>
        </w:rPr>
      </w:pPr>
      <w:r w:rsidRPr="008455D6">
        <w:rPr>
          <w:noProof/>
        </w:rPr>
        <w:t>A.</w:t>
      </w:r>
      <w:r>
        <w:rPr>
          <w:rFonts w:asciiTheme="minorHAnsi" w:eastAsiaTheme="minorEastAsia" w:hAnsiTheme="minorHAnsi" w:cstheme="minorBidi"/>
          <w:i w:val="0"/>
          <w:noProof/>
          <w:kern w:val="2"/>
          <w:sz w:val="24"/>
          <w14:ligatures w14:val="standardContextual"/>
        </w:rPr>
        <w:tab/>
      </w:r>
      <w:r w:rsidRPr="008455D6">
        <w:rPr>
          <w:noProof/>
        </w:rPr>
        <w:t>The Government must prove an independent source by clear and convincing evidence because the risk of error disproportionately burdens Calloway’s constitutional interest.</w:t>
      </w:r>
      <w:r>
        <w:rPr>
          <w:noProof/>
        </w:rPr>
        <w:tab/>
      </w:r>
      <w:r w:rsidRPr="00752D51">
        <w:rPr>
          <w:i w:val="0"/>
          <w:iCs/>
          <w:noProof/>
        </w:rPr>
        <w:fldChar w:fldCharType="begin"/>
      </w:r>
      <w:r w:rsidRPr="00752D51">
        <w:rPr>
          <w:i w:val="0"/>
          <w:iCs/>
          <w:noProof/>
        </w:rPr>
        <w:instrText xml:space="preserve"> PAGEREF _Toc239118277 \h </w:instrText>
      </w:r>
      <w:r w:rsidRPr="00752D51">
        <w:rPr>
          <w:i w:val="0"/>
          <w:iCs/>
          <w:noProof/>
        </w:rPr>
      </w:r>
      <w:r w:rsidRPr="00752D51">
        <w:rPr>
          <w:i w:val="0"/>
          <w:iCs/>
          <w:noProof/>
        </w:rPr>
        <w:fldChar w:fldCharType="separate"/>
      </w:r>
      <w:r w:rsidR="00752D51" w:rsidRPr="00752D51">
        <w:rPr>
          <w:i w:val="0"/>
          <w:iCs/>
          <w:noProof/>
        </w:rPr>
        <w:t>5</w:t>
      </w:r>
      <w:r w:rsidRPr="00752D51">
        <w:rPr>
          <w:i w:val="0"/>
          <w:iCs/>
          <w:noProof/>
        </w:rPr>
        <w:fldChar w:fldCharType="end"/>
      </w:r>
    </w:p>
    <w:p w14:paraId="076411A2" w14:textId="74AD3DFE" w:rsidR="00301551" w:rsidRDefault="00301551">
      <w:pPr>
        <w:pStyle w:val="TOC3"/>
        <w:tabs>
          <w:tab w:val="left" w:pos="1440"/>
          <w:tab w:val="right" w:leader="dot" w:pos="9350"/>
        </w:tabs>
        <w:rPr>
          <w:rFonts w:asciiTheme="minorHAnsi" w:eastAsiaTheme="minorEastAsia" w:hAnsiTheme="minorHAnsi" w:cstheme="minorBidi"/>
          <w:i w:val="0"/>
          <w:noProof/>
          <w:kern w:val="2"/>
          <w:sz w:val="24"/>
          <w14:ligatures w14:val="standardContextual"/>
        </w:rPr>
      </w:pPr>
      <w:r w:rsidRPr="008455D6">
        <w:rPr>
          <w:noProof/>
        </w:rPr>
        <w:t>B.</w:t>
      </w:r>
      <w:r>
        <w:rPr>
          <w:rFonts w:asciiTheme="minorHAnsi" w:eastAsiaTheme="minorEastAsia" w:hAnsiTheme="minorHAnsi" w:cstheme="minorBidi"/>
          <w:i w:val="0"/>
          <w:noProof/>
          <w:kern w:val="2"/>
          <w:sz w:val="24"/>
          <w14:ligatures w14:val="standardContextual"/>
        </w:rPr>
        <w:tab/>
      </w:r>
      <w:r w:rsidRPr="008455D6">
        <w:rPr>
          <w:noProof/>
        </w:rPr>
        <w:t>Parker’s testimony and Exhibit 19 must be suppressed because the Government cannot establish an independent source.</w:t>
      </w:r>
      <w:r>
        <w:rPr>
          <w:noProof/>
        </w:rPr>
        <w:tab/>
      </w:r>
      <w:r w:rsidRPr="00752D51">
        <w:rPr>
          <w:i w:val="0"/>
          <w:iCs/>
          <w:noProof/>
        </w:rPr>
        <w:fldChar w:fldCharType="begin"/>
      </w:r>
      <w:r w:rsidRPr="00752D51">
        <w:rPr>
          <w:i w:val="0"/>
          <w:iCs/>
          <w:noProof/>
        </w:rPr>
        <w:instrText xml:space="preserve"> PAGEREF _Toc239118278 \h </w:instrText>
      </w:r>
      <w:r w:rsidRPr="00752D51">
        <w:rPr>
          <w:i w:val="0"/>
          <w:iCs/>
          <w:noProof/>
        </w:rPr>
      </w:r>
      <w:r w:rsidRPr="00752D51">
        <w:rPr>
          <w:i w:val="0"/>
          <w:iCs/>
          <w:noProof/>
        </w:rPr>
        <w:fldChar w:fldCharType="separate"/>
      </w:r>
      <w:r w:rsidR="00752D51" w:rsidRPr="00752D51">
        <w:rPr>
          <w:i w:val="0"/>
          <w:iCs/>
          <w:noProof/>
        </w:rPr>
        <w:t>6</w:t>
      </w:r>
      <w:r w:rsidRPr="00752D51">
        <w:rPr>
          <w:i w:val="0"/>
          <w:iCs/>
          <w:noProof/>
        </w:rPr>
        <w:fldChar w:fldCharType="end"/>
      </w:r>
    </w:p>
    <w:p w14:paraId="250533EB" w14:textId="1225FC98" w:rsidR="00301551" w:rsidRDefault="00301551">
      <w:pPr>
        <w:pStyle w:val="TOC4"/>
        <w:tabs>
          <w:tab w:val="left" w:pos="1680"/>
          <w:tab w:val="right" w:leader="dot" w:pos="9350"/>
        </w:tabs>
        <w:rPr>
          <w:rFonts w:asciiTheme="minorHAnsi" w:eastAsiaTheme="minorEastAsia" w:hAnsiTheme="minorHAnsi" w:cstheme="minorBidi"/>
          <w:noProof/>
          <w:kern w:val="2"/>
          <w:sz w:val="24"/>
          <w14:ligatures w14:val="standardContextual"/>
        </w:rPr>
      </w:pPr>
      <w:r w:rsidRPr="008455D6">
        <w:rPr>
          <w:noProof/>
        </w:rPr>
        <w:t>1.</w:t>
      </w:r>
      <w:r>
        <w:rPr>
          <w:rFonts w:asciiTheme="minorHAnsi" w:eastAsiaTheme="minorEastAsia" w:hAnsiTheme="minorHAnsi" w:cstheme="minorBidi"/>
          <w:noProof/>
          <w:kern w:val="2"/>
          <w:sz w:val="24"/>
          <w14:ligatures w14:val="standardContextual"/>
        </w:rPr>
        <w:tab/>
      </w:r>
      <w:r w:rsidRPr="008455D6">
        <w:rPr>
          <w:noProof/>
        </w:rPr>
        <w:t xml:space="preserve">The Government cannot establish that it independently identified Parker as a witness </w:t>
      </w:r>
      <w:r>
        <w:rPr>
          <w:noProof/>
        </w:rPr>
        <w:t>because</w:t>
      </w:r>
      <w:r w:rsidRPr="008455D6">
        <w:rPr>
          <w:noProof/>
        </w:rPr>
        <w:t xml:space="preserve"> it cannot account for the investigative chain leading to the interview.</w:t>
      </w:r>
      <w:r>
        <w:rPr>
          <w:noProof/>
        </w:rPr>
        <w:tab/>
      </w:r>
      <w:r>
        <w:rPr>
          <w:noProof/>
        </w:rPr>
        <w:fldChar w:fldCharType="begin"/>
      </w:r>
      <w:r>
        <w:rPr>
          <w:noProof/>
        </w:rPr>
        <w:instrText xml:space="preserve"> PAGEREF _Toc239118279 \h </w:instrText>
      </w:r>
      <w:r>
        <w:rPr>
          <w:noProof/>
        </w:rPr>
      </w:r>
      <w:r>
        <w:rPr>
          <w:noProof/>
        </w:rPr>
        <w:fldChar w:fldCharType="separate"/>
      </w:r>
      <w:r w:rsidR="00752D51">
        <w:rPr>
          <w:noProof/>
        </w:rPr>
        <w:t>7</w:t>
      </w:r>
      <w:r>
        <w:rPr>
          <w:noProof/>
        </w:rPr>
        <w:fldChar w:fldCharType="end"/>
      </w:r>
    </w:p>
    <w:p w14:paraId="53A57D76" w14:textId="09EBCD81" w:rsidR="00301551" w:rsidRDefault="00301551">
      <w:pPr>
        <w:pStyle w:val="TOC4"/>
        <w:tabs>
          <w:tab w:val="left" w:pos="1680"/>
          <w:tab w:val="right" w:leader="dot" w:pos="9350"/>
        </w:tabs>
        <w:rPr>
          <w:rFonts w:asciiTheme="minorHAnsi" w:eastAsiaTheme="minorEastAsia" w:hAnsiTheme="minorHAnsi" w:cstheme="minorBidi"/>
          <w:noProof/>
          <w:kern w:val="2"/>
          <w:sz w:val="24"/>
          <w14:ligatures w14:val="standardContextual"/>
        </w:rPr>
      </w:pPr>
      <w:r w:rsidRPr="008455D6">
        <w:rPr>
          <w:noProof/>
        </w:rPr>
        <w:t>2.</w:t>
      </w:r>
      <w:r>
        <w:rPr>
          <w:rFonts w:asciiTheme="minorHAnsi" w:eastAsiaTheme="minorEastAsia" w:hAnsiTheme="minorHAnsi" w:cstheme="minorBidi"/>
          <w:noProof/>
          <w:kern w:val="2"/>
          <w:sz w:val="24"/>
          <w14:ligatures w14:val="standardContextual"/>
        </w:rPr>
        <w:tab/>
      </w:r>
      <w:r w:rsidRPr="008455D6">
        <w:rPr>
          <w:noProof/>
        </w:rPr>
        <w:t>Even if investigators independently selected Parker for an interview, the Government cannot establish that Parker’s resulting testimony developed independently.</w:t>
      </w:r>
      <w:r>
        <w:rPr>
          <w:noProof/>
        </w:rPr>
        <w:tab/>
      </w:r>
      <w:r>
        <w:rPr>
          <w:noProof/>
        </w:rPr>
        <w:fldChar w:fldCharType="begin"/>
      </w:r>
      <w:r>
        <w:rPr>
          <w:noProof/>
        </w:rPr>
        <w:instrText xml:space="preserve"> PAGEREF _Toc239118280 \h </w:instrText>
      </w:r>
      <w:r>
        <w:rPr>
          <w:noProof/>
        </w:rPr>
      </w:r>
      <w:r>
        <w:rPr>
          <w:noProof/>
        </w:rPr>
        <w:fldChar w:fldCharType="separate"/>
      </w:r>
      <w:r w:rsidR="00752D51">
        <w:rPr>
          <w:noProof/>
        </w:rPr>
        <w:t>9</w:t>
      </w:r>
      <w:r>
        <w:rPr>
          <w:noProof/>
        </w:rPr>
        <w:fldChar w:fldCharType="end"/>
      </w:r>
    </w:p>
    <w:p w14:paraId="0ECAEF76" w14:textId="0A279B41" w:rsidR="00301551" w:rsidRDefault="00301551">
      <w:pPr>
        <w:pStyle w:val="TOC4"/>
        <w:tabs>
          <w:tab w:val="left" w:pos="1680"/>
          <w:tab w:val="right" w:leader="dot" w:pos="9350"/>
        </w:tabs>
        <w:rPr>
          <w:rFonts w:asciiTheme="minorHAnsi" w:eastAsiaTheme="minorEastAsia" w:hAnsiTheme="minorHAnsi" w:cstheme="minorBidi"/>
          <w:noProof/>
          <w:kern w:val="2"/>
          <w:sz w:val="24"/>
          <w14:ligatures w14:val="standardContextual"/>
        </w:rPr>
      </w:pPr>
      <w:r w:rsidRPr="008455D6">
        <w:rPr>
          <w:noProof/>
        </w:rPr>
        <w:t>3.</w:t>
      </w:r>
      <w:r>
        <w:rPr>
          <w:rFonts w:asciiTheme="minorHAnsi" w:eastAsiaTheme="minorEastAsia" w:hAnsiTheme="minorHAnsi" w:cstheme="minorBidi"/>
          <w:noProof/>
          <w:kern w:val="2"/>
          <w:sz w:val="24"/>
          <w14:ligatures w14:val="standardContextual"/>
        </w:rPr>
        <w:tab/>
      </w:r>
      <w:r w:rsidRPr="008455D6">
        <w:rPr>
          <w:noProof/>
        </w:rPr>
        <w:t>Exhibit 19 must be suppressed because it was derived entirely from Parker’s testimony.</w:t>
      </w:r>
      <w:r>
        <w:rPr>
          <w:noProof/>
        </w:rPr>
        <w:tab/>
      </w:r>
      <w:r>
        <w:rPr>
          <w:noProof/>
        </w:rPr>
        <w:fldChar w:fldCharType="begin"/>
      </w:r>
      <w:r>
        <w:rPr>
          <w:noProof/>
        </w:rPr>
        <w:instrText xml:space="preserve"> PAGEREF _Toc239118281 \h </w:instrText>
      </w:r>
      <w:r>
        <w:rPr>
          <w:noProof/>
        </w:rPr>
      </w:r>
      <w:r>
        <w:rPr>
          <w:noProof/>
        </w:rPr>
        <w:fldChar w:fldCharType="separate"/>
      </w:r>
      <w:r w:rsidR="00752D51">
        <w:rPr>
          <w:noProof/>
        </w:rPr>
        <w:t>11</w:t>
      </w:r>
      <w:r>
        <w:rPr>
          <w:noProof/>
        </w:rPr>
        <w:fldChar w:fldCharType="end"/>
      </w:r>
    </w:p>
    <w:p w14:paraId="1A51424F" w14:textId="252885A3" w:rsidR="00301551" w:rsidRDefault="00301551">
      <w:pPr>
        <w:pStyle w:val="TOC2"/>
        <w:tabs>
          <w:tab w:val="left" w:pos="1080"/>
          <w:tab w:val="right" w:leader="dot" w:pos="9350"/>
        </w:tabs>
        <w:rPr>
          <w:rFonts w:asciiTheme="minorHAnsi" w:eastAsiaTheme="minorEastAsia" w:hAnsiTheme="minorHAnsi" w:cstheme="minorBidi"/>
          <w:caps w:val="0"/>
          <w:noProof/>
          <w:kern w:val="2"/>
          <w:sz w:val="24"/>
          <w14:ligatures w14:val="standardContextual"/>
        </w:rPr>
      </w:pPr>
      <w:r>
        <w:rPr>
          <w:noProof/>
        </w:rPr>
        <w:t>II.</w:t>
      </w:r>
      <w:r>
        <w:rPr>
          <w:rFonts w:asciiTheme="minorHAnsi" w:eastAsiaTheme="minorEastAsia" w:hAnsiTheme="minorHAnsi" w:cstheme="minorBidi"/>
          <w:caps w:val="0"/>
          <w:noProof/>
          <w:kern w:val="2"/>
          <w:sz w:val="24"/>
          <w14:ligatures w14:val="standardContextual"/>
        </w:rPr>
        <w:tab/>
      </w:r>
      <w:r>
        <w:rPr>
          <w:noProof/>
        </w:rPr>
        <w:t>the government’s subpoena duces tecum must be quashed because Armana’s records of the Seton interview are protected under work-product privilege.</w:t>
      </w:r>
      <w:r>
        <w:rPr>
          <w:noProof/>
        </w:rPr>
        <w:tab/>
      </w:r>
      <w:r>
        <w:rPr>
          <w:noProof/>
        </w:rPr>
        <w:fldChar w:fldCharType="begin"/>
      </w:r>
      <w:r>
        <w:rPr>
          <w:noProof/>
        </w:rPr>
        <w:instrText xml:space="preserve"> PAGEREF _Toc239118282 \h </w:instrText>
      </w:r>
      <w:r>
        <w:rPr>
          <w:noProof/>
        </w:rPr>
      </w:r>
      <w:r>
        <w:rPr>
          <w:noProof/>
        </w:rPr>
        <w:fldChar w:fldCharType="separate"/>
      </w:r>
      <w:r w:rsidR="00752D51">
        <w:rPr>
          <w:noProof/>
        </w:rPr>
        <w:t>12</w:t>
      </w:r>
      <w:r>
        <w:rPr>
          <w:noProof/>
        </w:rPr>
        <w:fldChar w:fldCharType="end"/>
      </w:r>
    </w:p>
    <w:p w14:paraId="3A698C45" w14:textId="50AC93B3" w:rsidR="00301551" w:rsidRDefault="00301551">
      <w:pPr>
        <w:pStyle w:val="TOC3"/>
        <w:tabs>
          <w:tab w:val="left" w:pos="1440"/>
          <w:tab w:val="right" w:leader="dot" w:pos="9350"/>
        </w:tabs>
        <w:rPr>
          <w:rFonts w:asciiTheme="minorHAnsi" w:eastAsiaTheme="minorEastAsia" w:hAnsiTheme="minorHAnsi" w:cstheme="minorBidi"/>
          <w:i w:val="0"/>
          <w:noProof/>
          <w:kern w:val="2"/>
          <w:sz w:val="24"/>
          <w14:ligatures w14:val="standardContextual"/>
        </w:rPr>
      </w:pPr>
      <w:r>
        <w:rPr>
          <w:noProof/>
        </w:rPr>
        <w:lastRenderedPageBreak/>
        <w:t>A.</w:t>
      </w:r>
      <w:r>
        <w:rPr>
          <w:rFonts w:asciiTheme="minorHAnsi" w:eastAsiaTheme="minorEastAsia" w:hAnsiTheme="minorHAnsi" w:cstheme="minorBidi"/>
          <w:i w:val="0"/>
          <w:noProof/>
          <w:kern w:val="2"/>
          <w:sz w:val="24"/>
          <w14:ligatures w14:val="standardContextual"/>
        </w:rPr>
        <w:tab/>
      </w:r>
      <w:r>
        <w:rPr>
          <w:noProof/>
        </w:rPr>
        <w:t>Armana’s records are protected under the work-product doctrine because the interview was done in anticipation of litigation and the document reflects Armana’s mental impressions.</w:t>
      </w:r>
      <w:r>
        <w:rPr>
          <w:noProof/>
        </w:rPr>
        <w:tab/>
      </w:r>
      <w:r w:rsidRPr="00752D51">
        <w:rPr>
          <w:i w:val="0"/>
          <w:iCs/>
          <w:noProof/>
        </w:rPr>
        <w:fldChar w:fldCharType="begin"/>
      </w:r>
      <w:r w:rsidRPr="00752D51">
        <w:rPr>
          <w:i w:val="0"/>
          <w:iCs/>
          <w:noProof/>
        </w:rPr>
        <w:instrText xml:space="preserve"> PAGEREF _Toc239118283 \h </w:instrText>
      </w:r>
      <w:r w:rsidRPr="00752D51">
        <w:rPr>
          <w:i w:val="0"/>
          <w:iCs/>
          <w:noProof/>
        </w:rPr>
      </w:r>
      <w:r w:rsidRPr="00752D51">
        <w:rPr>
          <w:i w:val="0"/>
          <w:iCs/>
          <w:noProof/>
        </w:rPr>
        <w:fldChar w:fldCharType="separate"/>
      </w:r>
      <w:r w:rsidR="00752D51" w:rsidRPr="00752D51">
        <w:rPr>
          <w:i w:val="0"/>
          <w:iCs/>
          <w:noProof/>
        </w:rPr>
        <w:t>12</w:t>
      </w:r>
      <w:r w:rsidRPr="00752D51">
        <w:rPr>
          <w:i w:val="0"/>
          <w:iCs/>
          <w:noProof/>
        </w:rPr>
        <w:fldChar w:fldCharType="end"/>
      </w:r>
    </w:p>
    <w:p w14:paraId="7E36F60D" w14:textId="497F1950" w:rsidR="00301551" w:rsidRDefault="00301551">
      <w:pPr>
        <w:pStyle w:val="TOC3"/>
        <w:tabs>
          <w:tab w:val="left" w:pos="1440"/>
          <w:tab w:val="right" w:leader="dot" w:pos="9350"/>
        </w:tabs>
        <w:rPr>
          <w:rFonts w:asciiTheme="minorHAnsi" w:eastAsiaTheme="minorEastAsia" w:hAnsiTheme="minorHAnsi" w:cstheme="minorBidi"/>
          <w:i w:val="0"/>
          <w:noProof/>
          <w:kern w:val="2"/>
          <w:sz w:val="24"/>
          <w14:ligatures w14:val="standardContextual"/>
        </w:rPr>
      </w:pPr>
      <w:r>
        <w:rPr>
          <w:noProof/>
        </w:rPr>
        <w:t>B.</w:t>
      </w:r>
      <w:r>
        <w:rPr>
          <w:rFonts w:asciiTheme="minorHAnsi" w:eastAsiaTheme="minorEastAsia" w:hAnsiTheme="minorHAnsi" w:cstheme="minorBidi"/>
          <w:i w:val="0"/>
          <w:noProof/>
          <w:kern w:val="2"/>
          <w:sz w:val="24"/>
          <w14:ligatures w14:val="standardContextual"/>
        </w:rPr>
        <w:tab/>
      </w:r>
      <w:r>
        <w:rPr>
          <w:noProof/>
        </w:rPr>
        <w:t>The substantial need exception does not apply in criminal cases.</w:t>
      </w:r>
      <w:r>
        <w:rPr>
          <w:noProof/>
        </w:rPr>
        <w:tab/>
      </w:r>
      <w:r w:rsidRPr="00752D51">
        <w:rPr>
          <w:i w:val="0"/>
          <w:iCs/>
          <w:noProof/>
        </w:rPr>
        <w:fldChar w:fldCharType="begin"/>
      </w:r>
      <w:r w:rsidRPr="00752D51">
        <w:rPr>
          <w:i w:val="0"/>
          <w:iCs/>
          <w:noProof/>
        </w:rPr>
        <w:instrText xml:space="preserve"> PAGEREF _Toc239118284 \h </w:instrText>
      </w:r>
      <w:r w:rsidRPr="00752D51">
        <w:rPr>
          <w:i w:val="0"/>
          <w:iCs/>
          <w:noProof/>
        </w:rPr>
      </w:r>
      <w:r w:rsidRPr="00752D51">
        <w:rPr>
          <w:i w:val="0"/>
          <w:iCs/>
          <w:noProof/>
        </w:rPr>
        <w:fldChar w:fldCharType="separate"/>
      </w:r>
      <w:r w:rsidR="00752D51" w:rsidRPr="00752D51">
        <w:rPr>
          <w:i w:val="0"/>
          <w:iCs/>
          <w:noProof/>
        </w:rPr>
        <w:t>16</w:t>
      </w:r>
      <w:r w:rsidRPr="00752D51">
        <w:rPr>
          <w:i w:val="0"/>
          <w:iCs/>
          <w:noProof/>
        </w:rPr>
        <w:fldChar w:fldCharType="end"/>
      </w:r>
    </w:p>
    <w:p w14:paraId="1D8A3966" w14:textId="5241C539" w:rsidR="00301551" w:rsidRDefault="00301551">
      <w:pPr>
        <w:pStyle w:val="TOC3"/>
        <w:tabs>
          <w:tab w:val="left" w:pos="1440"/>
          <w:tab w:val="right" w:leader="dot" w:pos="9350"/>
        </w:tabs>
        <w:rPr>
          <w:rFonts w:asciiTheme="minorHAnsi" w:eastAsiaTheme="minorEastAsia" w:hAnsiTheme="minorHAnsi" w:cstheme="minorBidi"/>
          <w:i w:val="0"/>
          <w:noProof/>
          <w:kern w:val="2"/>
          <w:sz w:val="24"/>
          <w14:ligatures w14:val="standardContextual"/>
        </w:rPr>
      </w:pPr>
      <w:r>
        <w:rPr>
          <w:noProof/>
        </w:rPr>
        <w:t>C.</w:t>
      </w:r>
      <w:r>
        <w:rPr>
          <w:rFonts w:asciiTheme="minorHAnsi" w:eastAsiaTheme="minorEastAsia" w:hAnsiTheme="minorHAnsi" w:cstheme="minorBidi"/>
          <w:i w:val="0"/>
          <w:noProof/>
          <w:kern w:val="2"/>
          <w:sz w:val="24"/>
          <w14:ligatures w14:val="standardContextual"/>
        </w:rPr>
        <w:tab/>
      </w:r>
      <w:r>
        <w:rPr>
          <w:noProof/>
        </w:rPr>
        <w:t>Even if the substantial need exception applies, the Government has no such need.</w:t>
      </w:r>
      <w:r>
        <w:rPr>
          <w:noProof/>
        </w:rPr>
        <w:tab/>
      </w:r>
      <w:r w:rsidRPr="00752D51">
        <w:rPr>
          <w:i w:val="0"/>
          <w:iCs/>
          <w:noProof/>
        </w:rPr>
        <w:fldChar w:fldCharType="begin"/>
      </w:r>
      <w:r w:rsidRPr="00752D51">
        <w:rPr>
          <w:i w:val="0"/>
          <w:iCs/>
          <w:noProof/>
        </w:rPr>
        <w:instrText xml:space="preserve"> PAGEREF _Toc239118285 \h </w:instrText>
      </w:r>
      <w:r w:rsidRPr="00752D51">
        <w:rPr>
          <w:i w:val="0"/>
          <w:iCs/>
          <w:noProof/>
        </w:rPr>
      </w:r>
      <w:r w:rsidRPr="00752D51">
        <w:rPr>
          <w:i w:val="0"/>
          <w:iCs/>
          <w:noProof/>
        </w:rPr>
        <w:fldChar w:fldCharType="separate"/>
      </w:r>
      <w:r w:rsidR="00752D51" w:rsidRPr="00752D51">
        <w:rPr>
          <w:i w:val="0"/>
          <w:iCs/>
          <w:noProof/>
        </w:rPr>
        <w:t>17</w:t>
      </w:r>
      <w:r w:rsidRPr="00752D51">
        <w:rPr>
          <w:i w:val="0"/>
          <w:iCs/>
          <w:noProof/>
        </w:rPr>
        <w:fldChar w:fldCharType="end"/>
      </w:r>
    </w:p>
    <w:p w14:paraId="5AC8CE74" w14:textId="3C9A7BA1" w:rsidR="00301551" w:rsidRDefault="00301551">
      <w:pPr>
        <w:pStyle w:val="TOC4"/>
        <w:tabs>
          <w:tab w:val="left" w:pos="1680"/>
          <w:tab w:val="right" w:leader="dot" w:pos="9350"/>
        </w:tabs>
        <w:rPr>
          <w:rFonts w:asciiTheme="minorHAnsi" w:eastAsiaTheme="minorEastAsia" w:hAnsiTheme="minorHAnsi" w:cstheme="minorBidi"/>
          <w:noProof/>
          <w:kern w:val="2"/>
          <w:sz w:val="24"/>
          <w14:ligatures w14:val="standardContextual"/>
        </w:rPr>
      </w:pPr>
      <w:r>
        <w:rPr>
          <w:noProof/>
        </w:rPr>
        <w:t>1.</w:t>
      </w:r>
      <w:r>
        <w:rPr>
          <w:rFonts w:asciiTheme="minorHAnsi" w:eastAsiaTheme="minorEastAsia" w:hAnsiTheme="minorHAnsi" w:cstheme="minorBidi"/>
          <w:noProof/>
          <w:kern w:val="2"/>
          <w:sz w:val="24"/>
          <w14:ligatures w14:val="standardContextual"/>
        </w:rPr>
        <w:tab/>
      </w:r>
      <w:r>
        <w:rPr>
          <w:noProof/>
        </w:rPr>
        <w:t>Armana’s records are opinion work product.</w:t>
      </w:r>
      <w:r>
        <w:rPr>
          <w:noProof/>
        </w:rPr>
        <w:tab/>
      </w:r>
      <w:r>
        <w:rPr>
          <w:noProof/>
        </w:rPr>
        <w:fldChar w:fldCharType="begin"/>
      </w:r>
      <w:r>
        <w:rPr>
          <w:noProof/>
        </w:rPr>
        <w:instrText xml:space="preserve"> PAGEREF _Toc239118286 \h </w:instrText>
      </w:r>
      <w:r>
        <w:rPr>
          <w:noProof/>
        </w:rPr>
      </w:r>
      <w:r>
        <w:rPr>
          <w:noProof/>
        </w:rPr>
        <w:fldChar w:fldCharType="separate"/>
      </w:r>
      <w:r w:rsidR="00752D51">
        <w:rPr>
          <w:noProof/>
        </w:rPr>
        <w:t>18</w:t>
      </w:r>
      <w:r>
        <w:rPr>
          <w:noProof/>
        </w:rPr>
        <w:fldChar w:fldCharType="end"/>
      </w:r>
    </w:p>
    <w:p w14:paraId="64A50E28" w14:textId="5A00413B" w:rsidR="00301551" w:rsidRDefault="00301551">
      <w:pPr>
        <w:pStyle w:val="TOC4"/>
        <w:tabs>
          <w:tab w:val="left" w:pos="1680"/>
          <w:tab w:val="right" w:leader="dot" w:pos="9350"/>
        </w:tabs>
        <w:rPr>
          <w:rFonts w:asciiTheme="minorHAnsi" w:eastAsiaTheme="minorEastAsia" w:hAnsiTheme="minorHAnsi" w:cstheme="minorBidi"/>
          <w:noProof/>
          <w:kern w:val="2"/>
          <w:sz w:val="24"/>
          <w14:ligatures w14:val="standardContextual"/>
        </w:rPr>
      </w:pPr>
      <w:r>
        <w:rPr>
          <w:noProof/>
        </w:rPr>
        <w:t>2.</w:t>
      </w:r>
      <w:r>
        <w:rPr>
          <w:rFonts w:asciiTheme="minorHAnsi" w:eastAsiaTheme="minorEastAsia" w:hAnsiTheme="minorHAnsi" w:cstheme="minorBidi"/>
          <w:noProof/>
          <w:kern w:val="2"/>
          <w:sz w:val="24"/>
          <w14:ligatures w14:val="standardContextual"/>
        </w:rPr>
        <w:tab/>
      </w:r>
      <w:r>
        <w:rPr>
          <w:noProof/>
        </w:rPr>
        <w:t>Even if Armana’s records are ordinary work product, the Government cannot prove substantial need.</w:t>
      </w:r>
      <w:r>
        <w:rPr>
          <w:noProof/>
        </w:rPr>
        <w:tab/>
      </w:r>
      <w:r>
        <w:rPr>
          <w:noProof/>
        </w:rPr>
        <w:fldChar w:fldCharType="begin"/>
      </w:r>
      <w:r>
        <w:rPr>
          <w:noProof/>
        </w:rPr>
        <w:instrText xml:space="preserve"> PAGEREF _Toc239118287 \h </w:instrText>
      </w:r>
      <w:r>
        <w:rPr>
          <w:noProof/>
        </w:rPr>
      </w:r>
      <w:r>
        <w:rPr>
          <w:noProof/>
        </w:rPr>
        <w:fldChar w:fldCharType="separate"/>
      </w:r>
      <w:r w:rsidR="00752D51">
        <w:rPr>
          <w:noProof/>
        </w:rPr>
        <w:t>19</w:t>
      </w:r>
      <w:r>
        <w:rPr>
          <w:noProof/>
        </w:rPr>
        <w:fldChar w:fldCharType="end"/>
      </w:r>
    </w:p>
    <w:p w14:paraId="2B1D0274" w14:textId="071A9AD1" w:rsidR="00301551" w:rsidRDefault="00301551">
      <w:pPr>
        <w:pStyle w:val="TOC1"/>
        <w:tabs>
          <w:tab w:val="right" w:leader="dot" w:pos="9350"/>
        </w:tabs>
        <w:rPr>
          <w:rFonts w:asciiTheme="minorHAnsi" w:eastAsiaTheme="minorEastAsia" w:hAnsiTheme="minorHAnsi" w:cstheme="minorBidi"/>
          <w:caps w:val="0"/>
          <w:noProof/>
          <w:kern w:val="2"/>
          <w:sz w:val="24"/>
          <w14:ligatures w14:val="standardContextual"/>
        </w:rPr>
      </w:pPr>
      <w:r>
        <w:rPr>
          <w:noProof/>
        </w:rPr>
        <w:t>Conclusion</w:t>
      </w:r>
      <w:r>
        <w:rPr>
          <w:noProof/>
        </w:rPr>
        <w:tab/>
      </w:r>
      <w:r>
        <w:rPr>
          <w:noProof/>
        </w:rPr>
        <w:fldChar w:fldCharType="begin"/>
      </w:r>
      <w:r>
        <w:rPr>
          <w:noProof/>
        </w:rPr>
        <w:instrText xml:space="preserve"> PAGEREF _Toc239118288 \h </w:instrText>
      </w:r>
      <w:r>
        <w:rPr>
          <w:noProof/>
        </w:rPr>
      </w:r>
      <w:r>
        <w:rPr>
          <w:noProof/>
        </w:rPr>
        <w:fldChar w:fldCharType="separate"/>
      </w:r>
      <w:r w:rsidR="00752D51">
        <w:rPr>
          <w:noProof/>
        </w:rPr>
        <w:t>21</w:t>
      </w:r>
      <w:r>
        <w:rPr>
          <w:noProof/>
        </w:rPr>
        <w:fldChar w:fldCharType="end"/>
      </w:r>
    </w:p>
    <w:p w14:paraId="5957C00F" w14:textId="12F3E187" w:rsidR="00301551" w:rsidRDefault="00301551">
      <w:pPr>
        <w:spacing w:after="160" w:line="278" w:lineRule="auto"/>
        <w:rPr>
          <w:rFonts w:cs="Times New Roman (Headings CS)"/>
          <w:b/>
          <w:caps/>
          <w:color w:val="000000" w:themeColor="text1"/>
          <w:szCs w:val="40"/>
          <w:u w:val="single"/>
        </w:rPr>
      </w:pPr>
      <w:r>
        <w:rPr>
          <w:u w:val="single"/>
        </w:rPr>
        <w:fldChar w:fldCharType="end"/>
      </w:r>
      <w:r>
        <w:rPr>
          <w:u w:val="single"/>
        </w:rPr>
        <w:br w:type="page"/>
      </w:r>
    </w:p>
    <w:p w14:paraId="704C45C1" w14:textId="77777777" w:rsidR="00301551" w:rsidRDefault="00301551" w:rsidP="00301551">
      <w:pPr>
        <w:pStyle w:val="Heading1"/>
        <w:rPr>
          <w:rFonts w:eastAsia="Times New Roman"/>
          <w:u w:val="single"/>
        </w:rPr>
      </w:pPr>
      <w:bookmarkStart w:id="1" w:name="_Toc239118272"/>
      <w:r>
        <w:rPr>
          <w:rFonts w:eastAsia="Times New Roman"/>
          <w:u w:val="single"/>
        </w:rPr>
        <w:lastRenderedPageBreak/>
        <w:t>Table of Authorities</w:t>
      </w:r>
      <w:bookmarkEnd w:id="1"/>
    </w:p>
    <w:p w14:paraId="40F2CAD3" w14:textId="77777777" w:rsidR="00752D51" w:rsidRDefault="00752D51">
      <w:pPr>
        <w:pStyle w:val="TOAHeading"/>
        <w:tabs>
          <w:tab w:val="right" w:leader="dot" w:pos="9350"/>
        </w:tabs>
        <w:rPr>
          <w:rFonts w:asciiTheme="minorHAnsi" w:eastAsiaTheme="minorEastAsia" w:hAnsiTheme="minorHAnsi" w:cstheme="minorBidi"/>
          <w:b w:val="0"/>
          <w:bCs w:val="0"/>
          <w:noProof/>
        </w:rPr>
      </w:pPr>
      <w:r>
        <w:fldChar w:fldCharType="begin"/>
      </w:r>
      <w:r>
        <w:instrText xml:space="preserve"> TOA \h \c "1" \p </w:instrText>
      </w:r>
      <w:r>
        <w:fldChar w:fldCharType="separate"/>
      </w:r>
      <w:r>
        <w:rPr>
          <w:noProof/>
        </w:rPr>
        <w:t>Cases</w:t>
      </w:r>
    </w:p>
    <w:p w14:paraId="3D5BD060" w14:textId="4A4DF0A5" w:rsidR="00752D51" w:rsidRDefault="00752D51">
      <w:pPr>
        <w:pStyle w:val="TableofAuthorities"/>
        <w:tabs>
          <w:tab w:val="right" w:leader="dot" w:pos="9350"/>
        </w:tabs>
        <w:rPr>
          <w:noProof/>
        </w:rPr>
      </w:pPr>
      <w:r w:rsidRPr="00D36A32">
        <w:rPr>
          <w:i/>
          <w:iCs/>
          <w:noProof/>
        </w:rPr>
        <w:t>Biegas v. Quickway Carriers, Inc.</w:t>
      </w:r>
      <w:r>
        <w:rPr>
          <w:noProof/>
        </w:rPr>
        <w:t xml:space="preserve">, </w:t>
      </w:r>
      <w:r>
        <w:rPr>
          <w:noProof/>
        </w:rPr>
        <w:br/>
        <w:t>573 F.3d 365 (6th Cir. 2009)</w:t>
      </w:r>
      <w:r>
        <w:rPr>
          <w:noProof/>
        </w:rPr>
        <w:tab/>
        <w:t>14, 15</w:t>
      </w:r>
    </w:p>
    <w:p w14:paraId="0655D6E8" w14:textId="2B15D038" w:rsidR="00752D51" w:rsidRDefault="00752D51">
      <w:pPr>
        <w:pStyle w:val="TableofAuthorities"/>
        <w:tabs>
          <w:tab w:val="right" w:leader="dot" w:pos="9350"/>
        </w:tabs>
        <w:rPr>
          <w:noProof/>
        </w:rPr>
      </w:pPr>
      <w:r w:rsidRPr="00D36A32">
        <w:rPr>
          <w:i/>
          <w:iCs/>
          <w:noProof/>
        </w:rPr>
        <w:t>Coastal States Gas Corp. v. Dep’t of Energy</w:t>
      </w:r>
      <w:r>
        <w:rPr>
          <w:noProof/>
        </w:rPr>
        <w:t xml:space="preserve">, </w:t>
      </w:r>
      <w:r>
        <w:rPr>
          <w:noProof/>
        </w:rPr>
        <w:br/>
        <w:t>617 F.2d 854 (D.C. Cir. 1980)</w:t>
      </w:r>
      <w:r>
        <w:rPr>
          <w:noProof/>
        </w:rPr>
        <w:tab/>
        <w:t>14, 15</w:t>
      </w:r>
    </w:p>
    <w:p w14:paraId="26224891" w14:textId="7EE1CBDB" w:rsidR="00752D51" w:rsidRDefault="00752D51">
      <w:pPr>
        <w:pStyle w:val="TableofAuthorities"/>
        <w:tabs>
          <w:tab w:val="right" w:leader="dot" w:pos="9350"/>
        </w:tabs>
        <w:rPr>
          <w:noProof/>
        </w:rPr>
      </w:pPr>
      <w:r w:rsidRPr="00D36A32">
        <w:rPr>
          <w:i/>
          <w:iCs/>
          <w:noProof/>
        </w:rPr>
        <w:t>F.T.C. v. Boehringer Ingelheim Pharms., Inc.</w:t>
      </w:r>
      <w:r>
        <w:rPr>
          <w:noProof/>
        </w:rPr>
        <w:t xml:space="preserve">, </w:t>
      </w:r>
      <w:r>
        <w:rPr>
          <w:noProof/>
        </w:rPr>
        <w:br/>
        <w:t>778 F.3d 142 (D.C. Cir. 2015)</w:t>
      </w:r>
      <w:r>
        <w:rPr>
          <w:noProof/>
        </w:rPr>
        <w:tab/>
        <w:t>19, 20</w:t>
      </w:r>
    </w:p>
    <w:p w14:paraId="0C46A4B1" w14:textId="375696C2" w:rsidR="00752D51" w:rsidRDefault="00752D51">
      <w:pPr>
        <w:pStyle w:val="TableofAuthorities"/>
        <w:tabs>
          <w:tab w:val="right" w:leader="dot" w:pos="9350"/>
        </w:tabs>
        <w:rPr>
          <w:noProof/>
        </w:rPr>
      </w:pPr>
      <w:r w:rsidRPr="00D36A32">
        <w:rPr>
          <w:i/>
          <w:iCs/>
          <w:noProof/>
        </w:rPr>
        <w:t>Hickman v. Taylor</w:t>
      </w:r>
      <w:r>
        <w:rPr>
          <w:noProof/>
        </w:rPr>
        <w:t xml:space="preserve">, </w:t>
      </w:r>
      <w:r>
        <w:rPr>
          <w:noProof/>
        </w:rPr>
        <w:br/>
        <w:t>329 U.S. 495 (1947)</w:t>
      </w:r>
      <w:r>
        <w:rPr>
          <w:noProof/>
        </w:rPr>
        <w:tab/>
        <w:t>13</w:t>
      </w:r>
    </w:p>
    <w:p w14:paraId="0D28CEC1" w14:textId="0FE2503E" w:rsidR="00752D51" w:rsidRDefault="00752D51">
      <w:pPr>
        <w:pStyle w:val="TableofAuthorities"/>
        <w:tabs>
          <w:tab w:val="right" w:leader="dot" w:pos="9350"/>
        </w:tabs>
        <w:rPr>
          <w:noProof/>
        </w:rPr>
      </w:pPr>
      <w:r w:rsidRPr="00D36A32">
        <w:rPr>
          <w:i/>
          <w:iCs/>
          <w:noProof/>
        </w:rPr>
        <w:t>Hobbs v. McLean</w:t>
      </w:r>
      <w:r>
        <w:rPr>
          <w:noProof/>
        </w:rPr>
        <w:t xml:space="preserve">, </w:t>
      </w:r>
      <w:r>
        <w:rPr>
          <w:noProof/>
        </w:rPr>
        <w:br/>
        <w:t>117 U.S. 567 (1886)</w:t>
      </w:r>
      <w:r>
        <w:rPr>
          <w:noProof/>
        </w:rPr>
        <w:tab/>
        <w:t>16</w:t>
      </w:r>
    </w:p>
    <w:p w14:paraId="71907B48" w14:textId="782D241A" w:rsidR="00752D51" w:rsidRDefault="00752D51">
      <w:pPr>
        <w:pStyle w:val="TableofAuthorities"/>
        <w:tabs>
          <w:tab w:val="right" w:leader="dot" w:pos="9350"/>
        </w:tabs>
        <w:rPr>
          <w:noProof/>
        </w:rPr>
      </w:pPr>
      <w:r w:rsidRPr="00D36A32">
        <w:rPr>
          <w:i/>
          <w:iCs/>
          <w:noProof/>
        </w:rPr>
        <w:t>In re Grand Jury Procs.</w:t>
      </w:r>
      <w:r>
        <w:rPr>
          <w:noProof/>
        </w:rPr>
        <w:t xml:space="preserve">, </w:t>
      </w:r>
      <w:r>
        <w:rPr>
          <w:noProof/>
        </w:rPr>
        <w:br/>
        <w:t>43 F.3d 966 (5th Cir. 1994)</w:t>
      </w:r>
      <w:r>
        <w:rPr>
          <w:noProof/>
        </w:rPr>
        <w:tab/>
        <w:t>17, 18</w:t>
      </w:r>
    </w:p>
    <w:p w14:paraId="4ED669B3" w14:textId="76CEE185" w:rsidR="00752D51" w:rsidRDefault="00752D51">
      <w:pPr>
        <w:pStyle w:val="TableofAuthorities"/>
        <w:tabs>
          <w:tab w:val="right" w:leader="dot" w:pos="9350"/>
        </w:tabs>
        <w:rPr>
          <w:noProof/>
        </w:rPr>
      </w:pPr>
      <w:r w:rsidRPr="00D36A32">
        <w:rPr>
          <w:i/>
          <w:iCs/>
          <w:noProof/>
        </w:rPr>
        <w:t>In re Grand Jury Subpoenas Dated Mar. 19, 2002 &amp; Aug. 2, 2002</w:t>
      </w:r>
      <w:r>
        <w:rPr>
          <w:noProof/>
        </w:rPr>
        <w:t xml:space="preserve">, </w:t>
      </w:r>
      <w:r>
        <w:rPr>
          <w:noProof/>
        </w:rPr>
        <w:br/>
        <w:t>318 F.3d 379 (2d Cir. 2002)</w:t>
      </w:r>
      <w:r>
        <w:rPr>
          <w:noProof/>
        </w:rPr>
        <w:tab/>
        <w:t>17</w:t>
      </w:r>
    </w:p>
    <w:p w14:paraId="12A1CB20" w14:textId="79AE90B1" w:rsidR="00752D51" w:rsidRDefault="00752D51">
      <w:pPr>
        <w:pStyle w:val="TableofAuthorities"/>
        <w:tabs>
          <w:tab w:val="right" w:leader="dot" w:pos="9350"/>
        </w:tabs>
        <w:rPr>
          <w:noProof/>
        </w:rPr>
      </w:pPr>
      <w:r w:rsidRPr="00D36A32">
        <w:rPr>
          <w:i/>
          <w:iCs/>
          <w:noProof/>
        </w:rPr>
        <w:t>In re Green Grand Jury Procs.</w:t>
      </w:r>
      <w:r>
        <w:rPr>
          <w:noProof/>
        </w:rPr>
        <w:t xml:space="preserve">, </w:t>
      </w:r>
      <w:r>
        <w:rPr>
          <w:noProof/>
        </w:rPr>
        <w:br/>
        <w:t>492 F.3d 976 (8th Cir. 2007)</w:t>
      </w:r>
      <w:r>
        <w:rPr>
          <w:noProof/>
        </w:rPr>
        <w:tab/>
        <w:t>18, 19</w:t>
      </w:r>
    </w:p>
    <w:p w14:paraId="63FA4EF5" w14:textId="38F1CD5D" w:rsidR="00752D51" w:rsidRDefault="00752D51">
      <w:pPr>
        <w:pStyle w:val="TableofAuthorities"/>
        <w:tabs>
          <w:tab w:val="right" w:leader="dot" w:pos="9350"/>
        </w:tabs>
        <w:rPr>
          <w:noProof/>
        </w:rPr>
      </w:pPr>
      <w:r w:rsidRPr="00D36A32">
        <w:rPr>
          <w:i/>
          <w:iCs/>
          <w:noProof/>
        </w:rPr>
        <w:t>In re Sealed Case</w:t>
      </w:r>
      <w:r>
        <w:rPr>
          <w:noProof/>
        </w:rPr>
        <w:t xml:space="preserve">, </w:t>
      </w:r>
      <w:r>
        <w:rPr>
          <w:noProof/>
        </w:rPr>
        <w:br/>
        <w:t>146 F.3d 881 (D.C. Cir. 1998)</w:t>
      </w:r>
      <w:r>
        <w:rPr>
          <w:noProof/>
        </w:rPr>
        <w:tab/>
        <w:t>13, 14, 15</w:t>
      </w:r>
    </w:p>
    <w:p w14:paraId="14B40006" w14:textId="2F603464" w:rsidR="00752D51" w:rsidRDefault="00752D51">
      <w:pPr>
        <w:pStyle w:val="TableofAuthorities"/>
        <w:tabs>
          <w:tab w:val="right" w:leader="dot" w:pos="9350"/>
        </w:tabs>
        <w:rPr>
          <w:noProof/>
        </w:rPr>
      </w:pPr>
      <w:r w:rsidRPr="00D36A32">
        <w:rPr>
          <w:i/>
          <w:iCs/>
          <w:noProof/>
        </w:rPr>
        <w:t>In re Sealed Case</w:t>
      </w:r>
      <w:r>
        <w:rPr>
          <w:noProof/>
        </w:rPr>
        <w:t xml:space="preserve">, </w:t>
      </w:r>
      <w:r>
        <w:rPr>
          <w:noProof/>
        </w:rPr>
        <w:br/>
        <w:t>676 F.2d 793 (D.C. Cir. 1982)</w:t>
      </w:r>
      <w:r>
        <w:rPr>
          <w:noProof/>
        </w:rPr>
        <w:tab/>
        <w:t>17</w:t>
      </w:r>
    </w:p>
    <w:p w14:paraId="587192B0" w14:textId="18C69E5F" w:rsidR="00752D51" w:rsidRDefault="00752D51">
      <w:pPr>
        <w:pStyle w:val="TableofAuthorities"/>
        <w:tabs>
          <w:tab w:val="right" w:leader="dot" w:pos="9350"/>
        </w:tabs>
        <w:rPr>
          <w:noProof/>
        </w:rPr>
      </w:pPr>
      <w:r w:rsidRPr="00D36A32">
        <w:rPr>
          <w:i/>
          <w:iCs/>
          <w:noProof/>
        </w:rPr>
        <w:t>In re Search Warrant Issued June 13, 2019</w:t>
      </w:r>
      <w:r>
        <w:rPr>
          <w:noProof/>
        </w:rPr>
        <w:t xml:space="preserve">, </w:t>
      </w:r>
      <w:r>
        <w:rPr>
          <w:noProof/>
        </w:rPr>
        <w:br/>
        <w:t>942 F.3d 159 (4th Cir. 2019)</w:t>
      </w:r>
      <w:r>
        <w:rPr>
          <w:noProof/>
        </w:rPr>
        <w:tab/>
        <w:t>17, 18</w:t>
      </w:r>
    </w:p>
    <w:p w14:paraId="18153FBC" w14:textId="16B66547" w:rsidR="00752D51" w:rsidRDefault="00752D51">
      <w:pPr>
        <w:pStyle w:val="TableofAuthorities"/>
        <w:tabs>
          <w:tab w:val="right" w:leader="dot" w:pos="9350"/>
        </w:tabs>
        <w:rPr>
          <w:noProof/>
        </w:rPr>
      </w:pPr>
      <w:r w:rsidRPr="00D36A32">
        <w:rPr>
          <w:i/>
          <w:iCs/>
          <w:noProof/>
        </w:rPr>
        <w:t>Jama v. Immigr. &amp; Customs Enf’t</w:t>
      </w:r>
      <w:r>
        <w:rPr>
          <w:noProof/>
        </w:rPr>
        <w:t xml:space="preserve">, </w:t>
      </w:r>
      <w:r>
        <w:rPr>
          <w:noProof/>
        </w:rPr>
        <w:br/>
        <w:t>543 U.S. 335 (2005)</w:t>
      </w:r>
      <w:r>
        <w:rPr>
          <w:noProof/>
        </w:rPr>
        <w:tab/>
        <w:t>17</w:t>
      </w:r>
    </w:p>
    <w:p w14:paraId="023AC1F4" w14:textId="6E580232" w:rsidR="00752D51" w:rsidRDefault="00752D51">
      <w:pPr>
        <w:pStyle w:val="TableofAuthorities"/>
        <w:tabs>
          <w:tab w:val="right" w:leader="dot" w:pos="9350"/>
        </w:tabs>
        <w:rPr>
          <w:noProof/>
        </w:rPr>
      </w:pPr>
      <w:r w:rsidRPr="00D36A32">
        <w:rPr>
          <w:i/>
          <w:iCs/>
          <w:noProof/>
        </w:rPr>
        <w:lastRenderedPageBreak/>
        <w:t>Kastigar v. United States</w:t>
      </w:r>
      <w:r>
        <w:rPr>
          <w:noProof/>
        </w:rPr>
        <w:t xml:space="preserve">, </w:t>
      </w:r>
      <w:r>
        <w:rPr>
          <w:noProof/>
        </w:rPr>
        <w:br/>
        <w:t>406 U.S. 441 (1972)</w:t>
      </w:r>
      <w:r>
        <w:rPr>
          <w:noProof/>
        </w:rPr>
        <w:tab/>
        <w:t>passim</w:t>
      </w:r>
    </w:p>
    <w:p w14:paraId="232F5907" w14:textId="41593B37" w:rsidR="00752D51" w:rsidRDefault="00752D51">
      <w:pPr>
        <w:pStyle w:val="TableofAuthorities"/>
        <w:tabs>
          <w:tab w:val="right" w:leader="dot" w:pos="9350"/>
        </w:tabs>
        <w:rPr>
          <w:noProof/>
        </w:rPr>
      </w:pPr>
      <w:r w:rsidRPr="00D36A32">
        <w:rPr>
          <w:i/>
          <w:iCs/>
          <w:noProof/>
        </w:rPr>
        <w:t>Marin v. Bally’s Park Place Hotel &amp; Casino</w:t>
      </w:r>
      <w:r>
        <w:rPr>
          <w:noProof/>
        </w:rPr>
        <w:t xml:space="preserve">, </w:t>
      </w:r>
      <w:r>
        <w:rPr>
          <w:noProof/>
        </w:rPr>
        <w:br/>
        <w:t>983 F.2d 1252 (3d Cir. 1993)</w:t>
      </w:r>
      <w:r>
        <w:rPr>
          <w:noProof/>
        </w:rPr>
        <w:tab/>
        <w:t>13</w:t>
      </w:r>
    </w:p>
    <w:p w14:paraId="6A771B8A" w14:textId="17417AFC" w:rsidR="00752D51" w:rsidRDefault="00752D51">
      <w:pPr>
        <w:pStyle w:val="TableofAuthorities"/>
        <w:tabs>
          <w:tab w:val="right" w:leader="dot" w:pos="9350"/>
        </w:tabs>
        <w:rPr>
          <w:noProof/>
        </w:rPr>
      </w:pPr>
      <w:r w:rsidRPr="00D36A32">
        <w:rPr>
          <w:i/>
          <w:iCs/>
          <w:noProof/>
        </w:rPr>
        <w:t>Mathews v. Eldridge</w:t>
      </w:r>
      <w:r>
        <w:rPr>
          <w:noProof/>
        </w:rPr>
        <w:t xml:space="preserve">, </w:t>
      </w:r>
      <w:r>
        <w:rPr>
          <w:noProof/>
        </w:rPr>
        <w:br/>
        <w:t>424 U.S. 319 (1976)</w:t>
      </w:r>
      <w:r>
        <w:rPr>
          <w:noProof/>
        </w:rPr>
        <w:tab/>
        <w:t>5</w:t>
      </w:r>
    </w:p>
    <w:p w14:paraId="76685E3D" w14:textId="4617CC65" w:rsidR="00752D51" w:rsidRDefault="00752D51">
      <w:pPr>
        <w:pStyle w:val="TableofAuthorities"/>
        <w:tabs>
          <w:tab w:val="right" w:leader="dot" w:pos="9350"/>
        </w:tabs>
        <w:rPr>
          <w:noProof/>
        </w:rPr>
      </w:pPr>
      <w:r w:rsidRPr="00D36A32">
        <w:rPr>
          <w:i/>
          <w:iCs/>
          <w:noProof/>
        </w:rPr>
        <w:t>Nat’l Union Fire Ins. Co. of Pittsburg v. Murray Sheet Metal Co.</w:t>
      </w:r>
      <w:r>
        <w:rPr>
          <w:noProof/>
        </w:rPr>
        <w:t xml:space="preserve">, </w:t>
      </w:r>
      <w:r>
        <w:rPr>
          <w:noProof/>
        </w:rPr>
        <w:br/>
        <w:t>967 F.2d 980 (4th Cir. 1992)</w:t>
      </w:r>
      <w:r>
        <w:rPr>
          <w:noProof/>
        </w:rPr>
        <w:tab/>
        <w:t>13, 14, 15</w:t>
      </w:r>
    </w:p>
    <w:p w14:paraId="1CF43396" w14:textId="1A091709" w:rsidR="00752D51" w:rsidRDefault="00752D51">
      <w:pPr>
        <w:pStyle w:val="TableofAuthorities"/>
        <w:tabs>
          <w:tab w:val="right" w:leader="dot" w:pos="9350"/>
        </w:tabs>
        <w:rPr>
          <w:noProof/>
        </w:rPr>
      </w:pPr>
      <w:r w:rsidRPr="00D36A32">
        <w:rPr>
          <w:i/>
          <w:iCs/>
          <w:noProof/>
        </w:rPr>
        <w:t>Sandra T.E. v. S. Berwyn Sch. Dist. 100</w:t>
      </w:r>
      <w:r>
        <w:rPr>
          <w:noProof/>
        </w:rPr>
        <w:t>,</w:t>
      </w:r>
      <w:r w:rsidRPr="00D36A32">
        <w:rPr>
          <w:i/>
          <w:iCs/>
          <w:noProof/>
        </w:rPr>
        <w:t xml:space="preserve"> </w:t>
      </w:r>
      <w:r>
        <w:rPr>
          <w:noProof/>
        </w:rPr>
        <w:br/>
        <w:t>600 F.3d 612 (7th Cir. 2010)</w:t>
      </w:r>
      <w:r>
        <w:rPr>
          <w:noProof/>
        </w:rPr>
        <w:tab/>
        <w:t>18</w:t>
      </w:r>
    </w:p>
    <w:p w14:paraId="5F6BCAD8" w14:textId="69C56DAA" w:rsidR="00752D51" w:rsidRDefault="00752D51">
      <w:pPr>
        <w:pStyle w:val="TableofAuthorities"/>
        <w:tabs>
          <w:tab w:val="right" w:leader="dot" w:pos="9350"/>
        </w:tabs>
        <w:rPr>
          <w:noProof/>
        </w:rPr>
      </w:pPr>
      <w:r w:rsidRPr="00D36A32">
        <w:rPr>
          <w:i/>
          <w:iCs/>
          <w:noProof/>
        </w:rPr>
        <w:t>Santosky v. Kramer</w:t>
      </w:r>
      <w:r>
        <w:rPr>
          <w:noProof/>
        </w:rPr>
        <w:t xml:space="preserve">, </w:t>
      </w:r>
      <w:r>
        <w:rPr>
          <w:noProof/>
        </w:rPr>
        <w:br/>
        <w:t>455 U.S. 745 (1982)</w:t>
      </w:r>
      <w:r>
        <w:rPr>
          <w:noProof/>
        </w:rPr>
        <w:tab/>
        <w:t>5</w:t>
      </w:r>
    </w:p>
    <w:p w14:paraId="4551BA01" w14:textId="560CF1D7" w:rsidR="00752D51" w:rsidRDefault="00752D51">
      <w:pPr>
        <w:pStyle w:val="TableofAuthorities"/>
        <w:tabs>
          <w:tab w:val="right" w:leader="dot" w:pos="9350"/>
        </w:tabs>
        <w:rPr>
          <w:noProof/>
        </w:rPr>
      </w:pPr>
      <w:r w:rsidRPr="00D36A32">
        <w:rPr>
          <w:i/>
          <w:iCs/>
          <w:noProof/>
        </w:rPr>
        <w:t>United Kingdom v. United States</w:t>
      </w:r>
      <w:r>
        <w:rPr>
          <w:noProof/>
        </w:rPr>
        <w:t xml:space="preserve">, </w:t>
      </w:r>
      <w:r>
        <w:rPr>
          <w:noProof/>
        </w:rPr>
        <w:br/>
        <w:t>238 F.3d 1312 (11th Cir. 2001)</w:t>
      </w:r>
      <w:r>
        <w:rPr>
          <w:noProof/>
        </w:rPr>
        <w:tab/>
        <w:t>17</w:t>
      </w:r>
    </w:p>
    <w:p w14:paraId="6B5983AA" w14:textId="49A6B233" w:rsidR="00752D51" w:rsidRDefault="00752D51">
      <w:pPr>
        <w:pStyle w:val="TableofAuthorities"/>
        <w:tabs>
          <w:tab w:val="right" w:leader="dot" w:pos="9350"/>
        </w:tabs>
        <w:rPr>
          <w:noProof/>
        </w:rPr>
      </w:pPr>
      <w:r w:rsidRPr="00D36A32">
        <w:rPr>
          <w:i/>
          <w:iCs/>
          <w:noProof/>
        </w:rPr>
        <w:t>United States v. Adlman (Adlman I)</w:t>
      </w:r>
      <w:r>
        <w:rPr>
          <w:noProof/>
        </w:rPr>
        <w:t xml:space="preserve">, </w:t>
      </w:r>
      <w:r>
        <w:rPr>
          <w:noProof/>
        </w:rPr>
        <w:br/>
        <w:t>68 F.3d 1495 (2d Cir. 1995)</w:t>
      </w:r>
      <w:r>
        <w:rPr>
          <w:noProof/>
        </w:rPr>
        <w:tab/>
        <w:t>14, 15</w:t>
      </w:r>
    </w:p>
    <w:p w14:paraId="641CFFA6" w14:textId="1B0F3A5A" w:rsidR="00752D51" w:rsidRDefault="00752D51">
      <w:pPr>
        <w:pStyle w:val="TableofAuthorities"/>
        <w:tabs>
          <w:tab w:val="right" w:leader="dot" w:pos="9350"/>
        </w:tabs>
        <w:rPr>
          <w:noProof/>
        </w:rPr>
      </w:pPr>
      <w:r w:rsidRPr="00D36A32">
        <w:rPr>
          <w:i/>
          <w:iCs/>
          <w:noProof/>
        </w:rPr>
        <w:t>United States v. Byrd</w:t>
      </w:r>
      <w:r>
        <w:rPr>
          <w:noProof/>
        </w:rPr>
        <w:t xml:space="preserve">, </w:t>
      </w:r>
      <w:r>
        <w:rPr>
          <w:noProof/>
        </w:rPr>
        <w:br/>
        <w:t>765 F.2d 1524 (11th Cir. 1985)</w:t>
      </w:r>
      <w:r>
        <w:rPr>
          <w:noProof/>
        </w:rPr>
        <w:tab/>
        <w:t>6</w:t>
      </w:r>
    </w:p>
    <w:p w14:paraId="47887CEA" w14:textId="323E50C9" w:rsidR="00752D51" w:rsidRDefault="00752D51">
      <w:pPr>
        <w:pStyle w:val="TableofAuthorities"/>
        <w:tabs>
          <w:tab w:val="right" w:leader="dot" w:pos="9350"/>
        </w:tabs>
        <w:rPr>
          <w:noProof/>
        </w:rPr>
      </w:pPr>
      <w:r w:rsidRPr="00D36A32">
        <w:rPr>
          <w:i/>
          <w:iCs/>
          <w:noProof/>
        </w:rPr>
        <w:t>United States v. Hampton</w:t>
      </w:r>
      <w:r>
        <w:rPr>
          <w:noProof/>
        </w:rPr>
        <w:t xml:space="preserve">, </w:t>
      </w:r>
      <w:r>
        <w:rPr>
          <w:noProof/>
        </w:rPr>
        <w:br/>
        <w:t>775 F.2d 1479 (11th Cir. 1985)</w:t>
      </w:r>
      <w:r>
        <w:rPr>
          <w:noProof/>
        </w:rPr>
        <w:tab/>
        <w:t>6, 7, 8, 9</w:t>
      </w:r>
    </w:p>
    <w:p w14:paraId="5A2CEF47" w14:textId="1BADEA71" w:rsidR="00752D51" w:rsidRDefault="00752D51">
      <w:pPr>
        <w:pStyle w:val="TableofAuthorities"/>
        <w:tabs>
          <w:tab w:val="right" w:leader="dot" w:pos="9350"/>
        </w:tabs>
        <w:rPr>
          <w:noProof/>
        </w:rPr>
      </w:pPr>
      <w:r w:rsidRPr="00D36A32">
        <w:rPr>
          <w:i/>
          <w:iCs/>
          <w:noProof/>
        </w:rPr>
        <w:t>United States v. Hossbach</w:t>
      </w:r>
      <w:r>
        <w:rPr>
          <w:noProof/>
        </w:rPr>
        <w:t xml:space="preserve">, </w:t>
      </w:r>
      <w:r>
        <w:rPr>
          <w:noProof/>
        </w:rPr>
        <w:br/>
        <w:t>518 F. Supp. 759 (E.D. Pa. 1980)</w:t>
      </w:r>
      <w:r>
        <w:rPr>
          <w:noProof/>
        </w:rPr>
        <w:tab/>
        <w:t>5</w:t>
      </w:r>
    </w:p>
    <w:p w14:paraId="08E46192" w14:textId="7A07A619" w:rsidR="00752D51" w:rsidRDefault="00752D51">
      <w:pPr>
        <w:pStyle w:val="TableofAuthorities"/>
        <w:tabs>
          <w:tab w:val="right" w:leader="dot" w:pos="9350"/>
        </w:tabs>
        <w:rPr>
          <w:noProof/>
        </w:rPr>
      </w:pPr>
      <w:r w:rsidRPr="00D36A32">
        <w:rPr>
          <w:i/>
          <w:iCs/>
          <w:noProof/>
        </w:rPr>
        <w:t>United States v. Hubbell</w:t>
      </w:r>
      <w:r>
        <w:rPr>
          <w:noProof/>
        </w:rPr>
        <w:t xml:space="preserve">, </w:t>
      </w:r>
      <w:r>
        <w:rPr>
          <w:noProof/>
        </w:rPr>
        <w:br/>
        <w:t>530 U.S. 27 (2000)</w:t>
      </w:r>
      <w:r>
        <w:rPr>
          <w:noProof/>
        </w:rPr>
        <w:tab/>
        <w:t>7, 8, 9</w:t>
      </w:r>
    </w:p>
    <w:p w14:paraId="3C7FCB4C" w14:textId="127BFE01" w:rsidR="00752D51" w:rsidRDefault="00752D51">
      <w:pPr>
        <w:pStyle w:val="TableofAuthorities"/>
        <w:tabs>
          <w:tab w:val="right" w:leader="dot" w:pos="9350"/>
        </w:tabs>
        <w:rPr>
          <w:noProof/>
        </w:rPr>
      </w:pPr>
      <w:r w:rsidRPr="00D36A32">
        <w:rPr>
          <w:i/>
          <w:iCs/>
          <w:noProof/>
        </w:rPr>
        <w:t>United States v. Jimenez</w:t>
      </w:r>
      <w:r>
        <w:rPr>
          <w:noProof/>
        </w:rPr>
        <w:t xml:space="preserve">, </w:t>
      </w:r>
      <w:r>
        <w:rPr>
          <w:noProof/>
        </w:rPr>
        <w:br/>
        <w:t>256 F.3d 330 (5th Cir. 2001)</w:t>
      </w:r>
      <w:r>
        <w:rPr>
          <w:noProof/>
        </w:rPr>
        <w:tab/>
        <w:t>6</w:t>
      </w:r>
    </w:p>
    <w:p w14:paraId="0DA6F15D" w14:textId="39CC15A6" w:rsidR="00752D51" w:rsidRDefault="00752D51">
      <w:pPr>
        <w:pStyle w:val="TableofAuthorities"/>
        <w:tabs>
          <w:tab w:val="right" w:leader="dot" w:pos="9350"/>
        </w:tabs>
        <w:rPr>
          <w:noProof/>
        </w:rPr>
      </w:pPr>
      <w:r w:rsidRPr="00D36A32">
        <w:rPr>
          <w:i/>
          <w:iCs/>
          <w:noProof/>
        </w:rPr>
        <w:t>United States v. Montoya</w:t>
      </w:r>
      <w:r>
        <w:rPr>
          <w:noProof/>
        </w:rPr>
        <w:t xml:space="preserve">, </w:t>
      </w:r>
      <w:r>
        <w:rPr>
          <w:noProof/>
        </w:rPr>
        <w:br/>
        <w:t>45 F.3d 1286 (9th Cir. 1995)</w:t>
      </w:r>
      <w:r>
        <w:rPr>
          <w:noProof/>
        </w:rPr>
        <w:tab/>
        <w:t>6</w:t>
      </w:r>
    </w:p>
    <w:p w14:paraId="58862C97" w14:textId="65675E5D" w:rsidR="00752D51" w:rsidRDefault="00752D51">
      <w:pPr>
        <w:pStyle w:val="TableofAuthorities"/>
        <w:tabs>
          <w:tab w:val="right" w:leader="dot" w:pos="9350"/>
        </w:tabs>
        <w:rPr>
          <w:noProof/>
        </w:rPr>
      </w:pPr>
      <w:r w:rsidRPr="00D36A32">
        <w:rPr>
          <w:i/>
          <w:iCs/>
          <w:noProof/>
        </w:rPr>
        <w:lastRenderedPageBreak/>
        <w:t>United States v. Nobles</w:t>
      </w:r>
      <w:r>
        <w:rPr>
          <w:noProof/>
        </w:rPr>
        <w:t xml:space="preserve">, </w:t>
      </w:r>
      <w:r>
        <w:rPr>
          <w:noProof/>
        </w:rPr>
        <w:br/>
        <w:t>422 U.S. 225 (1975)</w:t>
      </w:r>
      <w:r>
        <w:rPr>
          <w:noProof/>
        </w:rPr>
        <w:tab/>
        <w:t>12, 13, 16</w:t>
      </w:r>
    </w:p>
    <w:p w14:paraId="2E69725A" w14:textId="499C068D" w:rsidR="00752D51" w:rsidRDefault="00752D51">
      <w:pPr>
        <w:pStyle w:val="TableofAuthorities"/>
        <w:tabs>
          <w:tab w:val="right" w:leader="dot" w:pos="9350"/>
        </w:tabs>
        <w:rPr>
          <w:noProof/>
        </w:rPr>
      </w:pPr>
      <w:r w:rsidRPr="00D36A32">
        <w:rPr>
          <w:i/>
          <w:iCs/>
          <w:noProof/>
        </w:rPr>
        <w:t>United States v. North</w:t>
      </w:r>
      <w:r>
        <w:rPr>
          <w:noProof/>
        </w:rPr>
        <w:t xml:space="preserve">, </w:t>
      </w:r>
      <w:r>
        <w:rPr>
          <w:noProof/>
        </w:rPr>
        <w:br/>
        <w:t>920 F.2d 940 (D.C. Cir. 1990)</w:t>
      </w:r>
      <w:r>
        <w:rPr>
          <w:noProof/>
        </w:rPr>
        <w:tab/>
        <w:t>7, 10, 11</w:t>
      </w:r>
    </w:p>
    <w:p w14:paraId="1E54A3D7" w14:textId="01B4373A" w:rsidR="00752D51" w:rsidRDefault="00752D51">
      <w:pPr>
        <w:pStyle w:val="TableofAuthorities"/>
        <w:tabs>
          <w:tab w:val="right" w:leader="dot" w:pos="9350"/>
        </w:tabs>
        <w:rPr>
          <w:noProof/>
        </w:rPr>
      </w:pPr>
      <w:r w:rsidRPr="00D36A32">
        <w:rPr>
          <w:i/>
          <w:iCs/>
          <w:noProof/>
        </w:rPr>
        <w:t>United States v. Roxworthy</w:t>
      </w:r>
      <w:r>
        <w:rPr>
          <w:noProof/>
        </w:rPr>
        <w:t xml:space="preserve">, </w:t>
      </w:r>
      <w:r>
        <w:rPr>
          <w:noProof/>
        </w:rPr>
        <w:br/>
        <w:t>457 F.3d 590 (6th Cir. 2006)</w:t>
      </w:r>
      <w:r>
        <w:rPr>
          <w:noProof/>
        </w:rPr>
        <w:tab/>
        <w:t>13, 14, 15</w:t>
      </w:r>
    </w:p>
    <w:p w14:paraId="301E2AF9" w14:textId="79B7640A" w:rsidR="00752D51" w:rsidRDefault="00752D51">
      <w:pPr>
        <w:pStyle w:val="TableofAuthorities"/>
        <w:tabs>
          <w:tab w:val="right" w:leader="dot" w:pos="9350"/>
        </w:tabs>
        <w:rPr>
          <w:noProof/>
        </w:rPr>
      </w:pPr>
      <w:r w:rsidRPr="00D36A32">
        <w:rPr>
          <w:i/>
          <w:iCs/>
          <w:noProof/>
        </w:rPr>
        <w:t>United States v. Schmidgall</w:t>
      </w:r>
      <w:r>
        <w:rPr>
          <w:noProof/>
        </w:rPr>
        <w:t xml:space="preserve">, </w:t>
      </w:r>
      <w:r>
        <w:rPr>
          <w:noProof/>
        </w:rPr>
        <w:br/>
        <w:t>25 F.3d 1523 (11th Cir. 1994)</w:t>
      </w:r>
      <w:r>
        <w:rPr>
          <w:noProof/>
        </w:rPr>
        <w:tab/>
        <w:t>10, 11</w:t>
      </w:r>
    </w:p>
    <w:p w14:paraId="10637152" w14:textId="0B85C7C7" w:rsidR="00752D51" w:rsidRDefault="00752D51">
      <w:pPr>
        <w:pStyle w:val="TableofAuthorities"/>
        <w:tabs>
          <w:tab w:val="right" w:leader="dot" w:pos="9350"/>
        </w:tabs>
        <w:rPr>
          <w:noProof/>
        </w:rPr>
      </w:pPr>
      <w:r w:rsidRPr="00D36A32">
        <w:rPr>
          <w:i/>
          <w:iCs/>
          <w:noProof/>
        </w:rPr>
        <w:t>United States v. Smith</w:t>
      </w:r>
      <w:r>
        <w:rPr>
          <w:noProof/>
        </w:rPr>
        <w:t xml:space="preserve">, </w:t>
      </w:r>
      <w:r>
        <w:rPr>
          <w:noProof/>
        </w:rPr>
        <w:br/>
        <w:t>580 F. Supp. 1418 (D.N.J. 1984)</w:t>
      </w:r>
      <w:r>
        <w:rPr>
          <w:noProof/>
        </w:rPr>
        <w:tab/>
        <w:t>5</w:t>
      </w:r>
    </w:p>
    <w:p w14:paraId="51FF089E" w14:textId="264DD62A" w:rsidR="00752D51" w:rsidRDefault="00752D51">
      <w:pPr>
        <w:pStyle w:val="TableofAuthorities"/>
        <w:tabs>
          <w:tab w:val="right" w:leader="dot" w:pos="9350"/>
        </w:tabs>
        <w:rPr>
          <w:noProof/>
        </w:rPr>
      </w:pPr>
      <w:r w:rsidRPr="00D36A32">
        <w:rPr>
          <w:i/>
          <w:iCs/>
          <w:noProof/>
        </w:rPr>
        <w:t>Upjohn Co. v. United States</w:t>
      </w:r>
      <w:r>
        <w:rPr>
          <w:noProof/>
        </w:rPr>
        <w:t xml:space="preserve">, </w:t>
      </w:r>
      <w:r>
        <w:rPr>
          <w:noProof/>
        </w:rPr>
        <w:br/>
        <w:t>449 U.S. 383 (1981)</w:t>
      </w:r>
      <w:r>
        <w:rPr>
          <w:noProof/>
        </w:rPr>
        <w:tab/>
        <w:t>18, 19, 21</w:t>
      </w:r>
    </w:p>
    <w:p w14:paraId="7ACA640E" w14:textId="3FFA6738" w:rsidR="00752D51" w:rsidRDefault="00752D51">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"2" \p </w:instrText>
      </w:r>
      <w:r>
        <w:fldChar w:fldCharType="separate"/>
      </w:r>
      <w:r>
        <w:rPr>
          <w:noProof/>
        </w:rPr>
        <w:t>Statutes</w:t>
      </w:r>
    </w:p>
    <w:p w14:paraId="416D69B1" w14:textId="77777777" w:rsidR="00752D51" w:rsidRDefault="00752D51">
      <w:pPr>
        <w:pStyle w:val="TableofAuthorities"/>
        <w:tabs>
          <w:tab w:val="right" w:leader="dot" w:pos="9350"/>
        </w:tabs>
        <w:rPr>
          <w:noProof/>
        </w:rPr>
      </w:pPr>
      <w:r>
        <w:rPr>
          <w:noProof/>
        </w:rPr>
        <w:t>18 U.S.C. § 6002</w:t>
      </w:r>
      <w:r>
        <w:rPr>
          <w:noProof/>
        </w:rPr>
        <w:tab/>
        <w:t>7</w:t>
      </w:r>
    </w:p>
    <w:p w14:paraId="047FF9A1" w14:textId="2E28F114" w:rsidR="00752D51" w:rsidRPr="00227D4C" w:rsidRDefault="00752D51">
      <w:pPr>
        <w:pStyle w:val="TOAHeading"/>
        <w:tabs>
          <w:tab w:val="right" w:leader="dot" w:pos="9350"/>
        </w:tabs>
        <w:rPr>
          <w:b w:val="0"/>
          <w:bCs w:val="0"/>
        </w:rPr>
      </w:pPr>
      <w:r>
        <w:fldChar w:fldCharType="end"/>
      </w:r>
      <w:r>
        <w:fldChar w:fldCharType="begin"/>
      </w:r>
      <w:r>
        <w:instrText xml:space="preserve"> TOA \h \c "4" \p </w:instrText>
      </w:r>
      <w:r>
        <w:fldChar w:fldCharType="separate"/>
      </w:r>
      <w:r>
        <w:rPr>
          <w:noProof/>
        </w:rPr>
        <w:t>Rules</w:t>
      </w:r>
    </w:p>
    <w:p w14:paraId="3C983EB3" w14:textId="77777777" w:rsidR="00752D51" w:rsidRDefault="00752D51">
      <w:pPr>
        <w:pStyle w:val="TableofAuthorities"/>
        <w:tabs>
          <w:tab w:val="right" w:leader="dot" w:pos="9350"/>
        </w:tabs>
        <w:rPr>
          <w:noProof/>
        </w:rPr>
      </w:pPr>
      <w:r w:rsidRPr="00211CF9">
        <w:rPr>
          <w:smallCaps/>
          <w:noProof/>
        </w:rPr>
        <w:t>Fed. R. Civ. P</w:t>
      </w:r>
      <w:r>
        <w:rPr>
          <w:noProof/>
        </w:rPr>
        <w:t>. 26</w:t>
      </w:r>
      <w:r>
        <w:rPr>
          <w:noProof/>
        </w:rPr>
        <w:tab/>
        <w:t>16</w:t>
      </w:r>
    </w:p>
    <w:p w14:paraId="37AA2F1F" w14:textId="77777777" w:rsidR="00752D51" w:rsidRDefault="00752D51">
      <w:pPr>
        <w:pStyle w:val="TableofAuthorities"/>
        <w:tabs>
          <w:tab w:val="right" w:leader="dot" w:pos="9350"/>
        </w:tabs>
        <w:rPr>
          <w:noProof/>
        </w:rPr>
      </w:pPr>
      <w:r w:rsidRPr="00211CF9">
        <w:rPr>
          <w:rFonts w:cs="Times New Roman (Body CS)"/>
          <w:smallCaps/>
          <w:noProof/>
        </w:rPr>
        <w:t>Fed. R. Crim. P.</w:t>
      </w:r>
      <w:r>
        <w:rPr>
          <w:noProof/>
        </w:rPr>
        <w:t xml:space="preserve"> 16</w:t>
      </w:r>
      <w:r>
        <w:rPr>
          <w:noProof/>
        </w:rPr>
        <w:tab/>
        <w:t>12, 16</w:t>
      </w:r>
    </w:p>
    <w:p w14:paraId="16DE86CA" w14:textId="77777777" w:rsidR="00752D51" w:rsidRDefault="00752D51">
      <w:pPr>
        <w:pStyle w:val="TableofAuthorities"/>
        <w:tabs>
          <w:tab w:val="right" w:leader="dot" w:pos="9350"/>
        </w:tabs>
        <w:rPr>
          <w:noProof/>
        </w:rPr>
      </w:pPr>
      <w:r w:rsidRPr="00211CF9">
        <w:rPr>
          <w:rFonts w:cs="Times New Roman (Body CS)"/>
          <w:smallCaps/>
          <w:noProof/>
        </w:rPr>
        <w:t>Fed. R. Evid.</w:t>
      </w:r>
      <w:r>
        <w:rPr>
          <w:noProof/>
        </w:rPr>
        <w:t xml:space="preserve"> 502</w:t>
      </w:r>
      <w:r>
        <w:rPr>
          <w:noProof/>
        </w:rPr>
        <w:tab/>
        <w:t>12</w:t>
      </w:r>
    </w:p>
    <w:p w14:paraId="43663F83" w14:textId="77777777" w:rsidR="00752D51" w:rsidRDefault="00752D51">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"7" \p </w:instrText>
      </w:r>
      <w:r>
        <w:fldChar w:fldCharType="separate"/>
      </w:r>
      <w:r>
        <w:rPr>
          <w:noProof/>
        </w:rPr>
        <w:t>Constitutional Provisions</w:t>
      </w:r>
    </w:p>
    <w:p w14:paraId="449F5570" w14:textId="77777777" w:rsidR="00752D51" w:rsidRDefault="00752D51">
      <w:pPr>
        <w:pStyle w:val="TableofAuthorities"/>
        <w:tabs>
          <w:tab w:val="right" w:leader="dot" w:pos="9350"/>
        </w:tabs>
        <w:rPr>
          <w:noProof/>
        </w:rPr>
      </w:pPr>
      <w:r>
        <w:rPr>
          <w:noProof/>
        </w:rPr>
        <w:t xml:space="preserve">U.S. </w:t>
      </w:r>
      <w:r w:rsidRPr="00881017">
        <w:rPr>
          <w:smallCaps/>
          <w:noProof/>
        </w:rPr>
        <w:t>Const</w:t>
      </w:r>
      <w:r>
        <w:rPr>
          <w:noProof/>
        </w:rPr>
        <w:t>. amend. V</w:t>
      </w:r>
      <w:r>
        <w:rPr>
          <w:noProof/>
        </w:rPr>
        <w:tab/>
        <w:t>3, 6</w:t>
      </w:r>
    </w:p>
    <w:p w14:paraId="4A87572B" w14:textId="73B5467B" w:rsidR="00227D4C" w:rsidRDefault="00752D51" w:rsidP="00227D4C">
      <w:pPr>
        <w:pStyle w:val="TOAHeading"/>
        <w:tabs>
          <w:tab w:val="right" w:leader="dot" w:pos="9350"/>
        </w:tabs>
        <w:rPr>
          <w:rFonts w:asciiTheme="minorHAnsi" w:eastAsiaTheme="minorEastAsia" w:hAnsiTheme="minorHAnsi" w:cstheme="minorBidi"/>
          <w:b w:val="0"/>
          <w:bCs w:val="0"/>
          <w:noProof/>
        </w:rPr>
      </w:pPr>
      <w:r>
        <w:fldChar w:fldCharType="end"/>
      </w:r>
      <w:r w:rsidR="00227D4C">
        <w:rPr>
          <w:noProof/>
        </w:rPr>
        <w:t>Other Authorities</w:t>
      </w:r>
    </w:p>
    <w:p w14:paraId="4527E290" w14:textId="77777777" w:rsidR="00227D4C" w:rsidRDefault="00227D4C" w:rsidP="00227D4C">
      <w:pPr>
        <w:pStyle w:val="TableofAuthorities"/>
        <w:tabs>
          <w:tab w:val="right" w:leader="dot" w:pos="9350"/>
        </w:tabs>
        <w:rPr>
          <w:noProof/>
        </w:rPr>
      </w:pPr>
      <w:r w:rsidRPr="007D450D">
        <w:rPr>
          <w:smallCaps/>
          <w:noProof/>
        </w:rPr>
        <w:t>U.S. Dep’t of Just., Criminal Resource Manual</w:t>
      </w:r>
      <w:r>
        <w:rPr>
          <w:noProof/>
        </w:rPr>
        <w:t xml:space="preserve"> (2018)</w:t>
      </w:r>
      <w:r>
        <w:rPr>
          <w:noProof/>
        </w:rPr>
        <w:tab/>
        <w:t>8, 9</w:t>
      </w:r>
    </w:p>
    <w:p w14:paraId="2C0ED9B1" w14:textId="262B9544" w:rsidR="00301551" w:rsidRDefault="00301551" w:rsidP="00301551">
      <w:pPr>
        <w:pStyle w:val="BodyTextFirstIndent"/>
      </w:pPr>
      <w:r>
        <w:br w:type="page"/>
      </w:r>
    </w:p>
    <w:p w14:paraId="488DCBFC" w14:textId="77777777" w:rsidR="00301551" w:rsidRDefault="00301551" w:rsidP="001A75D3">
      <w:pPr>
        <w:pStyle w:val="Heading1"/>
        <w:rPr>
          <w:rFonts w:eastAsia="Times New Roman"/>
        </w:rPr>
        <w:sectPr w:rsidR="00301551" w:rsidSect="00301551">
          <w:pgSz w:w="12240" w:h="15840"/>
          <w:pgMar w:top="1440" w:right="1440" w:bottom="1440" w:left="1440" w:header="720" w:footer="720" w:gutter="0"/>
          <w:pgNumType w:fmt="lowerRoman" w:start="1"/>
          <w:cols w:space="720"/>
          <w:docGrid w:linePitch="381"/>
        </w:sectPr>
      </w:pPr>
      <w:bookmarkStart w:id="2" w:name="_Toc239118273"/>
    </w:p>
    <w:p w14:paraId="748A3491" w14:textId="6B7CC141" w:rsidR="00FE67E3" w:rsidRDefault="00FE67E3" w:rsidP="001A75D3">
      <w:pPr>
        <w:pStyle w:val="Heading1"/>
        <w:rPr>
          <w:rFonts w:eastAsia="Times New Roman"/>
        </w:rPr>
      </w:pPr>
      <w:r>
        <w:rPr>
          <w:rFonts w:eastAsia="Times New Roman"/>
        </w:rPr>
        <w:lastRenderedPageBreak/>
        <w:t>INtroduction</w:t>
      </w:r>
      <w:bookmarkEnd w:id="2"/>
    </w:p>
    <w:p w14:paraId="4DE33745" w14:textId="77777777" w:rsidR="00FD523B" w:rsidRPr="00FD523B" w:rsidRDefault="00FD523B" w:rsidP="00FD523B">
      <w:pPr>
        <w:pStyle w:val="BodyTextFirstIndent"/>
      </w:pPr>
      <w:r w:rsidRPr="00FD523B">
        <w:t>This Court should grant Emily Calloway’s Motion to Suppress because the Government obtained Kennedy Parker’s testimony and Exhibit 19 in violation of the Court’s order pursuant to 18 U.S.C. §§ 6002, 6003.</w:t>
      </w:r>
    </w:p>
    <w:p w14:paraId="20CC3F64" w14:textId="4518F3A6" w:rsidR="00FD523B" w:rsidRPr="00FD523B" w:rsidRDefault="00FD523B" w:rsidP="00FD523B">
      <w:pPr>
        <w:pStyle w:val="BodyTextFirstIndent"/>
      </w:pPr>
      <w:r w:rsidRPr="00FD523B">
        <w:t xml:space="preserve">This Court should grant Emily Calloway’s Motion to Quash the Government’s subpoena </w:t>
      </w:r>
      <w:r w:rsidRPr="002F7D04">
        <w:rPr>
          <w:i/>
          <w:iCs/>
        </w:rPr>
        <w:t>duces tecum</w:t>
      </w:r>
      <w:r w:rsidRPr="00FD523B">
        <w:t xml:space="preserve"> because Maddox Armana’s records of the Sierra Seton interview are protected under work-product privilege. </w:t>
      </w:r>
      <w:r w:rsidR="004F2BEB">
        <w:t>T</w:t>
      </w:r>
      <w:r w:rsidRPr="00FD523B">
        <w:t>he substantial need exception does not apply; but even if it did, Armana’s records are opinion work product, protected by nearly absolute immunity. Thus, Armana’s records are not discoverable.</w:t>
      </w:r>
    </w:p>
    <w:p w14:paraId="62604A25" w14:textId="51FCD768" w:rsidR="00FE67E3" w:rsidRDefault="00FE67E3" w:rsidP="001A75D3">
      <w:pPr>
        <w:pStyle w:val="Heading1"/>
      </w:pPr>
      <w:bookmarkStart w:id="3" w:name="_Toc239118274"/>
      <w:r>
        <w:t>Statement of Facts</w:t>
      </w:r>
      <w:bookmarkEnd w:id="3"/>
    </w:p>
    <w:p w14:paraId="7AE29A52" w14:textId="69480B55" w:rsidR="009E227A" w:rsidRPr="00507AAC" w:rsidRDefault="009E227A" w:rsidP="00507AAC">
      <w:pPr>
        <w:pStyle w:val="BodyTextFirstIndent"/>
      </w:pPr>
      <w:r w:rsidRPr="009E227A">
        <w:rPr>
          <w:b/>
          <w:bCs/>
          <w:i/>
          <w:iCs/>
        </w:rPr>
        <w:t xml:space="preserve">The Partnership. </w:t>
      </w:r>
      <w:r w:rsidRPr="009E227A">
        <w:t xml:space="preserve">In 2018, Emily Calloway, the heiress of Silver Palms (“SP”), entered into a fifty-fifty partnership with Saint Donovan. CF 9–10. Daniel Blake, SP’s accountant, discovered suspicious payments and began working with Assistant United States Attorney Tatum Sinclair in an investigation into SP and related companies, including Coastal Event Solutions, LLC (“Coastal”). CF 10. Blake told Sinclair he had a breakthrough in the </w:t>
      </w:r>
      <w:r w:rsidR="005B7305" w:rsidRPr="009E227A">
        <w:t>case but</w:t>
      </w:r>
      <w:r w:rsidRPr="009E227A">
        <w:t xml:space="preserve"> was killed days later before they </w:t>
      </w:r>
      <w:r w:rsidR="00507AAC">
        <w:t>could</w:t>
      </w:r>
      <w:r w:rsidRPr="009E227A">
        <w:t xml:space="preserve"> meet. CF 13. </w:t>
      </w:r>
      <w:r w:rsidR="00507AAC">
        <w:t xml:space="preserve">The Government identified the </w:t>
      </w:r>
      <w:r w:rsidR="002F7D04">
        <w:t>killer</w:t>
      </w:r>
      <w:r w:rsidR="00507AAC">
        <w:t xml:space="preserve"> as a hitman hired by Donovan through camera footage and bank records</w:t>
      </w:r>
      <w:r w:rsidRPr="009E227A">
        <w:t>. CF 14–15. </w:t>
      </w:r>
    </w:p>
    <w:p w14:paraId="624724D6" w14:textId="77777777" w:rsidR="009E227A" w:rsidRPr="009E227A" w:rsidRDefault="009E227A" w:rsidP="009E227A">
      <w:pPr>
        <w:pStyle w:val="BodyTextFirstIndent"/>
        <w:rPr>
          <w:sz w:val="24"/>
        </w:rPr>
      </w:pPr>
      <w:r w:rsidRPr="009E227A">
        <w:rPr>
          <w:b/>
          <w:bCs/>
          <w:i/>
          <w:iCs/>
        </w:rPr>
        <w:lastRenderedPageBreak/>
        <w:t xml:space="preserve">Government Desperation. </w:t>
      </w:r>
      <w:r w:rsidRPr="009E227A">
        <w:t>While the Government had a list of employees, investigators had no leads to explain the money scheme at Donovan’s trial. CF 21. Potential witnesses, Sierra Seton and Ky Chandler, left the country. CF 18. The Government was desperate and chose to compel Calloway’s testimony. CF 21, Ex. 12. The cost: Calloway “receive[d] use and derivative-use immunity,” barring the Government’s use of her testimony in subsequent prosecution. CF 21. Donovan was convicted of Killing of a Witness and Money Laundering Conspiracy on October 24, 2024. CF 32.</w:t>
      </w:r>
    </w:p>
    <w:p w14:paraId="5E5D18E8" w14:textId="65E21994" w:rsidR="009E227A" w:rsidRPr="009E227A" w:rsidRDefault="009E227A" w:rsidP="009E227A">
      <w:pPr>
        <w:pStyle w:val="BodyTextFirstIndent"/>
        <w:rPr>
          <w:sz w:val="24"/>
        </w:rPr>
      </w:pPr>
      <w:r w:rsidRPr="009E227A">
        <w:rPr>
          <w:b/>
          <w:bCs/>
          <w:i/>
          <w:iCs/>
        </w:rPr>
        <w:t xml:space="preserve">The Wall. </w:t>
      </w:r>
      <w:r w:rsidRPr="009E227A">
        <w:t>Following Calloway</w:t>
      </w:r>
      <w:r w:rsidR="004F2BEB">
        <w:t>’s</w:t>
      </w:r>
      <w:r w:rsidRPr="009E227A">
        <w:t xml:space="preserve"> immunity</w:t>
      </w:r>
      <w:r w:rsidR="004F2BEB">
        <w:t xml:space="preserve"> order</w:t>
      </w:r>
      <w:r w:rsidRPr="009E227A">
        <w:t>, the investigation was split into two teams: Team Donovan and Team Calloway. CF 22. This “wall” was erected on August 23, 2024. CF 30. Team Donovan, led by Sinclair, focused on Donovan</w:t>
      </w:r>
      <w:r w:rsidR="002F7D04">
        <w:t>’s prosecution</w:t>
      </w:r>
      <w:r w:rsidRPr="009E227A">
        <w:t xml:space="preserve"> and </w:t>
      </w:r>
      <w:r w:rsidR="002F7D04">
        <w:t>had</w:t>
      </w:r>
      <w:r w:rsidRPr="009E227A">
        <w:t xml:space="preserve"> access to Calloway’s compelled testimony. </w:t>
      </w:r>
      <w:r w:rsidRPr="009E227A">
        <w:rPr>
          <w:i/>
          <w:iCs/>
        </w:rPr>
        <w:t>Id.</w:t>
      </w:r>
      <w:r w:rsidRPr="009E227A">
        <w:t xml:space="preserve"> Team Calloway, led by Bryce Nolan, focused Calloway</w:t>
      </w:r>
      <w:r w:rsidR="002F7D04">
        <w:t>’s prosecution</w:t>
      </w:r>
      <w:r w:rsidRPr="009E227A">
        <w:t xml:space="preserve"> and </w:t>
      </w:r>
      <w:r w:rsidR="00507AAC">
        <w:t>supposedly did</w:t>
      </w:r>
      <w:r w:rsidRPr="009E227A">
        <w:t xml:space="preserve"> not have access to </w:t>
      </w:r>
      <w:r w:rsidR="002F7D04">
        <w:t>her</w:t>
      </w:r>
      <w:r w:rsidRPr="009E227A">
        <w:t xml:space="preserve"> immunized testimony. </w:t>
      </w:r>
      <w:r w:rsidRPr="009E227A">
        <w:rPr>
          <w:i/>
          <w:iCs/>
        </w:rPr>
        <w:t>Id.</w:t>
      </w:r>
      <w:r w:rsidRPr="009E227A">
        <w:t xml:space="preserve"> The investigative file was duplicated before the wall was erected, and the teams were to develop their files independently. CF 29. Despite this wall, the two investigative leads continued to hang out, grab lunch, and practice karaoke. CF 22. </w:t>
      </w:r>
    </w:p>
    <w:p w14:paraId="34915D17" w14:textId="22D40FC4" w:rsidR="009E227A" w:rsidRPr="009E227A" w:rsidRDefault="009E227A" w:rsidP="00DF4FB4">
      <w:pPr>
        <w:pStyle w:val="BodyTextFirstIndent"/>
        <w:rPr>
          <w:sz w:val="24"/>
        </w:rPr>
      </w:pPr>
      <w:r w:rsidRPr="009E227A">
        <w:rPr>
          <w:b/>
          <w:bCs/>
          <w:i/>
          <w:iCs/>
        </w:rPr>
        <w:t>Parker’s Interview.</w:t>
      </w:r>
      <w:r w:rsidRPr="009E227A">
        <w:t xml:space="preserve"> Going forward, Nolan created an investigative plan that, though written, was fittingly undated. CF 29–31. Team Calloway conducted follow-up interviews in October 2024. CF 31. Meanwhile, Calloway’s compelled testimony </w:t>
      </w:r>
      <w:r w:rsidRPr="009E227A">
        <w:lastRenderedPageBreak/>
        <w:t xml:space="preserve">specifically identified Kennedy Parker. CF 4, Ex. 13. </w:t>
      </w:r>
      <w:r w:rsidR="00DF4FB4" w:rsidRPr="00DF4FB4">
        <w:t xml:space="preserve">Conveniently, no Government agent interviewed Parker until October 31, 2024, right after Donovan’s “widely covered” trial. CF 23, 31–32. </w:t>
      </w:r>
      <w:r w:rsidRPr="009E227A">
        <w:t xml:space="preserve"> CF 23, 31–32. Only in that interview did Parker </w:t>
      </w:r>
      <w:r w:rsidR="00B52249">
        <w:t xml:space="preserve">first </w:t>
      </w:r>
      <w:r w:rsidRPr="009E227A">
        <w:t xml:space="preserve">disclose additional details about an argument between Blake and Calloway and that Calloway asked </w:t>
      </w:r>
      <w:r w:rsidR="002F7D04">
        <w:t>Parker</w:t>
      </w:r>
      <w:r w:rsidRPr="009E227A">
        <w:t xml:space="preserve"> to move a box labeled “Coastal” to an off-site storage unit in December 2023. CF 32, Ex. 18. Investigators</w:t>
      </w:r>
      <w:r w:rsidR="00B52249">
        <w:t xml:space="preserve"> then</w:t>
      </w:r>
      <w:r w:rsidRPr="009E227A">
        <w:t xml:space="preserve"> </w:t>
      </w:r>
      <w:r w:rsidR="002F7D04">
        <w:t>searched</w:t>
      </w:r>
      <w:r w:rsidRPr="009E227A">
        <w:t xml:space="preserve"> the unit, recovering Coastal financial records alleg</w:t>
      </w:r>
      <w:r w:rsidR="00B52249">
        <w:t>edly connecting</w:t>
      </w:r>
      <w:r w:rsidRPr="009E227A">
        <w:t xml:space="preserve"> Calloway to Donovan’s activities. CF 33, Ex. 19, 20. </w:t>
      </w:r>
    </w:p>
    <w:p w14:paraId="543B860B" w14:textId="49385F84" w:rsidR="009E227A" w:rsidRPr="009E227A" w:rsidRDefault="009E227A" w:rsidP="009E227A">
      <w:pPr>
        <w:pStyle w:val="BodyTextFirstIndent"/>
        <w:rPr>
          <w:sz w:val="24"/>
        </w:rPr>
      </w:pPr>
      <w:r w:rsidRPr="009E227A">
        <w:rPr>
          <w:b/>
          <w:bCs/>
          <w:i/>
          <w:iCs/>
        </w:rPr>
        <w:t xml:space="preserve">Armana Enters. </w:t>
      </w:r>
      <w:r w:rsidRPr="009E227A">
        <w:t xml:space="preserve">In early 2024, Calloway’s counsel retained private investigator Maddox Armana to </w:t>
      </w:r>
      <w:r w:rsidR="002F7D04">
        <w:t>analyze</w:t>
      </w:r>
      <w:r w:rsidRPr="009E227A">
        <w:t xml:space="preserve"> the Government’s case in anticipation of potential charges against Calloway. CF 43–44. Acting </w:t>
      </w:r>
      <w:r w:rsidR="00B52249">
        <w:t>for</w:t>
      </w:r>
      <w:r w:rsidRPr="009E227A">
        <w:t xml:space="preserve"> counsel, Armana located and interviewed</w:t>
      </w:r>
      <w:r w:rsidR="00B52249">
        <w:t xml:space="preserve"> Seton,</w:t>
      </w:r>
      <w:r w:rsidRPr="009E227A">
        <w:t xml:space="preserve"> former Coastal operations manager on February 15, 2024. CF 44–46. Armana took notes containing Seton’s factual account and Armana’s thoughts, follow-up questions, and theories in red text. CF 46, Ex. 21. </w:t>
      </w:r>
    </w:p>
    <w:p w14:paraId="7BDCE30E" w14:textId="19D752A5" w:rsidR="00FE67E3" w:rsidRPr="00FE67E3" w:rsidRDefault="00FE67E3" w:rsidP="001A75D3">
      <w:pPr>
        <w:pStyle w:val="Heading1"/>
        <w:rPr>
          <w:rFonts w:eastAsia="Times New Roman"/>
        </w:rPr>
      </w:pPr>
      <w:bookmarkStart w:id="4" w:name="_Toc239118275"/>
      <w:r>
        <w:rPr>
          <w:rFonts w:eastAsia="Times New Roman"/>
        </w:rPr>
        <w:t>ARGUMENT</w:t>
      </w:r>
      <w:bookmarkEnd w:id="4"/>
    </w:p>
    <w:p w14:paraId="5BB456A2" w14:textId="54D58602" w:rsidR="00FE67E3" w:rsidRDefault="00FE67E3" w:rsidP="001A75D3">
      <w:pPr>
        <w:pStyle w:val="Heading2"/>
        <w:rPr>
          <w:rFonts w:eastAsia="Times New Roman"/>
        </w:rPr>
      </w:pPr>
      <w:bookmarkStart w:id="5" w:name="_Toc239118276"/>
      <w:r>
        <w:rPr>
          <w:rFonts w:eastAsia="Times New Roman"/>
        </w:rPr>
        <w:t>Parker’s testimony and Exhibit 19 must be suppressed because the Government cannot prove either derives from a source wholly independent of Calloway’s compelled testimony</w:t>
      </w:r>
      <w:r w:rsidR="001141FF">
        <w:rPr>
          <w:rFonts w:eastAsia="Times New Roman"/>
        </w:rPr>
        <w:t>.</w:t>
      </w:r>
      <w:bookmarkEnd w:id="5"/>
    </w:p>
    <w:p w14:paraId="7DF95AC7" w14:textId="4B93249A" w:rsidR="00E04281" w:rsidRDefault="00E04281" w:rsidP="00E04281">
      <w:pPr>
        <w:pStyle w:val="BodyTextFirstIndent"/>
      </w:pPr>
      <w:r>
        <w:t xml:space="preserve">The Fifth Amendment provides that no person “shall be compelled in any criminal case to be a witness against himself.” U.S. </w:t>
      </w:r>
      <w:r w:rsidRPr="00E04281">
        <w:rPr>
          <w:smallCaps/>
        </w:rPr>
        <w:t>Const</w:t>
      </w:r>
      <w:r>
        <w:t xml:space="preserve">. </w:t>
      </w:r>
      <w:proofErr w:type="gramStart"/>
      <w:r>
        <w:t>amend</w:t>
      </w:r>
      <w:proofErr w:type="gramEnd"/>
      <w:r>
        <w:t>. V</w:t>
      </w:r>
      <w:r w:rsidR="00B37A22">
        <w:fldChar w:fldCharType="begin"/>
      </w:r>
      <w:r w:rsidR="00B37A22">
        <w:instrText xml:space="preserve"> TA \l "</w:instrText>
      </w:r>
      <w:r w:rsidR="00B37A22" w:rsidRPr="000B4513">
        <w:instrText xml:space="preserve">U.S. </w:instrText>
      </w:r>
      <w:r w:rsidR="00B37A22" w:rsidRPr="000B4513">
        <w:rPr>
          <w:smallCaps/>
        </w:rPr>
        <w:instrText>Const</w:instrText>
      </w:r>
      <w:r w:rsidR="00B37A22" w:rsidRPr="000B4513">
        <w:instrText>. amend. V</w:instrText>
      </w:r>
      <w:r w:rsidR="00B37A22">
        <w:instrText xml:space="preserve">" \s "U.S. Const. amend. V" \c 7 </w:instrText>
      </w:r>
      <w:r w:rsidR="00B37A22">
        <w:fldChar w:fldCharType="end"/>
      </w:r>
      <w:r>
        <w:t xml:space="preserve">. </w:t>
      </w:r>
      <w:r w:rsidR="00357F1F">
        <w:t>T</w:t>
      </w:r>
      <w:r>
        <w:t xml:space="preserve">his protection is not absolute. The Government may “compel testimony from an </w:t>
      </w:r>
      <w:r>
        <w:lastRenderedPageBreak/>
        <w:t xml:space="preserve">unwilling witness who invokes the Fifth Amendment privilege against . . . self-incrimination by conferring immunity.” </w:t>
      </w:r>
      <w:r>
        <w:rPr>
          <w:i/>
          <w:iCs/>
        </w:rPr>
        <w:t>Kastigar v. United States</w:t>
      </w:r>
      <w:r>
        <w:t>, 406 U.S. 441, 441 (1972)</w:t>
      </w:r>
      <w:r w:rsidR="00B37A22">
        <w:fldChar w:fldCharType="begin"/>
      </w:r>
      <w:r w:rsidR="00B37A22">
        <w:instrText xml:space="preserve"> TA \l "</w:instrText>
      </w:r>
      <w:r w:rsidR="00B37A22" w:rsidRPr="000B4513">
        <w:rPr>
          <w:i/>
          <w:iCs/>
        </w:rPr>
        <w:instrText>Kastigar v. United States</w:instrText>
      </w:r>
      <w:r w:rsidR="00B37A22" w:rsidRPr="000B4513">
        <w:instrText>, 406 U.S. 441 (1972)</w:instrText>
      </w:r>
      <w:r w:rsidR="00B37A22">
        <w:instrText xml:space="preserve">" \s "Kastigar" \c 1 </w:instrText>
      </w:r>
      <w:r w:rsidR="00B37A22">
        <w:fldChar w:fldCharType="end"/>
      </w:r>
      <w:r>
        <w:t xml:space="preserve">. This immunity need not be transactional because immunity from use and derivative use is coextensive with the Fifth Amendment. </w:t>
      </w:r>
      <w:r>
        <w:rPr>
          <w:i/>
          <w:iCs/>
        </w:rPr>
        <w:t xml:space="preserve">Id. </w:t>
      </w:r>
      <w:r>
        <w:t>at 458</w:t>
      </w:r>
      <w:r w:rsidR="00B37A22">
        <w:fldChar w:fldCharType="begin"/>
      </w:r>
      <w:r w:rsidR="00B37A22">
        <w:instrText xml:space="preserve"> TA \s "Kastigar" </w:instrText>
      </w:r>
      <w:r w:rsidR="00B37A22">
        <w:fldChar w:fldCharType="end"/>
      </w:r>
      <w:r>
        <w:t xml:space="preserve">. </w:t>
      </w:r>
    </w:p>
    <w:p w14:paraId="621C894A" w14:textId="21BFE824" w:rsidR="00E04281" w:rsidRDefault="00E04281" w:rsidP="00E04281">
      <w:pPr>
        <w:pStyle w:val="BodyTextFirstIndent"/>
      </w:pPr>
      <w:r>
        <w:t>Considering that, 18 U.S.C. § 6003 authorizes the Government to compel testimony, while 18 U.S.C. § 6002 prohibits the Government from using th</w:t>
      </w:r>
      <w:r w:rsidR="00B52249">
        <w:t>at</w:t>
      </w:r>
      <w:r>
        <w:t xml:space="preserve"> compelled testimony against the witness. </w:t>
      </w:r>
      <w:r>
        <w:rPr>
          <w:i/>
          <w:iCs/>
        </w:rPr>
        <w:t>Id.</w:t>
      </w:r>
      <w:r>
        <w:t xml:space="preserve"> at 442, 448–49</w:t>
      </w:r>
      <w:r w:rsidR="00B37A22">
        <w:fldChar w:fldCharType="begin"/>
      </w:r>
      <w:r w:rsidR="00B37A22">
        <w:instrText xml:space="preserve"> TA \s "Kastigar" </w:instrText>
      </w:r>
      <w:r w:rsidR="00B37A22">
        <w:fldChar w:fldCharType="end"/>
      </w:r>
      <w:r>
        <w:t xml:space="preserve">. Thus, § 6002 does not bar subsequent prosecution but “prohibits the prosecutorial authorities from using the compelled testimony in any respect.” </w:t>
      </w:r>
      <w:r>
        <w:rPr>
          <w:i/>
          <w:iCs/>
        </w:rPr>
        <w:t>Id.</w:t>
      </w:r>
      <w:r>
        <w:t xml:space="preserve"> at 453</w:t>
      </w:r>
      <w:r w:rsidR="00B37A22">
        <w:fldChar w:fldCharType="begin"/>
      </w:r>
      <w:r w:rsidR="00B37A22">
        <w:instrText xml:space="preserve"> TA \s "Kastigar" </w:instrText>
      </w:r>
      <w:r w:rsidR="00B37A22">
        <w:fldChar w:fldCharType="end"/>
      </w:r>
      <w:r>
        <w:t xml:space="preserve">. </w:t>
      </w:r>
    </w:p>
    <w:p w14:paraId="7BCBC59A" w14:textId="5A7C6E19" w:rsidR="00E04281" w:rsidRDefault="00E04281" w:rsidP="00E04281">
      <w:pPr>
        <w:pStyle w:val="BodyTextFirstIndent"/>
      </w:pPr>
      <w:r>
        <w:t xml:space="preserve">The Supreme Court, in </w:t>
      </w:r>
      <w:r>
        <w:rPr>
          <w:i/>
          <w:iCs/>
        </w:rPr>
        <w:t>Kastigar</w:t>
      </w:r>
      <w:r>
        <w:t xml:space="preserve">, held that “in any subsequent . . . prosecution of a person who has been granted immunity . . . , the prosecution has the burden of proving affirmatively that evidence . . . used is derived from a legitimate source wholly independent of compelled testimony.” </w:t>
      </w:r>
      <w:r>
        <w:rPr>
          <w:i/>
          <w:iCs/>
        </w:rPr>
        <w:t>Id.</w:t>
      </w:r>
      <w:r>
        <w:t xml:space="preserve"> at 441</w:t>
      </w:r>
      <w:r w:rsidR="00B37A22">
        <w:fldChar w:fldCharType="begin"/>
      </w:r>
      <w:r w:rsidR="00B37A22">
        <w:instrText xml:space="preserve"> TA \s "Kastigar" </w:instrText>
      </w:r>
      <w:r w:rsidR="00B37A22">
        <w:fldChar w:fldCharType="end"/>
      </w:r>
      <w:r>
        <w:t xml:space="preserve">. The Court characterizes this burden as “heavy.” </w:t>
      </w:r>
      <w:r>
        <w:rPr>
          <w:i/>
          <w:iCs/>
        </w:rPr>
        <w:t>Id.</w:t>
      </w:r>
      <w:r>
        <w:t xml:space="preserve"> at 460–62</w:t>
      </w:r>
      <w:r w:rsidR="00B37A22">
        <w:fldChar w:fldCharType="begin"/>
      </w:r>
      <w:r w:rsidR="00B37A22">
        <w:instrText xml:space="preserve"> TA \s "Kastigar" </w:instrText>
      </w:r>
      <w:r w:rsidR="00B37A22">
        <w:fldChar w:fldCharType="end"/>
      </w:r>
      <w:r>
        <w:t xml:space="preserve">. This “heavy burden” is triggered by an initial showing that a defendant’s immunized testimony relates to their subsequent prosecution. </w:t>
      </w:r>
      <w:r>
        <w:rPr>
          <w:i/>
          <w:iCs/>
        </w:rPr>
        <w:t>Id.</w:t>
      </w:r>
      <w:r>
        <w:t xml:space="preserve"> at 461</w:t>
      </w:r>
      <w:r w:rsidR="00B37A22">
        <w:fldChar w:fldCharType="begin"/>
      </w:r>
      <w:r w:rsidR="00B37A22">
        <w:instrText xml:space="preserve"> TA \s "Kastigar" </w:instrText>
      </w:r>
      <w:r w:rsidR="00B37A22">
        <w:fldChar w:fldCharType="end"/>
      </w:r>
      <w:r>
        <w:t xml:space="preserve">.  </w:t>
      </w:r>
    </w:p>
    <w:p w14:paraId="6EA65435" w14:textId="5368B076" w:rsidR="00E04281" w:rsidRPr="00E04281" w:rsidRDefault="00E04281" w:rsidP="00E04281">
      <w:pPr>
        <w:pStyle w:val="BodyTextFirstIndent"/>
      </w:pPr>
      <w:r>
        <w:t>Here, the initial showing has been met, and the present hearing concerns whether the Government can carry that heavy burden as to Parker’s testimony and Exhibit 19. CF 5–6. They cannot. Parker’s testimony and Exhibit 19 must be suppressed.</w:t>
      </w:r>
    </w:p>
    <w:p w14:paraId="5E5AFF9B" w14:textId="33C18533" w:rsidR="007F4630" w:rsidRDefault="00FE67E3" w:rsidP="001A75D3">
      <w:pPr>
        <w:pStyle w:val="Heading3"/>
        <w:rPr>
          <w:rFonts w:eastAsia="Times New Roman"/>
        </w:rPr>
      </w:pPr>
      <w:bookmarkStart w:id="6" w:name="_Toc239118277"/>
      <w:r>
        <w:rPr>
          <w:rFonts w:eastAsia="Times New Roman"/>
        </w:rPr>
        <w:lastRenderedPageBreak/>
        <w:t xml:space="preserve">The Government </w:t>
      </w:r>
      <w:r w:rsidR="00E04281">
        <w:rPr>
          <w:rFonts w:eastAsia="Times New Roman"/>
        </w:rPr>
        <w:t>must</w:t>
      </w:r>
      <w:r>
        <w:rPr>
          <w:rFonts w:eastAsia="Times New Roman"/>
        </w:rPr>
        <w:t xml:space="preserve"> prove an independent source by clear and convincing evidence because the risk of error disproportionately burdens Calloway’s constitutional interest.</w:t>
      </w:r>
      <w:bookmarkEnd w:id="6"/>
      <w:r>
        <w:rPr>
          <w:rFonts w:eastAsia="Times New Roman"/>
        </w:rPr>
        <w:t xml:space="preserve"> </w:t>
      </w:r>
    </w:p>
    <w:p w14:paraId="12E2B4C1" w14:textId="77DE0D73" w:rsidR="00E04281" w:rsidRDefault="00E04281" w:rsidP="00E04281">
      <w:pPr>
        <w:pStyle w:val="BodyTextFirstIndent"/>
      </w:pPr>
      <w:r>
        <w:t xml:space="preserve">The term heavy burden characterizes the scope of the legitimate independent sources the Government must show. </w:t>
      </w:r>
      <w:r>
        <w:rPr>
          <w:i/>
          <w:iCs/>
        </w:rPr>
        <w:t>See Kastigar</w:t>
      </w:r>
      <w:r>
        <w:t>, 406 U.S. at 462</w:t>
      </w:r>
      <w:r w:rsidR="00B37A22">
        <w:fldChar w:fldCharType="begin"/>
      </w:r>
      <w:r w:rsidR="00B37A22">
        <w:instrText xml:space="preserve"> TA \s "Kastigar" </w:instrText>
      </w:r>
      <w:r w:rsidR="00B37A22">
        <w:fldChar w:fldCharType="end"/>
      </w:r>
      <w:r>
        <w:t xml:space="preserve">. However, the Court is silent on the evidentiary standard by which it must make that showing. In the absence of such guidance, some federal district courts have required clear and convincing evidence. </w:t>
      </w:r>
      <w:r>
        <w:rPr>
          <w:i/>
          <w:iCs/>
        </w:rPr>
        <w:t>See, e.g.</w:t>
      </w:r>
      <w:r>
        <w:t>,</w:t>
      </w:r>
      <w:r>
        <w:rPr>
          <w:i/>
          <w:iCs/>
        </w:rPr>
        <w:t xml:space="preserve"> United States v. Smith</w:t>
      </w:r>
      <w:r>
        <w:t>, 580 F. Supp. 1418, 1433 (D.N.J. 1984)</w:t>
      </w:r>
      <w:r w:rsidR="00B37A22">
        <w:fldChar w:fldCharType="begin"/>
      </w:r>
      <w:r w:rsidR="00B37A22">
        <w:instrText xml:space="preserve"> TA \l "</w:instrText>
      </w:r>
      <w:r w:rsidR="00B37A22" w:rsidRPr="000B4513">
        <w:rPr>
          <w:i/>
          <w:iCs/>
        </w:rPr>
        <w:instrText>United States v. Smith</w:instrText>
      </w:r>
      <w:r w:rsidR="00B37A22" w:rsidRPr="000B4513">
        <w:instrText>, 580 F. Supp. 1418 (D.N.J. 1984)</w:instrText>
      </w:r>
      <w:r w:rsidR="00B37A22">
        <w:instrText xml:space="preserve">" \s "Smith" \c 1 </w:instrText>
      </w:r>
      <w:r w:rsidR="00B37A22">
        <w:fldChar w:fldCharType="end"/>
      </w:r>
      <w:r>
        <w:t xml:space="preserve">; </w:t>
      </w:r>
      <w:r>
        <w:rPr>
          <w:i/>
          <w:iCs/>
        </w:rPr>
        <w:t xml:space="preserve">United States v. </w:t>
      </w:r>
      <w:proofErr w:type="spellStart"/>
      <w:r>
        <w:rPr>
          <w:i/>
          <w:iCs/>
        </w:rPr>
        <w:t>Hossbach</w:t>
      </w:r>
      <w:proofErr w:type="spellEnd"/>
      <w:r>
        <w:t>, 518 F. Supp. 759, 772 (E.D. Pa. 1980)</w:t>
      </w:r>
      <w:r w:rsidR="00B37A22">
        <w:fldChar w:fldCharType="begin"/>
      </w:r>
      <w:r w:rsidR="00B37A22">
        <w:instrText xml:space="preserve"> TA \l "</w:instrText>
      </w:r>
      <w:r w:rsidR="00B37A22" w:rsidRPr="000B4513">
        <w:rPr>
          <w:i/>
          <w:iCs/>
        </w:rPr>
        <w:instrText>United States v. Hossbach</w:instrText>
      </w:r>
      <w:r w:rsidR="00B37A22" w:rsidRPr="000B4513">
        <w:instrText>, 518 F. Supp. 759 (E.D. Pa. 1980)</w:instrText>
      </w:r>
      <w:r w:rsidR="00B37A22">
        <w:instrText xml:space="preserve">" \s "Hossbach" \c 1 </w:instrText>
      </w:r>
      <w:r w:rsidR="00B37A22">
        <w:fldChar w:fldCharType="end"/>
      </w:r>
      <w:r>
        <w:t>.</w:t>
      </w:r>
    </w:p>
    <w:p w14:paraId="1E3D10B4" w14:textId="34A918C2" w:rsidR="00E04281" w:rsidRDefault="00E04281" w:rsidP="00E04281">
      <w:pPr>
        <w:pStyle w:val="BodyTextFirstIndent"/>
      </w:pPr>
      <w:r>
        <w:t xml:space="preserve">Clear and convincing evidence should be applied given the Supreme Court’s approach to selecting evidentiary burdens. For example, in </w:t>
      </w:r>
      <w:proofErr w:type="spellStart"/>
      <w:r>
        <w:rPr>
          <w:i/>
          <w:iCs/>
        </w:rPr>
        <w:t>Santosky</w:t>
      </w:r>
      <w:proofErr w:type="spellEnd"/>
      <w:r>
        <w:rPr>
          <w:i/>
          <w:iCs/>
        </w:rPr>
        <w:t xml:space="preserve"> v. Kramer</w:t>
      </w:r>
      <w:r>
        <w:t xml:space="preserve">, the Court used the </w:t>
      </w:r>
      <w:r>
        <w:rPr>
          <w:i/>
          <w:iCs/>
        </w:rPr>
        <w:t>Mathews v. Eldridge</w:t>
      </w:r>
      <w:r>
        <w:t xml:space="preserve"> balancing test to determine whether a preponderance standard satisfied procedural due process. </w:t>
      </w:r>
      <w:proofErr w:type="spellStart"/>
      <w:r>
        <w:rPr>
          <w:i/>
          <w:iCs/>
        </w:rPr>
        <w:t>Santosky</w:t>
      </w:r>
      <w:proofErr w:type="spellEnd"/>
      <w:r>
        <w:rPr>
          <w:i/>
          <w:iCs/>
        </w:rPr>
        <w:t xml:space="preserve"> v. Kramer</w:t>
      </w:r>
      <w:r>
        <w:t>, 455 U.S. 745, 758 (1982)</w:t>
      </w:r>
      <w:r w:rsidR="00B37A22">
        <w:fldChar w:fldCharType="begin"/>
      </w:r>
      <w:r w:rsidR="00B37A22">
        <w:instrText xml:space="preserve"> TA \l "</w:instrText>
      </w:r>
      <w:r w:rsidR="00B37A22" w:rsidRPr="000B4513">
        <w:rPr>
          <w:i/>
          <w:iCs/>
        </w:rPr>
        <w:instrText>Santosky v. Kramer</w:instrText>
      </w:r>
      <w:r w:rsidR="00B37A22" w:rsidRPr="000B4513">
        <w:instrText>, 455 U.S. 745 (1982)</w:instrText>
      </w:r>
      <w:r w:rsidR="00B37A22">
        <w:instrText xml:space="preserve">" \s "Santosky" \c 1 </w:instrText>
      </w:r>
      <w:r w:rsidR="00B37A22">
        <w:fldChar w:fldCharType="end"/>
      </w:r>
      <w:r>
        <w:t xml:space="preserve">; </w:t>
      </w:r>
      <w:r>
        <w:rPr>
          <w:i/>
          <w:iCs/>
        </w:rPr>
        <w:t>see also Mathews v. Eldridge</w:t>
      </w:r>
      <w:r>
        <w:t>, 424 U.S. 319, 335 (1976)</w:t>
      </w:r>
      <w:r w:rsidR="00B37A22">
        <w:fldChar w:fldCharType="begin"/>
      </w:r>
      <w:r w:rsidR="00B37A22">
        <w:instrText xml:space="preserve"> TA \l "</w:instrText>
      </w:r>
      <w:r w:rsidR="00B37A22" w:rsidRPr="000B4513">
        <w:rPr>
          <w:i/>
          <w:iCs/>
        </w:rPr>
        <w:instrText>Mathews v. Eldridge</w:instrText>
      </w:r>
      <w:r w:rsidR="00B37A22" w:rsidRPr="000B4513">
        <w:instrText>, 424 U.S. 319 (1976)</w:instrText>
      </w:r>
      <w:r w:rsidR="00B37A22">
        <w:instrText xml:space="preserve">" \s "Mathews" \c 1 </w:instrText>
      </w:r>
      <w:r w:rsidR="00B37A22">
        <w:fldChar w:fldCharType="end"/>
      </w:r>
      <w:r>
        <w:t xml:space="preserve"> (weighing private interests, risk of error, and government interests). There, the state sought to terminate parents’ rights under a preponderance standard, which the Court found insufficient given the constitutional liberty interest in maintaining a parent-child relationship. </w:t>
      </w:r>
      <w:r>
        <w:rPr>
          <w:i/>
          <w:iCs/>
        </w:rPr>
        <w:t>Santosky</w:t>
      </w:r>
      <w:r>
        <w:t>, 455 U.S. at 758</w:t>
      </w:r>
      <w:r w:rsidR="00B37A22">
        <w:fldChar w:fldCharType="begin"/>
      </w:r>
      <w:r w:rsidR="00B37A22">
        <w:instrText xml:space="preserve"> TA \s "Santosky" </w:instrText>
      </w:r>
      <w:r w:rsidR="00B37A22">
        <w:fldChar w:fldCharType="end"/>
      </w:r>
      <w:r>
        <w:t xml:space="preserve">. The Court reasoned </w:t>
      </w:r>
      <w:r w:rsidR="00054D1A">
        <w:t>when</w:t>
      </w:r>
      <w:r>
        <w:t xml:space="preserve"> an erroneous decision threatens such an interest, “[t]he individual should not be asked to share equally with society the risk of error.” </w:t>
      </w:r>
      <w:r w:rsidR="00B37A22">
        <w:rPr>
          <w:i/>
          <w:iCs/>
        </w:rPr>
        <w:t>Id.</w:t>
      </w:r>
      <w:r>
        <w:t xml:space="preserve"> at 768</w:t>
      </w:r>
      <w:r w:rsidR="00B37A22">
        <w:fldChar w:fldCharType="begin"/>
      </w:r>
      <w:r w:rsidR="00B37A22">
        <w:instrText xml:space="preserve"> TA \s "Santosky" </w:instrText>
      </w:r>
      <w:r w:rsidR="00B37A22">
        <w:fldChar w:fldCharType="end"/>
      </w:r>
      <w:r>
        <w:t xml:space="preserve"> (quoting </w:t>
      </w:r>
      <w:r>
        <w:rPr>
          <w:i/>
          <w:iCs/>
        </w:rPr>
        <w:t>Addington v. Texas</w:t>
      </w:r>
      <w:r>
        <w:t>, 441 U.S. 418, 427 (1979)).</w:t>
      </w:r>
    </w:p>
    <w:p w14:paraId="27B692E6" w14:textId="0C622E6C" w:rsidR="00E04281" w:rsidRDefault="00E04281" w:rsidP="00E04281">
      <w:pPr>
        <w:pStyle w:val="BodyTextFirstIndent"/>
      </w:pPr>
      <w:r>
        <w:lastRenderedPageBreak/>
        <w:t xml:space="preserve">Applying a preponderance standard to </w:t>
      </w:r>
      <w:r>
        <w:rPr>
          <w:i/>
          <w:iCs/>
        </w:rPr>
        <w:t>Kastigar</w:t>
      </w:r>
      <w:r>
        <w:t xml:space="preserve"> would contradict this very principle. Like parental interest in </w:t>
      </w:r>
      <w:r>
        <w:rPr>
          <w:i/>
          <w:iCs/>
        </w:rPr>
        <w:t>Santosky</w:t>
      </w:r>
      <w:r>
        <w:t xml:space="preserve">, the Fifth Amendment privilege against self-incrimination is a constitutional interest. U.S. </w:t>
      </w:r>
      <w:r w:rsidRPr="00E04281">
        <w:rPr>
          <w:smallCaps/>
        </w:rPr>
        <w:t>Const</w:t>
      </w:r>
      <w:r>
        <w:t xml:space="preserve">. </w:t>
      </w:r>
      <w:proofErr w:type="gramStart"/>
      <w:r>
        <w:t>amend</w:t>
      </w:r>
      <w:proofErr w:type="gramEnd"/>
      <w:r>
        <w:t>. V</w:t>
      </w:r>
      <w:r w:rsidR="00B37A22">
        <w:fldChar w:fldCharType="begin"/>
      </w:r>
      <w:r w:rsidR="00B37A22">
        <w:instrText xml:space="preserve"> TA \s "U.S. Const. amend. V" </w:instrText>
      </w:r>
      <w:r w:rsidR="00B37A22">
        <w:fldChar w:fldCharType="end"/>
      </w:r>
      <w:r>
        <w:t xml:space="preserve">. If tainted evidence were admitted, the Government would benefit from immunized testimony, and Calloway’s constitutional right would be violated. </w:t>
      </w:r>
      <w:r w:rsidR="00054D1A">
        <w:t>Conversely</w:t>
      </w:r>
      <w:r>
        <w:t xml:space="preserve">, an erroneous exclusion would merely require prosecutors to rely on other evidence. Thus, the consequences of error threaten Calloway far more than the Government, yet the preponderance standard asks them to share this risk equally. </w:t>
      </w:r>
    </w:p>
    <w:p w14:paraId="412961FE" w14:textId="21377F1B" w:rsidR="00E04281" w:rsidRPr="00E04281" w:rsidRDefault="00E04281" w:rsidP="00E04281">
      <w:pPr>
        <w:pStyle w:val="BodyTextFirstIndent"/>
      </w:pPr>
      <w:r>
        <w:t>This asymmetric harm demands that a higher burden be placed on the Government through a clear and convincing standard. Yet</w:t>
      </w:r>
      <w:r w:rsidR="00357F1F">
        <w:t>,</w:t>
      </w:r>
      <w:r>
        <w:t xml:space="preserve"> even under a lower standard applied by some circuit courts, </w:t>
      </w:r>
      <w:r>
        <w:rPr>
          <w:i/>
          <w:iCs/>
        </w:rPr>
        <w:t>see, e.g.</w:t>
      </w:r>
      <w:r>
        <w:t xml:space="preserve">, </w:t>
      </w:r>
      <w:r>
        <w:rPr>
          <w:i/>
          <w:iCs/>
        </w:rPr>
        <w:t>United States v. Jimenez</w:t>
      </w:r>
      <w:r>
        <w:t>, 256 F.3d 330, 348 (5th Cir. 2001)</w:t>
      </w:r>
      <w:r w:rsidR="00B37A22">
        <w:fldChar w:fldCharType="begin"/>
      </w:r>
      <w:r w:rsidR="00B37A22">
        <w:instrText xml:space="preserve"> TA \l "</w:instrText>
      </w:r>
      <w:r w:rsidR="00B37A22" w:rsidRPr="000B4513">
        <w:rPr>
          <w:i/>
          <w:iCs/>
        </w:rPr>
        <w:instrText>United States v. Jimenez</w:instrText>
      </w:r>
      <w:r w:rsidR="00B37A22" w:rsidRPr="000B4513">
        <w:instrText>, 256 F.3d 330 (5th Cir. 2001)</w:instrText>
      </w:r>
      <w:r w:rsidR="00B37A22">
        <w:instrText xml:space="preserve">" \s "Jimenez" \c 1 </w:instrText>
      </w:r>
      <w:r w:rsidR="00B37A22">
        <w:fldChar w:fldCharType="end"/>
      </w:r>
      <w:r>
        <w:t xml:space="preserve">; </w:t>
      </w:r>
      <w:r>
        <w:rPr>
          <w:i/>
          <w:iCs/>
        </w:rPr>
        <w:t>United States v. Montoya</w:t>
      </w:r>
      <w:r>
        <w:t>, 45 F.3d 1286, 1299 (9th Cir. 1995)</w:t>
      </w:r>
      <w:r w:rsidR="00B37A22">
        <w:fldChar w:fldCharType="begin"/>
      </w:r>
      <w:r w:rsidR="00B37A22">
        <w:instrText xml:space="preserve"> TA \l "</w:instrText>
      </w:r>
      <w:r w:rsidR="00B37A22" w:rsidRPr="000B4513">
        <w:rPr>
          <w:i/>
          <w:iCs/>
        </w:rPr>
        <w:instrText>United States v. Montoya</w:instrText>
      </w:r>
      <w:r w:rsidR="00B37A22" w:rsidRPr="000B4513">
        <w:instrText>, 45 F.3d 1286 (9th Cir. 1995)</w:instrText>
      </w:r>
      <w:r w:rsidR="00B37A22">
        <w:instrText xml:space="preserve">" \s "Montoya" \c 1 </w:instrText>
      </w:r>
      <w:r w:rsidR="00B37A22">
        <w:fldChar w:fldCharType="end"/>
      </w:r>
      <w:r>
        <w:t xml:space="preserve">; </w:t>
      </w:r>
      <w:r>
        <w:rPr>
          <w:i/>
          <w:iCs/>
        </w:rPr>
        <w:t>United States v. Byrd</w:t>
      </w:r>
      <w:r>
        <w:t>, 765 F.2d 1524, 1529 (11th Cir. 1985)</w:t>
      </w:r>
      <w:r w:rsidR="00B37A22">
        <w:fldChar w:fldCharType="begin"/>
      </w:r>
      <w:r w:rsidR="00B37A22">
        <w:instrText xml:space="preserve"> TA \l "</w:instrText>
      </w:r>
      <w:r w:rsidR="00B37A22" w:rsidRPr="000B4513">
        <w:rPr>
          <w:i/>
          <w:iCs/>
        </w:rPr>
        <w:instrText>United States v. Byrd</w:instrText>
      </w:r>
      <w:r w:rsidR="00B37A22" w:rsidRPr="000B4513">
        <w:instrText>, 765 F.2d 1524 (11th Cir. 1985)</w:instrText>
      </w:r>
      <w:r w:rsidR="00B37A22">
        <w:instrText xml:space="preserve">" \s "Byrd" \c 1 </w:instrText>
      </w:r>
      <w:r w:rsidR="00B37A22">
        <w:fldChar w:fldCharType="end"/>
      </w:r>
      <w:r>
        <w:t>, the result here is the same. The Government cannot meet its burden even by a preponderance.</w:t>
      </w:r>
    </w:p>
    <w:p w14:paraId="2E0043D9" w14:textId="5FEDA6C8" w:rsidR="00FE67E3" w:rsidRPr="00FE67E3" w:rsidRDefault="00FE67E3" w:rsidP="001A75D3">
      <w:pPr>
        <w:pStyle w:val="Heading3"/>
        <w:rPr>
          <w:rFonts w:eastAsia="Times New Roman"/>
        </w:rPr>
      </w:pPr>
      <w:bookmarkStart w:id="7" w:name="_Toc239118278"/>
      <w:r>
        <w:rPr>
          <w:rFonts w:eastAsia="Times New Roman"/>
        </w:rPr>
        <w:t>Parker’s testimony and Exhibit 19 must be suppressed because the Government cannot establish an independent source.</w:t>
      </w:r>
      <w:bookmarkEnd w:id="7"/>
    </w:p>
    <w:p w14:paraId="0B962264" w14:textId="693D124E" w:rsidR="00E04281" w:rsidRDefault="00E04281" w:rsidP="00E04281">
      <w:pPr>
        <w:pStyle w:val="BodyTextFirstIndent"/>
        <w:rPr>
          <w:i/>
          <w:iCs/>
        </w:rPr>
      </w:pPr>
      <w:r>
        <w:t xml:space="preserve">As established in </w:t>
      </w:r>
      <w:r>
        <w:rPr>
          <w:i/>
          <w:iCs/>
        </w:rPr>
        <w:t>Kastigar</w:t>
      </w:r>
      <w:r>
        <w:t>, the Government must prove its evidence stems from “a legitimate source wholly independent of the compelled testimony.” 406 U.S. at 460</w:t>
      </w:r>
      <w:r w:rsidR="00B37A22">
        <w:fldChar w:fldCharType="begin"/>
      </w:r>
      <w:r w:rsidR="00B37A22">
        <w:instrText xml:space="preserve"> TA \s "Kastigar" </w:instrText>
      </w:r>
      <w:r w:rsidR="00B37A22">
        <w:fldChar w:fldCharType="end"/>
      </w:r>
      <w:r>
        <w:t xml:space="preserve">. This showing cannot be satisfied by a mere denial of taint. </w:t>
      </w:r>
      <w:r>
        <w:rPr>
          <w:i/>
          <w:iCs/>
        </w:rPr>
        <w:t>Id.</w:t>
      </w:r>
      <w:r w:rsidR="00B37A22">
        <w:rPr>
          <w:i/>
          <w:iCs/>
        </w:rPr>
        <w:fldChar w:fldCharType="begin"/>
      </w:r>
      <w:r w:rsidR="00B37A22">
        <w:instrText xml:space="preserve"> TA \s "Kastigar" </w:instrText>
      </w:r>
      <w:r w:rsidR="00B37A22">
        <w:rPr>
          <w:i/>
          <w:iCs/>
        </w:rPr>
        <w:fldChar w:fldCharType="end"/>
      </w:r>
      <w:r>
        <w:t xml:space="preserve">; </w:t>
      </w:r>
      <w:r>
        <w:rPr>
          <w:i/>
          <w:iCs/>
        </w:rPr>
        <w:t>United States v. Hampton</w:t>
      </w:r>
      <w:r>
        <w:t>, 775 F.2d 1479, 1487 (11th Cir. 1985)</w:t>
      </w:r>
      <w:r w:rsidR="00B37A22">
        <w:fldChar w:fldCharType="begin"/>
      </w:r>
      <w:r w:rsidR="00B37A22">
        <w:instrText xml:space="preserve"> TA \l "</w:instrText>
      </w:r>
      <w:r w:rsidR="00B37A22" w:rsidRPr="000B4513">
        <w:rPr>
          <w:i/>
          <w:iCs/>
        </w:rPr>
        <w:instrText>United States v. Hampton</w:instrText>
      </w:r>
      <w:r w:rsidR="00B37A22" w:rsidRPr="000B4513">
        <w:instrText>, 775 F.2d 1479 (11th Cir. 1985)</w:instrText>
      </w:r>
      <w:r w:rsidR="00B37A22">
        <w:instrText xml:space="preserve">" \s "Hampton" \c 1 </w:instrText>
      </w:r>
      <w:r w:rsidR="00B37A22">
        <w:fldChar w:fldCharType="end"/>
      </w:r>
      <w:r>
        <w:t xml:space="preserve">. </w:t>
      </w:r>
      <w:r w:rsidR="00357F1F">
        <w:t>T</w:t>
      </w:r>
      <w:r>
        <w:t xml:space="preserve">he Government must establish </w:t>
      </w:r>
      <w:r>
        <w:lastRenderedPageBreak/>
        <w:t xml:space="preserve">the challenged evidence’s investigative chain. </w:t>
      </w:r>
      <w:r>
        <w:rPr>
          <w:i/>
          <w:iCs/>
        </w:rPr>
        <w:t>See United States v. Hubbell</w:t>
      </w:r>
      <w:r>
        <w:t>, 530 U.S. 27, 42 (2000)</w:t>
      </w:r>
      <w:r w:rsidR="00B37A22">
        <w:fldChar w:fldCharType="begin"/>
      </w:r>
      <w:r w:rsidR="00B37A22">
        <w:instrText xml:space="preserve"> TA \l "</w:instrText>
      </w:r>
      <w:r w:rsidR="00B37A22" w:rsidRPr="000B4513">
        <w:rPr>
          <w:i/>
          <w:iCs/>
        </w:rPr>
        <w:instrText>United States v. Hubbell</w:instrText>
      </w:r>
      <w:r w:rsidR="00B37A22" w:rsidRPr="000B4513">
        <w:instrText>, 530 U.S. 27 (2000)</w:instrText>
      </w:r>
      <w:r w:rsidR="00B37A22">
        <w:instrText xml:space="preserve">" \s "Hubbell" \c 1 </w:instrText>
      </w:r>
      <w:r w:rsidR="00B37A22">
        <w:fldChar w:fldCharType="end"/>
      </w:r>
      <w:r w:rsidR="00B37A22">
        <w:fldChar w:fldCharType="begin"/>
      </w:r>
      <w:r w:rsidR="00B37A22">
        <w:instrText xml:space="preserve"> TA \s "Hubbell" </w:instrText>
      </w:r>
      <w:r w:rsidR="00B37A22">
        <w:fldChar w:fldCharType="end"/>
      </w:r>
      <w:r>
        <w:t xml:space="preserve">; </w:t>
      </w:r>
      <w:r>
        <w:rPr>
          <w:i/>
          <w:iCs/>
        </w:rPr>
        <w:t>Hampton</w:t>
      </w:r>
      <w:r>
        <w:t>, 775 F.2d at 1487–90</w:t>
      </w:r>
      <w:r w:rsidR="00B37A22">
        <w:fldChar w:fldCharType="begin"/>
      </w:r>
      <w:r w:rsidR="00B37A22">
        <w:instrText xml:space="preserve"> TA \s "Hampton" </w:instrText>
      </w:r>
      <w:r w:rsidR="00B37A22">
        <w:fldChar w:fldCharType="end"/>
      </w:r>
      <w:r>
        <w:t xml:space="preserve">. </w:t>
      </w:r>
    </w:p>
    <w:p w14:paraId="19B205AF" w14:textId="73874B30" w:rsidR="00E04281" w:rsidRDefault="00E04281" w:rsidP="00E04281">
      <w:pPr>
        <w:pStyle w:val="BodyTextFirstIndent"/>
      </w:pPr>
      <w:r>
        <w:t xml:space="preserve">Moreover, where evidence is obtained through a witness, independent knowledge of the witness’s existence does not establish an independent source for their testimony. </w:t>
      </w:r>
      <w:r>
        <w:rPr>
          <w:i/>
          <w:iCs/>
        </w:rPr>
        <w:t>See Kastigar</w:t>
      </w:r>
      <w:r>
        <w:t>,</w:t>
      </w:r>
      <w:r>
        <w:rPr>
          <w:i/>
          <w:iCs/>
        </w:rPr>
        <w:t xml:space="preserve"> </w:t>
      </w:r>
      <w:r>
        <w:t>406 U.S. at 460</w:t>
      </w:r>
      <w:r w:rsidR="00B37A22">
        <w:fldChar w:fldCharType="begin"/>
      </w:r>
      <w:r w:rsidR="00B37A22">
        <w:instrText xml:space="preserve"> TA \s "Kastigar" </w:instrText>
      </w:r>
      <w:r w:rsidR="00B37A22">
        <w:fldChar w:fldCharType="end"/>
      </w:r>
      <w:r>
        <w:t xml:space="preserve">; </w:t>
      </w:r>
      <w:r>
        <w:rPr>
          <w:i/>
          <w:iCs/>
        </w:rPr>
        <w:t>United States v. North</w:t>
      </w:r>
      <w:r>
        <w:t>, 920 F.2d 940</w:t>
      </w:r>
      <w:r w:rsidR="001230F9">
        <w:t>,</w:t>
      </w:r>
      <w:r>
        <w:t xml:space="preserve"> </w:t>
      </w:r>
      <w:r w:rsidR="001230F9">
        <w:t xml:space="preserve">942–46 </w:t>
      </w:r>
      <w:r>
        <w:t>(D.C. Cir. 1990)</w:t>
      </w:r>
      <w:r w:rsidR="00B37A22">
        <w:fldChar w:fldCharType="begin"/>
      </w:r>
      <w:r w:rsidR="00B37A22">
        <w:instrText xml:space="preserve"> TA \l "</w:instrText>
      </w:r>
      <w:r w:rsidR="00B37A22" w:rsidRPr="000B4513">
        <w:rPr>
          <w:i/>
          <w:iCs/>
        </w:rPr>
        <w:instrText>United States v. North</w:instrText>
      </w:r>
      <w:r w:rsidR="00B37A22" w:rsidRPr="000B4513">
        <w:instrText>, 920 F.2d 940 (D.C. Cir. 1990)</w:instrText>
      </w:r>
      <w:r w:rsidR="00B37A22">
        <w:instrText xml:space="preserve">" \s "North (920)" \c 1 </w:instrText>
      </w:r>
      <w:r w:rsidR="00B37A22">
        <w:fldChar w:fldCharType="end"/>
      </w:r>
      <w:r>
        <w:t xml:space="preserve">. </w:t>
      </w:r>
      <w:r w:rsidR="00357F1F">
        <w:t>W</w:t>
      </w:r>
      <w:r>
        <w:t>here a witness lacks an independent source, the taint does not end with the witness; it extends to “any information directly or indirectly derived” from that testimony. 18 U.S.C. § 6002</w:t>
      </w:r>
      <w:r w:rsidR="00B37A22">
        <w:fldChar w:fldCharType="begin"/>
      </w:r>
      <w:r w:rsidR="00B37A22">
        <w:instrText xml:space="preserve"> TA \l "</w:instrText>
      </w:r>
      <w:r w:rsidR="00B37A22" w:rsidRPr="000B4513">
        <w:instrText>18 U.S.C. § 6002</w:instrText>
      </w:r>
      <w:r w:rsidR="00B37A22">
        <w:instrText xml:space="preserve">" \s "18 U.S.C. § 6002" \c 2 </w:instrText>
      </w:r>
      <w:r w:rsidR="00B37A22">
        <w:fldChar w:fldCharType="end"/>
      </w:r>
      <w:r>
        <w:t xml:space="preserve">. </w:t>
      </w:r>
    </w:p>
    <w:p w14:paraId="4FB13F5A" w14:textId="2CD96D89" w:rsidR="00FE67E3" w:rsidRPr="00FE67E3" w:rsidRDefault="00FE67E3" w:rsidP="001A75D3">
      <w:pPr>
        <w:pStyle w:val="Heading4"/>
        <w:rPr>
          <w:rFonts w:eastAsia="Times New Roman"/>
        </w:rPr>
      </w:pPr>
      <w:bookmarkStart w:id="8" w:name="_Toc239118279"/>
      <w:r>
        <w:rPr>
          <w:rFonts w:eastAsia="Times New Roman"/>
        </w:rPr>
        <w:t xml:space="preserve">The Government cannot establish that it independently identified Parker as a witness </w:t>
      </w:r>
      <w:r w:rsidRPr="001A75D3">
        <w:t>because</w:t>
      </w:r>
      <w:r>
        <w:rPr>
          <w:rFonts w:eastAsia="Times New Roman"/>
        </w:rPr>
        <w:t xml:space="preserve"> it cannot account for the investigative chain leading to </w:t>
      </w:r>
      <w:r w:rsidR="00501769">
        <w:rPr>
          <w:rFonts w:eastAsia="Times New Roman"/>
        </w:rPr>
        <w:t>the</w:t>
      </w:r>
      <w:r>
        <w:rPr>
          <w:rFonts w:eastAsia="Times New Roman"/>
        </w:rPr>
        <w:t xml:space="preserve"> interview.</w:t>
      </w:r>
      <w:bookmarkEnd w:id="8"/>
    </w:p>
    <w:p w14:paraId="7C30C413" w14:textId="408F9E46" w:rsidR="00E04281" w:rsidRDefault="00E04281" w:rsidP="00E04281">
      <w:pPr>
        <w:pStyle w:val="BodyTextFirstIndent"/>
      </w:pPr>
      <w:r>
        <w:t xml:space="preserve">The Government must do more than claim that the </w:t>
      </w:r>
      <w:r w:rsidR="00357F1F">
        <w:t xml:space="preserve">challenged </w:t>
      </w:r>
      <w:r>
        <w:t xml:space="preserve">evidence would have been discovered absent the compelled testimony. </w:t>
      </w:r>
      <w:r>
        <w:rPr>
          <w:i/>
          <w:iCs/>
        </w:rPr>
        <w:t>See Kastigar</w:t>
      </w:r>
      <w:r>
        <w:t>,</w:t>
      </w:r>
      <w:r>
        <w:rPr>
          <w:i/>
          <w:iCs/>
        </w:rPr>
        <w:t xml:space="preserve"> </w:t>
      </w:r>
      <w:r>
        <w:t>406 U.S. at 460</w:t>
      </w:r>
      <w:r w:rsidR="00B37A22">
        <w:fldChar w:fldCharType="begin"/>
      </w:r>
      <w:r w:rsidR="00B37A22">
        <w:instrText xml:space="preserve"> TA \s "Kastigar" </w:instrText>
      </w:r>
      <w:r w:rsidR="00B37A22">
        <w:fldChar w:fldCharType="end"/>
      </w:r>
      <w:r>
        <w:t>. Rather, “[e]</w:t>
      </w:r>
      <w:proofErr w:type="spellStart"/>
      <w:r>
        <w:t>ach</w:t>
      </w:r>
      <w:proofErr w:type="spellEnd"/>
      <w:r>
        <w:t xml:space="preserve"> step of the investigative chain by which the evidence presented was obtained must be documented or accounted for” to establish its independent source. </w:t>
      </w:r>
      <w:r>
        <w:rPr>
          <w:i/>
          <w:iCs/>
        </w:rPr>
        <w:t>Hampton</w:t>
      </w:r>
      <w:r>
        <w:t>, 775 F.2d at 1490</w:t>
      </w:r>
      <w:r w:rsidR="00B37A22">
        <w:fldChar w:fldCharType="begin"/>
      </w:r>
      <w:r w:rsidR="00B37A22">
        <w:instrText xml:space="preserve"> TA \s "Hampton" </w:instrText>
      </w:r>
      <w:r w:rsidR="00B37A22">
        <w:fldChar w:fldCharType="end"/>
      </w:r>
      <w:r>
        <w:t xml:space="preserve">. Compelled information cannot serve as a “link in the chain of evidence.” </w:t>
      </w:r>
      <w:r>
        <w:rPr>
          <w:i/>
          <w:iCs/>
        </w:rPr>
        <w:t>See Hubbell</w:t>
      </w:r>
      <w:r>
        <w:t>, 530 U.S. at 42</w:t>
      </w:r>
      <w:r w:rsidR="00B37A22">
        <w:fldChar w:fldCharType="begin"/>
      </w:r>
      <w:r w:rsidR="00B37A22">
        <w:instrText xml:space="preserve"> TA \s "Hubbell" </w:instrText>
      </w:r>
      <w:r w:rsidR="00B37A22">
        <w:fldChar w:fldCharType="end"/>
      </w:r>
      <w:r>
        <w:t xml:space="preserve">. </w:t>
      </w:r>
    </w:p>
    <w:p w14:paraId="75DF0815" w14:textId="510F2F35" w:rsidR="00E04281" w:rsidRDefault="00E04281" w:rsidP="00E04281">
      <w:pPr>
        <w:pStyle w:val="BodyTextFirstIndent"/>
      </w:pPr>
      <w:r>
        <w:tab/>
        <w:t xml:space="preserve">In </w:t>
      </w:r>
      <w:r>
        <w:rPr>
          <w:i/>
          <w:iCs/>
        </w:rPr>
        <w:t>Hampton</w:t>
      </w:r>
      <w:r>
        <w:t>, the court acknowledged that even a good-faith assurance of an untainted investigation cannot substitute for affirmative proof of an independent investigative chain. 775 F.2d at 1485</w:t>
      </w:r>
      <w:r w:rsidR="00B37A22">
        <w:fldChar w:fldCharType="begin"/>
      </w:r>
      <w:r w:rsidR="00B37A22">
        <w:instrText xml:space="preserve"> TA \s "Hampton" </w:instrText>
      </w:r>
      <w:r w:rsidR="00B37A22">
        <w:fldChar w:fldCharType="end"/>
      </w:r>
      <w:r>
        <w:t>.</w:t>
      </w:r>
      <w:r>
        <w:rPr>
          <w:i/>
          <w:iCs/>
        </w:rPr>
        <w:t xml:space="preserve"> </w:t>
      </w:r>
      <w:r>
        <w:t xml:space="preserve">There, prosecutors had never personally seen the immunized testimony and genuinely believed the Government had not utilized </w:t>
      </w:r>
      <w:r>
        <w:lastRenderedPageBreak/>
        <w:t xml:space="preserve">it. </w:t>
      </w:r>
      <w:r>
        <w:rPr>
          <w:i/>
          <w:iCs/>
        </w:rPr>
        <w:t xml:space="preserve">Id. </w:t>
      </w:r>
      <w:r>
        <w:t>at 1490</w:t>
      </w:r>
      <w:r w:rsidR="00B37A22">
        <w:fldChar w:fldCharType="begin"/>
      </w:r>
      <w:r w:rsidR="00B37A22">
        <w:instrText xml:space="preserve"> TA \s "Hampton" </w:instrText>
      </w:r>
      <w:r w:rsidR="00B37A22">
        <w:fldChar w:fldCharType="end"/>
      </w:r>
      <w:r>
        <w:t xml:space="preserve">. </w:t>
      </w:r>
      <w:r w:rsidR="00AD3C52">
        <w:t>This</w:t>
      </w:r>
      <w:r>
        <w:t xml:space="preserve"> belief was insufficient because nothing tangible demonstrated how the evidence was actually produced. </w:t>
      </w:r>
      <w:r>
        <w:rPr>
          <w:i/>
          <w:iCs/>
        </w:rPr>
        <w:t>Id</w:t>
      </w:r>
      <w:r w:rsidR="00B37A22">
        <w:rPr>
          <w:i/>
          <w:iCs/>
        </w:rPr>
        <w:fldChar w:fldCharType="begin"/>
      </w:r>
      <w:r w:rsidR="00B37A22">
        <w:instrText xml:space="preserve"> TA \s "Hampton" </w:instrText>
      </w:r>
      <w:r w:rsidR="00B37A22">
        <w:rPr>
          <w:i/>
          <w:iCs/>
        </w:rPr>
        <w:fldChar w:fldCharType="end"/>
      </w:r>
      <w:r>
        <w:t xml:space="preserve">. (citing </w:t>
      </w:r>
      <w:r>
        <w:rPr>
          <w:i/>
          <w:iCs/>
        </w:rPr>
        <w:t>United States v. Nemes</w:t>
      </w:r>
      <w:r>
        <w:t xml:space="preserve">, 555 F.2d 51, 55 (2d Cir. 1977); </w:t>
      </w:r>
      <w:r>
        <w:rPr>
          <w:i/>
          <w:iCs/>
        </w:rPr>
        <w:t>United States v. Tantalo</w:t>
      </w:r>
      <w:r>
        <w:t xml:space="preserve">, 680 F.2d 903, 908 (2d Cir. 1982)); </w:t>
      </w:r>
      <w:r>
        <w:rPr>
          <w:i/>
          <w:iCs/>
        </w:rPr>
        <w:t>see also</w:t>
      </w:r>
      <w:r>
        <w:t xml:space="preserve"> </w:t>
      </w:r>
      <w:r w:rsidRPr="00E04281">
        <w:rPr>
          <w:smallCaps/>
        </w:rPr>
        <w:t>U.S. Dep’t of Just., Criminal Resource Manual</w:t>
      </w:r>
      <w:r>
        <w:t xml:space="preserve"> § 726 (2018)</w:t>
      </w:r>
      <w:r w:rsidR="00B37A22">
        <w:fldChar w:fldCharType="begin"/>
      </w:r>
      <w:r w:rsidR="00B37A22">
        <w:instrText xml:space="preserve"> TA \l "</w:instrText>
      </w:r>
      <w:r w:rsidR="00B37A22" w:rsidRPr="000B4513">
        <w:rPr>
          <w:smallCaps/>
        </w:rPr>
        <w:instrText>U.S. Dep’t of Just., Criminal Resource Manual</w:instrText>
      </w:r>
      <w:r w:rsidR="00B37A22" w:rsidRPr="000B4513">
        <w:instrText xml:space="preserve"> (2018)</w:instrText>
      </w:r>
      <w:r w:rsidR="00B37A22">
        <w:instrText xml:space="preserve">" \s "Criminal Resource Manual" \c 3 </w:instrText>
      </w:r>
      <w:r w:rsidR="00B37A22">
        <w:fldChar w:fldCharType="end"/>
      </w:r>
      <w:r>
        <w:t xml:space="preserve"> (recommending the Government maintain records identifying the dates and sources of obtained evidence). </w:t>
      </w:r>
    </w:p>
    <w:p w14:paraId="0845FF26" w14:textId="107E0F59" w:rsidR="00E04281" w:rsidRDefault="00E04281" w:rsidP="00E04281">
      <w:pPr>
        <w:pStyle w:val="BodyTextFirstIndent"/>
      </w:pPr>
      <w:r>
        <w:t xml:space="preserve">Even where the Government provides more than belief, it must still establish the complete investigative chain. </w:t>
      </w:r>
      <w:r w:rsidR="00B52249">
        <w:t xml:space="preserve">For example, </w:t>
      </w:r>
      <w:r>
        <w:t>independent starting point</w:t>
      </w:r>
      <w:r w:rsidR="00B52249">
        <w:t>s</w:t>
      </w:r>
      <w:r>
        <w:t xml:space="preserve"> cannot fill  gap</w:t>
      </w:r>
      <w:r w:rsidR="00B0273A">
        <w:t>s</w:t>
      </w:r>
      <w:r>
        <w:t xml:space="preserve"> later in that chain. </w:t>
      </w:r>
      <w:r>
        <w:rPr>
          <w:i/>
          <w:iCs/>
        </w:rPr>
        <w:t>See Hubbell</w:t>
      </w:r>
      <w:r>
        <w:t>, 530 U.S. at 41–43</w:t>
      </w:r>
      <w:r w:rsidR="00B37A22">
        <w:fldChar w:fldCharType="begin"/>
      </w:r>
      <w:r w:rsidR="00B37A22">
        <w:instrText xml:space="preserve"> TA \s "Hubbell" </w:instrText>
      </w:r>
      <w:r w:rsidR="00B37A22">
        <w:fldChar w:fldCharType="end"/>
      </w:r>
      <w:r>
        <w:t xml:space="preserve"> (holding the Government </w:t>
      </w:r>
      <w:r w:rsidR="00B0273A">
        <w:t>cannot</w:t>
      </w:r>
      <w:r>
        <w:t xml:space="preserve"> use compelled information to bridge the gap between its prior knowledge and later obtained evidence). </w:t>
      </w:r>
    </w:p>
    <w:p w14:paraId="005A0F7A" w14:textId="4B4D12D2" w:rsidR="00E04281" w:rsidRDefault="00E04281" w:rsidP="00E04281">
      <w:pPr>
        <w:pStyle w:val="BodyTextFirstIndent"/>
      </w:pPr>
      <w:r>
        <w:t xml:space="preserve">Nolan’s own testimony illustrates the same speculative approach that </w:t>
      </w:r>
      <w:r>
        <w:rPr>
          <w:i/>
          <w:iCs/>
        </w:rPr>
        <w:t>Hampton</w:t>
      </w:r>
      <w:r>
        <w:t xml:space="preserve"> held insufficient. It was Nolan’s good-faith belief that because Parker appeared on a preexisting list of employees, they “would’ve found [the storage unit] one way or another.” CF 32–33. That could be the case, but </w:t>
      </w:r>
      <w:r>
        <w:rPr>
          <w:i/>
          <w:iCs/>
        </w:rPr>
        <w:t>Kastigar</w:t>
      </w:r>
      <w:r>
        <w:t xml:space="preserve"> is not an inevitable-discovery test. </w:t>
      </w:r>
      <w:r>
        <w:rPr>
          <w:i/>
          <w:iCs/>
        </w:rPr>
        <w:t xml:space="preserve">See </w:t>
      </w:r>
      <w:r>
        <w:t>406 U.S. at 460</w:t>
      </w:r>
      <w:r w:rsidR="00B37A22">
        <w:fldChar w:fldCharType="begin"/>
      </w:r>
      <w:r w:rsidR="00B37A22">
        <w:instrText xml:space="preserve"> TA \s "Kastigar" </w:instrText>
      </w:r>
      <w:r w:rsidR="00B37A22">
        <w:fldChar w:fldCharType="end"/>
      </w:r>
      <w:r>
        <w:t xml:space="preserve">. Rather, the Government must show independence at each step of the investigation that actually led to Parker’s interview. </w:t>
      </w:r>
      <w:r>
        <w:rPr>
          <w:i/>
          <w:iCs/>
        </w:rPr>
        <w:t>See Hubbell</w:t>
      </w:r>
      <w:r>
        <w:t>, 530 U.S. at 42</w:t>
      </w:r>
      <w:r w:rsidR="00B37A22">
        <w:fldChar w:fldCharType="begin"/>
      </w:r>
      <w:r w:rsidR="00B37A22">
        <w:instrText xml:space="preserve"> TA \s "Hubbell" </w:instrText>
      </w:r>
      <w:r w:rsidR="00B37A22">
        <w:fldChar w:fldCharType="end"/>
      </w:r>
      <w:r>
        <w:t xml:space="preserve">; </w:t>
      </w:r>
      <w:r>
        <w:rPr>
          <w:i/>
          <w:iCs/>
        </w:rPr>
        <w:t>Hampton</w:t>
      </w:r>
      <w:r>
        <w:t>, 775 F.2d at 1490</w:t>
      </w:r>
      <w:r w:rsidR="00B37A22">
        <w:fldChar w:fldCharType="begin"/>
      </w:r>
      <w:r w:rsidR="00B37A22">
        <w:instrText xml:space="preserve"> TA \s "Hampton" </w:instrText>
      </w:r>
      <w:r w:rsidR="00B37A22">
        <w:fldChar w:fldCharType="end"/>
      </w:r>
      <w:r>
        <w:t>. No matter how hard the Government tries, it cannot satisfy this with a prediction.</w:t>
      </w:r>
    </w:p>
    <w:p w14:paraId="46CFF91E" w14:textId="32F0F09D" w:rsidR="00FE67E3" w:rsidRPr="00E04281" w:rsidRDefault="00E04281" w:rsidP="00E04281">
      <w:pPr>
        <w:pStyle w:val="BodyTextFirstIndent"/>
      </w:pPr>
      <w:r>
        <w:lastRenderedPageBreak/>
        <w:t xml:space="preserve">Even where the Government offers more than belief, its claimed path establishes only a starting point. Before the immunity order, the Government possessed a roster of approximately one hundred SP employees, including Parker. CF 18, Ex. 10. That is it. CF 22, 32–33. After the immunity order, the investigative path from that roster to Parker becomes uncertain. While the Government produced a to-do list and a prioritized interview list, neither is dated. CF 29–31, Ex. 16, 17. Nolan’s testimony </w:t>
      </w:r>
      <w:r w:rsidR="00B0273A">
        <w:t>claiming</w:t>
      </w:r>
      <w:r>
        <w:t xml:space="preserve"> when the documents were created cannot cure their incompleteness. The Government must account for every step, not merely offer a belief as to when steps occurred. </w:t>
      </w:r>
      <w:r>
        <w:rPr>
          <w:i/>
          <w:iCs/>
        </w:rPr>
        <w:t>Hampton</w:t>
      </w:r>
      <w:r>
        <w:t>, 775 F.2d at 1490</w:t>
      </w:r>
      <w:r w:rsidR="00B37A22">
        <w:fldChar w:fldCharType="begin"/>
      </w:r>
      <w:r w:rsidR="00B37A22">
        <w:instrText xml:space="preserve"> TA \s "Hampton" </w:instrText>
      </w:r>
      <w:r w:rsidR="00B37A22">
        <w:fldChar w:fldCharType="end"/>
      </w:r>
      <w:r>
        <w:t>. Additionally, reliance on recollection disregards the Department of Justice’s own recommendation to maintain dat</w:t>
      </w:r>
      <w:r w:rsidR="00AD3C52">
        <w:t>ed</w:t>
      </w:r>
      <w:r>
        <w:t xml:space="preserve"> </w:t>
      </w:r>
      <w:r w:rsidR="00AD3C52">
        <w:t>records</w:t>
      </w:r>
      <w:r>
        <w:t xml:space="preserve">. </w:t>
      </w:r>
      <w:r>
        <w:rPr>
          <w:i/>
          <w:iCs/>
        </w:rPr>
        <w:t xml:space="preserve">See </w:t>
      </w:r>
      <w:r w:rsidR="00DF4FB4" w:rsidRPr="00E04281">
        <w:rPr>
          <w:smallCaps/>
        </w:rPr>
        <w:t>U.S. Dep’t of Just., Criminal Resource Manual</w:t>
      </w:r>
      <w:r>
        <w:t xml:space="preserve"> § 726 (2018)</w:t>
      </w:r>
      <w:r w:rsidR="00B37A22">
        <w:fldChar w:fldCharType="begin"/>
      </w:r>
      <w:r w:rsidR="00B37A22">
        <w:instrText xml:space="preserve"> TA \s "Criminal Resource Manual" </w:instrText>
      </w:r>
      <w:r w:rsidR="00B37A22">
        <w:fldChar w:fldCharType="end"/>
      </w:r>
      <w:r>
        <w:t xml:space="preserve">. </w:t>
      </w:r>
      <w:r w:rsidR="00AD3C52">
        <w:t>Undated</w:t>
      </w:r>
      <w:r>
        <w:t xml:space="preserve"> documents cannot establish when Nolan prioritized Parker or what led them to do so. Thus, the employee roster alone cannot establish that Calloway’s testimony did not supply the missing “link in the chain of evidence” between Parker’s name and the eventual interview. </w:t>
      </w:r>
      <w:r>
        <w:rPr>
          <w:i/>
          <w:iCs/>
        </w:rPr>
        <w:t>See Hubbell</w:t>
      </w:r>
      <w:r>
        <w:t>, 530 U.S. at 41–43</w:t>
      </w:r>
      <w:r w:rsidR="00B37A22">
        <w:fldChar w:fldCharType="begin"/>
      </w:r>
      <w:r w:rsidR="00B37A22">
        <w:instrText xml:space="preserve"> TA \s "Hubbell" </w:instrText>
      </w:r>
      <w:r w:rsidR="00B37A22">
        <w:fldChar w:fldCharType="end"/>
      </w:r>
      <w:r>
        <w:t>.</w:t>
      </w:r>
    </w:p>
    <w:p w14:paraId="71601DE7" w14:textId="4B9E7517" w:rsidR="00FE67E3" w:rsidRPr="00FE67E3" w:rsidRDefault="00FE67E3" w:rsidP="001A75D3">
      <w:pPr>
        <w:pStyle w:val="Heading4"/>
        <w:rPr>
          <w:rFonts w:eastAsia="Times New Roman"/>
        </w:rPr>
      </w:pPr>
      <w:bookmarkStart w:id="9" w:name="_Toc239118280"/>
      <w:r>
        <w:rPr>
          <w:rFonts w:eastAsia="Times New Roman"/>
        </w:rPr>
        <w:t>Even if investigators independently selected Parker for an interview, the Government cannot establish that Parker’s resulting testimony developed independently</w:t>
      </w:r>
      <w:r w:rsidR="0047104C">
        <w:rPr>
          <w:rFonts w:eastAsia="Times New Roman"/>
        </w:rPr>
        <w:t>.</w:t>
      </w:r>
      <w:bookmarkEnd w:id="9"/>
    </w:p>
    <w:p w14:paraId="62AE9AD9" w14:textId="4607D864" w:rsidR="00DF4FB4" w:rsidRDefault="00DF4FB4" w:rsidP="00DF4FB4">
      <w:pPr>
        <w:pStyle w:val="BodyTextFirstIndent"/>
      </w:pPr>
      <w:r>
        <w:rPr>
          <w:i/>
          <w:iCs/>
        </w:rPr>
        <w:t>Kastigar</w:t>
      </w:r>
      <w:r>
        <w:t xml:space="preserve"> bars compelled testimony from serving as an “investigatory lead,” including the use of evidence obtained by “focusing investigation on a witness [because] of . . . compelled disclosures.” 406 U.S. at 460</w:t>
      </w:r>
      <w:r w:rsidR="00B37A22">
        <w:fldChar w:fldCharType="begin"/>
      </w:r>
      <w:r w:rsidR="00B37A22">
        <w:instrText xml:space="preserve"> TA \s "Kastigar" </w:instrText>
      </w:r>
      <w:r w:rsidR="00B37A22">
        <w:fldChar w:fldCharType="end"/>
      </w:r>
      <w:r>
        <w:t xml:space="preserve">. When witness testimony </w:t>
      </w:r>
      <w:r>
        <w:lastRenderedPageBreak/>
        <w:t>is the challenged evidence, courts conduct a “factual inquiry” into the “presence or absence of causal links” between the defendant’s immunized testimony and the witness</w:t>
      </w:r>
      <w:r w:rsidR="00AD3C52">
        <w:t>’</w:t>
      </w:r>
      <w:r>
        <w:t xml:space="preserve">s testimony. </w:t>
      </w:r>
      <w:r>
        <w:rPr>
          <w:i/>
          <w:iCs/>
        </w:rPr>
        <w:t>North</w:t>
      </w:r>
      <w:r>
        <w:t>, 920 F.2d at 946</w:t>
      </w:r>
      <w:r w:rsidR="00B37A22">
        <w:fldChar w:fldCharType="begin"/>
      </w:r>
      <w:r w:rsidR="00B37A22">
        <w:instrText xml:space="preserve"> TA \s "North (920)" </w:instrText>
      </w:r>
      <w:r w:rsidR="00B37A22">
        <w:fldChar w:fldCharType="end"/>
      </w:r>
      <w:r>
        <w:t xml:space="preserve">. </w:t>
      </w:r>
    </w:p>
    <w:p w14:paraId="5F7768DF" w14:textId="2B18435E" w:rsidR="00DF4FB4" w:rsidRDefault="00DF4FB4" w:rsidP="00DF4FB4">
      <w:pPr>
        <w:pStyle w:val="BodyTextFirstIndent"/>
        <w:rPr>
          <w:i/>
          <w:iCs/>
        </w:rPr>
      </w:pPr>
      <w:r>
        <w:t xml:space="preserve">Applying this, courts look beyond whether a witness was independently identified or selected. </w:t>
      </w:r>
      <w:r>
        <w:rPr>
          <w:i/>
          <w:iCs/>
        </w:rPr>
        <w:t xml:space="preserve">See </w:t>
      </w:r>
      <w:r w:rsidR="00AD3C52">
        <w:rPr>
          <w:i/>
          <w:iCs/>
        </w:rPr>
        <w:t>i</w:t>
      </w:r>
      <w:r w:rsidR="00446FC2">
        <w:rPr>
          <w:i/>
          <w:iCs/>
        </w:rPr>
        <w:t>d.</w:t>
      </w:r>
      <w:r w:rsidR="00446FC2">
        <w:t xml:space="preserve"> </w:t>
      </w:r>
      <w:r>
        <w:t>at 942–46</w:t>
      </w:r>
      <w:r w:rsidR="00B37A22">
        <w:fldChar w:fldCharType="begin"/>
      </w:r>
      <w:r w:rsidR="00B37A22">
        <w:instrText xml:space="preserve"> TA \s "North (920)" </w:instrText>
      </w:r>
      <w:r w:rsidR="00B37A22">
        <w:fldChar w:fldCharType="end"/>
      </w:r>
      <w:r>
        <w:t xml:space="preserve">; </w:t>
      </w:r>
      <w:r>
        <w:rPr>
          <w:i/>
          <w:iCs/>
        </w:rPr>
        <w:t>United States v. Schmidgall</w:t>
      </w:r>
      <w:r>
        <w:t>, 25 F.3d 1523, 1528 (11th Cir. 1994)</w:t>
      </w:r>
      <w:r w:rsidR="00B37A22">
        <w:fldChar w:fldCharType="begin"/>
      </w:r>
      <w:r w:rsidR="00B37A22">
        <w:instrText xml:space="preserve"> TA \l "</w:instrText>
      </w:r>
      <w:r w:rsidR="00B37A22" w:rsidRPr="000B4513">
        <w:rPr>
          <w:i/>
          <w:iCs/>
        </w:rPr>
        <w:instrText>United States v. Schmidgall</w:instrText>
      </w:r>
      <w:r w:rsidR="00B37A22" w:rsidRPr="000B4513">
        <w:instrText>, 25 F.3d 1523 (11th Cir. 1994)</w:instrText>
      </w:r>
      <w:r w:rsidR="00B37A22">
        <w:instrText xml:space="preserve">" \s "Schmidgall" \c 1 </w:instrText>
      </w:r>
      <w:r w:rsidR="00B37A22">
        <w:fldChar w:fldCharType="end"/>
      </w:r>
      <w:r>
        <w:t xml:space="preserve">. For example, in </w:t>
      </w:r>
      <w:r>
        <w:rPr>
          <w:i/>
          <w:iCs/>
        </w:rPr>
        <w:t>North</w:t>
      </w:r>
      <w:r>
        <w:t>, several witnesses were exposed to the defendant’s immunized testimony. 920 F.2d at 942</w:t>
      </w:r>
      <w:r w:rsidR="00B37A22">
        <w:fldChar w:fldCharType="begin"/>
      </w:r>
      <w:r w:rsidR="00B37A22">
        <w:instrText xml:space="preserve"> TA \s "North (920)" </w:instrText>
      </w:r>
      <w:r w:rsidR="00B37A22">
        <w:fldChar w:fldCharType="end"/>
      </w:r>
      <w:r>
        <w:t xml:space="preserve">. There, the D.C. Circuit explained that </w:t>
      </w:r>
      <w:r>
        <w:rPr>
          <w:i/>
          <w:iCs/>
        </w:rPr>
        <w:t>Kastigar</w:t>
      </w:r>
      <w:r>
        <w:t xml:space="preserve"> is violated “whenever the prosecution puts on a witness whose testimony is shaped, directly or indirectly, by compelled testimony.” </w:t>
      </w:r>
      <w:r>
        <w:rPr>
          <w:i/>
          <w:iCs/>
        </w:rPr>
        <w:t>Id</w:t>
      </w:r>
      <w:r w:rsidR="00446FC2">
        <w:rPr>
          <w:i/>
          <w:iCs/>
        </w:rPr>
        <w:t>.</w:t>
      </w:r>
      <w:r w:rsidR="00B37A22">
        <w:rPr>
          <w:i/>
          <w:iCs/>
        </w:rPr>
        <w:fldChar w:fldCharType="begin"/>
      </w:r>
      <w:r w:rsidR="00B37A22">
        <w:instrText xml:space="preserve"> TA \s "North (920)" </w:instrText>
      </w:r>
      <w:r w:rsidR="00B37A22">
        <w:rPr>
          <w:i/>
          <w:iCs/>
        </w:rPr>
        <w:fldChar w:fldCharType="end"/>
      </w:r>
      <w:r>
        <w:t xml:space="preserve">; </w:t>
      </w:r>
      <w:r>
        <w:rPr>
          <w:i/>
          <w:iCs/>
        </w:rPr>
        <w:t>see also Schmidgall</w:t>
      </w:r>
      <w:r>
        <w:t>, 25 F.3d at 1528–29</w:t>
      </w:r>
      <w:r w:rsidR="00B37A22">
        <w:fldChar w:fldCharType="begin"/>
      </w:r>
      <w:r w:rsidR="00B37A22">
        <w:instrText xml:space="preserve"> TA \s "Schmidgall" </w:instrText>
      </w:r>
      <w:r w:rsidR="00B37A22">
        <w:fldChar w:fldCharType="end"/>
      </w:r>
      <w:r>
        <w:t xml:space="preserve"> (holding the Government failed to prove the questioning of a witness was not shaped by immunized testimony). To establish that a witness’s testimony was not shaped, the Government bears the burden of proving its witnesses “did not draw upon the immunized testimony</w:t>
      </w:r>
      <w:r w:rsidR="00AD3C52">
        <w:t xml:space="preserve"> . . . .</w:t>
      </w:r>
      <w:r>
        <w:t xml:space="preserve">” </w:t>
      </w:r>
      <w:r>
        <w:rPr>
          <w:i/>
          <w:iCs/>
        </w:rPr>
        <w:t>North</w:t>
      </w:r>
      <w:r>
        <w:t>, 920 F.2d at 943</w:t>
      </w:r>
      <w:r w:rsidR="00B37A22">
        <w:fldChar w:fldCharType="begin"/>
      </w:r>
      <w:r w:rsidR="00B37A22">
        <w:instrText xml:space="preserve"> TA \s "North (920)" </w:instrText>
      </w:r>
      <w:r w:rsidR="00B37A22">
        <w:fldChar w:fldCharType="end"/>
      </w:r>
      <w:r>
        <w:t xml:space="preserve">. Thus, neither the witness’s testimony nor the questioning that elicited it may be influenced by the compelled testimony. </w:t>
      </w:r>
    </w:p>
    <w:p w14:paraId="02FF1E63" w14:textId="77777777" w:rsidR="00DF4FB4" w:rsidRDefault="00DF4FB4" w:rsidP="00DF4FB4">
      <w:pPr>
        <w:pStyle w:val="BodyTextFirstIndent"/>
        <w:rPr>
          <w:i/>
          <w:iCs/>
        </w:rPr>
      </w:pPr>
      <w:r>
        <w:t xml:space="preserve">Here, the facts strongly indicate a causal link between Calloway and Parker’s testimony. Before any immunized testimony, the Government knew an argument occurred on December 10, 2023, but did not know its substance. CF 20–22. Then,  Calloway’s testimony at Donovan’s trial identified Parker. Ex. 13. Shortly after the trial, Nolan interviewed Parker and prompted testimony regarding that same </w:t>
      </w:r>
      <w:r>
        <w:lastRenderedPageBreak/>
        <w:t xml:space="preserve">confrontation. CF 32. During that interview, Parker also disclosed the previously unknown storage unit where Exhibit 19 was later discovered. </w:t>
      </w:r>
      <w:r>
        <w:rPr>
          <w:i/>
          <w:iCs/>
        </w:rPr>
        <w:t>Id.</w:t>
      </w:r>
    </w:p>
    <w:p w14:paraId="54A024AA" w14:textId="7DBF910A" w:rsidR="007F4630" w:rsidRDefault="00DF4FB4" w:rsidP="00DF4FB4">
      <w:pPr>
        <w:pStyle w:val="BodyTextFirstIndent"/>
        <w:rPr>
          <w:i/>
          <w:iCs/>
        </w:rPr>
      </w:pPr>
      <w:r>
        <w:t xml:space="preserve">This chronology creates uncertainty that the Government cannot cure through mere denial. Yet, that is all it has offered despite the fact that Calloway’s testimony was broadcast publicly, and Sinclair and Nolan continued to meet after the wall was erected. CF 22, 31, 42. While Parker and Nolan deny exposure to the broadcasts, and Sinclair and Nolan deny discussing the investigation, those assurances do not establish that Calloway’s disclosures did not shape Parker’s testimony. CF 22, 31. They certainly do not answer whether the questions used to elicit Parker’s testimony were developed independently. </w:t>
      </w:r>
      <w:r>
        <w:rPr>
          <w:i/>
          <w:iCs/>
        </w:rPr>
        <w:t>See Schmidgall</w:t>
      </w:r>
      <w:r>
        <w:t>, 25 F.3d at 1528–29</w:t>
      </w:r>
      <w:r w:rsidR="00B37A22">
        <w:fldChar w:fldCharType="begin"/>
      </w:r>
      <w:r w:rsidR="00B37A22">
        <w:instrText xml:space="preserve"> TA \s "Schmidgall" </w:instrText>
      </w:r>
      <w:r w:rsidR="00B37A22">
        <w:fldChar w:fldCharType="end"/>
      </w:r>
      <w:r>
        <w:t xml:space="preserve">. Because the burden of disproving stands with the Government, these unresolved causal questions prevent it from carrying its burden as to Parker’s testimony. </w:t>
      </w:r>
      <w:r>
        <w:rPr>
          <w:i/>
          <w:iCs/>
        </w:rPr>
        <w:t>See North</w:t>
      </w:r>
      <w:r>
        <w:t>, 920 F.2d at 943–46</w:t>
      </w:r>
      <w:r w:rsidR="00B37A22">
        <w:fldChar w:fldCharType="begin"/>
      </w:r>
      <w:r w:rsidR="00B37A22">
        <w:instrText xml:space="preserve"> TA \s "North (920)" </w:instrText>
      </w:r>
      <w:r w:rsidR="00B37A22">
        <w:fldChar w:fldCharType="end"/>
      </w:r>
      <w:r>
        <w:t xml:space="preserve">; </w:t>
      </w:r>
      <w:r>
        <w:rPr>
          <w:i/>
          <w:iCs/>
        </w:rPr>
        <w:t>Kastigar</w:t>
      </w:r>
      <w:r>
        <w:t>, 406 U.S. at 460</w:t>
      </w:r>
      <w:r w:rsidR="00B37A22">
        <w:fldChar w:fldCharType="begin"/>
      </w:r>
      <w:r w:rsidR="00B37A22">
        <w:instrText xml:space="preserve"> TA \s "Kastigar" </w:instrText>
      </w:r>
      <w:r w:rsidR="00B37A22">
        <w:fldChar w:fldCharType="end"/>
      </w:r>
      <w:r>
        <w:t>.</w:t>
      </w:r>
    </w:p>
    <w:p w14:paraId="64038539" w14:textId="61807092" w:rsidR="00FE67E3" w:rsidRDefault="00FE67E3" w:rsidP="001A75D3">
      <w:pPr>
        <w:pStyle w:val="Heading4"/>
        <w:rPr>
          <w:rFonts w:eastAsia="Times New Roman"/>
        </w:rPr>
      </w:pPr>
      <w:bookmarkStart w:id="10" w:name="_Toc239118281"/>
      <w:r>
        <w:rPr>
          <w:rFonts w:eastAsia="Times New Roman"/>
        </w:rPr>
        <w:t>Exhibit 19 must be suppressed because it was derived entirely from Parker’s testimony.</w:t>
      </w:r>
      <w:bookmarkEnd w:id="10"/>
      <w:r>
        <w:rPr>
          <w:rFonts w:eastAsia="Times New Roman"/>
        </w:rPr>
        <w:t xml:space="preserve"> </w:t>
      </w:r>
    </w:p>
    <w:p w14:paraId="2EB48B3A" w14:textId="2ECD60DE" w:rsidR="00DF4FB4" w:rsidRDefault="00DF4FB4" w:rsidP="00DF4FB4">
      <w:pPr>
        <w:pStyle w:val="BodyTextFirstIndent"/>
      </w:pPr>
      <w:r>
        <w:t xml:space="preserve">Where evidence stems from a tainted source, § 6002 requires the Government to establish a source independent from compelled testimony. </w:t>
      </w:r>
      <w:r>
        <w:rPr>
          <w:i/>
          <w:iCs/>
        </w:rPr>
        <w:t>See Kastigar</w:t>
      </w:r>
      <w:r>
        <w:t>, 406 U.S. at 460</w:t>
      </w:r>
      <w:r w:rsidR="00B37A22">
        <w:fldChar w:fldCharType="begin"/>
      </w:r>
      <w:r w:rsidR="00B37A22">
        <w:instrText xml:space="preserve"> TA \s "Kastigar" </w:instrText>
      </w:r>
      <w:r w:rsidR="00B37A22">
        <w:fldChar w:fldCharType="end"/>
      </w:r>
      <w:r>
        <w:t xml:space="preserve">. Absent such a source, the evidence must be suppressed. </w:t>
      </w:r>
    </w:p>
    <w:p w14:paraId="6642E0BC" w14:textId="698659DA" w:rsidR="00DF4FB4" w:rsidRPr="00DF4FB4" w:rsidRDefault="00DF4FB4" w:rsidP="00DF4FB4">
      <w:pPr>
        <w:pStyle w:val="BodyTextFirstIndent"/>
        <w:rPr>
          <w:b/>
          <w:bCs/>
        </w:rPr>
      </w:pPr>
      <w:r>
        <w:t xml:space="preserve">Here, the connection between Parker’s tainted testimony and Exhibit 19 is direct. The Government cannot prove that it independently reached Parker or that Parker’s resulting testimony developed independently of Calloway’s compelled testimony. </w:t>
      </w:r>
      <w:r>
        <w:lastRenderedPageBreak/>
        <w:t>Because Parker disclosed the storage unit</w:t>
      </w:r>
      <w:r w:rsidR="00501769">
        <w:t xml:space="preserve"> where</w:t>
      </w:r>
      <w:r>
        <w:t xml:space="preserve"> investigators discover</w:t>
      </w:r>
      <w:r w:rsidR="00501769">
        <w:t>ed</w:t>
      </w:r>
      <w:r>
        <w:t xml:space="preserve"> Exhibit 19, </w:t>
      </w:r>
      <w:r w:rsidR="00501769">
        <w:t>it</w:t>
      </w:r>
      <w:r>
        <w:t xml:space="preserve"> shares Parker’s taint and both must be suppressed. CF 32–33.</w:t>
      </w:r>
    </w:p>
    <w:p w14:paraId="3A67CDAB" w14:textId="21ED1D8D" w:rsidR="008775A5" w:rsidRPr="005F0495" w:rsidRDefault="008775A5" w:rsidP="001A75D3">
      <w:pPr>
        <w:pStyle w:val="Heading2"/>
      </w:pPr>
      <w:bookmarkStart w:id="11" w:name="_Toc239118282"/>
      <w:r w:rsidRPr="005F0495">
        <w:t xml:space="preserve">the </w:t>
      </w:r>
      <w:r w:rsidR="00D65367">
        <w:t xml:space="preserve">government’s </w:t>
      </w:r>
      <w:r w:rsidRPr="005F0495">
        <w:t xml:space="preserve">subpoena duces tecum must be quashed because </w:t>
      </w:r>
      <w:r w:rsidR="00F4626B">
        <w:t xml:space="preserve">Armana’s records </w:t>
      </w:r>
      <w:r w:rsidR="00301551">
        <w:t xml:space="preserve">of the Seton interview </w:t>
      </w:r>
      <w:r w:rsidRPr="005F0495">
        <w:t>are protected under work-product privilege.</w:t>
      </w:r>
      <w:bookmarkEnd w:id="11"/>
    </w:p>
    <w:p w14:paraId="51D10706" w14:textId="25DE8020" w:rsidR="008775A5" w:rsidRDefault="00227506" w:rsidP="001141FF">
      <w:pPr>
        <w:pStyle w:val="BodyTextFirstIndent"/>
      </w:pPr>
      <w:r>
        <w:t xml:space="preserve">The work-product privilege was applied to criminal cases by the Supreme Court in </w:t>
      </w:r>
      <w:r>
        <w:rPr>
          <w:i/>
          <w:iCs/>
        </w:rPr>
        <w:t>United States v. Nobles</w:t>
      </w:r>
      <w:r w:rsidR="001141FF">
        <w:t>.</w:t>
      </w:r>
      <w:r>
        <w:t xml:space="preserve"> </w:t>
      </w:r>
      <w:r w:rsidR="001141FF">
        <w:t>422 U.S. 225, 236–37</w:t>
      </w:r>
      <w:r w:rsidR="000F6846">
        <w:t xml:space="preserve"> (1975)</w:t>
      </w:r>
      <w:r w:rsidR="00B37A22">
        <w:fldChar w:fldCharType="begin"/>
      </w:r>
      <w:r w:rsidR="00B37A22">
        <w:instrText xml:space="preserve"> TA \l "</w:instrText>
      </w:r>
      <w:r w:rsidR="00B37A22" w:rsidRPr="000B4513">
        <w:rPr>
          <w:i/>
          <w:iCs/>
        </w:rPr>
        <w:instrText>United States v. Nobles</w:instrText>
      </w:r>
      <w:r w:rsidR="00B37A22" w:rsidRPr="000B4513">
        <w:instrText>, 422 U.S. 225 (1975)</w:instrText>
      </w:r>
      <w:r w:rsidR="00B37A22">
        <w:instrText xml:space="preserve">" \s "Nobles" \c 1 </w:instrText>
      </w:r>
      <w:r w:rsidR="00B37A22">
        <w:fldChar w:fldCharType="end"/>
      </w:r>
      <w:r w:rsidR="001141FF">
        <w:t xml:space="preserve">. </w:t>
      </w:r>
      <w:r w:rsidR="005F0495">
        <w:t xml:space="preserve">The work-product </w:t>
      </w:r>
      <w:r w:rsidR="0014441F">
        <w:t xml:space="preserve">doctrine “shelters the mental processes of the attorney, providing a privileged area within which he can analyze and prepare his client’s case.” </w:t>
      </w:r>
      <w:r w:rsidR="0090508C">
        <w:rPr>
          <w:i/>
          <w:iCs/>
        </w:rPr>
        <w:t>Id.</w:t>
      </w:r>
      <w:r w:rsidR="0090508C">
        <w:t xml:space="preserve"> </w:t>
      </w:r>
      <w:r w:rsidR="00F4626B">
        <w:t>at 238</w:t>
      </w:r>
      <w:r w:rsidR="00B37A22">
        <w:fldChar w:fldCharType="begin"/>
      </w:r>
      <w:r w:rsidR="00B37A22">
        <w:instrText xml:space="preserve"> TA \s "Nobles" </w:instrText>
      </w:r>
      <w:r w:rsidR="00B37A22">
        <w:fldChar w:fldCharType="end"/>
      </w:r>
      <w:r w:rsidR="00F4626B">
        <w:t xml:space="preserve">. </w:t>
      </w:r>
      <w:r w:rsidR="00D9531F">
        <w:t>Accordingly</w:t>
      </w:r>
      <w:r w:rsidR="0014441F">
        <w:t xml:space="preserve">, </w:t>
      </w:r>
      <w:r w:rsidR="00365E71">
        <w:t xml:space="preserve">documents or records created by an attorney in the anticipation of litigation are protected. </w:t>
      </w:r>
      <w:r w:rsidR="00CB061B">
        <w:rPr>
          <w:i/>
          <w:iCs/>
        </w:rPr>
        <w:t>Id.</w:t>
      </w:r>
      <w:r w:rsidR="00B37A22">
        <w:rPr>
          <w:i/>
          <w:iCs/>
        </w:rPr>
        <w:fldChar w:fldCharType="begin"/>
      </w:r>
      <w:r w:rsidR="00B37A22">
        <w:instrText xml:space="preserve"> TA \s "Nobles" </w:instrText>
      </w:r>
      <w:r w:rsidR="00B37A22">
        <w:rPr>
          <w:i/>
          <w:iCs/>
        </w:rPr>
        <w:fldChar w:fldCharType="end"/>
      </w:r>
      <w:r w:rsidR="00365E71">
        <w:t xml:space="preserve"> (quoting </w:t>
      </w:r>
      <w:r w:rsidR="00365E71">
        <w:rPr>
          <w:i/>
          <w:iCs/>
        </w:rPr>
        <w:t>Hickman v. Taylor</w:t>
      </w:r>
      <w:r w:rsidR="00365E71">
        <w:t xml:space="preserve">, 329 U.S. 495, 508 (1947)); </w:t>
      </w:r>
      <w:r w:rsidR="00106426" w:rsidRPr="00106426">
        <w:rPr>
          <w:rFonts w:cs="Times New Roman (Body CS)"/>
          <w:smallCaps/>
        </w:rPr>
        <w:t>Fed. R. Evid.</w:t>
      </w:r>
      <w:r w:rsidR="00106426">
        <w:t xml:space="preserve"> 502(g)(2)</w:t>
      </w:r>
      <w:r w:rsidR="00B37A22">
        <w:fldChar w:fldCharType="begin"/>
      </w:r>
      <w:r w:rsidR="00B37A22">
        <w:instrText xml:space="preserve"> TA \l "</w:instrText>
      </w:r>
      <w:r w:rsidR="00B37A22" w:rsidRPr="000B4513">
        <w:rPr>
          <w:rFonts w:cs="Times New Roman (Body CS)"/>
          <w:smallCaps/>
        </w:rPr>
        <w:instrText>Fed. R. Evid.</w:instrText>
      </w:r>
      <w:r w:rsidR="00B37A22" w:rsidRPr="000B4513">
        <w:instrText xml:space="preserve"> 502</w:instrText>
      </w:r>
      <w:r w:rsidR="00B37A22">
        <w:instrText xml:space="preserve">" \s "Fed. R. Evid. 502" \c 4 </w:instrText>
      </w:r>
      <w:r w:rsidR="00B37A22">
        <w:fldChar w:fldCharType="end"/>
      </w:r>
      <w:r w:rsidR="00106426">
        <w:t>.</w:t>
      </w:r>
      <w:r w:rsidR="00365E71">
        <w:t xml:space="preserve"> </w:t>
      </w:r>
    </w:p>
    <w:p w14:paraId="17E5690E" w14:textId="07BA0074" w:rsidR="00C307E6" w:rsidRDefault="00C307E6" w:rsidP="006E3D3A">
      <w:pPr>
        <w:pStyle w:val="BodyTextFirstIndent"/>
      </w:pPr>
      <w:r>
        <w:t>However, work-product privilege is not exclusive to attorney</w:t>
      </w:r>
      <w:r w:rsidR="00F4626B">
        <w:t>s</w:t>
      </w:r>
      <w:r>
        <w:t xml:space="preserve">. </w:t>
      </w:r>
      <w:r w:rsidR="00F4626B">
        <w:t>It</w:t>
      </w:r>
      <w:r>
        <w:t xml:space="preserve"> also extends to </w:t>
      </w:r>
      <w:r w:rsidR="006D3D91">
        <w:t>the attorney’s agents</w:t>
      </w:r>
      <w:r>
        <w:t xml:space="preserve">, </w:t>
      </w:r>
      <w:r w:rsidR="00F50305">
        <w:t>such as</w:t>
      </w:r>
      <w:r>
        <w:t xml:space="preserve"> private investigators. </w:t>
      </w:r>
      <w:r w:rsidR="00B37A22">
        <w:rPr>
          <w:i/>
          <w:iCs/>
        </w:rPr>
        <w:t>Nobles</w:t>
      </w:r>
      <w:r w:rsidR="00B37A22">
        <w:t>, 422 U.S. at</w:t>
      </w:r>
      <w:r>
        <w:t xml:space="preserve"> 238–39</w:t>
      </w:r>
      <w:r w:rsidR="00B37A22">
        <w:fldChar w:fldCharType="begin"/>
      </w:r>
      <w:r w:rsidR="00B37A22">
        <w:instrText xml:space="preserve"> TA \s "Nobles" </w:instrText>
      </w:r>
      <w:r w:rsidR="00B37A22">
        <w:fldChar w:fldCharType="end"/>
      </w:r>
      <w:r>
        <w:t xml:space="preserve">; </w:t>
      </w:r>
      <w:r w:rsidRPr="00F367DB">
        <w:rPr>
          <w:rFonts w:cs="Times New Roman (Body CS)"/>
          <w:smallCaps/>
        </w:rPr>
        <w:t>Fed. R. Crim. P.</w:t>
      </w:r>
      <w:r>
        <w:t xml:space="preserve"> 16(b)(2)</w:t>
      </w:r>
      <w:r w:rsidR="00B37A22">
        <w:fldChar w:fldCharType="begin"/>
      </w:r>
      <w:r w:rsidR="00B37A22">
        <w:instrText xml:space="preserve"> TA \l "</w:instrText>
      </w:r>
      <w:r w:rsidR="00B37A22" w:rsidRPr="000B4513">
        <w:rPr>
          <w:rFonts w:cs="Times New Roman (Body CS)"/>
          <w:smallCaps/>
        </w:rPr>
        <w:instrText>Fed. R. Crim. P.</w:instrText>
      </w:r>
      <w:r w:rsidR="00B37A22" w:rsidRPr="000B4513">
        <w:instrText xml:space="preserve"> 16</w:instrText>
      </w:r>
      <w:r w:rsidR="00B37A22">
        <w:instrText xml:space="preserve">" \s "Fed. R. Crim. P. 16" \c 4 </w:instrText>
      </w:r>
      <w:r w:rsidR="00B37A22">
        <w:fldChar w:fldCharType="end"/>
      </w:r>
      <w:r>
        <w:t>.</w:t>
      </w:r>
      <w:r w:rsidR="00E92765">
        <w:t xml:space="preserve"> A</w:t>
      </w:r>
      <w:r>
        <w:t xml:space="preserve">ttorneys frequently rely on the help of private investigators to adequately prepare for trial. </w:t>
      </w:r>
      <w:r>
        <w:rPr>
          <w:i/>
          <w:iCs/>
        </w:rPr>
        <w:t>Nobles</w:t>
      </w:r>
      <w:r>
        <w:t>, 422 U.S. at 238</w:t>
      </w:r>
      <w:r w:rsidR="00B37A22">
        <w:fldChar w:fldCharType="begin"/>
      </w:r>
      <w:r w:rsidR="00B37A22">
        <w:instrText xml:space="preserve"> TA \s "Nobles" </w:instrText>
      </w:r>
      <w:r w:rsidR="00B37A22">
        <w:fldChar w:fldCharType="end"/>
      </w:r>
      <w:r>
        <w:t>. Thus, it is “</w:t>
      </w:r>
      <w:r w:rsidRPr="00C307E6">
        <w:t>necessary that the doctrine protect material prepared by agents for the attorney</w:t>
      </w:r>
      <w:r w:rsidR="00F4626B">
        <w:t xml:space="preserve"> . . . .</w:t>
      </w:r>
      <w:r>
        <w:t xml:space="preserve">” </w:t>
      </w:r>
      <w:r>
        <w:rPr>
          <w:i/>
          <w:iCs/>
        </w:rPr>
        <w:t>Id.</w:t>
      </w:r>
      <w:r>
        <w:t xml:space="preserve"> at 238–39</w:t>
      </w:r>
      <w:r w:rsidR="00B37A22">
        <w:fldChar w:fldCharType="begin"/>
      </w:r>
      <w:r w:rsidR="00B37A22">
        <w:instrText xml:space="preserve"> TA \s "Nobles" </w:instrText>
      </w:r>
      <w:r w:rsidR="00B37A22">
        <w:fldChar w:fldCharType="end"/>
      </w:r>
      <w:r>
        <w:t>.</w:t>
      </w:r>
    </w:p>
    <w:p w14:paraId="5D1BFEA3" w14:textId="33433ADB" w:rsidR="00CB061B" w:rsidRDefault="00CB061B" w:rsidP="001A75D3">
      <w:pPr>
        <w:pStyle w:val="Heading3"/>
        <w:numPr>
          <w:ilvl w:val="0"/>
          <w:numId w:val="15"/>
        </w:numPr>
      </w:pPr>
      <w:bookmarkStart w:id="12" w:name="_Toc239118283"/>
      <w:r>
        <w:t xml:space="preserve">Armana’s records are protected under the work-product doctrine because </w:t>
      </w:r>
      <w:r w:rsidR="00C307E6">
        <w:t>the interview was done in anticipation of litigation and the document reflects Armana’s mental impressions.</w:t>
      </w:r>
      <w:bookmarkEnd w:id="12"/>
    </w:p>
    <w:p w14:paraId="012691F2" w14:textId="1325E27E" w:rsidR="00BD71C6" w:rsidRPr="006D3D91" w:rsidRDefault="00BD71C6" w:rsidP="009B502E">
      <w:pPr>
        <w:pStyle w:val="BodyTextFirstIndent"/>
      </w:pPr>
      <w:r>
        <w:t xml:space="preserve">A document is made in anticipation of litigation when </w:t>
      </w:r>
      <w:r w:rsidR="00227506">
        <w:t>it “</w:t>
      </w:r>
      <w:r w:rsidR="00583B02">
        <w:t xml:space="preserve">was </w:t>
      </w:r>
      <w:r w:rsidR="00227506">
        <w:t>‘</w:t>
      </w:r>
      <w:r w:rsidR="00583B02">
        <w:t xml:space="preserve">prepared or obtained </w:t>
      </w:r>
      <w:r w:rsidR="00583B02">
        <w:rPr>
          <w:i/>
          <w:iCs/>
        </w:rPr>
        <w:t xml:space="preserve">because of </w:t>
      </w:r>
      <w:r w:rsidR="00583B02">
        <w:t xml:space="preserve">the prospect of litigation.’” </w:t>
      </w:r>
      <w:r w:rsidR="00583B02">
        <w:rPr>
          <w:i/>
          <w:iCs/>
        </w:rPr>
        <w:t>United States v. Roxworthy</w:t>
      </w:r>
      <w:r w:rsidR="00583B02">
        <w:t xml:space="preserve">, 457 </w:t>
      </w:r>
      <w:r w:rsidR="00583B02">
        <w:lastRenderedPageBreak/>
        <w:t>F.3d 590, 593 (6th Cir. 2006)</w:t>
      </w:r>
      <w:r w:rsidR="00B37A22">
        <w:fldChar w:fldCharType="begin"/>
      </w:r>
      <w:r w:rsidR="00B37A22">
        <w:instrText xml:space="preserve"> TA \l "</w:instrText>
      </w:r>
      <w:r w:rsidR="00B37A22" w:rsidRPr="000B4513">
        <w:rPr>
          <w:i/>
          <w:iCs/>
        </w:rPr>
        <w:instrText>United States v. Roxworthy</w:instrText>
      </w:r>
      <w:r w:rsidR="00B37A22" w:rsidRPr="000B4513">
        <w:instrText>, 457 F.3d 590 (6th Cir. 2006)</w:instrText>
      </w:r>
      <w:r w:rsidR="00B37A22">
        <w:instrText xml:space="preserve">" \s "Roxworthy" \c 1 </w:instrText>
      </w:r>
      <w:r w:rsidR="00B37A22">
        <w:fldChar w:fldCharType="end"/>
      </w:r>
      <w:r w:rsidR="00583B02">
        <w:t xml:space="preserve"> (quoting </w:t>
      </w:r>
      <w:r w:rsidR="00583B02">
        <w:rPr>
          <w:i/>
          <w:iCs/>
        </w:rPr>
        <w:t xml:space="preserve">United States v. </w:t>
      </w:r>
      <w:proofErr w:type="spellStart"/>
      <w:r w:rsidR="00583B02">
        <w:rPr>
          <w:i/>
          <w:iCs/>
        </w:rPr>
        <w:t>Adlman</w:t>
      </w:r>
      <w:proofErr w:type="spellEnd"/>
      <w:r w:rsidR="0093255C">
        <w:rPr>
          <w:i/>
          <w:iCs/>
        </w:rPr>
        <w:t xml:space="preserve"> (</w:t>
      </w:r>
      <w:proofErr w:type="spellStart"/>
      <w:r w:rsidR="0093255C">
        <w:rPr>
          <w:i/>
          <w:iCs/>
        </w:rPr>
        <w:t>Adlman</w:t>
      </w:r>
      <w:proofErr w:type="spellEnd"/>
      <w:r w:rsidR="0093255C">
        <w:rPr>
          <w:i/>
          <w:iCs/>
        </w:rPr>
        <w:t xml:space="preserve"> II)</w:t>
      </w:r>
      <w:r w:rsidR="00583B02">
        <w:t>, 134 F.3d 1194, 1202 (2d Cir. 1998))</w:t>
      </w:r>
      <w:r w:rsidR="006D3D91">
        <w:t xml:space="preserve">. </w:t>
      </w:r>
      <w:r w:rsidR="00227506">
        <w:t>To prove a document was created because of the prospect of litigation, the test is whether (1) the “document was created because of a party’s subjective anticipation of litigation,</w:t>
      </w:r>
      <w:r w:rsidR="00F4626B">
        <w:t xml:space="preserve">” </w:t>
      </w:r>
      <w:r w:rsidR="00227506">
        <w:t>and (2)</w:t>
      </w:r>
      <w:r w:rsidR="00F4626B">
        <w:t xml:space="preserve"> </w:t>
      </w:r>
      <w:r w:rsidR="00227506">
        <w:t xml:space="preserve">that anticipation of was objectively reasonable. </w:t>
      </w:r>
      <w:r w:rsidR="00446FC2">
        <w:rPr>
          <w:i/>
          <w:iCs/>
        </w:rPr>
        <w:t>Id.</w:t>
      </w:r>
      <w:r w:rsidR="00446FC2">
        <w:t xml:space="preserve"> </w:t>
      </w:r>
      <w:r w:rsidR="006E3D3A">
        <w:t xml:space="preserve">at </w:t>
      </w:r>
      <w:r w:rsidR="00204875">
        <w:t>593</w:t>
      </w:r>
      <w:r w:rsidR="00E86759">
        <w:fldChar w:fldCharType="begin"/>
      </w:r>
      <w:r w:rsidR="00E86759">
        <w:instrText xml:space="preserve"> TA \s "Roxworthy" </w:instrText>
      </w:r>
      <w:r w:rsidR="00E86759">
        <w:fldChar w:fldCharType="end"/>
      </w:r>
      <w:r w:rsidR="00204875">
        <w:t xml:space="preserve">; </w:t>
      </w:r>
      <w:r w:rsidR="00204875">
        <w:rPr>
          <w:i/>
          <w:iCs/>
        </w:rPr>
        <w:t>accord In re Sealed Case</w:t>
      </w:r>
      <w:r w:rsidR="00204875">
        <w:t>, 146 F.3d 881, 884 (D.C. Cir. 1998)</w:t>
      </w:r>
      <w:r w:rsidR="00E86759">
        <w:fldChar w:fldCharType="begin"/>
      </w:r>
      <w:r w:rsidR="00E86759">
        <w:instrText xml:space="preserve"> TA \l "</w:instrText>
      </w:r>
      <w:r w:rsidR="00E86759" w:rsidRPr="000B4513">
        <w:rPr>
          <w:i/>
          <w:iCs/>
        </w:rPr>
        <w:instrText>In re Sealed Case</w:instrText>
      </w:r>
      <w:r w:rsidR="00E86759" w:rsidRPr="000B4513">
        <w:instrText>, 146 F.3d 881 (D.C. Cir. 1998)</w:instrText>
      </w:r>
      <w:r w:rsidR="00E86759">
        <w:instrText xml:space="preserve">" \s "Sealed Case" \c 1 </w:instrText>
      </w:r>
      <w:r w:rsidR="00E86759">
        <w:fldChar w:fldCharType="end"/>
      </w:r>
      <w:r w:rsidR="00204875">
        <w:t xml:space="preserve">; </w:t>
      </w:r>
      <w:r w:rsidR="00204875">
        <w:rPr>
          <w:i/>
          <w:iCs/>
        </w:rPr>
        <w:t>Marin v. Bally’s Park Place Hotel &amp; Casino</w:t>
      </w:r>
      <w:r w:rsidR="00204875">
        <w:t>, 983 F.2d 1252, 1260 (3d Cir. 1993)</w:t>
      </w:r>
      <w:r w:rsidR="00E86759">
        <w:fldChar w:fldCharType="begin"/>
      </w:r>
      <w:r w:rsidR="00E86759">
        <w:instrText xml:space="preserve"> TA \l "</w:instrText>
      </w:r>
      <w:r w:rsidR="00E86759" w:rsidRPr="000B4513">
        <w:rPr>
          <w:i/>
          <w:iCs/>
        </w:rPr>
        <w:instrText>Marin v. Bally’s Park Place Hotel &amp; Casino</w:instrText>
      </w:r>
      <w:r w:rsidR="00E86759" w:rsidRPr="000B4513">
        <w:instrText>, 983 F.2d 1252 (3d Cir. 1993)</w:instrText>
      </w:r>
      <w:r w:rsidR="00E86759">
        <w:instrText xml:space="preserve">" \s "Marin" \c 1 </w:instrText>
      </w:r>
      <w:r w:rsidR="00E86759">
        <w:fldChar w:fldCharType="end"/>
      </w:r>
      <w:r w:rsidR="00204875">
        <w:t>;</w:t>
      </w:r>
      <w:r w:rsidR="006D3D91">
        <w:t xml:space="preserve"> </w:t>
      </w:r>
      <w:proofErr w:type="spellStart"/>
      <w:r w:rsidR="006D3D91">
        <w:rPr>
          <w:i/>
          <w:iCs/>
        </w:rPr>
        <w:t>Nat’l</w:t>
      </w:r>
      <w:proofErr w:type="spellEnd"/>
      <w:r w:rsidR="006D3D91">
        <w:rPr>
          <w:i/>
          <w:iCs/>
        </w:rPr>
        <w:t xml:space="preserve"> Union Fire Ins. Co. of Pittsburg v. Murray Sheet Metal Co.</w:t>
      </w:r>
      <w:r w:rsidR="006D3D91">
        <w:t>, 967 F.2d 980, 984 (4th Cir. 1992)</w:t>
      </w:r>
      <w:r w:rsidR="00E86759">
        <w:fldChar w:fldCharType="begin"/>
      </w:r>
      <w:r w:rsidR="00E86759">
        <w:instrText xml:space="preserve"> TA \l "</w:instrText>
      </w:r>
      <w:r w:rsidR="00E86759" w:rsidRPr="000B4513">
        <w:rPr>
          <w:i/>
          <w:iCs/>
        </w:rPr>
        <w:instrText>Nat’l Union Fire Ins. Co. of Pittsburg v. Murray Sheet Metal Co.</w:instrText>
      </w:r>
      <w:r w:rsidR="00E86759" w:rsidRPr="000B4513">
        <w:instrText>, 967 F.2d 980 (4th Cir. 1992)</w:instrText>
      </w:r>
      <w:r w:rsidR="00E86759">
        <w:instrText xml:space="preserve">" \s "Nat’l Union Fire" \c 1 </w:instrText>
      </w:r>
      <w:r w:rsidR="00E86759">
        <w:fldChar w:fldCharType="end"/>
      </w:r>
      <w:r w:rsidR="006D3D91">
        <w:rPr>
          <w:i/>
          <w:iCs/>
        </w:rPr>
        <w:t>.</w:t>
      </w:r>
    </w:p>
    <w:p w14:paraId="5D136D6C" w14:textId="5632A032" w:rsidR="00F5441C" w:rsidRPr="000806CB" w:rsidRDefault="000806CB" w:rsidP="00AB2681">
      <w:pPr>
        <w:pStyle w:val="BodyTextFirstIndent"/>
      </w:pPr>
      <w:r>
        <w:t xml:space="preserve">Notes recording a witness’s statements and </w:t>
      </w:r>
      <w:r w:rsidR="00F4626B">
        <w:t xml:space="preserve">resulting </w:t>
      </w:r>
      <w:r>
        <w:t>impressions constitute protected mental impression</w:t>
      </w:r>
      <w:r w:rsidR="00E92765">
        <w:t>s</w:t>
      </w:r>
      <w:r>
        <w:t xml:space="preserve">. In </w:t>
      </w:r>
      <w:r>
        <w:rPr>
          <w:i/>
          <w:iCs/>
        </w:rPr>
        <w:t>Hickman</w:t>
      </w:r>
      <w:r>
        <w:t xml:space="preserve">, </w:t>
      </w:r>
      <w:r w:rsidR="00AB2681">
        <w:t>the work product sought was witness statements taken in preparation for litigation.</w:t>
      </w:r>
      <w:r w:rsidR="00E92765">
        <w:rPr>
          <w:i/>
          <w:iCs/>
        </w:rPr>
        <w:t xml:space="preserve"> </w:t>
      </w:r>
      <w:r w:rsidR="00AB2681">
        <w:t xml:space="preserve">329 U.S. </w:t>
      </w:r>
      <w:r w:rsidR="00F035B8">
        <w:t>at</w:t>
      </w:r>
      <w:r w:rsidR="00AB2681">
        <w:t xml:space="preserve"> </w:t>
      </w:r>
      <w:r w:rsidR="004908CF">
        <w:t>499–500</w:t>
      </w:r>
      <w:r w:rsidR="00E86759">
        <w:fldChar w:fldCharType="begin"/>
      </w:r>
      <w:r w:rsidR="00E86759">
        <w:instrText xml:space="preserve"> TA \l "</w:instrText>
      </w:r>
      <w:r w:rsidR="00E86759" w:rsidRPr="000B4513">
        <w:rPr>
          <w:i/>
          <w:iCs/>
        </w:rPr>
        <w:instrText>Hickman v. Taylor</w:instrText>
      </w:r>
      <w:r w:rsidR="00E86759" w:rsidRPr="000B4513">
        <w:instrText>, 329 U.S. 495 (1947)</w:instrText>
      </w:r>
      <w:r w:rsidR="00E86759">
        <w:instrText xml:space="preserve">" \s "Hickman" \c 1 </w:instrText>
      </w:r>
      <w:r w:rsidR="00E86759">
        <w:fldChar w:fldCharType="end"/>
      </w:r>
      <w:r w:rsidR="00AB2681">
        <w:t xml:space="preserve">. </w:t>
      </w:r>
      <w:r w:rsidR="00501769">
        <w:t xml:space="preserve">There, </w:t>
      </w:r>
      <w:r w:rsidR="00AB2681">
        <w:t>t</w:t>
      </w:r>
      <w:r>
        <w:t>he Court found that an attempt “t</w:t>
      </w:r>
      <w:r w:rsidRPr="000806CB">
        <w:t>o secure written statements, private memoranda and personal recollections</w:t>
      </w:r>
      <w:r w:rsidR="00E92765">
        <w:t>”</w:t>
      </w:r>
      <w:r w:rsidRPr="000806CB">
        <w:t xml:space="preserve"> </w:t>
      </w:r>
      <w:r>
        <w:t xml:space="preserve">was improper “and </w:t>
      </w:r>
      <w:r w:rsidRPr="000806CB">
        <w:t>contravenes the public policy</w:t>
      </w:r>
      <w:r w:rsidR="00E92765">
        <w:t>” of the</w:t>
      </w:r>
      <w:r w:rsidRPr="000806CB">
        <w:t xml:space="preserve"> </w:t>
      </w:r>
      <w:r w:rsidR="00E92765">
        <w:t>“</w:t>
      </w:r>
      <w:r w:rsidRPr="000806CB">
        <w:t>prosecution and defense of legal claims.</w:t>
      </w:r>
      <w:r>
        <w:t xml:space="preserve">” </w:t>
      </w:r>
      <w:r w:rsidR="00FB0AFF">
        <w:rPr>
          <w:i/>
          <w:iCs/>
        </w:rPr>
        <w:t>Id.</w:t>
      </w:r>
      <w:r>
        <w:t xml:space="preserve"> </w:t>
      </w:r>
      <w:r w:rsidR="00F4626B">
        <w:t>at</w:t>
      </w:r>
      <w:r>
        <w:t xml:space="preserve"> 510</w:t>
      </w:r>
      <w:r w:rsidR="00E86759">
        <w:fldChar w:fldCharType="begin"/>
      </w:r>
      <w:r w:rsidR="00E86759">
        <w:instrText xml:space="preserve"> TA \s "Hickman" </w:instrText>
      </w:r>
      <w:r w:rsidR="00E86759">
        <w:fldChar w:fldCharType="end"/>
      </w:r>
      <w:r>
        <w:t xml:space="preserve">. In </w:t>
      </w:r>
      <w:r>
        <w:rPr>
          <w:i/>
          <w:iCs/>
        </w:rPr>
        <w:t>Nobles</w:t>
      </w:r>
      <w:r>
        <w:t>, although the privilege was ultimately waived at trial, the defense attorneys’ private investigator had written a witness interview</w:t>
      </w:r>
      <w:r w:rsidR="00F4626B">
        <w:t xml:space="preserve"> report</w:t>
      </w:r>
      <w:r>
        <w:t>, which was protected work</w:t>
      </w:r>
      <w:r w:rsidR="00501769">
        <w:t xml:space="preserve"> </w:t>
      </w:r>
      <w:r>
        <w:t>product.</w:t>
      </w:r>
      <w:r w:rsidR="00F4626B">
        <w:t xml:space="preserve"> </w:t>
      </w:r>
      <w:r>
        <w:t>422 U.S. at 228, 237–40</w:t>
      </w:r>
      <w:r w:rsidR="00E86759">
        <w:fldChar w:fldCharType="begin"/>
      </w:r>
      <w:r w:rsidR="00E86759">
        <w:instrText xml:space="preserve"> TA \s "Nobles" </w:instrText>
      </w:r>
      <w:r w:rsidR="00E86759">
        <w:fldChar w:fldCharType="end"/>
      </w:r>
      <w:r>
        <w:t xml:space="preserve">. </w:t>
      </w:r>
      <w:r w:rsidR="002E024D">
        <w:t xml:space="preserve">Thus, notes taken during </w:t>
      </w:r>
      <w:r w:rsidR="00F50305">
        <w:t>a witness</w:t>
      </w:r>
      <w:r w:rsidR="002E024D">
        <w:t xml:space="preserve"> interview </w:t>
      </w:r>
      <w:r w:rsidR="00F50305">
        <w:t>constitute mental impressions.</w:t>
      </w:r>
    </w:p>
    <w:p w14:paraId="4C75E85E" w14:textId="748B03FD" w:rsidR="0022052F" w:rsidRDefault="00642D9B" w:rsidP="00F4626B">
      <w:pPr>
        <w:pStyle w:val="BodyTextFirstIndent"/>
      </w:pPr>
      <w:r>
        <w:t xml:space="preserve">A deposition </w:t>
      </w:r>
      <w:r w:rsidR="00B0273A">
        <w:t>can</w:t>
      </w:r>
      <w:r>
        <w:t xml:space="preserve"> show subjective anticipation of litigation. </w:t>
      </w:r>
      <w:r w:rsidR="0022052F">
        <w:t>In</w:t>
      </w:r>
      <w:r w:rsidR="00F035B8">
        <w:t xml:space="preserve"> </w:t>
      </w:r>
      <w:proofErr w:type="spellStart"/>
      <w:r w:rsidR="0022052F">
        <w:rPr>
          <w:i/>
          <w:iCs/>
        </w:rPr>
        <w:t>Roxworthy</w:t>
      </w:r>
      <w:proofErr w:type="spellEnd"/>
      <w:r w:rsidR="0022052F">
        <w:t xml:space="preserve">, </w:t>
      </w:r>
      <w:r w:rsidR="00F4626B">
        <w:t>although an affidavit was used, the court noted a deposition would satisfy the subjective requirement.</w:t>
      </w:r>
      <w:r w:rsidR="0022052F">
        <w:t xml:space="preserve"> 457 F.3d at 597–99</w:t>
      </w:r>
      <w:r w:rsidR="00E86759">
        <w:fldChar w:fldCharType="begin"/>
      </w:r>
      <w:r w:rsidR="00E86759">
        <w:instrText xml:space="preserve"> TA \s "Roxworthy" </w:instrText>
      </w:r>
      <w:r w:rsidR="00E86759">
        <w:fldChar w:fldCharType="end"/>
      </w:r>
      <w:r w:rsidR="0022052F">
        <w:t xml:space="preserve">; </w:t>
      </w:r>
      <w:r w:rsidR="0022052F">
        <w:rPr>
          <w:i/>
          <w:iCs/>
        </w:rPr>
        <w:t xml:space="preserve">see also Biegas v. </w:t>
      </w:r>
      <w:proofErr w:type="spellStart"/>
      <w:r w:rsidR="0022052F">
        <w:rPr>
          <w:i/>
          <w:iCs/>
        </w:rPr>
        <w:t>Quickway</w:t>
      </w:r>
      <w:proofErr w:type="spellEnd"/>
      <w:r w:rsidR="0022052F">
        <w:rPr>
          <w:i/>
          <w:iCs/>
        </w:rPr>
        <w:t xml:space="preserve"> Carriers, </w:t>
      </w:r>
      <w:r w:rsidR="0022052F">
        <w:rPr>
          <w:i/>
          <w:iCs/>
        </w:rPr>
        <w:lastRenderedPageBreak/>
        <w:t>Inc.</w:t>
      </w:r>
      <w:r w:rsidR="0022052F">
        <w:t>, 573 F.3d 365, 381–82 (6th Cir. 2009)</w:t>
      </w:r>
      <w:r w:rsidR="00E86759">
        <w:fldChar w:fldCharType="begin"/>
      </w:r>
      <w:r w:rsidR="00E86759">
        <w:instrText xml:space="preserve"> TA \l "</w:instrText>
      </w:r>
      <w:r w:rsidR="00E86759" w:rsidRPr="000B4513">
        <w:rPr>
          <w:i/>
          <w:iCs/>
        </w:rPr>
        <w:instrText>Biegas v. Quickway Carriers, Inc.</w:instrText>
      </w:r>
      <w:r w:rsidR="00E86759" w:rsidRPr="000B4513">
        <w:instrText>, 573 F.3d 365 (6th Cir. 2009)</w:instrText>
      </w:r>
      <w:r w:rsidR="00E86759">
        <w:instrText xml:space="preserve">" \s "Biegas" \c 1 </w:instrText>
      </w:r>
      <w:r w:rsidR="00E86759">
        <w:fldChar w:fldCharType="end"/>
      </w:r>
      <w:r w:rsidR="0022052F">
        <w:t xml:space="preserve"> (explaining depositions </w:t>
      </w:r>
      <w:r w:rsidR="00F4626B">
        <w:t>are</w:t>
      </w:r>
      <w:r w:rsidR="0022052F">
        <w:t xml:space="preserve"> sufficient to prove subjective anticipation). Thus, a statement detailing the reason for anticipating litigation is sufficient to satisfy the subjective element.</w:t>
      </w:r>
    </w:p>
    <w:p w14:paraId="062F3C19" w14:textId="4D945328" w:rsidR="00F5441C" w:rsidRDefault="00A41E0F" w:rsidP="00AB2681">
      <w:pPr>
        <w:pStyle w:val="BodyTextFirstIndent"/>
      </w:pPr>
      <w:r>
        <w:t xml:space="preserve">The </w:t>
      </w:r>
      <w:r w:rsidR="00E92765">
        <w:t>c</w:t>
      </w:r>
      <w:r>
        <w:t xml:space="preserve">ircuit </w:t>
      </w:r>
      <w:r w:rsidR="00E92765">
        <w:t>c</w:t>
      </w:r>
      <w:r>
        <w:t xml:space="preserve">ourts apply different tests to determine whether anticipation of litigation is objectively reasonable. </w:t>
      </w:r>
      <w:r w:rsidR="000774F4">
        <w:t xml:space="preserve">The D.C. Circuit requires that the document was “prepared with a specific claim supported by concrete facts which would likely lead to litigation in mind.” </w:t>
      </w:r>
      <w:r w:rsidR="000774F4">
        <w:rPr>
          <w:i/>
          <w:iCs/>
        </w:rPr>
        <w:t>Coastal States Gas Corp. v. Dep’t of Energy</w:t>
      </w:r>
      <w:r w:rsidR="000774F4">
        <w:t xml:space="preserve">, 617 F.2d 854, </w:t>
      </w:r>
      <w:r w:rsidR="0093255C">
        <w:t>865 (D.C. Cir. 1980)</w:t>
      </w:r>
      <w:r w:rsidR="00E86759">
        <w:fldChar w:fldCharType="begin"/>
      </w:r>
      <w:r w:rsidR="00E86759">
        <w:instrText xml:space="preserve"> TA \l "</w:instrText>
      </w:r>
      <w:r w:rsidR="00E86759" w:rsidRPr="000B4513">
        <w:rPr>
          <w:i/>
          <w:iCs/>
        </w:rPr>
        <w:instrText>Coastal States Gas Corp. v. Dep’t of Energy</w:instrText>
      </w:r>
      <w:r w:rsidR="00E86759" w:rsidRPr="000B4513">
        <w:instrText>, 617 F.2d 854 (D.C. Cir. 1980)</w:instrText>
      </w:r>
      <w:r w:rsidR="00E86759">
        <w:instrText xml:space="preserve">" \s "Coastal States Gas" \c 1 </w:instrText>
      </w:r>
      <w:r w:rsidR="00E86759">
        <w:fldChar w:fldCharType="end"/>
      </w:r>
      <w:r w:rsidR="0093255C">
        <w:t xml:space="preserve">. </w:t>
      </w:r>
      <w:r w:rsidR="00AB2681">
        <w:t>Howeve</w:t>
      </w:r>
      <w:r w:rsidR="00322156">
        <w:t xml:space="preserve">r, </w:t>
      </w:r>
      <w:r w:rsidR="00AB2681">
        <w:t>t</w:t>
      </w:r>
      <w:r w:rsidR="0093255C">
        <w:t xml:space="preserve">he D.C. Circuit has outlined another test, which requires an attorney to have “rendered legal advice in order to protect the client from future litigation about a particular transaction.” </w:t>
      </w:r>
      <w:r w:rsidR="0093255C">
        <w:rPr>
          <w:i/>
          <w:iCs/>
        </w:rPr>
        <w:t>Sealed Case</w:t>
      </w:r>
      <w:r w:rsidR="0093255C">
        <w:t>, 146 F.3d at 885</w:t>
      </w:r>
      <w:r w:rsidR="00E86759">
        <w:fldChar w:fldCharType="begin"/>
      </w:r>
      <w:r w:rsidR="00E86759">
        <w:instrText xml:space="preserve"> TA \s "Sealed Case" </w:instrText>
      </w:r>
      <w:r w:rsidR="00E86759">
        <w:fldChar w:fldCharType="end"/>
      </w:r>
      <w:r w:rsidR="0093255C">
        <w:t xml:space="preserve">. The Fourth Circuit requires that “an actual claim or potential claim following an actual event or series of events that reasonably could result in litigation.” </w:t>
      </w:r>
      <w:proofErr w:type="spellStart"/>
      <w:r w:rsidR="0093255C">
        <w:rPr>
          <w:i/>
          <w:iCs/>
        </w:rPr>
        <w:t>Nat’l</w:t>
      </w:r>
      <w:proofErr w:type="spellEnd"/>
      <w:r w:rsidR="0093255C">
        <w:rPr>
          <w:i/>
          <w:iCs/>
        </w:rPr>
        <w:t xml:space="preserve"> Union Fire</w:t>
      </w:r>
      <w:r w:rsidR="0093255C">
        <w:t>, 967 F.2d at 984</w:t>
      </w:r>
      <w:r w:rsidR="00E86759">
        <w:fldChar w:fldCharType="begin"/>
      </w:r>
      <w:r w:rsidR="00E86759">
        <w:instrText xml:space="preserve"> TA \s "Nat’l Union Fire" </w:instrText>
      </w:r>
      <w:r w:rsidR="00E86759">
        <w:fldChar w:fldCharType="end"/>
      </w:r>
      <w:r w:rsidR="0093255C">
        <w:t xml:space="preserve">. </w:t>
      </w:r>
      <w:r w:rsidR="00F4626B">
        <w:t>In t</w:t>
      </w:r>
      <w:r w:rsidR="0093255C">
        <w:t>he Second Circuit</w:t>
      </w:r>
      <w:r w:rsidR="00F4626B">
        <w:t>,</w:t>
      </w:r>
      <w:r w:rsidR="0093255C">
        <w:t xml:space="preserve"> the objective requirement is satisfied when “the expected litigation is quite concrete</w:t>
      </w:r>
      <w:r w:rsidR="00F4626B">
        <w:t xml:space="preserve"> . . . .</w:t>
      </w:r>
      <w:r w:rsidR="0093255C">
        <w:t xml:space="preserve">” </w:t>
      </w:r>
      <w:r w:rsidR="0093255C">
        <w:rPr>
          <w:i/>
          <w:iCs/>
        </w:rPr>
        <w:t xml:space="preserve">United States v. </w:t>
      </w:r>
      <w:proofErr w:type="spellStart"/>
      <w:r w:rsidR="0093255C">
        <w:rPr>
          <w:i/>
          <w:iCs/>
        </w:rPr>
        <w:t>Adlman</w:t>
      </w:r>
      <w:proofErr w:type="spellEnd"/>
      <w:r w:rsidR="0093255C">
        <w:rPr>
          <w:i/>
          <w:iCs/>
        </w:rPr>
        <w:t xml:space="preserve"> (</w:t>
      </w:r>
      <w:proofErr w:type="spellStart"/>
      <w:r w:rsidR="0093255C">
        <w:rPr>
          <w:i/>
          <w:iCs/>
        </w:rPr>
        <w:t>Adlman</w:t>
      </w:r>
      <w:proofErr w:type="spellEnd"/>
      <w:r w:rsidR="0093255C">
        <w:rPr>
          <w:i/>
          <w:iCs/>
        </w:rPr>
        <w:t xml:space="preserve"> I)</w:t>
      </w:r>
      <w:r w:rsidR="0093255C">
        <w:t>, 68 F.3d 1495, 1501 (2d Cir. 1995)</w:t>
      </w:r>
      <w:r w:rsidR="00E86759">
        <w:fldChar w:fldCharType="begin"/>
      </w:r>
      <w:r w:rsidR="00E86759">
        <w:instrText xml:space="preserve"> TA \l "</w:instrText>
      </w:r>
      <w:r w:rsidR="00E86759" w:rsidRPr="000B4513">
        <w:rPr>
          <w:i/>
          <w:iCs/>
        </w:rPr>
        <w:instrText>United States v. Adlman (Adlman I)</w:instrText>
      </w:r>
      <w:r w:rsidR="00E86759" w:rsidRPr="000B4513">
        <w:instrText>, 68 F.3d 1495 (2d Cir. 1995)</w:instrText>
      </w:r>
      <w:r w:rsidR="00E86759">
        <w:instrText xml:space="preserve">" \s "Adlman I" \c 1 </w:instrText>
      </w:r>
      <w:r w:rsidR="00E86759">
        <w:fldChar w:fldCharType="end"/>
      </w:r>
      <w:r w:rsidR="0093255C">
        <w:t xml:space="preserve">. The Sixth Circuit has applied all of these tests. </w:t>
      </w:r>
      <w:r w:rsidR="0093255C">
        <w:rPr>
          <w:i/>
          <w:iCs/>
        </w:rPr>
        <w:t>Roxworthy</w:t>
      </w:r>
      <w:r w:rsidR="0093255C">
        <w:t>, 457 F.3d at 599–601</w:t>
      </w:r>
      <w:r w:rsidR="00E86759">
        <w:fldChar w:fldCharType="begin"/>
      </w:r>
      <w:r w:rsidR="00E86759">
        <w:instrText xml:space="preserve"> TA \s "Roxworthy" </w:instrText>
      </w:r>
      <w:r w:rsidR="00E86759">
        <w:fldChar w:fldCharType="end"/>
      </w:r>
      <w:r w:rsidR="0093255C">
        <w:t>.</w:t>
      </w:r>
    </w:p>
    <w:p w14:paraId="54BDFABA" w14:textId="1D4D7F91" w:rsidR="00AB2681" w:rsidRPr="00642D9B" w:rsidRDefault="008E4B89" w:rsidP="00F4626B">
      <w:pPr>
        <w:pStyle w:val="BodyTextFirstIndent"/>
      </w:pPr>
      <w:r w:rsidRPr="0035080F">
        <w:t>Armana</w:t>
      </w:r>
      <w:r w:rsidR="0035080F" w:rsidRPr="0035080F">
        <w:t>’s records</w:t>
      </w:r>
      <w:r w:rsidR="00F4626B">
        <w:t xml:space="preserve"> constitute protected mental impressions</w:t>
      </w:r>
      <w:r w:rsidRPr="0035080F">
        <w:t xml:space="preserve">. </w:t>
      </w:r>
      <w:r w:rsidR="00AB2681">
        <w:t>Seton</w:t>
      </w:r>
      <w:r w:rsidR="00F4626B">
        <w:t>’s</w:t>
      </w:r>
      <w:r w:rsidR="00AB2681">
        <w:t xml:space="preserve"> </w:t>
      </w:r>
      <w:r w:rsidR="007C122A">
        <w:t xml:space="preserve">interview </w:t>
      </w:r>
      <w:r w:rsidR="00AB2681">
        <w:t>was done to establish a deep understanding of the Government’s case against Calloway.</w:t>
      </w:r>
      <w:r w:rsidR="00AB2681" w:rsidRPr="00AB2681">
        <w:t xml:space="preserve"> </w:t>
      </w:r>
      <w:r w:rsidR="00AB2681">
        <w:t xml:space="preserve">CF 44–45. </w:t>
      </w:r>
      <w:r w:rsidR="00F4626B">
        <w:t xml:space="preserve">Armana’s notes </w:t>
      </w:r>
      <w:r w:rsidR="00AB2681">
        <w:t>contain Seton’s factual account and Armana’s “thoughts, follow-ups, questions, and</w:t>
      </w:r>
      <w:r w:rsidR="00F4626B">
        <w:t xml:space="preserve"> . . .</w:t>
      </w:r>
      <w:r w:rsidR="00AB2681">
        <w:t xml:space="preserve"> theories</w:t>
      </w:r>
      <w:r w:rsidR="00F4626B">
        <w:t xml:space="preserve"> . . . .</w:t>
      </w:r>
      <w:r w:rsidR="00AB2681">
        <w:t xml:space="preserve">” CF 46. Not only do </w:t>
      </w:r>
      <w:r w:rsidR="00F50305">
        <w:t>these</w:t>
      </w:r>
      <w:r w:rsidR="00AB2681">
        <w:t xml:space="preserve"> notes contain </w:t>
      </w:r>
      <w:r w:rsidR="00AB2681">
        <w:lastRenderedPageBreak/>
        <w:t xml:space="preserve">factual information from Seton, </w:t>
      </w:r>
      <w:r w:rsidR="00F50305">
        <w:t>like</w:t>
      </w:r>
      <w:r w:rsidR="00AB2681">
        <w:t xml:space="preserve"> the report in </w:t>
      </w:r>
      <w:r w:rsidR="00AB2681">
        <w:rPr>
          <w:i/>
          <w:iCs/>
        </w:rPr>
        <w:t>Nobles</w:t>
      </w:r>
      <w:r w:rsidR="004908CF">
        <w:t xml:space="preserve"> and statements in </w:t>
      </w:r>
      <w:r w:rsidR="004908CF">
        <w:rPr>
          <w:i/>
          <w:iCs/>
        </w:rPr>
        <w:t>Hickman</w:t>
      </w:r>
      <w:r w:rsidR="00AB2681">
        <w:t>, but it also contains written statements, personal recollections, and impressions from the interview</w:t>
      </w:r>
      <w:r w:rsidR="004908CF">
        <w:t xml:space="preserve">. </w:t>
      </w:r>
      <w:r w:rsidR="00AB2681">
        <w:t xml:space="preserve">Thus, if </w:t>
      </w:r>
      <w:r w:rsidR="004908CF">
        <w:t xml:space="preserve">witness statements and reports are protected by work-product privilege in </w:t>
      </w:r>
      <w:r w:rsidR="004908CF">
        <w:rPr>
          <w:i/>
          <w:iCs/>
        </w:rPr>
        <w:t>Nobles</w:t>
      </w:r>
      <w:r w:rsidR="004908CF">
        <w:t xml:space="preserve"> and </w:t>
      </w:r>
      <w:r w:rsidR="004908CF">
        <w:rPr>
          <w:i/>
          <w:iCs/>
        </w:rPr>
        <w:t>Hickman</w:t>
      </w:r>
      <w:r w:rsidR="004908CF">
        <w:t>, then this Court must find Armana’s records are too.</w:t>
      </w:r>
    </w:p>
    <w:p w14:paraId="0031A508" w14:textId="58D616F0" w:rsidR="006D3D91" w:rsidRDefault="00F5441C" w:rsidP="006D3D91">
      <w:pPr>
        <w:pStyle w:val="BodyTextFirstIndent"/>
      </w:pPr>
      <w:r>
        <w:t xml:space="preserve">Armana’s records were created </w:t>
      </w:r>
      <w:r w:rsidR="007C122A">
        <w:t>with</w:t>
      </w:r>
      <w:r>
        <w:t xml:space="preserve"> a subjective anticipation of litigation.</w:t>
      </w:r>
      <w:r w:rsidR="004908CF">
        <w:t xml:space="preserve"> </w:t>
      </w:r>
      <w:r w:rsidR="00622395">
        <w:t xml:space="preserve">Armana </w:t>
      </w:r>
      <w:r w:rsidR="006D3D91">
        <w:t>was</w:t>
      </w:r>
      <w:r w:rsidR="00F50305">
        <w:t xml:space="preserve"> hired by </w:t>
      </w:r>
      <w:r w:rsidR="00622395" w:rsidRPr="0035080F">
        <w:t xml:space="preserve">Calloway’s attorneys after Donovan was arrested, </w:t>
      </w:r>
      <w:r w:rsidR="007C122A">
        <w:t>giving</w:t>
      </w:r>
      <w:r w:rsidR="00622395" w:rsidRPr="0035080F">
        <w:t xml:space="preserve"> rise to suspicion that Calloway </w:t>
      </w:r>
      <w:r w:rsidR="007C122A">
        <w:t>was</w:t>
      </w:r>
      <w:r w:rsidR="00622395" w:rsidRPr="0035080F">
        <w:t xml:space="preserve"> next. CF 43.</w:t>
      </w:r>
      <w:r w:rsidR="00322156">
        <w:t xml:space="preserve"> </w:t>
      </w:r>
      <w:r w:rsidR="00622395">
        <w:t>Th</w:t>
      </w:r>
      <w:r w:rsidR="00F50305">
        <w:t>is</w:t>
      </w:r>
      <w:r w:rsidR="00622395">
        <w:t xml:space="preserve"> reasoning </w:t>
      </w:r>
      <w:r w:rsidR="00322156">
        <w:t xml:space="preserve">rooted in the SP partnership </w:t>
      </w:r>
      <w:r w:rsidR="00622395">
        <w:t xml:space="preserve">was </w:t>
      </w:r>
      <w:r w:rsidR="00F50305">
        <w:t>explained</w:t>
      </w:r>
      <w:r w:rsidR="00622395">
        <w:t xml:space="preserve"> in Armana’s deposition, </w:t>
      </w:r>
      <w:r w:rsidR="00F50305">
        <w:t>thus satisfying the subjective element</w:t>
      </w:r>
      <w:r w:rsidR="00622395">
        <w:t xml:space="preserve">. </w:t>
      </w:r>
      <w:r w:rsidR="00F50305">
        <w:rPr>
          <w:i/>
          <w:iCs/>
        </w:rPr>
        <w:t>See Roxworthy</w:t>
      </w:r>
      <w:r w:rsidR="00F50305">
        <w:t>, 457 F.3d at 597–99</w:t>
      </w:r>
      <w:r w:rsidR="00E86759">
        <w:fldChar w:fldCharType="begin"/>
      </w:r>
      <w:r w:rsidR="00E86759">
        <w:instrText xml:space="preserve"> TA \s "Roxworthy" </w:instrText>
      </w:r>
      <w:r w:rsidR="00E86759">
        <w:fldChar w:fldCharType="end"/>
      </w:r>
      <w:r w:rsidR="00F50305">
        <w:t xml:space="preserve">; </w:t>
      </w:r>
      <w:r w:rsidR="00F50305">
        <w:rPr>
          <w:i/>
          <w:iCs/>
        </w:rPr>
        <w:t>Biegas</w:t>
      </w:r>
      <w:r w:rsidR="00F50305">
        <w:t>, 573 F.3d at 381–82</w:t>
      </w:r>
      <w:r w:rsidR="00E86759">
        <w:fldChar w:fldCharType="begin"/>
      </w:r>
      <w:r w:rsidR="00E86759">
        <w:instrText xml:space="preserve"> TA \s "Biegas" </w:instrText>
      </w:r>
      <w:r w:rsidR="00E86759">
        <w:fldChar w:fldCharType="end"/>
      </w:r>
      <w:r w:rsidR="00F50305">
        <w:t>.</w:t>
      </w:r>
    </w:p>
    <w:p w14:paraId="40BE6903" w14:textId="2D9C0690" w:rsidR="00622395" w:rsidRPr="007C122A" w:rsidRDefault="00AB2681" w:rsidP="007C122A">
      <w:pPr>
        <w:pStyle w:val="BodyTextFirstIndent"/>
        <w:rPr>
          <w:i/>
          <w:iCs/>
        </w:rPr>
      </w:pPr>
      <w:r>
        <w:t xml:space="preserve">Under each test outlined by the </w:t>
      </w:r>
      <w:r w:rsidR="00E92765">
        <w:t>c</w:t>
      </w:r>
      <w:r>
        <w:t xml:space="preserve">ircuit </w:t>
      </w:r>
      <w:r w:rsidR="00E92765">
        <w:t>c</w:t>
      </w:r>
      <w:r>
        <w:t>ourts, the anticipation of litigation was objectively reasonable.</w:t>
      </w:r>
      <w:r w:rsidR="007C122A">
        <w:t xml:space="preserve"> </w:t>
      </w:r>
      <w:r w:rsidR="002E35F1">
        <w:t xml:space="preserve">Just as the Sixth Circuit applied all tests, the anticipation of litigation </w:t>
      </w:r>
      <w:r w:rsidR="00322156">
        <w:t>is</w:t>
      </w:r>
      <w:r w:rsidR="002E35F1">
        <w:t xml:space="preserve"> objectively reasonable under each one. </w:t>
      </w:r>
      <w:r w:rsidR="00B0273A">
        <w:t>Seton’s</w:t>
      </w:r>
      <w:r w:rsidR="002E35F1">
        <w:t xml:space="preserve"> interview was conducte</w:t>
      </w:r>
      <w:r w:rsidR="007C122A">
        <w:t xml:space="preserve">d </w:t>
      </w:r>
      <w:r w:rsidR="002E35F1">
        <w:t xml:space="preserve">to help protect Calloway from future litigation </w:t>
      </w:r>
      <w:r w:rsidR="007C122A">
        <w:t xml:space="preserve">of the SP “transaction.” </w:t>
      </w:r>
      <w:r w:rsidR="007C122A">
        <w:rPr>
          <w:i/>
          <w:iCs/>
        </w:rPr>
        <w:t>See</w:t>
      </w:r>
      <w:r w:rsidR="007C122A">
        <w:t xml:space="preserve"> </w:t>
      </w:r>
      <w:r w:rsidR="002E35F1">
        <w:rPr>
          <w:i/>
          <w:iCs/>
        </w:rPr>
        <w:t>Sealed Case</w:t>
      </w:r>
      <w:r w:rsidR="002E35F1">
        <w:t>, 146 F.3d at 885</w:t>
      </w:r>
      <w:r w:rsidR="00E86759">
        <w:fldChar w:fldCharType="begin"/>
      </w:r>
      <w:r w:rsidR="00E86759">
        <w:instrText xml:space="preserve"> TA \s "Sealed Case" </w:instrText>
      </w:r>
      <w:r w:rsidR="00E86759">
        <w:fldChar w:fldCharType="end"/>
      </w:r>
      <w:r w:rsidR="002E35F1">
        <w:t xml:space="preserve">. The defense had in mind </w:t>
      </w:r>
      <w:r w:rsidR="007C122A">
        <w:t xml:space="preserve">Killing of a Witness and Money Laundering Conspiracy as specific claims stemming from the SP transaction. </w:t>
      </w:r>
      <w:r w:rsidR="007C122A">
        <w:rPr>
          <w:i/>
          <w:iCs/>
        </w:rPr>
        <w:t>See</w:t>
      </w:r>
      <w:r w:rsidR="002E35F1">
        <w:t xml:space="preserve"> </w:t>
      </w:r>
      <w:r w:rsidR="002E35F1">
        <w:rPr>
          <w:i/>
          <w:iCs/>
        </w:rPr>
        <w:t>Coastal States Gas</w:t>
      </w:r>
      <w:r w:rsidR="002E35F1">
        <w:t>, 617 F.2d at 865</w:t>
      </w:r>
      <w:r w:rsidR="00E86759">
        <w:fldChar w:fldCharType="begin"/>
      </w:r>
      <w:r w:rsidR="00E86759">
        <w:instrText xml:space="preserve"> TA \s "Coastal States Gas" </w:instrText>
      </w:r>
      <w:r w:rsidR="00E86759">
        <w:fldChar w:fldCharType="end"/>
      </w:r>
      <w:r w:rsidR="007C122A">
        <w:t xml:space="preserve">; </w:t>
      </w:r>
      <w:proofErr w:type="spellStart"/>
      <w:r w:rsidR="002E35F1">
        <w:rPr>
          <w:i/>
          <w:iCs/>
        </w:rPr>
        <w:t>Nat’l</w:t>
      </w:r>
      <w:proofErr w:type="spellEnd"/>
      <w:r w:rsidR="002E35F1">
        <w:rPr>
          <w:i/>
          <w:iCs/>
        </w:rPr>
        <w:t xml:space="preserve"> Union Fire</w:t>
      </w:r>
      <w:r w:rsidR="002E35F1">
        <w:t>, 967 F.2d at 984</w:t>
      </w:r>
      <w:r w:rsidR="00E86759">
        <w:fldChar w:fldCharType="begin"/>
      </w:r>
      <w:r w:rsidR="00E86759">
        <w:instrText xml:space="preserve"> TA \s "Nat’l Union Fire" </w:instrText>
      </w:r>
      <w:r w:rsidR="00E86759">
        <w:fldChar w:fldCharType="end"/>
      </w:r>
      <w:r w:rsidR="00B30EC8">
        <w:t xml:space="preserve">. </w:t>
      </w:r>
      <w:r w:rsidR="00322156">
        <w:t>T</w:t>
      </w:r>
      <w:r w:rsidR="00B30EC8">
        <w:t>he expected litigation was quite concrete</w:t>
      </w:r>
      <w:r w:rsidR="00171E15">
        <w:t xml:space="preserve"> because the Government first charged Donovan, and Calloway was surely </w:t>
      </w:r>
      <w:r w:rsidR="007C122A">
        <w:t xml:space="preserve">the </w:t>
      </w:r>
      <w:r w:rsidR="00171E15">
        <w:t>next</w:t>
      </w:r>
      <w:r w:rsidR="007C122A">
        <w:t xml:space="preserve"> accused</w:t>
      </w:r>
      <w:r w:rsidR="00171E15">
        <w:t xml:space="preserve">. </w:t>
      </w:r>
      <w:proofErr w:type="spellStart"/>
      <w:r w:rsidR="00B30EC8">
        <w:rPr>
          <w:i/>
          <w:iCs/>
        </w:rPr>
        <w:t>Adlman</w:t>
      </w:r>
      <w:proofErr w:type="spellEnd"/>
      <w:r w:rsidR="00B30EC8">
        <w:rPr>
          <w:i/>
          <w:iCs/>
        </w:rPr>
        <w:t xml:space="preserve"> I</w:t>
      </w:r>
      <w:r w:rsidR="00B30EC8">
        <w:t>, 68 F.3d at 1501</w:t>
      </w:r>
      <w:r w:rsidR="00E86759">
        <w:fldChar w:fldCharType="begin"/>
      </w:r>
      <w:r w:rsidR="00E86759">
        <w:instrText xml:space="preserve"> TA \s "Adlman I" </w:instrText>
      </w:r>
      <w:r w:rsidR="00E86759">
        <w:fldChar w:fldCharType="end"/>
      </w:r>
      <w:r w:rsidR="00B30EC8">
        <w:t>.</w:t>
      </w:r>
      <w:r w:rsidR="007C122A">
        <w:t xml:space="preserve"> </w:t>
      </w:r>
      <w:r w:rsidR="00B30EC8">
        <w:t xml:space="preserve">Therefore, </w:t>
      </w:r>
      <w:r w:rsidR="007C122A">
        <w:t>Armana’s</w:t>
      </w:r>
      <w:r w:rsidR="00B30EC8">
        <w:t xml:space="preserve"> records are protected by the work-product privilege.</w:t>
      </w:r>
    </w:p>
    <w:p w14:paraId="2AB7B06C" w14:textId="18DBFBFF" w:rsidR="000D2475" w:rsidRDefault="000D2475" w:rsidP="001A75D3">
      <w:pPr>
        <w:pStyle w:val="Heading3"/>
      </w:pPr>
      <w:bookmarkStart w:id="13" w:name="_Toc239118284"/>
      <w:r>
        <w:lastRenderedPageBreak/>
        <w:t>The substantial need</w:t>
      </w:r>
      <w:r w:rsidR="00D42EFB">
        <w:t xml:space="preserve"> </w:t>
      </w:r>
      <w:r>
        <w:t>exception does not apply in criminal cases.</w:t>
      </w:r>
      <w:bookmarkEnd w:id="13"/>
    </w:p>
    <w:p w14:paraId="21A6530E" w14:textId="4F9F7E71" w:rsidR="00CA5199" w:rsidRDefault="00F069F1" w:rsidP="00B0273A">
      <w:pPr>
        <w:pStyle w:val="BodyTextFirstIndent"/>
      </w:pPr>
      <w:r>
        <w:t xml:space="preserve">The work-product protection </w:t>
      </w:r>
      <w:r w:rsidR="00B0273A">
        <w:t>is more crucial in criminal cases than civil cases</w:t>
      </w:r>
      <w:r>
        <w:t>.</w:t>
      </w:r>
      <w:r w:rsidR="00B2732F">
        <w:t xml:space="preserve"> </w:t>
      </w:r>
      <w:r w:rsidR="00CA5199">
        <w:t xml:space="preserve">Although the </w:t>
      </w:r>
      <w:r w:rsidR="00CA5199">
        <w:rPr>
          <w:i/>
          <w:iCs/>
        </w:rPr>
        <w:t>Nobles</w:t>
      </w:r>
      <w:r w:rsidR="00CA5199">
        <w:t xml:space="preserve"> Court held work-product privilege was waived because the private investigator was going to testify to impeach a witness, it nonetheless found the </w:t>
      </w:r>
      <w:r w:rsidR="00723704">
        <w:t xml:space="preserve">privilege </w:t>
      </w:r>
      <w:r w:rsidR="00CA5199">
        <w:t>is</w:t>
      </w:r>
      <w:r w:rsidR="00723704">
        <w:t xml:space="preserve"> vital to the proper functioning of the criminal justice system.</w:t>
      </w:r>
      <w:r w:rsidR="00E92765">
        <w:t xml:space="preserve"> 422 U.S.</w:t>
      </w:r>
      <w:r w:rsidR="00723704">
        <w:t xml:space="preserve"> at 238</w:t>
      </w:r>
      <w:r w:rsidR="00E86759">
        <w:fldChar w:fldCharType="begin"/>
      </w:r>
      <w:r w:rsidR="00E86759">
        <w:instrText xml:space="preserve"> TA \s "Nobles" </w:instrText>
      </w:r>
      <w:r w:rsidR="00E86759">
        <w:fldChar w:fldCharType="end"/>
      </w:r>
      <w:r w:rsidR="00723704">
        <w:t xml:space="preserve">. </w:t>
      </w:r>
      <w:r w:rsidR="00CA5199">
        <w:t>Th</w:t>
      </w:r>
      <w:r w:rsidR="004C6CD7">
        <w:t>at holding</w:t>
      </w:r>
      <w:r w:rsidR="00CA5199">
        <w:t xml:space="preserve"> suggests a stronger </w:t>
      </w:r>
      <w:r w:rsidR="007C122A">
        <w:t xml:space="preserve">work-product </w:t>
      </w:r>
      <w:r w:rsidR="00CA5199">
        <w:t xml:space="preserve">protection </w:t>
      </w:r>
      <w:r w:rsidR="007C122A">
        <w:t>for</w:t>
      </w:r>
      <w:r w:rsidR="00CA5199">
        <w:t xml:space="preserve"> the defense, as disclosure of the attorney’s efforts during pretrial discovery “could disrupt the orderly development and presentation of his case.” </w:t>
      </w:r>
      <w:r w:rsidR="00CA5199">
        <w:rPr>
          <w:i/>
          <w:iCs/>
        </w:rPr>
        <w:t>Id.</w:t>
      </w:r>
      <w:r w:rsidR="00CA5199">
        <w:t xml:space="preserve"> at 239</w:t>
      </w:r>
      <w:r w:rsidR="00E86759">
        <w:fldChar w:fldCharType="begin"/>
      </w:r>
      <w:r w:rsidR="00E86759">
        <w:instrText xml:space="preserve"> TA \s "Nobles" </w:instrText>
      </w:r>
      <w:r w:rsidR="00E86759">
        <w:fldChar w:fldCharType="end"/>
      </w:r>
      <w:r w:rsidR="00CA5199">
        <w:t xml:space="preserve">. </w:t>
      </w:r>
    </w:p>
    <w:p w14:paraId="2468A3A0" w14:textId="07659277" w:rsidR="00171E15" w:rsidRPr="00171E15" w:rsidRDefault="00171E15" w:rsidP="00171E15">
      <w:pPr>
        <w:pStyle w:val="BodyTextFirstIndent"/>
      </w:pPr>
      <w:r w:rsidRPr="00171E15">
        <w:t>There is a</w:t>
      </w:r>
      <w:r>
        <w:t xml:space="preserve">n </w:t>
      </w:r>
      <w:r w:rsidRPr="00171E15">
        <w:t xml:space="preserve">intentional difference between the Federal Rules of Civil Procedure and the Federal Rules of Criminal Procedure regarding the work-product privilege. Federal Rule of Civil Procedure 26(b)(3)(A) </w:t>
      </w:r>
      <w:r>
        <w:t>provides</w:t>
      </w:r>
      <w:r w:rsidRPr="00171E15">
        <w:t xml:space="preserve"> </w:t>
      </w:r>
      <w:r>
        <w:t xml:space="preserve">the </w:t>
      </w:r>
      <w:r w:rsidRPr="00171E15">
        <w:t>substantial need exception</w:t>
      </w:r>
      <w:r w:rsidR="00BD0FB2">
        <w:t>: W</w:t>
      </w:r>
      <w:r w:rsidRPr="00171E15">
        <w:t>ork-product materials can be discovered if a party demonstrates substantial need and cannot obtain the equivalent information without undue hardship.</w:t>
      </w:r>
      <w:r>
        <w:t xml:space="preserve"> </w:t>
      </w:r>
      <w:r w:rsidRPr="00171E15">
        <w:rPr>
          <w:smallCaps/>
        </w:rPr>
        <w:t>Fed. R. Civ. P</w:t>
      </w:r>
      <w:r>
        <w:t>. 26(b)(3)(A)</w:t>
      </w:r>
      <w:r w:rsidR="00E86759">
        <w:fldChar w:fldCharType="begin"/>
      </w:r>
      <w:r w:rsidR="00E86759">
        <w:instrText xml:space="preserve"> TA \l "</w:instrText>
      </w:r>
      <w:r w:rsidR="00E86759" w:rsidRPr="000B4513">
        <w:rPr>
          <w:smallCaps/>
        </w:rPr>
        <w:instrText>Fed. R. Civ. P</w:instrText>
      </w:r>
      <w:r w:rsidR="00E86759" w:rsidRPr="000B4513">
        <w:instrText>. 26</w:instrText>
      </w:r>
      <w:r w:rsidR="00E86759">
        <w:instrText xml:space="preserve">" \s "Fed. R. Civ. P. 26" \c 4 </w:instrText>
      </w:r>
      <w:r w:rsidR="00E86759">
        <w:fldChar w:fldCharType="end"/>
      </w:r>
      <w:r>
        <w:t>.</w:t>
      </w:r>
      <w:r w:rsidRPr="00171E15">
        <w:t xml:space="preserve"> In contrast, the Federal Rules of Criminal Procedure</w:t>
      </w:r>
      <w:r>
        <w:t>,</w:t>
      </w:r>
      <w:r w:rsidRPr="00171E15">
        <w:t xml:space="preserve"> specifically Rule 16(b)(2)</w:t>
      </w:r>
      <w:r>
        <w:t>,</w:t>
      </w:r>
      <w:r w:rsidRPr="00171E15">
        <w:t xml:space="preserve"> contain no such exception. </w:t>
      </w:r>
      <w:r>
        <w:rPr>
          <w:i/>
          <w:iCs/>
        </w:rPr>
        <w:t xml:space="preserve">See </w:t>
      </w:r>
      <w:r w:rsidRPr="00171E15">
        <w:rPr>
          <w:smallCaps/>
        </w:rPr>
        <w:t>Fed. R. Crim</w:t>
      </w:r>
      <w:r>
        <w:rPr>
          <w:smallCaps/>
        </w:rPr>
        <w:t>.</w:t>
      </w:r>
      <w:r w:rsidRPr="00171E15">
        <w:rPr>
          <w:smallCaps/>
        </w:rPr>
        <w:t xml:space="preserve"> P</w:t>
      </w:r>
      <w:r>
        <w:t>. 16(b)(2)</w:t>
      </w:r>
      <w:r w:rsidR="00E86759">
        <w:fldChar w:fldCharType="begin"/>
      </w:r>
      <w:r w:rsidR="00E86759">
        <w:instrText xml:space="preserve"> TA \s "Fed. R. Crim. P. 16" </w:instrText>
      </w:r>
      <w:r w:rsidR="00E86759">
        <w:fldChar w:fldCharType="end"/>
      </w:r>
      <w:r>
        <w:t xml:space="preserve">. </w:t>
      </w:r>
      <w:r w:rsidRPr="00171E15">
        <w:t>Thus, the protections for work-product materials are stronger in criminal cases, where the exception simply does not exist.</w:t>
      </w:r>
    </w:p>
    <w:p w14:paraId="603B8B82" w14:textId="174E4F25" w:rsidR="007E2539" w:rsidRPr="007E2539" w:rsidRDefault="00EC255F" w:rsidP="00BD0FB2">
      <w:pPr>
        <w:pStyle w:val="BodyTextFirstIndent"/>
      </w:pPr>
      <w:r>
        <w:t xml:space="preserve">When the Rules of Criminal </w:t>
      </w:r>
      <w:r w:rsidR="00BD0FB2">
        <w:t>P</w:t>
      </w:r>
      <w:r>
        <w:t xml:space="preserve">rocedure fail to include text, </w:t>
      </w:r>
      <w:r w:rsidR="00BD0FB2">
        <w:t>courts cannot read it into the Rules</w:t>
      </w:r>
      <w:r>
        <w:t xml:space="preserve">. </w:t>
      </w:r>
      <w:r>
        <w:rPr>
          <w:i/>
          <w:iCs/>
        </w:rPr>
        <w:t>See</w:t>
      </w:r>
      <w:r w:rsidR="007E2539">
        <w:rPr>
          <w:i/>
          <w:iCs/>
        </w:rPr>
        <w:t>, e.g.</w:t>
      </w:r>
      <w:r w:rsidR="007E2539">
        <w:t>,</w:t>
      </w:r>
      <w:r>
        <w:rPr>
          <w:i/>
          <w:iCs/>
        </w:rPr>
        <w:t xml:space="preserve"> </w:t>
      </w:r>
      <w:r w:rsidR="007E2539">
        <w:rPr>
          <w:i/>
          <w:iCs/>
        </w:rPr>
        <w:t>Hobbs v. McLean</w:t>
      </w:r>
      <w:r w:rsidR="007E2539">
        <w:t>, 117 U.S. 567, 579 (1886)</w:t>
      </w:r>
      <w:r w:rsidR="00E86759">
        <w:fldChar w:fldCharType="begin"/>
      </w:r>
      <w:r w:rsidR="00E86759">
        <w:instrText xml:space="preserve"> TA \l "</w:instrText>
      </w:r>
      <w:r w:rsidR="00E86759" w:rsidRPr="000B4513">
        <w:rPr>
          <w:i/>
          <w:iCs/>
        </w:rPr>
        <w:instrText>Hobbs v. McLean</w:instrText>
      </w:r>
      <w:r w:rsidR="00E86759" w:rsidRPr="000B4513">
        <w:instrText>, 117 U.S. 567 (1886)</w:instrText>
      </w:r>
      <w:r w:rsidR="00E86759">
        <w:instrText xml:space="preserve">" \s "Hobbs" \c 1 </w:instrText>
      </w:r>
      <w:r w:rsidR="00E86759">
        <w:fldChar w:fldCharType="end"/>
      </w:r>
      <w:r w:rsidR="007E2539">
        <w:t xml:space="preserve"> (“</w:t>
      </w:r>
      <w:r w:rsidR="007E2539" w:rsidRPr="007E2539">
        <w:t xml:space="preserve">When a provision is left out of a statute, </w:t>
      </w:r>
      <w:r w:rsidR="007C122A">
        <w:t>. . .</w:t>
      </w:r>
      <w:r w:rsidR="007E2539" w:rsidRPr="007E2539">
        <w:t xml:space="preserve"> the courts have no power to supply it.</w:t>
      </w:r>
      <w:r w:rsidR="007E2539">
        <w:t xml:space="preserve">”); </w:t>
      </w:r>
      <w:r w:rsidR="007E2539">
        <w:rPr>
          <w:i/>
          <w:iCs/>
        </w:rPr>
        <w:t xml:space="preserve">Jama </w:t>
      </w:r>
      <w:r w:rsidR="007E2539">
        <w:rPr>
          <w:i/>
          <w:iCs/>
        </w:rPr>
        <w:lastRenderedPageBreak/>
        <w:t xml:space="preserve">v. </w:t>
      </w:r>
      <w:proofErr w:type="spellStart"/>
      <w:r w:rsidR="007E2539">
        <w:rPr>
          <w:i/>
          <w:iCs/>
        </w:rPr>
        <w:t>Immigr</w:t>
      </w:r>
      <w:proofErr w:type="spellEnd"/>
      <w:r w:rsidR="007E2539">
        <w:rPr>
          <w:i/>
          <w:iCs/>
        </w:rPr>
        <w:t xml:space="preserve">. &amp; Customs </w:t>
      </w:r>
      <w:proofErr w:type="spellStart"/>
      <w:r w:rsidR="007E2539">
        <w:rPr>
          <w:i/>
          <w:iCs/>
        </w:rPr>
        <w:t>Enf’t</w:t>
      </w:r>
      <w:proofErr w:type="spellEnd"/>
      <w:r w:rsidR="007E2539">
        <w:t>, 543 U.S. 335, 341 (2005)</w:t>
      </w:r>
      <w:r w:rsidR="00E86759">
        <w:fldChar w:fldCharType="begin"/>
      </w:r>
      <w:r w:rsidR="00E86759">
        <w:instrText xml:space="preserve"> TA \l "</w:instrText>
      </w:r>
      <w:r w:rsidR="00E86759" w:rsidRPr="000B4513">
        <w:rPr>
          <w:i/>
          <w:iCs/>
        </w:rPr>
        <w:instrText>Jama v. Immigr. &amp; Customs Enf’t</w:instrText>
      </w:r>
      <w:r w:rsidR="00E86759" w:rsidRPr="000B4513">
        <w:instrText>, 543 U.S. 335 (2005)</w:instrText>
      </w:r>
      <w:r w:rsidR="00E86759">
        <w:instrText xml:space="preserve">" \s "Jama" \c 1 </w:instrText>
      </w:r>
      <w:r w:rsidR="00E86759">
        <w:fldChar w:fldCharType="end"/>
      </w:r>
      <w:r w:rsidR="007E2539">
        <w:t xml:space="preserve"> (“</w:t>
      </w:r>
      <w:r w:rsidR="007C122A">
        <w:t>[O]</w:t>
      </w:r>
      <w:proofErr w:type="spellStart"/>
      <w:r w:rsidR="007E2539" w:rsidRPr="007E2539">
        <w:t>ur</w:t>
      </w:r>
      <w:proofErr w:type="spellEnd"/>
      <w:r w:rsidR="007E2539" w:rsidRPr="007E2539">
        <w:t xml:space="preserve"> reluctance is even greater when Congress has shown elsewhere in the same statute that it knows how to make such a requirement manifest.</w:t>
      </w:r>
      <w:r w:rsidR="007E2539">
        <w:t>”)</w:t>
      </w:r>
      <w:r w:rsidR="00171E15">
        <w:t>.</w:t>
      </w:r>
      <w:r w:rsidR="00CE73EA">
        <w:t xml:space="preserve"> </w:t>
      </w:r>
      <w:r w:rsidR="0072745B">
        <w:t xml:space="preserve">The same canon of construction applies to Rule 16. </w:t>
      </w:r>
      <w:r w:rsidR="00D42EFB">
        <w:t>T</w:t>
      </w:r>
      <w:r w:rsidR="0072745B">
        <w:t xml:space="preserve">he Supreme Court, its advisory committee, and Congress </w:t>
      </w:r>
      <w:r w:rsidR="00D42EFB">
        <w:t xml:space="preserve">each </w:t>
      </w:r>
      <w:r w:rsidR="0072745B">
        <w:t xml:space="preserve">had the opportunity to include the </w:t>
      </w:r>
      <w:r w:rsidR="00D42EFB">
        <w:t xml:space="preserve">substantial need </w:t>
      </w:r>
      <w:r w:rsidR="0072745B">
        <w:t>exception</w:t>
      </w:r>
      <w:r w:rsidR="00D42EFB">
        <w:t xml:space="preserve"> in the Rule</w:t>
      </w:r>
      <w:r w:rsidR="0072745B">
        <w:t>, just as was done in the Rules of Civil Procedure. But they did</w:t>
      </w:r>
      <w:r w:rsidR="00CE73EA">
        <w:t xml:space="preserve"> not</w:t>
      </w:r>
      <w:r w:rsidR="0072745B">
        <w:t xml:space="preserve">. Therefore, this omission was </w:t>
      </w:r>
      <w:r w:rsidR="00BD0FB2">
        <w:t>intentional. I</w:t>
      </w:r>
      <w:r w:rsidR="007C122A">
        <w:t>t should not be read in.</w:t>
      </w:r>
      <w:r w:rsidR="0072745B">
        <w:t xml:space="preserve">  </w:t>
      </w:r>
    </w:p>
    <w:p w14:paraId="4234848C" w14:textId="04B95F7F" w:rsidR="0031315C" w:rsidRDefault="008E5619" w:rsidP="00F41967">
      <w:pPr>
        <w:pStyle w:val="BodyTextFirstIndent"/>
      </w:pPr>
      <w:r>
        <w:t xml:space="preserve">No </w:t>
      </w:r>
      <w:r w:rsidR="00CE73EA">
        <w:t>binding</w:t>
      </w:r>
      <w:r>
        <w:t xml:space="preserve"> precedent exists to apply the </w:t>
      </w:r>
      <w:r w:rsidR="00D42EFB">
        <w:t xml:space="preserve">substantial need </w:t>
      </w:r>
      <w:r>
        <w:t xml:space="preserve">exception. </w:t>
      </w:r>
      <w:r w:rsidR="00F71A82">
        <w:t>Although s</w:t>
      </w:r>
      <w:r w:rsidR="00726829">
        <w:t>ome</w:t>
      </w:r>
      <w:r w:rsidR="0072745B">
        <w:t xml:space="preserve"> </w:t>
      </w:r>
      <w:r w:rsidR="00CE73EA">
        <w:t>c</w:t>
      </w:r>
      <w:r w:rsidR="0072745B">
        <w:t>ircuit</w:t>
      </w:r>
      <w:r w:rsidR="00F41967">
        <w:t>s</w:t>
      </w:r>
      <w:r w:rsidR="0072745B">
        <w:t xml:space="preserve"> have </w:t>
      </w:r>
      <w:r w:rsidR="00A70F65">
        <w:t>recognized</w:t>
      </w:r>
      <w:r w:rsidR="0072745B">
        <w:t xml:space="preserve"> the exception </w:t>
      </w:r>
      <w:r w:rsidR="00A70F65">
        <w:t>in</w:t>
      </w:r>
      <w:r w:rsidR="0072745B">
        <w:t xml:space="preserve"> criminal cases</w:t>
      </w:r>
      <w:r w:rsidR="00F71A82">
        <w:t>,</w:t>
      </w:r>
      <w:r w:rsidR="003F6616" w:rsidRPr="003F6616">
        <w:rPr>
          <w:i/>
          <w:iCs/>
        </w:rPr>
        <w:t xml:space="preserve"> </w:t>
      </w:r>
      <w:r w:rsidR="003F6616">
        <w:rPr>
          <w:i/>
          <w:iCs/>
        </w:rPr>
        <w:t>see</w:t>
      </w:r>
      <w:r w:rsidR="003F6616">
        <w:t xml:space="preserve"> </w:t>
      </w:r>
      <w:r w:rsidR="003F6616">
        <w:rPr>
          <w:i/>
          <w:iCs/>
        </w:rPr>
        <w:t>In re Grand Jury Subpoenas</w:t>
      </w:r>
      <w:r w:rsidR="00446FC2">
        <w:rPr>
          <w:i/>
          <w:iCs/>
        </w:rPr>
        <w:t xml:space="preserve"> Dated Mar. 19, 2002 &amp; Aug. 2, 2002</w:t>
      </w:r>
      <w:r w:rsidR="003F6616">
        <w:t>,</w:t>
      </w:r>
      <w:r w:rsidR="00FB0AFF">
        <w:t xml:space="preserve"> </w:t>
      </w:r>
      <w:r w:rsidR="003F6616">
        <w:t>318 F.3d 379, 383 (2d Cir. 2002)</w:t>
      </w:r>
      <w:r w:rsidR="00E86759">
        <w:fldChar w:fldCharType="begin"/>
      </w:r>
      <w:r w:rsidR="00E86759">
        <w:instrText xml:space="preserve"> TA \l "</w:instrText>
      </w:r>
      <w:r w:rsidR="00E86759" w:rsidRPr="000B4513">
        <w:rPr>
          <w:i/>
          <w:iCs/>
        </w:rPr>
        <w:instrText>In re Grand Jury Subpoenas Dated Mar. 19, 2002 &amp; Aug. 2, 2002</w:instrText>
      </w:r>
      <w:r w:rsidR="00E86759" w:rsidRPr="000B4513">
        <w:instrText>, 318 F.3d 379 (2d Cir. 2002)</w:instrText>
      </w:r>
      <w:r w:rsidR="00E86759">
        <w:instrText xml:space="preserve">" \s "Grand Jury Subpoenas Dated Mar. 19, 2002 &amp; Aug. 2, 2002" \c 1 </w:instrText>
      </w:r>
      <w:r w:rsidR="00E86759">
        <w:fldChar w:fldCharType="end"/>
      </w:r>
      <w:r w:rsidR="003F6616">
        <w:t xml:space="preserve">; </w:t>
      </w:r>
      <w:r w:rsidR="003F6616">
        <w:rPr>
          <w:i/>
          <w:iCs/>
        </w:rPr>
        <w:t>In re Search Warrant Issued June 13, 2019</w:t>
      </w:r>
      <w:r w:rsidR="003F6616">
        <w:t>, 942 F.3d 159, 174 (4th Cir. 2019)</w:t>
      </w:r>
      <w:r w:rsidR="00E86759">
        <w:fldChar w:fldCharType="begin"/>
      </w:r>
      <w:r w:rsidR="00E86759">
        <w:instrText xml:space="preserve"> TA \l "</w:instrText>
      </w:r>
      <w:r w:rsidR="00E86759" w:rsidRPr="000B4513">
        <w:rPr>
          <w:i/>
          <w:iCs/>
        </w:rPr>
        <w:instrText>In re Search Warrant Issued June 13, 2019</w:instrText>
      </w:r>
      <w:r w:rsidR="00E86759" w:rsidRPr="000B4513">
        <w:instrText>, 942 F.3d 159 (4th Cir. 2019)</w:instrText>
      </w:r>
      <w:r w:rsidR="00E86759">
        <w:instrText xml:space="preserve">" \s "Search Warrant" \c 1 </w:instrText>
      </w:r>
      <w:r w:rsidR="00E86759">
        <w:fldChar w:fldCharType="end"/>
      </w:r>
      <w:r w:rsidR="003F6616">
        <w:t xml:space="preserve">; </w:t>
      </w:r>
      <w:r w:rsidR="003F6616">
        <w:rPr>
          <w:i/>
          <w:iCs/>
        </w:rPr>
        <w:t>In re Grand Jury Procs</w:t>
      </w:r>
      <w:r w:rsidR="006C1746">
        <w:rPr>
          <w:i/>
          <w:iCs/>
        </w:rPr>
        <w:t>.</w:t>
      </w:r>
      <w:r w:rsidR="003F6616">
        <w:t>, 43 F.3d 966</w:t>
      </w:r>
      <w:r w:rsidR="00A70F65">
        <w:t>, 971</w:t>
      </w:r>
      <w:r w:rsidR="003F6616">
        <w:t xml:space="preserve"> (5th Cir. 1994)</w:t>
      </w:r>
      <w:r w:rsidR="00E86759">
        <w:fldChar w:fldCharType="begin"/>
      </w:r>
      <w:r w:rsidR="00E86759">
        <w:instrText xml:space="preserve"> TA \l "</w:instrText>
      </w:r>
      <w:r w:rsidR="00E86759" w:rsidRPr="000B4513">
        <w:rPr>
          <w:i/>
          <w:iCs/>
        </w:rPr>
        <w:instrText>In re Grand Jury Procs.</w:instrText>
      </w:r>
      <w:r w:rsidR="00E86759" w:rsidRPr="000B4513">
        <w:instrText>, 43 F.3d 966 (5th Cir. 1994)</w:instrText>
      </w:r>
      <w:r w:rsidR="00E86759">
        <w:instrText xml:space="preserve">" \s "Grand Jury Procs." \c 1 </w:instrText>
      </w:r>
      <w:r w:rsidR="00E86759">
        <w:fldChar w:fldCharType="end"/>
      </w:r>
      <w:r w:rsidR="003F6616">
        <w:t xml:space="preserve">; </w:t>
      </w:r>
      <w:r w:rsidR="003F6616">
        <w:rPr>
          <w:i/>
          <w:iCs/>
        </w:rPr>
        <w:t>United Kingdo</w:t>
      </w:r>
      <w:r w:rsidR="004D05ED">
        <w:rPr>
          <w:i/>
          <w:iCs/>
        </w:rPr>
        <w:t>m</w:t>
      </w:r>
      <w:r w:rsidR="003F6616">
        <w:rPr>
          <w:i/>
          <w:iCs/>
        </w:rPr>
        <w:t xml:space="preserve"> v. United States</w:t>
      </w:r>
      <w:r w:rsidR="003F6616">
        <w:t>, 238 F.3d 1312</w:t>
      </w:r>
      <w:r w:rsidR="00A70F65">
        <w:t xml:space="preserve">, </w:t>
      </w:r>
      <w:r w:rsidR="000A0F04">
        <w:t>1322</w:t>
      </w:r>
      <w:r w:rsidR="003F6616">
        <w:t xml:space="preserve"> (11th Cir. 2001)</w:t>
      </w:r>
      <w:r w:rsidR="00E86759">
        <w:fldChar w:fldCharType="begin"/>
      </w:r>
      <w:r w:rsidR="00E86759">
        <w:instrText xml:space="preserve"> TA \l "</w:instrText>
      </w:r>
      <w:r w:rsidR="00E86759" w:rsidRPr="000B4513">
        <w:rPr>
          <w:i/>
          <w:iCs/>
        </w:rPr>
        <w:instrText>United Kingdom v. United States</w:instrText>
      </w:r>
      <w:r w:rsidR="00E86759" w:rsidRPr="000B4513">
        <w:instrText>, 238 F.3d 1312 (11th Cir. 2001)</w:instrText>
      </w:r>
      <w:r w:rsidR="00E86759">
        <w:instrText xml:space="preserve">" \s "United Kingdom" \c 1 </w:instrText>
      </w:r>
      <w:r w:rsidR="00E86759">
        <w:fldChar w:fldCharType="end"/>
      </w:r>
      <w:r w:rsidR="003F6616">
        <w:t xml:space="preserve">; </w:t>
      </w:r>
      <w:r w:rsidR="003F6616">
        <w:rPr>
          <w:i/>
          <w:iCs/>
        </w:rPr>
        <w:t>In re Sealed Case</w:t>
      </w:r>
      <w:r w:rsidR="003F6616">
        <w:t>, 676 F.2d 793, 809–10 (D.C. Cir. 1982)</w:t>
      </w:r>
      <w:r w:rsidR="00752D51">
        <w:fldChar w:fldCharType="begin"/>
      </w:r>
      <w:r w:rsidR="00752D51">
        <w:instrText xml:space="preserve"> TA \l "</w:instrText>
      </w:r>
      <w:r w:rsidR="00752D51" w:rsidRPr="000B4513">
        <w:rPr>
          <w:i/>
          <w:iCs/>
        </w:rPr>
        <w:instrText>In re Sealed Case</w:instrText>
      </w:r>
      <w:r w:rsidR="00752D51" w:rsidRPr="000B4513">
        <w:instrText>, 676 F.2d 793 (D.C. Cir. 1982)</w:instrText>
      </w:r>
      <w:r w:rsidR="00752D51">
        <w:instrText xml:space="preserve">" \s "Sealed Case (676)" \c 1 </w:instrText>
      </w:r>
      <w:r w:rsidR="00752D51">
        <w:fldChar w:fldCharType="end"/>
      </w:r>
      <w:r w:rsidR="003F6616">
        <w:t>,</w:t>
      </w:r>
      <w:r>
        <w:t xml:space="preserve"> </w:t>
      </w:r>
      <w:r w:rsidR="0072745B">
        <w:t>t</w:t>
      </w:r>
      <w:r w:rsidR="00F069F1">
        <w:t xml:space="preserve">he Supreme Court has </w:t>
      </w:r>
      <w:r w:rsidR="00F069F1" w:rsidRPr="0072745B">
        <w:rPr>
          <w:i/>
          <w:iCs/>
        </w:rPr>
        <w:t>never</w:t>
      </w:r>
      <w:r w:rsidR="00F069F1">
        <w:t xml:space="preserve"> applied </w:t>
      </w:r>
      <w:r w:rsidR="0072745B">
        <w:t>it.</w:t>
      </w:r>
      <w:r w:rsidR="00F71A82">
        <w:t xml:space="preserve"> Within the common law, there exists no exception created by the only binding authority on this </w:t>
      </w:r>
      <w:r w:rsidR="00BD0FB2">
        <w:t>C</w:t>
      </w:r>
      <w:r w:rsidR="00F71A82">
        <w:t>ourt</w:t>
      </w:r>
      <w:r w:rsidR="00F41967">
        <w:t>.</w:t>
      </w:r>
      <w:r w:rsidR="00F71A82">
        <w:t xml:space="preserve"> </w:t>
      </w:r>
      <w:r w:rsidR="00726829">
        <w:t xml:space="preserve">Therefore, the </w:t>
      </w:r>
      <w:r w:rsidR="00F5441C">
        <w:t xml:space="preserve">Government cannot rely on this </w:t>
      </w:r>
      <w:r w:rsidR="00726829">
        <w:t>exception</w:t>
      </w:r>
      <w:r w:rsidR="00F5441C">
        <w:t xml:space="preserve"> </w:t>
      </w:r>
      <w:r w:rsidR="00EC255F">
        <w:t>to improperly obtain Armana’s records.</w:t>
      </w:r>
    </w:p>
    <w:p w14:paraId="44AB0549" w14:textId="6BEDA321" w:rsidR="000D2475" w:rsidRDefault="000D2475" w:rsidP="001A75D3">
      <w:pPr>
        <w:pStyle w:val="Heading3"/>
      </w:pPr>
      <w:bookmarkStart w:id="14" w:name="_Toc239118285"/>
      <w:r>
        <w:t xml:space="preserve">Even if the </w:t>
      </w:r>
      <w:r w:rsidR="0002291A">
        <w:t>substantial need</w:t>
      </w:r>
      <w:r>
        <w:t xml:space="preserve"> exception applies, </w:t>
      </w:r>
      <w:r w:rsidR="00D65367">
        <w:t xml:space="preserve">the Government </w:t>
      </w:r>
      <w:r w:rsidR="00D36B87">
        <w:t>has no such need.</w:t>
      </w:r>
      <w:bookmarkEnd w:id="14"/>
    </w:p>
    <w:p w14:paraId="73DA6747" w14:textId="472592C6" w:rsidR="0090508C" w:rsidRPr="0024337C" w:rsidRDefault="00D36B87" w:rsidP="0090508C">
      <w:pPr>
        <w:pStyle w:val="BodyTextFirstIndent"/>
      </w:pPr>
      <w:r>
        <w:t>C</w:t>
      </w:r>
      <w:r w:rsidR="00011A09">
        <w:t>ourts recognize two different categories of work product:</w:t>
      </w:r>
      <w:r w:rsidR="0024337C">
        <w:t xml:space="preserve"> </w:t>
      </w:r>
      <w:r w:rsidR="00D42EFB">
        <w:t>ordinary or fact</w:t>
      </w:r>
      <w:r w:rsidR="00011A09">
        <w:t xml:space="preserve"> work product and opinion work product. </w:t>
      </w:r>
      <w:r w:rsidR="00D42EFB">
        <w:t>Ordinary</w:t>
      </w:r>
      <w:r w:rsidR="00011A09">
        <w:t xml:space="preserve"> work product is a “‘transaction of the </w:t>
      </w:r>
      <w:r w:rsidR="00011A09">
        <w:lastRenderedPageBreak/>
        <w:t xml:space="preserve">factual events involved,’ and opinion work product … ‘represents the actual thoughts and impressions of the attorney.’” </w:t>
      </w:r>
      <w:r w:rsidR="00011A09">
        <w:rPr>
          <w:i/>
          <w:iCs/>
        </w:rPr>
        <w:t>Search Warrant</w:t>
      </w:r>
      <w:r w:rsidR="00011A09">
        <w:t xml:space="preserve">, 942 F.3d </w:t>
      </w:r>
      <w:r w:rsidR="008E5619">
        <w:t xml:space="preserve">at </w:t>
      </w:r>
      <w:r w:rsidR="00011A09">
        <w:t>174</w:t>
      </w:r>
      <w:r w:rsidR="00752D51">
        <w:fldChar w:fldCharType="begin"/>
      </w:r>
      <w:r w:rsidR="00752D51">
        <w:instrText xml:space="preserve"> TA \s "Search Warrant" </w:instrText>
      </w:r>
      <w:r w:rsidR="00752D51">
        <w:fldChar w:fldCharType="end"/>
      </w:r>
      <w:r w:rsidR="00011A09">
        <w:t xml:space="preserve"> (quoting </w:t>
      </w:r>
      <w:proofErr w:type="gramStart"/>
      <w:r w:rsidR="00011A09">
        <w:rPr>
          <w:i/>
          <w:iCs/>
        </w:rPr>
        <w:t>In</w:t>
      </w:r>
      <w:proofErr w:type="gramEnd"/>
      <w:r w:rsidR="00011A09">
        <w:rPr>
          <w:i/>
          <w:iCs/>
        </w:rPr>
        <w:t xml:space="preserve"> re Grand Jury Subpoena</w:t>
      </w:r>
      <w:r w:rsidR="00011A09">
        <w:t>, 870 F.3d 312, 316 (4th Cir. 2017))</w:t>
      </w:r>
      <w:r>
        <w:t>.</w:t>
      </w:r>
    </w:p>
    <w:p w14:paraId="4A53D8B8" w14:textId="1A66E0CC" w:rsidR="000D2475" w:rsidRPr="00F37D22" w:rsidRDefault="00F37D22" w:rsidP="001A75D3">
      <w:pPr>
        <w:pStyle w:val="Heading4"/>
        <w:numPr>
          <w:ilvl w:val="0"/>
          <w:numId w:val="16"/>
        </w:numPr>
        <w:ind w:left="1080"/>
      </w:pPr>
      <w:bookmarkStart w:id="15" w:name="_Toc239118286"/>
      <w:r w:rsidRPr="00F37D22">
        <w:t>Armana’s records are opinion work product</w:t>
      </w:r>
      <w:r w:rsidR="00CE73EA">
        <w:t>.</w:t>
      </w:r>
      <w:bookmarkEnd w:id="15"/>
    </w:p>
    <w:p w14:paraId="12C062E8" w14:textId="5B6A9696" w:rsidR="0090508C" w:rsidRDefault="003A71A2" w:rsidP="0090508C">
      <w:pPr>
        <w:pStyle w:val="BodyTextFirstIndent"/>
      </w:pPr>
      <w:r>
        <w:t xml:space="preserve">Opinion work product is protected by nearly absolute immunity and may only be produced upon a showing of a rare and extraordinary circumstance. </w:t>
      </w:r>
      <w:r>
        <w:rPr>
          <w:i/>
          <w:iCs/>
        </w:rPr>
        <w:t>Id</w:t>
      </w:r>
      <w:r w:rsidR="00752D51">
        <w:rPr>
          <w:i/>
          <w:iCs/>
        </w:rPr>
        <w:fldChar w:fldCharType="begin"/>
      </w:r>
      <w:r w:rsidR="00752D51">
        <w:instrText xml:space="preserve"> TA \s "Search Warrant" </w:instrText>
      </w:r>
      <w:r w:rsidR="00752D51">
        <w:rPr>
          <w:i/>
          <w:iCs/>
        </w:rPr>
        <w:fldChar w:fldCharType="end"/>
      </w:r>
      <w:r>
        <w:rPr>
          <w:i/>
          <w:iCs/>
        </w:rPr>
        <w:t>.</w:t>
      </w:r>
      <w:r>
        <w:t xml:space="preserve"> Here, no </w:t>
      </w:r>
      <w:r w:rsidR="00F41967">
        <w:t>such</w:t>
      </w:r>
      <w:r>
        <w:t xml:space="preserve"> circumstance </w:t>
      </w:r>
      <w:r w:rsidR="00267D31">
        <w:t xml:space="preserve">is </w:t>
      </w:r>
      <w:r>
        <w:t>present, and Armana’s records fall squarely into opinion work product.</w:t>
      </w:r>
    </w:p>
    <w:p w14:paraId="48FA1625" w14:textId="748D1253" w:rsidR="003A71A2" w:rsidRPr="001019AF" w:rsidRDefault="003A71A2" w:rsidP="001019AF">
      <w:pPr>
        <w:pStyle w:val="BodyTextFirstIndent"/>
        <w:rPr>
          <w:i/>
          <w:iCs/>
        </w:rPr>
      </w:pPr>
      <w:r>
        <w:t xml:space="preserve">Notes from a witness interview constitute opinion work product. </w:t>
      </w:r>
      <w:r w:rsidR="00267D31">
        <w:t>I</w:t>
      </w:r>
      <w:r w:rsidR="007B7454">
        <w:t xml:space="preserve">n </w:t>
      </w:r>
      <w:r w:rsidR="007B7454">
        <w:rPr>
          <w:i/>
          <w:iCs/>
        </w:rPr>
        <w:t>In re Green Grand Jury Proceedings</w:t>
      </w:r>
      <w:r w:rsidR="007B7454">
        <w:t>, the Eighth Circuit held “[n]</w:t>
      </w:r>
      <w:proofErr w:type="spellStart"/>
      <w:r w:rsidR="007B7454">
        <w:t>otes</w:t>
      </w:r>
      <w:proofErr w:type="spellEnd"/>
      <w:r w:rsidR="007B7454">
        <w:t xml:space="preserve"> and memoranda of an attorney, or an attorney’s agent, from a witness interview are opinion work product” because “when taking notes, an attorney often focuses on those facts that she deems legally significant.”</w:t>
      </w:r>
      <w:r w:rsidR="0002291A">
        <w:t xml:space="preserve"> </w:t>
      </w:r>
      <w:r w:rsidR="007B7454">
        <w:t>492 F.3d</w:t>
      </w:r>
      <w:r w:rsidR="00D36B87">
        <w:t xml:space="preserve"> 976,</w:t>
      </w:r>
      <w:r w:rsidR="007B7454">
        <w:t xml:space="preserve"> 981–82</w:t>
      </w:r>
      <w:r w:rsidR="00D36B87">
        <w:t xml:space="preserve"> (8th Cir. 2007)</w:t>
      </w:r>
      <w:r w:rsidR="00752D51">
        <w:fldChar w:fldCharType="begin"/>
      </w:r>
      <w:r w:rsidR="00752D51">
        <w:instrText xml:space="preserve"> TA \l "</w:instrText>
      </w:r>
      <w:r w:rsidR="00752D51" w:rsidRPr="000B4513">
        <w:rPr>
          <w:i/>
          <w:iCs/>
        </w:rPr>
        <w:instrText>In re Green Grand Jury Procs.</w:instrText>
      </w:r>
      <w:r w:rsidR="00752D51" w:rsidRPr="000B4513">
        <w:instrText>, 492 F.3d 976 (8th Cir. 2007)</w:instrText>
      </w:r>
      <w:r w:rsidR="00752D51">
        <w:instrText xml:space="preserve">" \s "Green grand Jury" \c 1 </w:instrText>
      </w:r>
      <w:r w:rsidR="00752D51">
        <w:fldChar w:fldCharType="end"/>
      </w:r>
      <w:r w:rsidR="007B7454">
        <w:t xml:space="preserve"> (quoting </w:t>
      </w:r>
      <w:r w:rsidR="007B7454">
        <w:rPr>
          <w:i/>
          <w:iCs/>
        </w:rPr>
        <w:t>Baker</w:t>
      </w:r>
      <w:r w:rsidR="007B7454">
        <w:t xml:space="preserve">, 209 F.3d </w:t>
      </w:r>
      <w:r w:rsidR="00D36B87">
        <w:t>at</w:t>
      </w:r>
      <w:r w:rsidR="007B7454">
        <w:t xml:space="preserve"> 1054). </w:t>
      </w:r>
      <w:r w:rsidR="00F41967">
        <w:t>The Supreme Court and other circuits agree</w:t>
      </w:r>
      <w:r w:rsidR="006C1746">
        <w:t>.</w:t>
      </w:r>
      <w:r w:rsidR="006C1746" w:rsidRPr="006C1746">
        <w:rPr>
          <w:i/>
          <w:iCs/>
        </w:rPr>
        <w:t xml:space="preserve"> </w:t>
      </w:r>
      <w:r w:rsidR="006C1746">
        <w:rPr>
          <w:i/>
          <w:iCs/>
        </w:rPr>
        <w:t>Upjohn Co. v. United States</w:t>
      </w:r>
      <w:r w:rsidR="006C1746">
        <w:t>, 449 U.S. 383, 401 (1981)</w:t>
      </w:r>
      <w:r w:rsidR="00752D51">
        <w:fldChar w:fldCharType="begin"/>
      </w:r>
      <w:r w:rsidR="00752D51">
        <w:instrText xml:space="preserve"> TA \l "</w:instrText>
      </w:r>
      <w:r w:rsidR="00752D51" w:rsidRPr="000B4513">
        <w:rPr>
          <w:i/>
          <w:iCs/>
        </w:rPr>
        <w:instrText>Upjohn Co. v. United States</w:instrText>
      </w:r>
      <w:r w:rsidR="00752D51" w:rsidRPr="000B4513">
        <w:instrText>, 449 U.S. 383 (1981)</w:instrText>
      </w:r>
      <w:r w:rsidR="00752D51">
        <w:instrText xml:space="preserve">" \s "Upjohn" \c 1 </w:instrText>
      </w:r>
      <w:r w:rsidR="00752D51">
        <w:fldChar w:fldCharType="end"/>
      </w:r>
      <w:r w:rsidR="006C1746">
        <w:t xml:space="preserve"> (holding </w:t>
      </w:r>
      <w:r w:rsidR="001019AF">
        <w:t xml:space="preserve">work product based on oral statements were protected by attorney-client privilege and, in the alternative, were work product not subject to the substantial need exception); </w:t>
      </w:r>
      <w:r w:rsidR="001019AF">
        <w:rPr>
          <w:i/>
          <w:iCs/>
        </w:rPr>
        <w:t>Grand Jury Procs.</w:t>
      </w:r>
      <w:r w:rsidR="001019AF">
        <w:t>, 43 F.3d at 970–71</w:t>
      </w:r>
      <w:r w:rsidR="00752D51">
        <w:fldChar w:fldCharType="begin"/>
      </w:r>
      <w:r w:rsidR="00752D51">
        <w:instrText xml:space="preserve"> TA \s "Grand Jury Procs." </w:instrText>
      </w:r>
      <w:r w:rsidR="00752D51">
        <w:fldChar w:fldCharType="end"/>
      </w:r>
      <w:r w:rsidR="001019AF">
        <w:t xml:space="preserve"> (quoting </w:t>
      </w:r>
      <w:r w:rsidR="001019AF">
        <w:rPr>
          <w:i/>
          <w:iCs/>
        </w:rPr>
        <w:t>Upjohn</w:t>
      </w:r>
      <w:r w:rsidR="001019AF">
        <w:t>,</w:t>
      </w:r>
      <w:r w:rsidR="001019AF">
        <w:rPr>
          <w:i/>
          <w:iCs/>
        </w:rPr>
        <w:t xml:space="preserve"> </w:t>
      </w:r>
      <w:r w:rsidR="001019AF">
        <w:t xml:space="preserve">449 U.S. </w:t>
      </w:r>
      <w:r w:rsidR="00267D31">
        <w:t>at</w:t>
      </w:r>
      <w:r w:rsidR="001019AF">
        <w:t xml:space="preserve"> 40</w:t>
      </w:r>
      <w:r w:rsidR="00267D31">
        <w:t>1</w:t>
      </w:r>
      <w:r w:rsidR="001019AF">
        <w:t xml:space="preserve">) (explaining documents based on oral communications are opinion work product); </w:t>
      </w:r>
      <w:r w:rsidR="001019AF">
        <w:rPr>
          <w:i/>
          <w:iCs/>
        </w:rPr>
        <w:t>see also Sandra T.E. v. S. Berwyn Sch. Dist. 100</w:t>
      </w:r>
      <w:r w:rsidR="001019AF">
        <w:t>,</w:t>
      </w:r>
      <w:r w:rsidR="001019AF">
        <w:rPr>
          <w:i/>
          <w:iCs/>
        </w:rPr>
        <w:t xml:space="preserve"> </w:t>
      </w:r>
      <w:r w:rsidR="001019AF">
        <w:t>600 F.3d 612, 622 (7th Cir. 2010)</w:t>
      </w:r>
      <w:r w:rsidR="00752D51">
        <w:fldChar w:fldCharType="begin"/>
      </w:r>
      <w:r w:rsidR="00752D51">
        <w:instrText xml:space="preserve"> TA \l "</w:instrText>
      </w:r>
      <w:r w:rsidR="00752D51" w:rsidRPr="000B4513">
        <w:rPr>
          <w:i/>
          <w:iCs/>
        </w:rPr>
        <w:instrText>Sandra T.E. v. S. Berwyn Sch. Dist. 100</w:instrText>
      </w:r>
      <w:r w:rsidR="00752D51" w:rsidRPr="000B4513">
        <w:instrText>,</w:instrText>
      </w:r>
      <w:r w:rsidR="00752D51" w:rsidRPr="000B4513">
        <w:rPr>
          <w:i/>
          <w:iCs/>
        </w:rPr>
        <w:instrText xml:space="preserve"> </w:instrText>
      </w:r>
      <w:r w:rsidR="00752D51" w:rsidRPr="000B4513">
        <w:instrText>600 F.3d 612 (7th Cir. 2010)</w:instrText>
      </w:r>
      <w:r w:rsidR="00752D51">
        <w:instrText xml:space="preserve">" \s "Sandra" \c 1 </w:instrText>
      </w:r>
      <w:r w:rsidR="00752D51">
        <w:fldChar w:fldCharType="end"/>
      </w:r>
      <w:r w:rsidR="001019AF">
        <w:t xml:space="preserve"> (“</w:t>
      </w:r>
      <w:r w:rsidR="001019AF" w:rsidRPr="006B3F38">
        <w:t xml:space="preserve">Disclosure of witness interviews and </w:t>
      </w:r>
      <w:r w:rsidR="001019AF" w:rsidRPr="006B3F38">
        <w:lastRenderedPageBreak/>
        <w:t>related documents</w:t>
      </w:r>
      <w:r w:rsidR="00FB0AFF">
        <w:t xml:space="preserve"> . . . </w:t>
      </w:r>
      <w:r w:rsidR="001019AF" w:rsidRPr="006B3F38">
        <w:t>is particularly discouraged.</w:t>
      </w:r>
      <w:r w:rsidR="001019AF">
        <w:t xml:space="preserve">”). </w:t>
      </w:r>
      <w:r w:rsidR="00F060F8">
        <w:t>Thus, notes taken of a witness interview are opinion work product.</w:t>
      </w:r>
    </w:p>
    <w:p w14:paraId="2A494CB3" w14:textId="2DDD0E1A" w:rsidR="00F060F8" w:rsidRPr="00F41967" w:rsidRDefault="00F060F8" w:rsidP="00F41967">
      <w:pPr>
        <w:pStyle w:val="BodyTextFirstIndent"/>
        <w:rPr>
          <w:i/>
          <w:iCs/>
        </w:rPr>
      </w:pPr>
      <w:r>
        <w:t xml:space="preserve">Armana’s records of the Seton interview are opinion work product. The record is not a transcript. CF 45–46. Thus, Armana’s notes are no different than </w:t>
      </w:r>
      <w:r w:rsidR="00267D31">
        <w:t>the</w:t>
      </w:r>
      <w:r>
        <w:t xml:space="preserve"> opinion work product in </w:t>
      </w:r>
      <w:r>
        <w:rPr>
          <w:i/>
          <w:iCs/>
        </w:rPr>
        <w:t>Green Grand Jury Proceedings</w:t>
      </w:r>
      <w:r>
        <w:t xml:space="preserve"> because</w:t>
      </w:r>
      <w:r w:rsidR="00192BB9">
        <w:t xml:space="preserve"> Armana likely focused on what was deemed “legally significant.” </w:t>
      </w:r>
      <w:r w:rsidR="00192BB9">
        <w:rPr>
          <w:i/>
          <w:iCs/>
        </w:rPr>
        <w:t>See</w:t>
      </w:r>
      <w:r w:rsidR="00D36B87">
        <w:rPr>
          <w:i/>
          <w:iCs/>
        </w:rPr>
        <w:t xml:space="preserve"> </w:t>
      </w:r>
      <w:r>
        <w:t>492 F.3d at 981–82</w:t>
      </w:r>
      <w:r w:rsidR="00752D51">
        <w:fldChar w:fldCharType="begin"/>
      </w:r>
      <w:r w:rsidR="00752D51">
        <w:instrText xml:space="preserve"> TA \s "Green grand Jury" </w:instrText>
      </w:r>
      <w:r w:rsidR="00752D51">
        <w:fldChar w:fldCharType="end"/>
      </w:r>
      <w:r>
        <w:t xml:space="preserve"> (quoting </w:t>
      </w:r>
      <w:r>
        <w:rPr>
          <w:i/>
          <w:iCs/>
        </w:rPr>
        <w:t>Baker v. General Motors Corp.</w:t>
      </w:r>
      <w:r>
        <w:t>, 209 F.3d 1051, 1054 (8th Cir. 2000)). But beyond a mere factual recount of the interview, the notes include Armana’s thoughts and impressions, undoubtedly making the record opinion work product.</w:t>
      </w:r>
      <w:r w:rsidR="00407D6C">
        <w:t xml:space="preserve"> </w:t>
      </w:r>
      <w:r w:rsidR="00407D6C">
        <w:rPr>
          <w:i/>
          <w:iCs/>
        </w:rPr>
        <w:t>See Upjohn</w:t>
      </w:r>
      <w:r w:rsidR="00407D6C">
        <w:t>, 449 U.S. at 401</w:t>
      </w:r>
      <w:r w:rsidR="00752D51">
        <w:fldChar w:fldCharType="begin"/>
      </w:r>
      <w:r w:rsidR="00752D51">
        <w:instrText xml:space="preserve"> TA \s "Upjohn" </w:instrText>
      </w:r>
      <w:r w:rsidR="00752D51">
        <w:fldChar w:fldCharType="end"/>
      </w:r>
      <w:r w:rsidR="00F41967">
        <w:t>. T</w:t>
      </w:r>
      <w:r w:rsidR="006049DB">
        <w:t>he Government cannot provide a rare or extraordinary circumstance to overcome</w:t>
      </w:r>
      <w:r w:rsidR="00F41967">
        <w:t xml:space="preserve"> it</w:t>
      </w:r>
      <w:r w:rsidR="006049DB">
        <w:t>.</w:t>
      </w:r>
    </w:p>
    <w:p w14:paraId="5F1C0D0E" w14:textId="2C5CB989" w:rsidR="000D2475" w:rsidRDefault="00D65367" w:rsidP="001A75D3">
      <w:pPr>
        <w:pStyle w:val="Heading4"/>
      </w:pPr>
      <w:bookmarkStart w:id="16" w:name="_Toc239118287"/>
      <w:r>
        <w:t xml:space="preserve">Even if </w:t>
      </w:r>
      <w:r w:rsidR="00F060F8">
        <w:t>Armana’s records are</w:t>
      </w:r>
      <w:r>
        <w:t xml:space="preserve"> </w:t>
      </w:r>
      <w:r w:rsidR="00D42EFB">
        <w:t>ordinary</w:t>
      </w:r>
      <w:r>
        <w:t xml:space="preserve"> work product, </w:t>
      </w:r>
      <w:r w:rsidR="00D42EFB">
        <w:t>the Government cannot prove substantial need.</w:t>
      </w:r>
      <w:bookmarkEnd w:id="16"/>
    </w:p>
    <w:p w14:paraId="671FC9A5" w14:textId="7CE1F8C6" w:rsidR="0090508C" w:rsidRDefault="00267D31" w:rsidP="0090508C">
      <w:pPr>
        <w:pStyle w:val="BodyTextFirstIndent"/>
      </w:pPr>
      <w:r>
        <w:t>T</w:t>
      </w:r>
      <w:r w:rsidR="000C7354">
        <w:t xml:space="preserve">o overcome ordinary work-product privilege, the Government must show a substantial need for the documents that cannot be obtained without undue hardship. </w:t>
      </w:r>
      <w:r w:rsidR="00752D51">
        <w:rPr>
          <w:i/>
          <w:iCs/>
        </w:rPr>
        <w:t>Id.</w:t>
      </w:r>
      <w:r w:rsidR="000C7354">
        <w:t xml:space="preserve"> at 40</w:t>
      </w:r>
      <w:r w:rsidR="00A701F1">
        <w:t>0</w:t>
      </w:r>
      <w:r w:rsidR="00752D51">
        <w:fldChar w:fldCharType="begin"/>
      </w:r>
      <w:r w:rsidR="00752D51">
        <w:instrText xml:space="preserve"> TA \s "Upjohn" </w:instrText>
      </w:r>
      <w:r w:rsidR="00752D51">
        <w:fldChar w:fldCharType="end"/>
      </w:r>
      <w:r w:rsidR="000C7354">
        <w:t xml:space="preserve">. </w:t>
      </w:r>
    </w:p>
    <w:p w14:paraId="6F64F923" w14:textId="60CFC9B3" w:rsidR="00D969FD" w:rsidRDefault="00D969FD" w:rsidP="00D969FD">
      <w:pPr>
        <w:pStyle w:val="BodyTextFirstIndent"/>
      </w:pPr>
      <w:r>
        <w:t xml:space="preserve">Substantial need is proven when the materials are relevant, have a unique value from information in the party’s possession, and “‘special circumstances’ excuse the [party’s] failure to obtain the requested materials itself.” </w:t>
      </w:r>
      <w:r w:rsidR="0002291A">
        <w:rPr>
          <w:i/>
          <w:iCs/>
        </w:rPr>
        <w:t xml:space="preserve">F.T.C. v. </w:t>
      </w:r>
      <w:r>
        <w:rPr>
          <w:i/>
          <w:iCs/>
        </w:rPr>
        <w:t>Boehringer Ingelheim Pharms.</w:t>
      </w:r>
      <w:r w:rsidR="0002291A">
        <w:rPr>
          <w:i/>
          <w:iCs/>
        </w:rPr>
        <w:t>, Inc.</w:t>
      </w:r>
      <w:r>
        <w:t>, 778 F.3d</w:t>
      </w:r>
      <w:r w:rsidR="0002291A">
        <w:t xml:space="preserve"> 142,</w:t>
      </w:r>
      <w:r>
        <w:t xml:space="preserve"> 155 </w:t>
      </w:r>
      <w:r w:rsidR="0002291A">
        <w:t>(D.C. Cir. 2015)</w:t>
      </w:r>
      <w:r w:rsidR="00752D51">
        <w:fldChar w:fldCharType="begin"/>
      </w:r>
      <w:r w:rsidR="00752D51">
        <w:instrText xml:space="preserve"> TA \l "</w:instrText>
      </w:r>
      <w:r w:rsidR="00752D51" w:rsidRPr="000B4513">
        <w:rPr>
          <w:i/>
          <w:iCs/>
        </w:rPr>
        <w:instrText>F.T.C. v. Boehringer Ingelheim Pharms., Inc.</w:instrText>
      </w:r>
      <w:r w:rsidR="00752D51" w:rsidRPr="000B4513">
        <w:instrText>, 778 F.3d 142 (D.C. Cir. 2015)</w:instrText>
      </w:r>
      <w:r w:rsidR="00752D51">
        <w:instrText xml:space="preserve">" \s "Boehringer" \c 1 </w:instrText>
      </w:r>
      <w:r w:rsidR="00752D51">
        <w:fldChar w:fldCharType="end"/>
      </w:r>
      <w:r w:rsidR="0002291A">
        <w:t xml:space="preserve"> </w:t>
      </w:r>
      <w:r>
        <w:t xml:space="preserve">(first citing </w:t>
      </w:r>
      <w:r>
        <w:rPr>
          <w:i/>
          <w:iCs/>
        </w:rPr>
        <w:t>Mitchell v. Bass</w:t>
      </w:r>
      <w:r>
        <w:t xml:space="preserve">, 252 F.2d 513, 518–19 (8th Cir. 1958); then citing </w:t>
      </w:r>
      <w:r>
        <w:rPr>
          <w:i/>
          <w:iCs/>
        </w:rPr>
        <w:t>Burke v. United States</w:t>
      </w:r>
      <w:r>
        <w:t xml:space="preserve">, 32 </w:t>
      </w:r>
      <w:r>
        <w:lastRenderedPageBreak/>
        <w:t xml:space="preserve">F.R.D. 213, 923–27 (E.D.N.Y. 1963); then citing </w:t>
      </w:r>
      <w:r>
        <w:rPr>
          <w:i/>
          <w:iCs/>
        </w:rPr>
        <w:t>Hauger v. Chi., Rock Island &amp; Pac. R.R. Co.</w:t>
      </w:r>
      <w:r>
        <w:t xml:space="preserve">, 216 F.2d 501, 505–06 (7th Cir. 1954); and then citing </w:t>
      </w:r>
      <w:r>
        <w:rPr>
          <w:i/>
          <w:iCs/>
        </w:rPr>
        <w:t xml:space="preserve">Guilford </w:t>
      </w:r>
      <w:proofErr w:type="spellStart"/>
      <w:r>
        <w:rPr>
          <w:i/>
          <w:iCs/>
        </w:rPr>
        <w:t>Nat’l</w:t>
      </w:r>
      <w:proofErr w:type="spellEnd"/>
      <w:r>
        <w:rPr>
          <w:i/>
          <w:iCs/>
        </w:rPr>
        <w:t xml:space="preserve"> Bank of Greensboro v. S. Ry. Co.</w:t>
      </w:r>
      <w:r>
        <w:t xml:space="preserve">, 297 F.2d 921, 923–27 (4th Cir. 1962)). Thus, the Government must prove it does not have similar </w:t>
      </w:r>
      <w:proofErr w:type="gramStart"/>
      <w:r w:rsidR="00AD4397">
        <w:t>information</w:t>
      </w:r>
      <w:proofErr w:type="gramEnd"/>
      <w:r>
        <w:t xml:space="preserve"> and a special circumstance </w:t>
      </w:r>
      <w:r w:rsidR="0002291A">
        <w:t>excuses</w:t>
      </w:r>
      <w:r>
        <w:t xml:space="preserve"> its inability to obtain that information.</w:t>
      </w:r>
    </w:p>
    <w:p w14:paraId="0F11F4FD" w14:textId="04C2ECD9" w:rsidR="00D969FD" w:rsidRPr="00F455CB" w:rsidRDefault="00F455CB" w:rsidP="00F455CB">
      <w:pPr>
        <w:pStyle w:val="BodyTextFirstIndent"/>
      </w:pPr>
      <w:r>
        <w:t xml:space="preserve">Armana’s records are neither unique nor can the Government demonstrate special circumstances. </w:t>
      </w:r>
      <w:r w:rsidR="00D969FD">
        <w:t>The Coastal box contained “financial records, ownership documents, and communications</w:t>
      </w:r>
      <w:r w:rsidR="0002291A">
        <w:t>[,]” including a record identifying Calloway’s connection to Coastal.</w:t>
      </w:r>
      <w:r w:rsidR="00D969FD">
        <w:t xml:space="preserve"> CF 33. Similarly, Armana’s records include “how Coastal actually operated, the people connected to the company, and how the money moved.” CF 46. These documents contain substantially the same information and are not </w:t>
      </w:r>
      <w:r w:rsidR="0002291A">
        <w:t xml:space="preserve">in any way </w:t>
      </w:r>
      <w:r w:rsidR="00D969FD">
        <w:t xml:space="preserve">“unique.” </w:t>
      </w:r>
      <w:r w:rsidR="00D969FD">
        <w:rPr>
          <w:i/>
          <w:iCs/>
        </w:rPr>
        <w:t>Boehringer</w:t>
      </w:r>
      <w:r w:rsidR="00D969FD">
        <w:t>, 778 F.3d at 155</w:t>
      </w:r>
      <w:r w:rsidR="00752D51">
        <w:fldChar w:fldCharType="begin"/>
      </w:r>
      <w:r w:rsidR="00752D51">
        <w:instrText xml:space="preserve"> TA \s "Boehringer" </w:instrText>
      </w:r>
      <w:r w:rsidR="00752D51">
        <w:fldChar w:fldCharType="end"/>
      </w:r>
      <w:r w:rsidR="00D969FD">
        <w:t xml:space="preserve">. </w:t>
      </w:r>
      <w:r w:rsidR="00AD4397">
        <w:t>A</w:t>
      </w:r>
      <w:r w:rsidR="00D969FD">
        <w:t xml:space="preserve">lthough the documents obtained from the Coastal box must be suppressed, this does not constitute a special circumstance. </w:t>
      </w:r>
      <w:r w:rsidR="00D969FD">
        <w:rPr>
          <w:i/>
          <w:iCs/>
        </w:rPr>
        <w:t>See id.</w:t>
      </w:r>
      <w:r w:rsidR="00752D51">
        <w:rPr>
          <w:i/>
          <w:iCs/>
        </w:rPr>
        <w:fldChar w:fldCharType="begin"/>
      </w:r>
      <w:r w:rsidR="00752D51">
        <w:instrText xml:space="preserve"> TA \s "Boehringer" </w:instrText>
      </w:r>
      <w:r w:rsidR="00752D51">
        <w:rPr>
          <w:i/>
          <w:iCs/>
        </w:rPr>
        <w:fldChar w:fldCharType="end"/>
      </w:r>
      <w:r w:rsidR="00D969FD">
        <w:rPr>
          <w:i/>
          <w:iCs/>
        </w:rPr>
        <w:t xml:space="preserve"> </w:t>
      </w:r>
      <w:r w:rsidR="00D969FD">
        <w:t xml:space="preserve">(citing </w:t>
      </w:r>
      <w:r w:rsidR="00D969FD">
        <w:rPr>
          <w:i/>
          <w:iCs/>
        </w:rPr>
        <w:t>Hauger</w:t>
      </w:r>
      <w:r>
        <w:t xml:space="preserve">, </w:t>
      </w:r>
      <w:r w:rsidR="00D969FD">
        <w:t xml:space="preserve">216 F.2d </w:t>
      </w:r>
      <w:r>
        <w:t>at</w:t>
      </w:r>
      <w:r w:rsidR="00D969FD">
        <w:t xml:space="preserve"> 505–06). The Government has substantially similar information and cannot be rewarded for </w:t>
      </w:r>
      <w:r w:rsidR="0002291A">
        <w:t>forfeiting i</w:t>
      </w:r>
      <w:r w:rsidR="008B0369">
        <w:t>t</w:t>
      </w:r>
      <w:r w:rsidR="0002291A">
        <w:t xml:space="preserve"> due to violating federal law and court order.</w:t>
      </w:r>
    </w:p>
    <w:p w14:paraId="00F86369" w14:textId="4C88F9AA" w:rsidR="002A0041" w:rsidRPr="00E30210" w:rsidRDefault="00CE73EA" w:rsidP="00AD4397">
      <w:pPr>
        <w:pStyle w:val="BodyTextFirstIndent"/>
      </w:pPr>
      <w:r>
        <w:t>E</w:t>
      </w:r>
      <w:r w:rsidR="002A0041">
        <w:t xml:space="preserve">ven if </w:t>
      </w:r>
      <w:r w:rsidR="00AD4397">
        <w:t xml:space="preserve">the exception applies, </w:t>
      </w:r>
      <w:r w:rsidR="002A0041">
        <w:t xml:space="preserve">it can only apply to the text recounting the factual information relayed from Seton and </w:t>
      </w:r>
      <w:r w:rsidR="002A0041">
        <w:rPr>
          <w:i/>
          <w:iCs/>
        </w:rPr>
        <w:t>not</w:t>
      </w:r>
      <w:r w:rsidR="002A0041">
        <w:t xml:space="preserve"> any of the </w:t>
      </w:r>
      <w:r w:rsidR="00AD4397">
        <w:t xml:space="preserve">Armana’s </w:t>
      </w:r>
      <w:r w:rsidR="002A0041">
        <w:t xml:space="preserve">mental impressions in red </w:t>
      </w:r>
      <w:r w:rsidR="003F5919">
        <w:t>text</w:t>
      </w:r>
      <w:r w:rsidR="00F41967">
        <w:t xml:space="preserve">. </w:t>
      </w:r>
      <w:r w:rsidR="0002291A">
        <w:t>CF 46.</w:t>
      </w:r>
      <w:r w:rsidR="002A0041">
        <w:t xml:space="preserve"> These notes are strictly opinion work product. </w:t>
      </w:r>
      <w:r w:rsidR="002A0041">
        <w:rPr>
          <w:i/>
          <w:iCs/>
        </w:rPr>
        <w:t>See Upjohn</w:t>
      </w:r>
      <w:r w:rsidR="002A0041">
        <w:t xml:space="preserve">, 449 U.S. </w:t>
      </w:r>
      <w:r w:rsidR="002A0041">
        <w:lastRenderedPageBreak/>
        <w:t>at 401</w:t>
      </w:r>
      <w:r w:rsidR="00752D51">
        <w:fldChar w:fldCharType="begin"/>
      </w:r>
      <w:r w:rsidR="00752D51">
        <w:instrText xml:space="preserve"> TA \s "Upjohn" </w:instrText>
      </w:r>
      <w:r w:rsidR="00752D51">
        <w:fldChar w:fldCharType="end"/>
      </w:r>
      <w:r w:rsidR="002A0041">
        <w:t xml:space="preserve">. Therefore, at absolute bottom, the red text in Armana’s </w:t>
      </w:r>
      <w:r w:rsidR="00AD4397">
        <w:t>records</w:t>
      </w:r>
      <w:r w:rsidR="002A0041">
        <w:t xml:space="preserve"> must be redacted.</w:t>
      </w:r>
    </w:p>
    <w:p w14:paraId="2594FBFC" w14:textId="4325651B" w:rsidR="00FE67E3" w:rsidRDefault="00FE67E3" w:rsidP="001A75D3">
      <w:pPr>
        <w:pStyle w:val="Heading1"/>
      </w:pPr>
      <w:bookmarkStart w:id="17" w:name="_Toc239118288"/>
      <w:r w:rsidRPr="00E30210">
        <w:t>Conclusion</w:t>
      </w:r>
      <w:bookmarkEnd w:id="17"/>
    </w:p>
    <w:p w14:paraId="4947F5FE" w14:textId="5B488FF5" w:rsidR="00FE67E3" w:rsidRDefault="00BC3B95" w:rsidP="00BC3B95">
      <w:pPr>
        <w:pStyle w:val="BodyTextFirstIndent"/>
        <w:rPr>
          <w:color w:val="000000"/>
        </w:rPr>
      </w:pPr>
      <w:r>
        <w:rPr>
          <w:color w:val="000000"/>
        </w:rPr>
        <w:t>For the foregoing reasons, Emily Calloway respectfully requests that this Court grant the Motion to Suppress and Motion to Quash. The Government’s investigative path to Parker is not accounted for, and the resulting testimony indicates causal links to compelled testimony. Exhibit 19 shares this taint. Moreover, Armana’s records of the Seton interview are protected by work-product privilege and are not discoverable by the Government. Therefore, Emily Calloway is entitled to relief, and both motions must be granted. </w:t>
      </w:r>
    </w:p>
    <w:p w14:paraId="10A77D35" w14:textId="77777777" w:rsidR="00C90E7E" w:rsidRDefault="00C90E7E" w:rsidP="00C90E7E">
      <w:pPr>
        <w:jc w:val="right"/>
        <w:rPr>
          <w:szCs w:val="28"/>
          <w:u w:val="thick"/>
        </w:rPr>
      </w:pPr>
    </w:p>
    <w:p w14:paraId="1B6748DA" w14:textId="77777777" w:rsidR="00C90E7E" w:rsidRDefault="00C90E7E" w:rsidP="00C90E7E">
      <w:pPr>
        <w:spacing w:line="480" w:lineRule="auto"/>
        <w:jc w:val="right"/>
        <w:rPr>
          <w:szCs w:val="28"/>
        </w:rPr>
      </w:pPr>
    </w:p>
    <w:p w14:paraId="015A1EA2" w14:textId="485AF53F" w:rsidR="00C90E7E" w:rsidRPr="00C90E7E" w:rsidRDefault="00C90E7E" w:rsidP="00C90E7E">
      <w:pPr>
        <w:spacing w:line="480" w:lineRule="auto"/>
        <w:jc w:val="right"/>
        <w:rPr>
          <w:szCs w:val="28"/>
        </w:rPr>
      </w:pPr>
      <w:r>
        <w:rPr>
          <w:szCs w:val="28"/>
        </w:rPr>
        <w:t>Respectfully submitted,</w:t>
      </w:r>
    </w:p>
    <w:p w14:paraId="4E41A54D" w14:textId="047B1826" w:rsidR="00C90E7E" w:rsidRPr="000F6846" w:rsidRDefault="00C90E7E" w:rsidP="00C90E7E">
      <w:pPr>
        <w:jc w:val="right"/>
        <w:rPr>
          <w:szCs w:val="28"/>
          <w:u w:val="thick"/>
        </w:rPr>
      </w:pPr>
      <w:r w:rsidRPr="000F6846">
        <w:rPr>
          <w:szCs w:val="28"/>
          <w:u w:val="thick"/>
        </w:rPr>
        <w:t>/s/          Team 316</w:t>
      </w:r>
    </w:p>
    <w:p w14:paraId="362BED76" w14:textId="476F6838" w:rsidR="00C90E7E" w:rsidRPr="00BC3B95" w:rsidRDefault="00C90E7E" w:rsidP="00C90E7E">
      <w:pPr>
        <w:pStyle w:val="BodyTextFirstIndent"/>
        <w:jc w:val="right"/>
        <w:rPr>
          <w:color w:val="000000"/>
        </w:rPr>
      </w:pPr>
      <w:r w:rsidRPr="000C2E87">
        <w:rPr>
          <w:rFonts w:asciiTheme="majorBidi" w:hAnsiTheme="majorBidi" w:cstheme="majorBidi"/>
          <w:i/>
          <w:iCs/>
          <w:szCs w:val="28"/>
        </w:rPr>
        <w:t xml:space="preserve">Attorneys for </w:t>
      </w:r>
      <w:r>
        <w:rPr>
          <w:rFonts w:asciiTheme="majorBidi" w:hAnsiTheme="majorBidi" w:cstheme="majorBidi"/>
          <w:i/>
          <w:iCs/>
          <w:szCs w:val="28"/>
        </w:rPr>
        <w:t>Emily Calloway</w:t>
      </w:r>
    </w:p>
    <w:sectPr w:rsidR="00C90E7E" w:rsidRPr="00BC3B95" w:rsidSect="00301551">
      <w:pgSz w:w="12240" w:h="15840"/>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EFE6" w14:textId="77777777" w:rsidR="00750954" w:rsidRDefault="00750954" w:rsidP="00F71A82">
      <w:r>
        <w:separator/>
      </w:r>
    </w:p>
  </w:endnote>
  <w:endnote w:type="continuationSeparator" w:id="0">
    <w:p w14:paraId="0626794F" w14:textId="77777777" w:rsidR="00750954" w:rsidRDefault="00750954" w:rsidP="00F7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8513172"/>
      <w:docPartObj>
        <w:docPartGallery w:val="Page Numbers (Bottom of Page)"/>
        <w:docPartUnique/>
      </w:docPartObj>
    </w:sdtPr>
    <w:sdtEndPr>
      <w:rPr>
        <w:rStyle w:val="PageNumber"/>
      </w:rPr>
    </w:sdtEndPr>
    <w:sdtContent>
      <w:p w14:paraId="14AD3D6F" w14:textId="7545A738" w:rsidR="00301551" w:rsidRDefault="00301551" w:rsidP="003A12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10E9F3" w14:textId="77777777" w:rsidR="00301551" w:rsidRDefault="00301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089344"/>
      <w:docPartObj>
        <w:docPartGallery w:val="Page Numbers (Bottom of Page)"/>
        <w:docPartUnique/>
      </w:docPartObj>
    </w:sdtPr>
    <w:sdtEndPr>
      <w:rPr>
        <w:rStyle w:val="PageNumber"/>
      </w:rPr>
    </w:sdtEndPr>
    <w:sdtContent>
      <w:p w14:paraId="05745B87" w14:textId="5327F386" w:rsidR="00301551" w:rsidRDefault="00301551" w:rsidP="003A12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CD35932" w14:textId="77777777" w:rsidR="00301551" w:rsidRDefault="0030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5752" w14:textId="77777777" w:rsidR="00750954" w:rsidRDefault="00750954" w:rsidP="00F71A82">
      <w:r>
        <w:separator/>
      </w:r>
    </w:p>
  </w:footnote>
  <w:footnote w:type="continuationSeparator" w:id="0">
    <w:p w14:paraId="23F398EC" w14:textId="77777777" w:rsidR="00750954" w:rsidRDefault="00750954" w:rsidP="00F71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FBF7" w14:textId="2433FFB4" w:rsidR="00301551" w:rsidRDefault="00301551" w:rsidP="00301551">
    <w:pPr>
      <w:pStyle w:val="Header"/>
      <w:jc w:val="right"/>
    </w:pPr>
    <w:r>
      <w:t>Team 316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9C0"/>
    <w:multiLevelType w:val="hybridMultilevel"/>
    <w:tmpl w:val="81400ACE"/>
    <w:lvl w:ilvl="0" w:tplc="77A6B376">
      <w:start w:val="1"/>
      <w:numFmt w:val="upperRoman"/>
      <w:lvlText w:val="%1."/>
      <w:lvlJc w:val="righ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3356C"/>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2D50A3C"/>
    <w:multiLevelType w:val="hybridMultilevel"/>
    <w:tmpl w:val="C6008438"/>
    <w:lvl w:ilvl="0" w:tplc="46883064">
      <w:start w:val="1"/>
      <w:numFmt w:val="upperRoman"/>
      <w:pStyle w:val="Heading2"/>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438FA"/>
    <w:multiLevelType w:val="hybridMultilevel"/>
    <w:tmpl w:val="2F0AD984"/>
    <w:lvl w:ilvl="0" w:tplc="EEEC9E12">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0430EF"/>
    <w:multiLevelType w:val="multilevel"/>
    <w:tmpl w:val="F3464E6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C922B30"/>
    <w:multiLevelType w:val="hybridMultilevel"/>
    <w:tmpl w:val="0A3023B4"/>
    <w:lvl w:ilvl="0" w:tplc="007A94C6">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461D67"/>
    <w:multiLevelType w:val="multilevel"/>
    <w:tmpl w:val="F72CE078"/>
    <w:styleLink w:val="CurrentList5"/>
    <w:lvl w:ilvl="0">
      <w:start w:val="1"/>
      <w:numFmt w:val="decimal"/>
      <w:lvlText w:val="%1."/>
      <w:lvlJc w:val="left"/>
      <w:pPr>
        <w:ind w:left="72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F7476A"/>
    <w:multiLevelType w:val="multilevel"/>
    <w:tmpl w:val="8A509440"/>
    <w:styleLink w:val="CurrentList1"/>
    <w:lvl w:ilvl="0">
      <w:start w:val="1"/>
      <w:numFmt w:val="upperRoman"/>
      <w:lvlText w:val="%1."/>
      <w:lvlJc w:val="right"/>
      <w:pPr>
        <w:ind w:left="720" w:hanging="17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346FD9"/>
    <w:multiLevelType w:val="multilevel"/>
    <w:tmpl w:val="34EEE050"/>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EB2237B"/>
    <w:multiLevelType w:val="multilevel"/>
    <w:tmpl w:val="81400ACE"/>
    <w:styleLink w:val="CurrentList3"/>
    <w:lvl w:ilvl="0">
      <w:start w:val="1"/>
      <w:numFmt w:val="upperRoman"/>
      <w:lvlText w:val="%1."/>
      <w:lvlJc w:val="righ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7D3D09"/>
    <w:multiLevelType w:val="multilevel"/>
    <w:tmpl w:val="72AA803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C9B5468"/>
    <w:multiLevelType w:val="multilevel"/>
    <w:tmpl w:val="AD368F0C"/>
    <w:lvl w:ilvl="0">
      <w:start w:val="1"/>
      <w:numFmt w:val="upperLetter"/>
      <w:lvlText w:val="%1."/>
      <w:lvlJc w:val="left"/>
      <w:pPr>
        <w:ind w:left="720" w:hanging="360"/>
      </w:pPr>
      <w:rPr>
        <w:u w:val="none"/>
        <w:shd w:val="clear" w:color="auto" w:fill="auto"/>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02411202">
    <w:abstractNumId w:val="0"/>
  </w:num>
  <w:num w:numId="2" w16cid:durableId="1876308205">
    <w:abstractNumId w:val="7"/>
  </w:num>
  <w:num w:numId="3" w16cid:durableId="153032288">
    <w:abstractNumId w:val="2"/>
  </w:num>
  <w:num w:numId="4" w16cid:durableId="341586771">
    <w:abstractNumId w:val="3"/>
  </w:num>
  <w:num w:numId="5" w16cid:durableId="396244421">
    <w:abstractNumId w:val="8"/>
  </w:num>
  <w:num w:numId="6" w16cid:durableId="666633027">
    <w:abstractNumId w:val="3"/>
    <w:lvlOverride w:ilvl="0">
      <w:startOverride w:val="1"/>
    </w:lvlOverride>
  </w:num>
  <w:num w:numId="7" w16cid:durableId="1431973571">
    <w:abstractNumId w:val="11"/>
  </w:num>
  <w:num w:numId="8" w16cid:durableId="350032120">
    <w:abstractNumId w:val="10"/>
  </w:num>
  <w:num w:numId="9" w16cid:durableId="2036301620">
    <w:abstractNumId w:val="4"/>
  </w:num>
  <w:num w:numId="10" w16cid:durableId="1511993596">
    <w:abstractNumId w:val="2"/>
    <w:lvlOverride w:ilvl="0">
      <w:startOverride w:val="1"/>
    </w:lvlOverride>
  </w:num>
  <w:num w:numId="11" w16cid:durableId="1825471022">
    <w:abstractNumId w:val="9"/>
  </w:num>
  <w:num w:numId="12" w16cid:durableId="846293235">
    <w:abstractNumId w:val="1"/>
  </w:num>
  <w:num w:numId="13" w16cid:durableId="632906030">
    <w:abstractNumId w:val="6"/>
  </w:num>
  <w:num w:numId="14" w16cid:durableId="224075525">
    <w:abstractNumId w:val="5"/>
  </w:num>
  <w:num w:numId="15" w16cid:durableId="583535450">
    <w:abstractNumId w:val="3"/>
    <w:lvlOverride w:ilvl="0">
      <w:startOverride w:val="1"/>
    </w:lvlOverride>
  </w:num>
  <w:num w:numId="16" w16cid:durableId="33996647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E25"/>
    <w:rsid w:val="00011A09"/>
    <w:rsid w:val="0002291A"/>
    <w:rsid w:val="00026271"/>
    <w:rsid w:val="0003344A"/>
    <w:rsid w:val="00054D1A"/>
    <w:rsid w:val="000774F4"/>
    <w:rsid w:val="000806CB"/>
    <w:rsid w:val="000A0F04"/>
    <w:rsid w:val="000C7354"/>
    <w:rsid w:val="000D2475"/>
    <w:rsid w:val="000D5D8F"/>
    <w:rsid w:val="000E6F0F"/>
    <w:rsid w:val="000F6846"/>
    <w:rsid w:val="001019AF"/>
    <w:rsid w:val="00106426"/>
    <w:rsid w:val="001141FF"/>
    <w:rsid w:val="001230F9"/>
    <w:rsid w:val="00133BDB"/>
    <w:rsid w:val="0014441F"/>
    <w:rsid w:val="00171E15"/>
    <w:rsid w:val="0019238A"/>
    <w:rsid w:val="00192BB9"/>
    <w:rsid w:val="0019459B"/>
    <w:rsid w:val="00196C7C"/>
    <w:rsid w:val="001A75D3"/>
    <w:rsid w:val="001D3238"/>
    <w:rsid w:val="001E62CB"/>
    <w:rsid w:val="001F23FB"/>
    <w:rsid w:val="00204875"/>
    <w:rsid w:val="0020559B"/>
    <w:rsid w:val="0022052F"/>
    <w:rsid w:val="00227506"/>
    <w:rsid w:val="00227D4C"/>
    <w:rsid w:val="0024337C"/>
    <w:rsid w:val="00267D31"/>
    <w:rsid w:val="002A0041"/>
    <w:rsid w:val="002E024D"/>
    <w:rsid w:val="002E35F1"/>
    <w:rsid w:val="002F7D04"/>
    <w:rsid w:val="00301551"/>
    <w:rsid w:val="00303E41"/>
    <w:rsid w:val="0031315C"/>
    <w:rsid w:val="00322156"/>
    <w:rsid w:val="0035080F"/>
    <w:rsid w:val="00357F1F"/>
    <w:rsid w:val="00365E71"/>
    <w:rsid w:val="00383B04"/>
    <w:rsid w:val="003A71A2"/>
    <w:rsid w:val="003D07FC"/>
    <w:rsid w:val="003F5919"/>
    <w:rsid w:val="003F6616"/>
    <w:rsid w:val="003F7171"/>
    <w:rsid w:val="00407D6C"/>
    <w:rsid w:val="00425A7A"/>
    <w:rsid w:val="00446FC2"/>
    <w:rsid w:val="00455C0E"/>
    <w:rsid w:val="00461487"/>
    <w:rsid w:val="0047104C"/>
    <w:rsid w:val="004908CF"/>
    <w:rsid w:val="004C6CD7"/>
    <w:rsid w:val="004D05ED"/>
    <w:rsid w:val="004D5F17"/>
    <w:rsid w:val="004F2BEB"/>
    <w:rsid w:val="00501769"/>
    <w:rsid w:val="00507AAC"/>
    <w:rsid w:val="00583B02"/>
    <w:rsid w:val="00584696"/>
    <w:rsid w:val="00593EE2"/>
    <w:rsid w:val="005B7305"/>
    <w:rsid w:val="005F0495"/>
    <w:rsid w:val="005F05E4"/>
    <w:rsid w:val="006049DB"/>
    <w:rsid w:val="00622395"/>
    <w:rsid w:val="006278FF"/>
    <w:rsid w:val="006309D7"/>
    <w:rsid w:val="00642D9B"/>
    <w:rsid w:val="006B3F38"/>
    <w:rsid w:val="006C1746"/>
    <w:rsid w:val="006C2441"/>
    <w:rsid w:val="006D3D91"/>
    <w:rsid w:val="006E3D3A"/>
    <w:rsid w:val="00707DFA"/>
    <w:rsid w:val="00717BBC"/>
    <w:rsid w:val="00723704"/>
    <w:rsid w:val="007246D3"/>
    <w:rsid w:val="00726829"/>
    <w:rsid w:val="0072745B"/>
    <w:rsid w:val="007349C8"/>
    <w:rsid w:val="00750954"/>
    <w:rsid w:val="00752D51"/>
    <w:rsid w:val="007641F9"/>
    <w:rsid w:val="007741A8"/>
    <w:rsid w:val="007934A5"/>
    <w:rsid w:val="007B5E8E"/>
    <w:rsid w:val="007B7454"/>
    <w:rsid w:val="007C122A"/>
    <w:rsid w:val="007D4136"/>
    <w:rsid w:val="007E2539"/>
    <w:rsid w:val="007E5129"/>
    <w:rsid w:val="007F4630"/>
    <w:rsid w:val="008226BF"/>
    <w:rsid w:val="0082322B"/>
    <w:rsid w:val="0086019D"/>
    <w:rsid w:val="00875456"/>
    <w:rsid w:val="008775A5"/>
    <w:rsid w:val="00883CD3"/>
    <w:rsid w:val="00885531"/>
    <w:rsid w:val="008900AE"/>
    <w:rsid w:val="008B0369"/>
    <w:rsid w:val="008B2545"/>
    <w:rsid w:val="008B65D8"/>
    <w:rsid w:val="008E4B89"/>
    <w:rsid w:val="008E5619"/>
    <w:rsid w:val="0090508C"/>
    <w:rsid w:val="00925ED2"/>
    <w:rsid w:val="0093255C"/>
    <w:rsid w:val="0095295F"/>
    <w:rsid w:val="00996429"/>
    <w:rsid w:val="009B502E"/>
    <w:rsid w:val="009D01B0"/>
    <w:rsid w:val="009E227A"/>
    <w:rsid w:val="00A41E0F"/>
    <w:rsid w:val="00A701F1"/>
    <w:rsid w:val="00A70F65"/>
    <w:rsid w:val="00AB2681"/>
    <w:rsid w:val="00AC2E25"/>
    <w:rsid w:val="00AC455B"/>
    <w:rsid w:val="00AD3C52"/>
    <w:rsid w:val="00AD4397"/>
    <w:rsid w:val="00B0273A"/>
    <w:rsid w:val="00B15226"/>
    <w:rsid w:val="00B2732F"/>
    <w:rsid w:val="00B30EC8"/>
    <w:rsid w:val="00B37A22"/>
    <w:rsid w:val="00B474F4"/>
    <w:rsid w:val="00B52249"/>
    <w:rsid w:val="00BA0A56"/>
    <w:rsid w:val="00BB4641"/>
    <w:rsid w:val="00BB54C8"/>
    <w:rsid w:val="00BC3B95"/>
    <w:rsid w:val="00BD0FB2"/>
    <w:rsid w:val="00BD71C6"/>
    <w:rsid w:val="00C307E6"/>
    <w:rsid w:val="00C71D47"/>
    <w:rsid w:val="00C90E7E"/>
    <w:rsid w:val="00CA5199"/>
    <w:rsid w:val="00CB061B"/>
    <w:rsid w:val="00CB7250"/>
    <w:rsid w:val="00CD7FE4"/>
    <w:rsid w:val="00CE72F1"/>
    <w:rsid w:val="00CE73EA"/>
    <w:rsid w:val="00D2325D"/>
    <w:rsid w:val="00D36B87"/>
    <w:rsid w:val="00D37688"/>
    <w:rsid w:val="00D42EFB"/>
    <w:rsid w:val="00D4340D"/>
    <w:rsid w:val="00D60754"/>
    <w:rsid w:val="00D65367"/>
    <w:rsid w:val="00D9531F"/>
    <w:rsid w:val="00D969FD"/>
    <w:rsid w:val="00DB3EC1"/>
    <w:rsid w:val="00DC3A2B"/>
    <w:rsid w:val="00DF4FB4"/>
    <w:rsid w:val="00E006B6"/>
    <w:rsid w:val="00E04281"/>
    <w:rsid w:val="00E30210"/>
    <w:rsid w:val="00E62082"/>
    <w:rsid w:val="00E86759"/>
    <w:rsid w:val="00E86DE8"/>
    <w:rsid w:val="00E92765"/>
    <w:rsid w:val="00EC18FA"/>
    <w:rsid w:val="00EC255F"/>
    <w:rsid w:val="00EC5E07"/>
    <w:rsid w:val="00F035B8"/>
    <w:rsid w:val="00F060F8"/>
    <w:rsid w:val="00F069F1"/>
    <w:rsid w:val="00F07A8C"/>
    <w:rsid w:val="00F367DB"/>
    <w:rsid w:val="00F37D22"/>
    <w:rsid w:val="00F41967"/>
    <w:rsid w:val="00F455CB"/>
    <w:rsid w:val="00F4626B"/>
    <w:rsid w:val="00F50305"/>
    <w:rsid w:val="00F5441C"/>
    <w:rsid w:val="00F71A82"/>
    <w:rsid w:val="00FB0AFF"/>
    <w:rsid w:val="00FB606E"/>
    <w:rsid w:val="00FD523B"/>
    <w:rsid w:val="00FE6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E14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59B"/>
    <w:pPr>
      <w:spacing w:after="0" w:line="240" w:lineRule="auto"/>
    </w:pPr>
    <w:rPr>
      <w:rFonts w:ascii="Times New Roman" w:eastAsia="Times New Roman" w:hAnsi="Times New Roman" w:cs="Times New Roman"/>
      <w:kern w:val="0"/>
      <w:sz w:val="28"/>
      <w14:ligatures w14:val="none"/>
    </w:rPr>
  </w:style>
  <w:style w:type="paragraph" w:styleId="Heading1">
    <w:name w:val="heading 1"/>
    <w:basedOn w:val="Normal"/>
    <w:next w:val="BodyTextFirstIndent"/>
    <w:link w:val="Heading1Char"/>
    <w:uiPriority w:val="9"/>
    <w:qFormat/>
    <w:rsid w:val="001A75D3"/>
    <w:pPr>
      <w:keepNext/>
      <w:keepLines/>
      <w:spacing w:line="480" w:lineRule="auto"/>
      <w:jc w:val="center"/>
      <w:outlineLvl w:val="0"/>
    </w:pPr>
    <w:rPr>
      <w:rFonts w:eastAsiaTheme="majorEastAsia" w:cs="Times New Roman (Headings CS)"/>
      <w:b/>
      <w:caps/>
      <w:color w:val="000000" w:themeColor="text1"/>
      <w:szCs w:val="40"/>
    </w:rPr>
  </w:style>
  <w:style w:type="paragraph" w:styleId="Heading2">
    <w:name w:val="heading 2"/>
    <w:basedOn w:val="Normal"/>
    <w:next w:val="BodyTextFirstIndent"/>
    <w:link w:val="Heading2Char"/>
    <w:uiPriority w:val="9"/>
    <w:unhideWhenUsed/>
    <w:qFormat/>
    <w:rsid w:val="001A75D3"/>
    <w:pPr>
      <w:keepNext/>
      <w:keepLines/>
      <w:numPr>
        <w:numId w:val="3"/>
      </w:numPr>
      <w:spacing w:after="280"/>
      <w:ind w:left="187" w:hanging="187"/>
      <w:jc w:val="both"/>
      <w:outlineLvl w:val="1"/>
    </w:pPr>
    <w:rPr>
      <w:rFonts w:eastAsiaTheme="majorEastAsia" w:cs="Times New Roman (Headings CS)"/>
      <w:b/>
      <w:caps/>
      <w:color w:val="000000" w:themeColor="text1"/>
      <w:szCs w:val="32"/>
    </w:rPr>
  </w:style>
  <w:style w:type="paragraph" w:styleId="Heading3">
    <w:name w:val="heading 3"/>
    <w:basedOn w:val="Normal"/>
    <w:next w:val="BodyTextFirstIndent"/>
    <w:link w:val="Heading3Char"/>
    <w:uiPriority w:val="9"/>
    <w:unhideWhenUsed/>
    <w:qFormat/>
    <w:rsid w:val="001A75D3"/>
    <w:pPr>
      <w:keepNext/>
      <w:keepLines/>
      <w:numPr>
        <w:numId w:val="4"/>
      </w:numPr>
      <w:spacing w:after="280"/>
      <w:jc w:val="both"/>
      <w:outlineLvl w:val="2"/>
    </w:pPr>
    <w:rPr>
      <w:rFonts w:eastAsiaTheme="majorEastAsia" w:cstheme="majorBidi"/>
      <w:b/>
      <w:i/>
      <w:color w:val="000000" w:themeColor="text1"/>
      <w:szCs w:val="28"/>
    </w:rPr>
  </w:style>
  <w:style w:type="paragraph" w:styleId="Heading4">
    <w:name w:val="heading 4"/>
    <w:basedOn w:val="Normal"/>
    <w:next w:val="Normal"/>
    <w:link w:val="Heading4Char"/>
    <w:uiPriority w:val="9"/>
    <w:unhideWhenUsed/>
    <w:qFormat/>
    <w:rsid w:val="001A75D3"/>
    <w:pPr>
      <w:keepNext/>
      <w:keepLines/>
      <w:numPr>
        <w:numId w:val="14"/>
      </w:numPr>
      <w:spacing w:after="280"/>
      <w:ind w:left="1080"/>
      <w:jc w:val="both"/>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AC2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E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E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E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E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5D3"/>
    <w:rPr>
      <w:rFonts w:ascii="Times New Roman" w:eastAsiaTheme="majorEastAsia" w:hAnsi="Times New Roman" w:cs="Times New Roman (Headings CS)"/>
      <w:b/>
      <w:caps/>
      <w:color w:val="000000" w:themeColor="text1"/>
      <w:kern w:val="0"/>
      <w:sz w:val="28"/>
      <w:szCs w:val="40"/>
      <w14:ligatures w14:val="none"/>
    </w:rPr>
  </w:style>
  <w:style w:type="character" w:customStyle="1" w:styleId="Heading2Char">
    <w:name w:val="Heading 2 Char"/>
    <w:basedOn w:val="DefaultParagraphFont"/>
    <w:link w:val="Heading2"/>
    <w:uiPriority w:val="9"/>
    <w:rsid w:val="001A75D3"/>
    <w:rPr>
      <w:rFonts w:ascii="Times New Roman" w:eastAsiaTheme="majorEastAsia" w:hAnsi="Times New Roman" w:cs="Times New Roman (Headings CS)"/>
      <w:b/>
      <w:caps/>
      <w:color w:val="000000" w:themeColor="text1"/>
      <w:kern w:val="0"/>
      <w:sz w:val="28"/>
      <w:szCs w:val="32"/>
      <w14:ligatures w14:val="none"/>
    </w:rPr>
  </w:style>
  <w:style w:type="character" w:customStyle="1" w:styleId="Heading3Char">
    <w:name w:val="Heading 3 Char"/>
    <w:basedOn w:val="DefaultParagraphFont"/>
    <w:link w:val="Heading3"/>
    <w:uiPriority w:val="9"/>
    <w:rsid w:val="001A75D3"/>
    <w:rPr>
      <w:rFonts w:ascii="Times New Roman" w:eastAsiaTheme="majorEastAsia" w:hAnsi="Times New Roman" w:cstheme="majorBidi"/>
      <w:b/>
      <w:i/>
      <w:color w:val="000000" w:themeColor="text1"/>
      <w:kern w:val="0"/>
      <w:sz w:val="28"/>
      <w:szCs w:val="28"/>
      <w14:ligatures w14:val="none"/>
    </w:rPr>
  </w:style>
  <w:style w:type="character" w:customStyle="1" w:styleId="Heading4Char">
    <w:name w:val="Heading 4 Char"/>
    <w:basedOn w:val="DefaultParagraphFont"/>
    <w:link w:val="Heading4"/>
    <w:uiPriority w:val="9"/>
    <w:rsid w:val="001A75D3"/>
    <w:rPr>
      <w:rFonts w:ascii="Times New Roman" w:eastAsiaTheme="majorEastAsia" w:hAnsi="Times New Roman" w:cstheme="majorBidi"/>
      <w:b/>
      <w:iCs/>
      <w:color w:val="000000" w:themeColor="text1"/>
      <w:kern w:val="0"/>
      <w:sz w:val="28"/>
      <w14:ligatures w14:val="none"/>
    </w:rPr>
  </w:style>
  <w:style w:type="character" w:customStyle="1" w:styleId="Heading5Char">
    <w:name w:val="Heading 5 Char"/>
    <w:basedOn w:val="DefaultParagraphFont"/>
    <w:link w:val="Heading5"/>
    <w:uiPriority w:val="9"/>
    <w:semiHidden/>
    <w:rsid w:val="00AC2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E25"/>
    <w:rPr>
      <w:rFonts w:eastAsiaTheme="majorEastAsia" w:cstheme="majorBidi"/>
      <w:color w:val="272727" w:themeColor="text1" w:themeTint="D8"/>
    </w:rPr>
  </w:style>
  <w:style w:type="paragraph" w:styleId="Title">
    <w:name w:val="Title"/>
    <w:basedOn w:val="Normal"/>
    <w:next w:val="Normal"/>
    <w:link w:val="TitleChar"/>
    <w:uiPriority w:val="10"/>
    <w:qFormat/>
    <w:rsid w:val="00AC2E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E25"/>
    <w:rPr>
      <w:rFonts w:asciiTheme="majorHAnsi" w:eastAsiaTheme="majorEastAsia" w:hAnsiTheme="majorHAnsi" w:cstheme="majorBidi"/>
      <w:spacing w:val="-10"/>
      <w:kern w:val="28"/>
      <w:sz w:val="56"/>
      <w:szCs w:val="56"/>
    </w:rPr>
  </w:style>
  <w:style w:type="paragraph" w:styleId="Subtitle">
    <w:name w:val="Subtitle"/>
    <w:aliases w:val="Section Titles"/>
    <w:basedOn w:val="Normal"/>
    <w:next w:val="BodyTextFirstIndent"/>
    <w:link w:val="SubtitleChar"/>
    <w:uiPriority w:val="11"/>
    <w:qFormat/>
    <w:rsid w:val="0020559B"/>
    <w:pPr>
      <w:numPr>
        <w:ilvl w:val="1"/>
      </w:numPr>
      <w:spacing w:line="480" w:lineRule="auto"/>
      <w:jc w:val="center"/>
    </w:pPr>
    <w:rPr>
      <w:rFonts w:eastAsiaTheme="majorEastAsia" w:cs="Times New Roman (Headings CS)"/>
      <w:b/>
      <w:caps/>
      <w:color w:val="000000" w:themeColor="text1"/>
      <w:spacing w:val="15"/>
      <w:szCs w:val="28"/>
    </w:rPr>
  </w:style>
  <w:style w:type="character" w:customStyle="1" w:styleId="SubtitleChar">
    <w:name w:val="Subtitle Char"/>
    <w:aliases w:val="Section Titles Char"/>
    <w:basedOn w:val="DefaultParagraphFont"/>
    <w:link w:val="Subtitle"/>
    <w:uiPriority w:val="11"/>
    <w:rsid w:val="0020559B"/>
    <w:rPr>
      <w:rFonts w:ascii="Times New Roman" w:eastAsiaTheme="majorEastAsia" w:hAnsi="Times New Roman" w:cs="Times New Roman (Headings CS)"/>
      <w:b/>
      <w:caps/>
      <w:color w:val="000000" w:themeColor="text1"/>
      <w:spacing w:val="15"/>
      <w:kern w:val="0"/>
      <w:sz w:val="28"/>
      <w:szCs w:val="28"/>
      <w14:ligatures w14:val="none"/>
    </w:rPr>
  </w:style>
  <w:style w:type="paragraph" w:styleId="Quote">
    <w:name w:val="Quote"/>
    <w:basedOn w:val="Normal"/>
    <w:next w:val="Normal"/>
    <w:link w:val="QuoteChar"/>
    <w:uiPriority w:val="29"/>
    <w:rsid w:val="00AC2E25"/>
    <w:pPr>
      <w:spacing w:before="160"/>
      <w:jc w:val="center"/>
    </w:pPr>
    <w:rPr>
      <w:i/>
      <w:iCs/>
      <w:color w:val="404040" w:themeColor="text1" w:themeTint="BF"/>
    </w:rPr>
  </w:style>
  <w:style w:type="character" w:customStyle="1" w:styleId="QuoteChar">
    <w:name w:val="Quote Char"/>
    <w:basedOn w:val="DefaultParagraphFont"/>
    <w:link w:val="Quote"/>
    <w:uiPriority w:val="29"/>
    <w:rsid w:val="00AC2E25"/>
    <w:rPr>
      <w:i/>
      <w:iCs/>
      <w:color w:val="404040" w:themeColor="text1" w:themeTint="BF"/>
    </w:rPr>
  </w:style>
  <w:style w:type="paragraph" w:styleId="ListParagraph">
    <w:name w:val="List Paragraph"/>
    <w:basedOn w:val="Normal"/>
    <w:uiPriority w:val="34"/>
    <w:rsid w:val="00AC2E25"/>
    <w:pPr>
      <w:ind w:left="720"/>
      <w:contextualSpacing/>
    </w:pPr>
  </w:style>
  <w:style w:type="character" w:styleId="IntenseEmphasis">
    <w:name w:val="Intense Emphasis"/>
    <w:basedOn w:val="DefaultParagraphFont"/>
    <w:uiPriority w:val="21"/>
    <w:rsid w:val="00AC2E25"/>
    <w:rPr>
      <w:i/>
      <w:iCs/>
      <w:color w:val="0F4761" w:themeColor="accent1" w:themeShade="BF"/>
    </w:rPr>
  </w:style>
  <w:style w:type="paragraph" w:styleId="IntenseQuote">
    <w:name w:val="Intense Quote"/>
    <w:basedOn w:val="Normal"/>
    <w:next w:val="Normal"/>
    <w:link w:val="IntenseQuoteChar"/>
    <w:uiPriority w:val="30"/>
    <w:rsid w:val="00AC2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E25"/>
    <w:rPr>
      <w:i/>
      <w:iCs/>
      <w:color w:val="0F4761" w:themeColor="accent1" w:themeShade="BF"/>
    </w:rPr>
  </w:style>
  <w:style w:type="character" w:styleId="IntenseReference">
    <w:name w:val="Intense Reference"/>
    <w:basedOn w:val="DefaultParagraphFont"/>
    <w:uiPriority w:val="32"/>
    <w:rsid w:val="00AC2E25"/>
    <w:rPr>
      <w:b/>
      <w:bCs/>
      <w:smallCaps/>
      <w:color w:val="0F4761" w:themeColor="accent1" w:themeShade="BF"/>
      <w:spacing w:val="5"/>
    </w:rPr>
  </w:style>
  <w:style w:type="paragraph" w:styleId="BodyText">
    <w:name w:val="Body Text"/>
    <w:basedOn w:val="Normal"/>
    <w:link w:val="BodyTextChar"/>
    <w:uiPriority w:val="99"/>
    <w:semiHidden/>
    <w:unhideWhenUsed/>
    <w:rsid w:val="00EC18FA"/>
    <w:pPr>
      <w:spacing w:after="120"/>
    </w:pPr>
  </w:style>
  <w:style w:type="character" w:customStyle="1" w:styleId="BodyTextChar">
    <w:name w:val="Body Text Char"/>
    <w:basedOn w:val="DefaultParagraphFont"/>
    <w:link w:val="BodyText"/>
    <w:uiPriority w:val="99"/>
    <w:semiHidden/>
    <w:rsid w:val="00EC18FA"/>
    <w:rPr>
      <w:rFonts w:ascii="Times New Roman" w:hAnsi="Times New Roman"/>
      <w:sz w:val="26"/>
    </w:rPr>
  </w:style>
  <w:style w:type="paragraph" w:styleId="BodyTextFirstIndent">
    <w:name w:val="Body Text First Indent"/>
    <w:aliases w:val="Brief Body Text"/>
    <w:basedOn w:val="BodyText"/>
    <w:link w:val="BodyTextFirstIndentChar"/>
    <w:uiPriority w:val="99"/>
    <w:unhideWhenUsed/>
    <w:qFormat/>
    <w:rsid w:val="0020559B"/>
    <w:pPr>
      <w:spacing w:after="0" w:line="480" w:lineRule="auto"/>
      <w:ind w:firstLine="360"/>
      <w:jc w:val="both"/>
    </w:pPr>
  </w:style>
  <w:style w:type="character" w:customStyle="1" w:styleId="BodyTextFirstIndentChar">
    <w:name w:val="Body Text First Indent Char"/>
    <w:aliases w:val="Brief Body Text Char"/>
    <w:basedOn w:val="BodyTextChar"/>
    <w:link w:val="BodyTextFirstIndent"/>
    <w:uiPriority w:val="99"/>
    <w:rsid w:val="0020559B"/>
    <w:rPr>
      <w:rFonts w:ascii="Times New Roman" w:eastAsia="Times New Roman" w:hAnsi="Times New Roman" w:cs="Times New Roman"/>
      <w:kern w:val="0"/>
      <w:sz w:val="28"/>
      <w14:ligatures w14:val="none"/>
    </w:rPr>
  </w:style>
  <w:style w:type="numbering" w:customStyle="1" w:styleId="CurrentList1">
    <w:name w:val="Current List1"/>
    <w:uiPriority w:val="99"/>
    <w:rsid w:val="005F0495"/>
    <w:pPr>
      <w:numPr>
        <w:numId w:val="2"/>
      </w:numPr>
    </w:pPr>
  </w:style>
  <w:style w:type="numbering" w:customStyle="1" w:styleId="CurrentList2">
    <w:name w:val="Current List2"/>
    <w:uiPriority w:val="99"/>
    <w:rsid w:val="000D2475"/>
    <w:pPr>
      <w:numPr>
        <w:numId w:val="5"/>
      </w:numPr>
    </w:pPr>
  </w:style>
  <w:style w:type="character" w:customStyle="1" w:styleId="cohovertext">
    <w:name w:val="co_hovertext"/>
    <w:basedOn w:val="DefaultParagraphFont"/>
    <w:rsid w:val="009B502E"/>
  </w:style>
  <w:style w:type="paragraph" w:styleId="FootnoteText">
    <w:name w:val="footnote text"/>
    <w:basedOn w:val="Normal"/>
    <w:link w:val="FootnoteTextChar"/>
    <w:uiPriority w:val="99"/>
    <w:semiHidden/>
    <w:unhideWhenUsed/>
    <w:rsid w:val="00F71A82"/>
    <w:rPr>
      <w:sz w:val="20"/>
      <w:szCs w:val="20"/>
    </w:rPr>
  </w:style>
  <w:style w:type="character" w:customStyle="1" w:styleId="FootnoteTextChar">
    <w:name w:val="Footnote Text Char"/>
    <w:basedOn w:val="DefaultParagraphFont"/>
    <w:link w:val="FootnoteText"/>
    <w:uiPriority w:val="99"/>
    <w:semiHidden/>
    <w:rsid w:val="00F71A8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F71A82"/>
    <w:rPr>
      <w:vertAlign w:val="superscript"/>
    </w:rPr>
  </w:style>
  <w:style w:type="character" w:styleId="CommentReference">
    <w:name w:val="annotation reference"/>
    <w:basedOn w:val="DefaultParagraphFont"/>
    <w:uiPriority w:val="99"/>
    <w:semiHidden/>
    <w:unhideWhenUsed/>
    <w:rsid w:val="00FE67E3"/>
    <w:rPr>
      <w:sz w:val="16"/>
      <w:szCs w:val="16"/>
    </w:rPr>
  </w:style>
  <w:style w:type="paragraph" w:styleId="NormalWeb">
    <w:name w:val="Normal (Web)"/>
    <w:basedOn w:val="Normal"/>
    <w:uiPriority w:val="99"/>
    <w:unhideWhenUsed/>
    <w:rsid w:val="00FE67E3"/>
    <w:pPr>
      <w:spacing w:before="100" w:beforeAutospacing="1" w:after="100" w:afterAutospacing="1"/>
    </w:pPr>
  </w:style>
  <w:style w:type="paragraph" w:styleId="Header">
    <w:name w:val="header"/>
    <w:basedOn w:val="Normal"/>
    <w:link w:val="HeaderChar"/>
    <w:uiPriority w:val="99"/>
    <w:unhideWhenUsed/>
    <w:rsid w:val="00FE67E3"/>
    <w:pPr>
      <w:tabs>
        <w:tab w:val="center" w:pos="4680"/>
        <w:tab w:val="right" w:pos="9360"/>
      </w:tabs>
    </w:pPr>
  </w:style>
  <w:style w:type="character" w:customStyle="1" w:styleId="HeaderChar">
    <w:name w:val="Header Char"/>
    <w:basedOn w:val="DefaultParagraphFont"/>
    <w:link w:val="Header"/>
    <w:uiPriority w:val="99"/>
    <w:rsid w:val="00FE67E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E67E3"/>
    <w:pPr>
      <w:tabs>
        <w:tab w:val="center" w:pos="4680"/>
        <w:tab w:val="right" w:pos="9360"/>
      </w:tabs>
    </w:pPr>
  </w:style>
  <w:style w:type="character" w:customStyle="1" w:styleId="FooterChar">
    <w:name w:val="Footer Char"/>
    <w:basedOn w:val="DefaultParagraphFont"/>
    <w:link w:val="Footer"/>
    <w:uiPriority w:val="99"/>
    <w:rsid w:val="00FE67E3"/>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paragraph" w:customStyle="1" w:styleId="p1">
    <w:name w:val="p1"/>
    <w:basedOn w:val="Normal"/>
    <w:rsid w:val="00D969FD"/>
    <w:rPr>
      <w:rFonts w:ascii="Courier New" w:hAnsi="Courier New" w:cs="Courier New"/>
      <w:color w:val="141413"/>
      <w:sz w:val="18"/>
      <w:szCs w:val="18"/>
    </w:rPr>
  </w:style>
  <w:style w:type="paragraph" w:styleId="CommentSubject">
    <w:name w:val="annotation subject"/>
    <w:basedOn w:val="CommentText"/>
    <w:next w:val="CommentText"/>
    <w:link w:val="CommentSubjectChar"/>
    <w:uiPriority w:val="99"/>
    <w:semiHidden/>
    <w:unhideWhenUsed/>
    <w:rsid w:val="00875456"/>
    <w:rPr>
      <w:b/>
      <w:bCs/>
    </w:rPr>
  </w:style>
  <w:style w:type="character" w:customStyle="1" w:styleId="CommentSubjectChar">
    <w:name w:val="Comment Subject Char"/>
    <w:basedOn w:val="CommentTextChar"/>
    <w:link w:val="CommentSubject"/>
    <w:uiPriority w:val="99"/>
    <w:semiHidden/>
    <w:rsid w:val="00875456"/>
    <w:rPr>
      <w:rFonts w:ascii="Times New Roman" w:eastAsia="Times New Roman" w:hAnsi="Times New Roman" w:cs="Times New Roman"/>
      <w:b/>
      <w:bCs/>
      <w:kern w:val="0"/>
      <w:sz w:val="20"/>
      <w:szCs w:val="20"/>
      <w14:ligatures w14:val="none"/>
    </w:rPr>
  </w:style>
  <w:style w:type="numbering" w:customStyle="1" w:styleId="CurrentList3">
    <w:name w:val="Current List3"/>
    <w:uiPriority w:val="99"/>
    <w:rsid w:val="001A75D3"/>
    <w:pPr>
      <w:numPr>
        <w:numId w:val="11"/>
      </w:numPr>
    </w:pPr>
  </w:style>
  <w:style w:type="numbering" w:customStyle="1" w:styleId="CurrentList4">
    <w:name w:val="Current List4"/>
    <w:uiPriority w:val="99"/>
    <w:rsid w:val="001A75D3"/>
    <w:pPr>
      <w:numPr>
        <w:numId w:val="12"/>
      </w:numPr>
    </w:pPr>
  </w:style>
  <w:style w:type="numbering" w:customStyle="1" w:styleId="CurrentList5">
    <w:name w:val="Current List5"/>
    <w:uiPriority w:val="99"/>
    <w:rsid w:val="001A75D3"/>
    <w:pPr>
      <w:numPr>
        <w:numId w:val="13"/>
      </w:numPr>
    </w:pPr>
  </w:style>
  <w:style w:type="paragraph" w:styleId="TOC1">
    <w:name w:val="toc 1"/>
    <w:basedOn w:val="Normal"/>
    <w:next w:val="Normal"/>
    <w:autoRedefine/>
    <w:uiPriority w:val="39"/>
    <w:unhideWhenUsed/>
    <w:rsid w:val="00301551"/>
    <w:pPr>
      <w:spacing w:after="280"/>
      <w:jc w:val="both"/>
    </w:pPr>
    <w:rPr>
      <w:caps/>
    </w:rPr>
  </w:style>
  <w:style w:type="paragraph" w:styleId="TOC2">
    <w:name w:val="toc 2"/>
    <w:basedOn w:val="Normal"/>
    <w:next w:val="Normal"/>
    <w:autoRedefine/>
    <w:uiPriority w:val="39"/>
    <w:unhideWhenUsed/>
    <w:rsid w:val="00301551"/>
    <w:pPr>
      <w:spacing w:after="280"/>
      <w:ind w:left="720" w:hanging="360"/>
      <w:jc w:val="both"/>
    </w:pPr>
    <w:rPr>
      <w:caps/>
    </w:rPr>
  </w:style>
  <w:style w:type="paragraph" w:styleId="TOC3">
    <w:name w:val="toc 3"/>
    <w:basedOn w:val="Normal"/>
    <w:next w:val="Normal"/>
    <w:autoRedefine/>
    <w:uiPriority w:val="39"/>
    <w:unhideWhenUsed/>
    <w:rsid w:val="00301551"/>
    <w:pPr>
      <w:spacing w:after="280"/>
      <w:ind w:left="1080" w:hanging="360"/>
      <w:jc w:val="both"/>
    </w:pPr>
    <w:rPr>
      <w:i/>
    </w:rPr>
  </w:style>
  <w:style w:type="paragraph" w:styleId="TOC4">
    <w:name w:val="toc 4"/>
    <w:basedOn w:val="Normal"/>
    <w:next w:val="Normal"/>
    <w:autoRedefine/>
    <w:uiPriority w:val="39"/>
    <w:unhideWhenUsed/>
    <w:rsid w:val="00301551"/>
    <w:pPr>
      <w:spacing w:after="280"/>
      <w:ind w:left="1440" w:hanging="360"/>
      <w:jc w:val="both"/>
    </w:pPr>
  </w:style>
  <w:style w:type="character" w:styleId="PageNumber">
    <w:name w:val="page number"/>
    <w:basedOn w:val="DefaultParagraphFont"/>
    <w:uiPriority w:val="99"/>
    <w:semiHidden/>
    <w:unhideWhenUsed/>
    <w:rsid w:val="00301551"/>
  </w:style>
  <w:style w:type="paragraph" w:styleId="TOAHeading">
    <w:name w:val="toa heading"/>
    <w:basedOn w:val="Normal"/>
    <w:next w:val="Normal"/>
    <w:uiPriority w:val="99"/>
    <w:unhideWhenUsed/>
    <w:rsid w:val="00752D51"/>
    <w:pPr>
      <w:spacing w:before="120" w:line="480" w:lineRule="auto"/>
    </w:pPr>
    <w:rPr>
      <w:rFonts w:eastAsiaTheme="majorEastAsia" w:cstheme="majorBidi"/>
      <w:b/>
      <w:bCs/>
    </w:rPr>
  </w:style>
  <w:style w:type="paragraph" w:styleId="TableofAuthorities">
    <w:name w:val="table of authorities"/>
    <w:basedOn w:val="Normal"/>
    <w:next w:val="Normal"/>
    <w:uiPriority w:val="99"/>
    <w:semiHidden/>
    <w:unhideWhenUsed/>
    <w:rsid w:val="00752D51"/>
    <w:pPr>
      <w:spacing w:after="28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F0D34FD0-3F86-46F6-AF51-2D4B8829C170}"/>
</file>

<file path=customXml/itemProps2.xml><?xml version="1.0" encoding="utf-8"?>
<ds:datastoreItem xmlns:ds="http://schemas.openxmlformats.org/officeDocument/2006/customXml" ds:itemID="{219094FC-E6B0-420A-8E5D-9C022096677F}"/>
</file>

<file path=customXml/itemProps3.xml><?xml version="1.0" encoding="utf-8"?>
<ds:datastoreItem xmlns:ds="http://schemas.openxmlformats.org/officeDocument/2006/customXml" ds:itemID="{EDC697EB-E262-4F19-8CE6-306CE7DAFA74}"/>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6047</Words>
  <Characters>34472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2026-09-09T00:44:00Z</dcterms:created>
  <dcterms:modified xsi:type="dcterms:W3CDTF">2026-09-09T00:44:00Z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