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76DAB" w14:textId="77777777" w:rsidR="00DB2E5F" w:rsidRPr="004030BB" w:rsidRDefault="002D374B" w:rsidP="000564BD">
      <w:pPr>
        <w:spacing w:after="0" w:line="240" w:lineRule="auto"/>
        <w:jc w:val="right"/>
        <w:rPr>
          <w:rFonts w:ascii="Times New Roman" w:eastAsia="Times New Roman" w:hAnsi="Times New Roman" w:cs="Times New Roman"/>
          <w:kern w:val="0"/>
          <w:sz w:val="26"/>
          <w:szCs w:val="26"/>
          <w14:ligatures w14:val="none"/>
        </w:rPr>
      </w:pPr>
      <w:bookmarkStart w:id="0" w:name="dabmch_2"/>
      <w:r w:rsidRPr="004030BB">
        <w:rPr>
          <w:rFonts w:ascii="Times New Roman" w:eastAsia="Times New Roman" w:hAnsi="Times New Roman" w:cs="Times New Roman"/>
          <w:color w:val="000000"/>
          <w:kern w:val="0"/>
          <w:sz w:val="26"/>
          <w:szCs w:val="26"/>
          <w14:ligatures w14:val="none"/>
        </w:rPr>
        <w:t>Team No. 314</w:t>
      </w:r>
      <w:bookmarkEnd w:id="0"/>
    </w:p>
    <w:p w14:paraId="4F500FF0" w14:textId="77777777" w:rsidR="004030BB" w:rsidRPr="004030BB" w:rsidRDefault="004030BB" w:rsidP="004030BB">
      <w:pPr>
        <w:spacing w:after="0" w:line="240" w:lineRule="auto"/>
        <w:rPr>
          <w:rFonts w:ascii="Times New Roman" w:eastAsia="Times New Roman" w:hAnsi="Times New Roman" w:cs="Times New Roman"/>
          <w:kern w:val="0"/>
          <w:sz w:val="26"/>
          <w:szCs w:val="26"/>
          <w14:ligatures w14:val="none"/>
        </w:rPr>
      </w:pPr>
      <w:bookmarkStart w:id="1" w:name="_Toc239113012"/>
    </w:p>
    <w:p w14:paraId="4D805915" w14:textId="77777777" w:rsidR="004030BB" w:rsidRPr="004030BB" w:rsidRDefault="004030BB" w:rsidP="004030BB">
      <w:pPr>
        <w:spacing w:after="0" w:line="240" w:lineRule="auto"/>
        <w:jc w:val="center"/>
        <w:rPr>
          <w:rFonts w:ascii="Times New Roman" w:eastAsia="Times New Roman" w:hAnsi="Times New Roman" w:cs="Times New Roman"/>
          <w:b/>
          <w:bCs/>
          <w:kern w:val="0"/>
          <w:sz w:val="26"/>
          <w:szCs w:val="26"/>
          <w14:ligatures w14:val="none"/>
        </w:rPr>
      </w:pPr>
      <w:r w:rsidRPr="004030BB">
        <w:rPr>
          <w:rFonts w:ascii="Times New Roman" w:eastAsia="Times New Roman" w:hAnsi="Times New Roman" w:cs="Times New Roman"/>
          <w:b/>
          <w:bCs/>
          <w:kern w:val="0"/>
          <w:sz w:val="26"/>
          <w:szCs w:val="26"/>
          <w14:ligatures w14:val="none"/>
        </w:rPr>
        <w:t>UNITED STATES DISTRICT COURT</w:t>
      </w:r>
    </w:p>
    <w:p w14:paraId="4FE64DE0" w14:textId="77777777" w:rsidR="004030BB" w:rsidRPr="004030BB" w:rsidRDefault="004030BB" w:rsidP="004030BB">
      <w:pPr>
        <w:spacing w:after="240" w:line="240" w:lineRule="auto"/>
        <w:jc w:val="center"/>
        <w:rPr>
          <w:rFonts w:ascii="Times New Roman" w:eastAsia="Times New Roman" w:hAnsi="Times New Roman" w:cs="Times New Roman"/>
          <w:b/>
          <w:bCs/>
          <w:kern w:val="0"/>
          <w:sz w:val="26"/>
          <w:szCs w:val="26"/>
          <w14:ligatures w14:val="none"/>
        </w:rPr>
      </w:pPr>
      <w:bookmarkStart w:id="2" w:name="_Int_SisK4Q9T"/>
      <w:bookmarkStart w:id="3" w:name="dabmch_3"/>
      <w:r w:rsidRPr="004030BB">
        <w:rPr>
          <w:rFonts w:ascii="Times New Roman" w:eastAsia="Times New Roman" w:hAnsi="Times New Roman" w:cs="Times New Roman"/>
          <w:b/>
          <w:bCs/>
          <w:kern w:val="0"/>
          <w:sz w:val="26"/>
          <w:szCs w:val="26"/>
          <w14:ligatures w14:val="none"/>
        </w:rPr>
        <w:t>THE FOURTEENTH JUDICIAL DISTRICT</w:t>
      </w:r>
      <w:bookmarkEnd w:id="2"/>
      <w:bookmarkEnd w:id="3"/>
    </w:p>
    <w:p w14:paraId="51465CA5" w14:textId="77777777" w:rsidR="004030BB" w:rsidRPr="004030BB" w:rsidRDefault="004030BB" w:rsidP="004030BB">
      <w:pPr>
        <w:spacing w:before="240" w:after="240" w:line="240" w:lineRule="auto"/>
        <w:rPr>
          <w:rFonts w:ascii="Times New Roman" w:eastAsia="Times New Roman" w:hAnsi="Times New Roman" w:cs="Times New Roman"/>
          <w:kern w:val="0"/>
          <w:sz w:val="26"/>
          <w:szCs w:val="26"/>
          <w14:ligatures w14:val="none"/>
        </w:rPr>
      </w:pPr>
      <w:bookmarkStart w:id="4" w:name="dabmch_4"/>
      <w:r w:rsidRPr="004030BB">
        <w:rPr>
          <w:rFonts w:ascii="Times New Roman" w:eastAsia="Times New Roman" w:hAnsi="Times New Roman" w:cs="Times New Roman"/>
          <w:kern w:val="0"/>
          <w:sz w:val="26"/>
          <w:szCs w:val="26"/>
          <w14:ligatures w14:val="none"/>
        </w:rPr>
        <w:t>UNITED STATES OF AMERICA,</w:t>
      </w:r>
      <w:bookmarkEnd w:id="4"/>
    </w:p>
    <w:p w14:paraId="135D10B8" w14:textId="77777777" w:rsidR="004030BB" w:rsidRPr="004030BB" w:rsidRDefault="004030BB" w:rsidP="004030BB">
      <w:pPr>
        <w:spacing w:after="0" w:line="240" w:lineRule="auto"/>
        <w:rPr>
          <w:rFonts w:ascii="Times New Roman" w:eastAsia="Times New Roman" w:hAnsi="Times New Roman" w:cs="Times New Roman"/>
          <w:kern w:val="0"/>
          <w:sz w:val="26"/>
          <w:szCs w:val="26"/>
          <w14:ligatures w14:val="none"/>
        </w:rPr>
      </w:pPr>
    </w:p>
    <w:p w14:paraId="74571019" w14:textId="77777777" w:rsidR="004030BB" w:rsidRPr="004030BB" w:rsidRDefault="004030BB" w:rsidP="004030BB">
      <w:pPr>
        <w:spacing w:before="240" w:after="0" w:line="480" w:lineRule="auto"/>
        <w:rPr>
          <w:rFonts w:ascii="Times New Roman" w:eastAsia="Times New Roman" w:hAnsi="Times New Roman" w:cs="Times New Roman"/>
          <w:kern w:val="0"/>
          <w:sz w:val="26"/>
          <w:szCs w:val="26"/>
          <w14:ligatures w14:val="none"/>
        </w:rPr>
      </w:pPr>
      <w:bookmarkStart w:id="5" w:name="dabmch_5"/>
      <w:r w:rsidRPr="004030BB">
        <w:rPr>
          <w:rFonts w:ascii="Times New Roman" w:eastAsia="Times New Roman" w:hAnsi="Times New Roman" w:cs="Times New Roman"/>
          <w:kern w:val="0"/>
          <w:sz w:val="26"/>
          <w:szCs w:val="26"/>
          <w14:ligatures w14:val="none"/>
        </w:rPr>
        <w:t xml:space="preserve">v. </w:t>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r>
      <w:r w:rsidRPr="004030BB">
        <w:rPr>
          <w:rFonts w:ascii="Times New Roman" w:eastAsia="Times New Roman" w:hAnsi="Times New Roman" w:cs="Times New Roman"/>
          <w:kern w:val="0"/>
          <w:sz w:val="26"/>
          <w:szCs w:val="26"/>
          <w14:ligatures w14:val="none"/>
        </w:rPr>
        <w:tab/>
        <w:t>Case No. 2025-CF-00417</w:t>
      </w:r>
      <w:bookmarkEnd w:id="5"/>
    </w:p>
    <w:p w14:paraId="4B118432" w14:textId="77777777" w:rsidR="004030BB" w:rsidRPr="004030BB" w:rsidRDefault="004030BB" w:rsidP="004030BB">
      <w:pPr>
        <w:spacing w:after="0" w:line="240" w:lineRule="auto"/>
        <w:rPr>
          <w:rFonts w:ascii="Times New Roman" w:eastAsia="Times New Roman" w:hAnsi="Times New Roman" w:cs="Times New Roman"/>
          <w:kern w:val="0"/>
          <w14:ligatures w14:val="none"/>
        </w:rPr>
      </w:pPr>
    </w:p>
    <w:p w14:paraId="7A094867" w14:textId="77777777" w:rsidR="004030BB" w:rsidRPr="004030BB" w:rsidRDefault="004030BB" w:rsidP="004030BB">
      <w:pPr>
        <w:spacing w:before="240" w:after="0" w:line="240" w:lineRule="auto"/>
        <w:rPr>
          <w:rFonts w:ascii="Times New Roman" w:eastAsia="Times New Roman" w:hAnsi="Times New Roman" w:cs="Times New Roman"/>
          <w:kern w:val="0"/>
          <w:sz w:val="26"/>
          <w:szCs w:val="26"/>
          <w14:ligatures w14:val="none"/>
        </w:rPr>
      </w:pPr>
      <w:bookmarkStart w:id="6" w:name="dabmch_7"/>
      <w:r w:rsidRPr="004030BB">
        <w:rPr>
          <w:rFonts w:ascii="Times New Roman" w:eastAsia="Times New Roman" w:hAnsi="Times New Roman" w:cs="Times New Roman"/>
          <w:kern w:val="0"/>
          <w:sz w:val="26"/>
          <w:szCs w:val="26"/>
          <w14:ligatures w14:val="none"/>
        </w:rPr>
        <w:t>EMILY CALLOWAY,</w:t>
      </w:r>
      <w:bookmarkEnd w:id="6"/>
    </w:p>
    <w:p w14:paraId="512B9A3E" w14:textId="77777777" w:rsidR="004030BB" w:rsidRPr="004030BB" w:rsidRDefault="004030BB" w:rsidP="004030BB">
      <w:pPr>
        <w:spacing w:before="240" w:after="0" w:line="240" w:lineRule="auto"/>
        <w:ind w:left="1440"/>
        <w:rPr>
          <w:rFonts w:ascii="Times New Roman" w:eastAsia="Times New Roman" w:hAnsi="Times New Roman" w:cs="Times New Roman"/>
          <w:i/>
          <w:iCs/>
          <w:kern w:val="0"/>
          <w:sz w:val="26"/>
          <w:szCs w:val="26"/>
          <w14:ligatures w14:val="none"/>
        </w:rPr>
      </w:pPr>
      <w:bookmarkStart w:id="7" w:name="dabmch_8"/>
      <w:r w:rsidRPr="004030BB">
        <w:rPr>
          <w:rFonts w:ascii="Times New Roman" w:eastAsia="Times New Roman" w:hAnsi="Times New Roman" w:cs="Times New Roman"/>
          <w:i/>
          <w:iCs/>
          <w:kern w:val="0"/>
          <w:sz w:val="26"/>
          <w:szCs w:val="26"/>
          <w14:ligatures w14:val="none"/>
        </w:rPr>
        <w:t>Defendant.</w:t>
      </w:r>
      <w:bookmarkEnd w:id="7"/>
    </w:p>
    <w:p w14:paraId="10C91C0F" w14:textId="77777777" w:rsidR="004030BB" w:rsidRPr="004030BB" w:rsidRDefault="004030BB" w:rsidP="004030BB">
      <w:pPr>
        <w:spacing w:after="0" w:line="240" w:lineRule="auto"/>
        <w:rPr>
          <w:rFonts w:ascii="Times New Roman" w:eastAsia="Times New Roman" w:hAnsi="Times New Roman" w:cs="Times New Roman"/>
          <w:i/>
          <w:iCs/>
          <w:kern w:val="0"/>
          <w:sz w:val="26"/>
          <w:szCs w:val="26"/>
          <w14:ligatures w14:val="none"/>
        </w:rPr>
      </w:pPr>
      <w:r w:rsidRPr="004030BB">
        <w:rPr>
          <w:rFonts w:ascii="Times New Roman" w:eastAsia="Times New Roman" w:hAnsi="Times New Roman" w:cs="Times New Roman"/>
          <w:b/>
          <w:bCs/>
          <w:i/>
          <w:iCs/>
          <w:kern w:val="0"/>
          <w:sz w:val="26"/>
          <w:szCs w:val="26"/>
          <w14:ligatures w14:val="none"/>
        </w:rPr>
        <w:t>_________________________________</w:t>
      </w:r>
      <w:r w:rsidRPr="004030BB">
        <w:rPr>
          <w:rFonts w:ascii="Times New Roman" w:eastAsia="Times New Roman" w:hAnsi="Times New Roman" w:cs="Times New Roman"/>
          <w:i/>
          <w:iCs/>
          <w:kern w:val="0"/>
          <w:sz w:val="26"/>
          <w:szCs w:val="26"/>
          <w14:ligatures w14:val="none"/>
        </w:rPr>
        <w:t>/</w:t>
      </w:r>
    </w:p>
    <w:p w14:paraId="0E4635A2" w14:textId="77777777" w:rsidR="004030BB" w:rsidRPr="004030BB" w:rsidRDefault="004030BB" w:rsidP="004030BB">
      <w:pPr>
        <w:spacing w:after="0" w:line="240" w:lineRule="auto"/>
        <w:rPr>
          <w:rFonts w:ascii="Times New Roman" w:eastAsia="Times New Roman" w:hAnsi="Times New Roman" w:cs="Times New Roman"/>
          <w:i/>
          <w:iCs/>
          <w:kern w:val="0"/>
          <w:sz w:val="26"/>
          <w:szCs w:val="26"/>
          <w14:ligatures w14:val="none"/>
        </w:rPr>
      </w:pPr>
    </w:p>
    <w:p w14:paraId="36843496" w14:textId="77777777" w:rsidR="004030BB" w:rsidRPr="004030BB" w:rsidRDefault="004030BB" w:rsidP="004030BB">
      <w:pPr>
        <w:spacing w:after="0" w:line="240" w:lineRule="auto"/>
        <w:rPr>
          <w:rFonts w:ascii="Times New Roman" w:eastAsia="Times New Roman" w:hAnsi="Times New Roman" w:cs="Times New Roman"/>
          <w:i/>
          <w:iCs/>
          <w:kern w:val="0"/>
          <w:sz w:val="26"/>
          <w:szCs w:val="26"/>
          <w14:ligatures w14:val="none"/>
        </w:rPr>
      </w:pPr>
    </w:p>
    <w:p w14:paraId="08E222D5" w14:textId="77777777" w:rsidR="004030BB" w:rsidRPr="004030BB" w:rsidRDefault="004030BB" w:rsidP="004030BB">
      <w:pPr>
        <w:spacing w:after="0" w:line="240" w:lineRule="auto"/>
        <w:rPr>
          <w:rFonts w:ascii="Times New Roman" w:eastAsia="Times New Roman" w:hAnsi="Times New Roman" w:cs="Times New Roman"/>
          <w:i/>
          <w:iCs/>
          <w:kern w:val="0"/>
          <w:sz w:val="26"/>
          <w:szCs w:val="26"/>
          <w14:ligatures w14:val="none"/>
        </w:rPr>
      </w:pPr>
    </w:p>
    <w:p w14:paraId="665EEBAA" w14:textId="77777777" w:rsidR="004030BB" w:rsidRPr="004030BB" w:rsidRDefault="004030BB" w:rsidP="004030BB">
      <w:pPr>
        <w:pBdr>
          <w:bottom w:val="single" w:sz="6" w:space="1" w:color="000000"/>
        </w:pBdr>
        <w:spacing w:before="60" w:after="60" w:line="240" w:lineRule="auto"/>
        <w:rPr>
          <w:rFonts w:ascii="Times New Roman" w:eastAsia="Times New Roman" w:hAnsi="Times New Roman" w:cs="Times New Roman"/>
          <w:kern w:val="0"/>
          <w:sz w:val="26"/>
          <w:szCs w:val="26"/>
          <w14:ligatures w14:val="none"/>
        </w:rPr>
      </w:pPr>
    </w:p>
    <w:p w14:paraId="6283D1FD" w14:textId="77777777" w:rsidR="004030BB" w:rsidRPr="004030BB" w:rsidRDefault="004030BB" w:rsidP="004030BB">
      <w:pPr>
        <w:spacing w:after="0" w:line="240" w:lineRule="auto"/>
        <w:rPr>
          <w:rFonts w:ascii="Times New Roman" w:eastAsia="Times New Roman" w:hAnsi="Times New Roman" w:cs="Times New Roman"/>
          <w:kern w:val="0"/>
          <w:sz w:val="26"/>
          <w:szCs w:val="26"/>
          <w14:ligatures w14:val="none"/>
        </w:rPr>
      </w:pPr>
    </w:p>
    <w:p w14:paraId="43FFD2FA" w14:textId="5F846731" w:rsidR="004030BB" w:rsidRPr="004030BB" w:rsidRDefault="004030BB" w:rsidP="004030BB">
      <w:pPr>
        <w:spacing w:after="0" w:line="240" w:lineRule="auto"/>
        <w:jc w:val="center"/>
        <w:rPr>
          <w:rFonts w:ascii="Times New Roman" w:eastAsia="Times New Roman" w:hAnsi="Times New Roman" w:cs="Times New Roman"/>
          <w:b/>
          <w:bCs/>
          <w:kern w:val="0"/>
          <w:sz w:val="26"/>
          <w:szCs w:val="26"/>
          <w14:ligatures w14:val="none"/>
        </w:rPr>
      </w:pPr>
      <w:r w:rsidRPr="004030BB">
        <w:rPr>
          <w:rFonts w:ascii="Times New Roman" w:eastAsia="Times New Roman" w:hAnsi="Times New Roman" w:cs="Times New Roman"/>
          <w:b/>
          <w:bCs/>
          <w:kern w:val="0"/>
          <w:sz w:val="26"/>
          <w:szCs w:val="26"/>
          <w14:ligatures w14:val="none"/>
        </w:rPr>
        <w:t>MEMORANDUM OF LAW IN OPPOSITION OF DEFENDANT’S</w:t>
      </w:r>
    </w:p>
    <w:p w14:paraId="484D8BC0" w14:textId="77777777" w:rsidR="004030BB" w:rsidRPr="004030BB" w:rsidRDefault="004030BB" w:rsidP="004030BB">
      <w:pPr>
        <w:spacing w:after="0" w:line="240" w:lineRule="auto"/>
        <w:jc w:val="center"/>
        <w:rPr>
          <w:rFonts w:ascii="Times New Roman" w:eastAsia="Times New Roman" w:hAnsi="Times New Roman" w:cs="Times New Roman"/>
          <w:b/>
          <w:bCs/>
          <w:kern w:val="0"/>
          <w:sz w:val="26"/>
          <w:szCs w:val="26"/>
          <w14:ligatures w14:val="none"/>
        </w:rPr>
      </w:pPr>
      <w:r w:rsidRPr="004030BB">
        <w:rPr>
          <w:rFonts w:ascii="Times New Roman" w:eastAsia="Times New Roman" w:hAnsi="Times New Roman" w:cs="Times New Roman"/>
          <w:b/>
          <w:bCs/>
          <w:kern w:val="0"/>
          <w:sz w:val="26"/>
          <w:szCs w:val="26"/>
          <w14:ligatures w14:val="none"/>
        </w:rPr>
        <w:t>MOTION TO SUPPRESS EVIDENCE IN VIOLATION OF COURT ORDER AND</w:t>
      </w:r>
    </w:p>
    <w:p w14:paraId="5E4C7052" w14:textId="75779D89" w:rsidR="004030BB" w:rsidRPr="004030BB" w:rsidRDefault="004030BB" w:rsidP="004030BB">
      <w:pPr>
        <w:spacing w:after="0" w:line="240" w:lineRule="auto"/>
        <w:jc w:val="center"/>
        <w:rPr>
          <w:rFonts w:ascii="Times New Roman" w:eastAsia="Times New Roman" w:hAnsi="Times New Roman" w:cs="Times New Roman"/>
          <w:b/>
          <w:bCs/>
          <w:kern w:val="0"/>
          <w:sz w:val="26"/>
          <w:szCs w:val="26"/>
          <w14:ligatures w14:val="none"/>
        </w:rPr>
      </w:pPr>
      <w:r w:rsidRPr="004030BB">
        <w:rPr>
          <w:rFonts w:ascii="Times New Roman" w:eastAsia="Times New Roman" w:hAnsi="Times New Roman" w:cs="Times New Roman"/>
          <w:b/>
          <w:bCs/>
          <w:kern w:val="0"/>
          <w:sz w:val="26"/>
          <w:szCs w:val="26"/>
          <w14:ligatures w14:val="none"/>
        </w:rPr>
        <w:t>MOTION TO QUASH UNITED STATES SUBPOENA DUCES TECUM</w:t>
      </w:r>
    </w:p>
    <w:p w14:paraId="247D0C31" w14:textId="357DF08D" w:rsidR="004030BB" w:rsidRPr="004030BB" w:rsidRDefault="004030BB" w:rsidP="004030BB">
      <w:pPr>
        <w:spacing w:after="0" w:line="240" w:lineRule="auto"/>
        <w:jc w:val="center"/>
        <w:rPr>
          <w:rFonts w:ascii="Times New Roman" w:eastAsia="Times New Roman" w:hAnsi="Times New Roman" w:cs="Times New Roman"/>
          <w:b/>
          <w:bCs/>
          <w:kern w:val="0"/>
          <w:sz w:val="26"/>
          <w:szCs w:val="26"/>
          <w14:ligatures w14:val="none"/>
        </w:rPr>
      </w:pPr>
      <w:r w:rsidRPr="004030BB">
        <w:rPr>
          <w:rFonts w:ascii="Times New Roman" w:eastAsia="Times New Roman" w:hAnsi="Times New Roman" w:cs="Times New Roman"/>
          <w:b/>
          <w:bCs/>
          <w:kern w:val="0"/>
          <w:sz w:val="26"/>
          <w:szCs w:val="26"/>
          <w14:ligatures w14:val="none"/>
        </w:rPr>
        <w:t>ON MADDOX ARMANA</w:t>
      </w:r>
    </w:p>
    <w:p w14:paraId="6C49858C" w14:textId="77777777" w:rsidR="004030BB" w:rsidRPr="004030BB" w:rsidRDefault="004030BB" w:rsidP="004030BB">
      <w:pPr>
        <w:pBdr>
          <w:bottom w:val="single" w:sz="6" w:space="1" w:color="000000"/>
        </w:pBdr>
        <w:spacing w:before="60" w:after="60" w:line="240" w:lineRule="auto"/>
        <w:rPr>
          <w:rFonts w:ascii="Times New Roman" w:eastAsia="Times New Roman" w:hAnsi="Times New Roman" w:cs="Times New Roman"/>
          <w:kern w:val="0"/>
          <w:sz w:val="26"/>
          <w:szCs w:val="26"/>
          <w14:ligatures w14:val="none"/>
        </w:rPr>
      </w:pPr>
    </w:p>
    <w:p w14:paraId="5B952C37" w14:textId="77777777" w:rsidR="004030BB" w:rsidRPr="004030BB" w:rsidRDefault="004030BB" w:rsidP="004030BB">
      <w:pPr>
        <w:spacing w:after="0" w:line="480" w:lineRule="auto"/>
        <w:rPr>
          <w:rFonts w:ascii="Times New Roman" w:eastAsia="Times New Roman" w:hAnsi="Times New Roman" w:cs="Times New Roman"/>
          <w:kern w:val="0"/>
          <w:sz w:val="26"/>
          <w:szCs w:val="26"/>
          <w14:ligatures w14:val="none"/>
        </w:rPr>
      </w:pPr>
    </w:p>
    <w:p w14:paraId="04CE2A9A" w14:textId="77777777" w:rsidR="004030BB" w:rsidRPr="004030BB" w:rsidRDefault="004030BB" w:rsidP="004030BB">
      <w:pPr>
        <w:spacing w:after="0" w:line="480" w:lineRule="auto"/>
        <w:rPr>
          <w:rFonts w:ascii="Times New Roman" w:eastAsia="Times New Roman" w:hAnsi="Times New Roman" w:cs="Times New Roman"/>
          <w:kern w:val="0"/>
          <w14:ligatures w14:val="none"/>
        </w:rPr>
      </w:pPr>
    </w:p>
    <w:p w14:paraId="0C6EB5B9" w14:textId="77777777" w:rsidR="00E72FD9" w:rsidRDefault="00E72FD9" w:rsidP="00E72FD9"/>
    <w:p w14:paraId="0E3E2C1D" w14:textId="77777777" w:rsidR="00E72FD9" w:rsidRDefault="00E72FD9" w:rsidP="00E72FD9"/>
    <w:p w14:paraId="022F06F7" w14:textId="77777777" w:rsidR="00E72FD9" w:rsidRDefault="00E72FD9" w:rsidP="00E72FD9"/>
    <w:p w14:paraId="612AEE92" w14:textId="77777777" w:rsidR="00E72FD9" w:rsidRDefault="00E72FD9" w:rsidP="00375296">
      <w:pPr>
        <w:pStyle w:val="Heading1"/>
        <w:rPr>
          <w:rFonts w:ascii="Times New Roman" w:eastAsia="Times New Roman" w:hAnsi="Times New Roman" w:cs="Times New Roman"/>
          <w:b/>
          <w:bCs/>
          <w:color w:val="000000" w:themeColor="text1"/>
          <w:sz w:val="26"/>
          <w:szCs w:val="26"/>
        </w:rPr>
      </w:pPr>
    </w:p>
    <w:p w14:paraId="470F43C3" w14:textId="77777777" w:rsidR="00E72FD9" w:rsidRPr="00E72FD9" w:rsidRDefault="00E72FD9" w:rsidP="00E72FD9"/>
    <w:p w14:paraId="2FA76FD3" w14:textId="77777777" w:rsidR="00E72FD9" w:rsidRPr="004030BB" w:rsidRDefault="002D374B">
      <w:pPr>
        <w:rPr>
          <w:rFonts w:ascii="Times New Roman" w:eastAsia="Times New Roman" w:hAnsi="Times New Roman" w:cs="Times New Roman"/>
          <w:b/>
          <w:bCs/>
          <w:color w:val="000000" w:themeColor="text1"/>
          <w:sz w:val="26"/>
          <w:szCs w:val="26"/>
        </w:rPr>
      </w:pPr>
      <w:bookmarkStart w:id="8" w:name="dabmch_18"/>
      <w:r w:rsidRPr="004030BB">
        <w:rPr>
          <w:rFonts w:ascii="Times New Roman" w:eastAsia="Times New Roman" w:hAnsi="Times New Roman" w:cs="Times New Roman"/>
          <w:b/>
          <w:bCs/>
          <w:color w:val="000000" w:themeColor="text1"/>
          <w:sz w:val="26"/>
          <w:szCs w:val="26"/>
        </w:rPr>
        <w:br w:type="page"/>
      </w:r>
      <w:bookmarkEnd w:id="8"/>
    </w:p>
    <w:p w14:paraId="4579BF47" w14:textId="77777777" w:rsidR="00E72FD9" w:rsidRPr="004030BB" w:rsidRDefault="00E72FD9" w:rsidP="00375296">
      <w:pPr>
        <w:pStyle w:val="Heading1"/>
        <w:rPr>
          <w:rFonts w:ascii="Times New Roman" w:eastAsia="Times New Roman" w:hAnsi="Times New Roman" w:cs="Times New Roman"/>
          <w:b/>
          <w:bCs/>
          <w:color w:val="000000" w:themeColor="text1"/>
          <w:sz w:val="26"/>
          <w:szCs w:val="26"/>
        </w:rPr>
        <w:sectPr w:rsidR="00E72FD9" w:rsidRPr="004030BB" w:rsidSect="00E72FD9">
          <w:footerReference w:type="even" r:id="rId7"/>
          <w:footerReference w:type="default" r:id="rId8"/>
          <w:pgSz w:w="12240" w:h="15840"/>
          <w:pgMar w:top="1440" w:right="1440" w:bottom="1440" w:left="1440" w:header="720" w:footer="720" w:gutter="0"/>
          <w:pgNumType w:fmt="lowerRoman"/>
          <w:cols w:space="720"/>
          <w:titlePg/>
          <w:docGrid w:linePitch="360"/>
        </w:sectPr>
      </w:pPr>
    </w:p>
    <w:p w14:paraId="6AABE786" w14:textId="77777777" w:rsidR="00DB2E5F" w:rsidRPr="004030BB" w:rsidRDefault="002D374B" w:rsidP="00DF3B8E">
      <w:pPr>
        <w:pStyle w:val="Heading1"/>
        <w:jc w:val="center"/>
        <w:rPr>
          <w:rFonts w:ascii="Times New Roman" w:eastAsia="Times New Roman" w:hAnsi="Times New Roman" w:cs="Times New Roman"/>
          <w:b/>
          <w:bCs/>
          <w:color w:val="000000" w:themeColor="text1"/>
          <w:sz w:val="26"/>
          <w:szCs w:val="26"/>
        </w:rPr>
      </w:pPr>
      <w:bookmarkStart w:id="10" w:name="_Toc239149365"/>
      <w:bookmarkStart w:id="11" w:name="dabmch_20"/>
      <w:bookmarkStart w:id="12" w:name="_Toc239155228"/>
      <w:r w:rsidRPr="004030BB">
        <w:rPr>
          <w:rFonts w:ascii="Times New Roman" w:eastAsia="Times New Roman" w:hAnsi="Times New Roman" w:cs="Times New Roman"/>
          <w:b/>
          <w:bCs/>
          <w:color w:val="000000" w:themeColor="text1"/>
          <w:sz w:val="26"/>
          <w:szCs w:val="26"/>
        </w:rPr>
        <w:lastRenderedPageBreak/>
        <w:t>TABLE OF CONTENTS</w:t>
      </w:r>
      <w:bookmarkEnd w:id="1"/>
      <w:bookmarkEnd w:id="10"/>
      <w:bookmarkEnd w:id="11"/>
      <w:bookmarkEnd w:id="12"/>
    </w:p>
    <w:bookmarkStart w:id="13" w:name="_Toc239113013" w:displacedByCustomXml="next"/>
    <w:sdt>
      <w:sdtPr>
        <w:rPr>
          <w:rFonts w:ascii="Times New Roman" w:eastAsiaTheme="minorHAnsi" w:hAnsi="Times New Roman" w:cs="Times New Roman"/>
          <w:b w:val="0"/>
          <w:bCs w:val="0"/>
          <w:color w:val="auto"/>
          <w:kern w:val="2"/>
          <w:sz w:val="26"/>
          <w:szCs w:val="26"/>
          <w14:ligatures w14:val="standardContextual"/>
        </w:rPr>
        <w:id w:val="71013097"/>
        <w:docPartObj>
          <w:docPartGallery w:val="Table of Contents"/>
          <w:docPartUnique/>
        </w:docPartObj>
      </w:sdtPr>
      <w:sdtEndPr>
        <w:rPr>
          <w:noProof/>
        </w:rPr>
      </w:sdtEndPr>
      <w:sdtContent>
        <w:p w14:paraId="7AAA1C44" w14:textId="69727CEA" w:rsidR="004030BB" w:rsidRPr="002927D3" w:rsidRDefault="004030BB" w:rsidP="002927D3">
          <w:pPr>
            <w:pStyle w:val="TOCHeading"/>
            <w:spacing w:before="0"/>
            <w:rPr>
              <w:rFonts w:ascii="Times New Roman" w:hAnsi="Times New Roman" w:cs="Times New Roman"/>
              <w:sz w:val="2"/>
              <w:szCs w:val="2"/>
            </w:rPr>
          </w:pPr>
        </w:p>
        <w:p w14:paraId="7E88E85F" w14:textId="7F76765F" w:rsidR="004030BB" w:rsidRPr="004030BB" w:rsidRDefault="004030BB" w:rsidP="004030BB">
          <w:pPr>
            <w:pStyle w:val="TOC1"/>
            <w:spacing w:line="240" w:lineRule="auto"/>
            <w:rPr>
              <w:rFonts w:eastAsiaTheme="minorEastAsia"/>
              <w:iCs w:val="0"/>
              <w:szCs w:val="26"/>
            </w:rPr>
          </w:pPr>
          <w:r w:rsidRPr="004030BB">
            <w:rPr>
              <w:szCs w:val="26"/>
            </w:rPr>
            <w:fldChar w:fldCharType="begin"/>
          </w:r>
          <w:r w:rsidRPr="004030BB">
            <w:rPr>
              <w:szCs w:val="26"/>
            </w:rPr>
            <w:instrText xml:space="preserve"> TOC \o "1-3" \h \z \u </w:instrText>
          </w:r>
          <w:r w:rsidRPr="004030BB">
            <w:rPr>
              <w:szCs w:val="26"/>
            </w:rPr>
            <w:fldChar w:fldCharType="separate"/>
          </w:r>
          <w:hyperlink w:anchor="_Toc239155228" w:history="1">
            <w:r w:rsidRPr="004030BB">
              <w:rPr>
                <w:rStyle w:val="Hyperlink"/>
                <w:szCs w:val="26"/>
              </w:rPr>
              <w:t>TABLE OF CONTENTS</w:t>
            </w:r>
            <w:r w:rsidRPr="004030BB">
              <w:rPr>
                <w:webHidden/>
                <w:szCs w:val="26"/>
              </w:rPr>
              <w:tab/>
            </w:r>
            <w:r w:rsidRPr="004030BB">
              <w:rPr>
                <w:webHidden/>
                <w:szCs w:val="26"/>
              </w:rPr>
              <w:fldChar w:fldCharType="begin"/>
            </w:r>
            <w:r w:rsidRPr="004030BB">
              <w:rPr>
                <w:webHidden/>
                <w:szCs w:val="26"/>
              </w:rPr>
              <w:instrText xml:space="preserve"> PAGEREF _Toc239155228 \h </w:instrText>
            </w:r>
            <w:r w:rsidRPr="004030BB">
              <w:rPr>
                <w:webHidden/>
                <w:szCs w:val="26"/>
              </w:rPr>
            </w:r>
            <w:r w:rsidRPr="004030BB">
              <w:rPr>
                <w:webHidden/>
                <w:szCs w:val="26"/>
              </w:rPr>
              <w:fldChar w:fldCharType="separate"/>
            </w:r>
            <w:r w:rsidRPr="004030BB">
              <w:rPr>
                <w:webHidden/>
                <w:szCs w:val="26"/>
              </w:rPr>
              <w:t>i</w:t>
            </w:r>
            <w:r w:rsidRPr="004030BB">
              <w:rPr>
                <w:webHidden/>
                <w:szCs w:val="26"/>
              </w:rPr>
              <w:fldChar w:fldCharType="end"/>
            </w:r>
          </w:hyperlink>
        </w:p>
        <w:p w14:paraId="6547792C" w14:textId="11E7B24D" w:rsidR="004030BB" w:rsidRPr="004030BB" w:rsidRDefault="004030BB" w:rsidP="004030BB">
          <w:pPr>
            <w:pStyle w:val="TOC1"/>
            <w:spacing w:line="240" w:lineRule="auto"/>
            <w:rPr>
              <w:rFonts w:eastAsiaTheme="minorEastAsia"/>
              <w:iCs w:val="0"/>
              <w:szCs w:val="26"/>
            </w:rPr>
          </w:pPr>
          <w:hyperlink w:anchor="_Toc239155229" w:history="1">
            <w:r w:rsidRPr="004030BB">
              <w:rPr>
                <w:rStyle w:val="Hyperlink"/>
                <w:szCs w:val="26"/>
              </w:rPr>
              <w:t>TABLE OF AUTHORITIES</w:t>
            </w:r>
            <w:r w:rsidRPr="004030BB">
              <w:rPr>
                <w:webHidden/>
                <w:szCs w:val="26"/>
              </w:rPr>
              <w:tab/>
            </w:r>
            <w:r w:rsidRPr="004030BB">
              <w:rPr>
                <w:webHidden/>
                <w:szCs w:val="26"/>
              </w:rPr>
              <w:fldChar w:fldCharType="begin"/>
            </w:r>
            <w:r w:rsidRPr="004030BB">
              <w:rPr>
                <w:webHidden/>
                <w:szCs w:val="26"/>
              </w:rPr>
              <w:instrText xml:space="preserve"> PAGEREF _Toc239155229 \h </w:instrText>
            </w:r>
            <w:r w:rsidRPr="004030BB">
              <w:rPr>
                <w:webHidden/>
                <w:szCs w:val="26"/>
              </w:rPr>
            </w:r>
            <w:r w:rsidRPr="004030BB">
              <w:rPr>
                <w:webHidden/>
                <w:szCs w:val="26"/>
              </w:rPr>
              <w:fldChar w:fldCharType="separate"/>
            </w:r>
            <w:r w:rsidRPr="004030BB">
              <w:rPr>
                <w:webHidden/>
                <w:szCs w:val="26"/>
              </w:rPr>
              <w:t>ii</w:t>
            </w:r>
            <w:r w:rsidRPr="004030BB">
              <w:rPr>
                <w:webHidden/>
                <w:szCs w:val="26"/>
              </w:rPr>
              <w:fldChar w:fldCharType="end"/>
            </w:r>
          </w:hyperlink>
        </w:p>
        <w:p w14:paraId="02008626" w14:textId="76ADFFB0" w:rsidR="004030BB" w:rsidRPr="004030BB" w:rsidRDefault="004030BB" w:rsidP="004030BB">
          <w:pPr>
            <w:pStyle w:val="TOC1"/>
            <w:spacing w:line="240" w:lineRule="auto"/>
            <w:rPr>
              <w:rFonts w:eastAsiaTheme="minorEastAsia"/>
              <w:iCs w:val="0"/>
              <w:szCs w:val="26"/>
            </w:rPr>
          </w:pPr>
          <w:hyperlink w:anchor="_Toc239155230" w:history="1">
            <w:r w:rsidRPr="004030BB">
              <w:rPr>
                <w:rStyle w:val="Hyperlink"/>
                <w:szCs w:val="26"/>
              </w:rPr>
              <w:t>INTRODUCTION</w:t>
            </w:r>
            <w:r w:rsidRPr="004030BB">
              <w:rPr>
                <w:webHidden/>
                <w:szCs w:val="26"/>
              </w:rPr>
              <w:tab/>
            </w:r>
            <w:r w:rsidRPr="004030BB">
              <w:rPr>
                <w:webHidden/>
                <w:szCs w:val="26"/>
              </w:rPr>
              <w:fldChar w:fldCharType="begin"/>
            </w:r>
            <w:r w:rsidRPr="004030BB">
              <w:rPr>
                <w:webHidden/>
                <w:szCs w:val="26"/>
              </w:rPr>
              <w:instrText xml:space="preserve"> PAGEREF _Toc239155230 \h </w:instrText>
            </w:r>
            <w:r w:rsidRPr="004030BB">
              <w:rPr>
                <w:webHidden/>
                <w:szCs w:val="26"/>
              </w:rPr>
            </w:r>
            <w:r w:rsidRPr="004030BB">
              <w:rPr>
                <w:webHidden/>
                <w:szCs w:val="26"/>
              </w:rPr>
              <w:fldChar w:fldCharType="separate"/>
            </w:r>
            <w:r w:rsidRPr="004030BB">
              <w:rPr>
                <w:webHidden/>
                <w:szCs w:val="26"/>
              </w:rPr>
              <w:t>1</w:t>
            </w:r>
            <w:r w:rsidRPr="004030BB">
              <w:rPr>
                <w:webHidden/>
                <w:szCs w:val="26"/>
              </w:rPr>
              <w:fldChar w:fldCharType="end"/>
            </w:r>
          </w:hyperlink>
        </w:p>
        <w:p w14:paraId="69270844" w14:textId="3586191B" w:rsidR="004030BB" w:rsidRPr="004030BB" w:rsidRDefault="004030BB" w:rsidP="004030BB">
          <w:pPr>
            <w:pStyle w:val="TOC1"/>
            <w:spacing w:line="240" w:lineRule="auto"/>
            <w:rPr>
              <w:rFonts w:eastAsiaTheme="minorEastAsia"/>
              <w:iCs w:val="0"/>
              <w:szCs w:val="26"/>
            </w:rPr>
          </w:pPr>
          <w:hyperlink w:anchor="_Toc239155231" w:history="1">
            <w:r w:rsidRPr="004030BB">
              <w:rPr>
                <w:rStyle w:val="Hyperlink"/>
                <w:szCs w:val="26"/>
              </w:rPr>
              <w:t>STATEMENT OF FACTS</w:t>
            </w:r>
            <w:r w:rsidRPr="004030BB">
              <w:rPr>
                <w:webHidden/>
                <w:szCs w:val="26"/>
              </w:rPr>
              <w:tab/>
            </w:r>
            <w:r w:rsidRPr="004030BB">
              <w:rPr>
                <w:webHidden/>
                <w:szCs w:val="26"/>
              </w:rPr>
              <w:fldChar w:fldCharType="begin"/>
            </w:r>
            <w:r w:rsidRPr="004030BB">
              <w:rPr>
                <w:webHidden/>
                <w:szCs w:val="26"/>
              </w:rPr>
              <w:instrText xml:space="preserve"> PAGEREF _Toc239155231 \h </w:instrText>
            </w:r>
            <w:r w:rsidRPr="004030BB">
              <w:rPr>
                <w:webHidden/>
                <w:szCs w:val="26"/>
              </w:rPr>
            </w:r>
            <w:r w:rsidRPr="004030BB">
              <w:rPr>
                <w:webHidden/>
                <w:szCs w:val="26"/>
              </w:rPr>
              <w:fldChar w:fldCharType="separate"/>
            </w:r>
            <w:r w:rsidRPr="004030BB">
              <w:rPr>
                <w:webHidden/>
                <w:szCs w:val="26"/>
              </w:rPr>
              <w:t>1</w:t>
            </w:r>
            <w:r w:rsidRPr="004030BB">
              <w:rPr>
                <w:webHidden/>
                <w:szCs w:val="26"/>
              </w:rPr>
              <w:fldChar w:fldCharType="end"/>
            </w:r>
          </w:hyperlink>
        </w:p>
        <w:p w14:paraId="1974F5D8" w14:textId="1F9B28C4" w:rsidR="004030BB" w:rsidRPr="004030BB" w:rsidRDefault="004030BB" w:rsidP="004030BB">
          <w:pPr>
            <w:pStyle w:val="TOC1"/>
            <w:spacing w:line="240" w:lineRule="auto"/>
            <w:rPr>
              <w:rFonts w:eastAsiaTheme="minorEastAsia"/>
              <w:iCs w:val="0"/>
              <w:szCs w:val="26"/>
            </w:rPr>
          </w:pPr>
          <w:hyperlink w:anchor="_Toc239155232" w:history="1">
            <w:r w:rsidRPr="004030BB">
              <w:rPr>
                <w:rStyle w:val="Hyperlink"/>
                <w:kern w:val="0"/>
                <w:szCs w:val="26"/>
                <w14:ligatures w14:val="none"/>
              </w:rPr>
              <w:t>ARGUMENT</w:t>
            </w:r>
            <w:r w:rsidRPr="004030BB">
              <w:rPr>
                <w:webHidden/>
                <w:szCs w:val="26"/>
              </w:rPr>
              <w:tab/>
            </w:r>
            <w:r w:rsidRPr="004030BB">
              <w:rPr>
                <w:webHidden/>
                <w:szCs w:val="26"/>
              </w:rPr>
              <w:fldChar w:fldCharType="begin"/>
            </w:r>
            <w:r w:rsidRPr="004030BB">
              <w:rPr>
                <w:webHidden/>
                <w:szCs w:val="26"/>
              </w:rPr>
              <w:instrText xml:space="preserve"> PAGEREF _Toc239155232 \h </w:instrText>
            </w:r>
            <w:r w:rsidRPr="004030BB">
              <w:rPr>
                <w:webHidden/>
                <w:szCs w:val="26"/>
              </w:rPr>
            </w:r>
            <w:r w:rsidRPr="004030BB">
              <w:rPr>
                <w:webHidden/>
                <w:szCs w:val="26"/>
              </w:rPr>
              <w:fldChar w:fldCharType="separate"/>
            </w:r>
            <w:r w:rsidRPr="004030BB">
              <w:rPr>
                <w:webHidden/>
                <w:szCs w:val="26"/>
              </w:rPr>
              <w:t>5</w:t>
            </w:r>
            <w:r w:rsidRPr="004030BB">
              <w:rPr>
                <w:webHidden/>
                <w:szCs w:val="26"/>
              </w:rPr>
              <w:fldChar w:fldCharType="end"/>
            </w:r>
          </w:hyperlink>
        </w:p>
        <w:p w14:paraId="3708217B" w14:textId="45FBA601" w:rsidR="004030BB" w:rsidRPr="004030BB" w:rsidRDefault="004030BB" w:rsidP="004030BB">
          <w:pPr>
            <w:pStyle w:val="TOC2"/>
            <w:rPr>
              <w:rFonts w:eastAsiaTheme="minorEastAsia"/>
            </w:rPr>
          </w:pPr>
          <w:hyperlink w:anchor="_Toc239155233" w:history="1">
            <w:r w:rsidRPr="004030BB">
              <w:rPr>
                <w:rStyle w:val="Hyperlink"/>
              </w:rPr>
              <w:t>I.</w:t>
            </w:r>
            <w:r w:rsidRPr="004030BB">
              <w:rPr>
                <w:rFonts w:eastAsiaTheme="minorEastAsia"/>
              </w:rPr>
              <w:tab/>
            </w:r>
            <w:r w:rsidRPr="004030BB">
              <w:rPr>
                <w:rStyle w:val="Hyperlink"/>
              </w:rPr>
              <w:t xml:space="preserve">The United States Meets Its Burden Under </w:t>
            </w:r>
            <w:r w:rsidRPr="004030BB">
              <w:rPr>
                <w:rStyle w:val="Hyperlink"/>
                <w:i/>
                <w:iCs/>
              </w:rPr>
              <w:t>Kastigar</w:t>
            </w:r>
            <w:r w:rsidRPr="004030BB">
              <w:rPr>
                <w:rStyle w:val="Hyperlink"/>
              </w:rPr>
              <w:t xml:space="preserve"> Because Parker's Statements Are Derived From an Independent, Walled-Off Investigation, and Exhibit 19 Was Recovered Pursuant to Parker's Untainted Interview.</w:t>
            </w:r>
            <w:r w:rsidRPr="004030BB">
              <w:rPr>
                <w:webHidden/>
              </w:rPr>
              <w:tab/>
            </w:r>
            <w:r w:rsidRPr="004030BB">
              <w:rPr>
                <w:webHidden/>
              </w:rPr>
              <w:fldChar w:fldCharType="begin"/>
            </w:r>
            <w:r w:rsidRPr="004030BB">
              <w:rPr>
                <w:webHidden/>
              </w:rPr>
              <w:instrText xml:space="preserve"> PAGEREF _Toc239155233 \h </w:instrText>
            </w:r>
            <w:r w:rsidRPr="004030BB">
              <w:rPr>
                <w:webHidden/>
              </w:rPr>
            </w:r>
            <w:r w:rsidRPr="004030BB">
              <w:rPr>
                <w:webHidden/>
              </w:rPr>
              <w:fldChar w:fldCharType="separate"/>
            </w:r>
            <w:r w:rsidRPr="004030BB">
              <w:rPr>
                <w:webHidden/>
              </w:rPr>
              <w:t>5</w:t>
            </w:r>
            <w:r w:rsidRPr="004030BB">
              <w:rPr>
                <w:webHidden/>
              </w:rPr>
              <w:fldChar w:fldCharType="end"/>
            </w:r>
          </w:hyperlink>
        </w:p>
        <w:p w14:paraId="4DF9467F" w14:textId="49678D6C" w:rsidR="004030BB" w:rsidRPr="002927D3" w:rsidRDefault="004030BB" w:rsidP="00D51215">
          <w:pPr>
            <w:pStyle w:val="TOC3"/>
            <w:rPr>
              <w:rFonts w:eastAsiaTheme="minorEastAsia"/>
            </w:rPr>
          </w:pPr>
          <w:hyperlink w:anchor="_Toc239155234" w:history="1">
            <w:r w:rsidRPr="002927D3">
              <w:rPr>
                <w:rStyle w:val="Hyperlink"/>
              </w:rPr>
              <w:t>A.</w:t>
            </w:r>
            <w:r w:rsidRPr="002927D3">
              <w:rPr>
                <w:rFonts w:eastAsiaTheme="minorEastAsia"/>
              </w:rPr>
              <w:tab/>
            </w:r>
            <w:r w:rsidRPr="002927D3">
              <w:rPr>
                <w:rStyle w:val="Hyperlink"/>
              </w:rPr>
              <w:t>The United States’ Adherence to Its Policies and Procedures During the Calloway Investigation Creates a Well-Marked Trail for This Court to Follow, Starting From the Evidence and Ending at Its Independent Source.</w:t>
            </w:r>
            <w:r w:rsidRPr="002927D3">
              <w:rPr>
                <w:webHidden/>
              </w:rPr>
              <w:tab/>
            </w:r>
            <w:r w:rsidRPr="002927D3">
              <w:rPr>
                <w:webHidden/>
              </w:rPr>
              <w:fldChar w:fldCharType="begin"/>
            </w:r>
            <w:r w:rsidRPr="002927D3">
              <w:rPr>
                <w:webHidden/>
              </w:rPr>
              <w:instrText xml:space="preserve"> PAGEREF _Toc239155234 \h </w:instrText>
            </w:r>
            <w:r w:rsidRPr="002927D3">
              <w:rPr>
                <w:webHidden/>
              </w:rPr>
            </w:r>
            <w:r w:rsidRPr="002927D3">
              <w:rPr>
                <w:webHidden/>
              </w:rPr>
              <w:fldChar w:fldCharType="separate"/>
            </w:r>
            <w:r w:rsidRPr="002927D3">
              <w:rPr>
                <w:webHidden/>
              </w:rPr>
              <w:t>6</w:t>
            </w:r>
            <w:r w:rsidRPr="002927D3">
              <w:rPr>
                <w:webHidden/>
              </w:rPr>
              <w:fldChar w:fldCharType="end"/>
            </w:r>
          </w:hyperlink>
        </w:p>
        <w:p w14:paraId="6F1255AB" w14:textId="0F07A5AB" w:rsidR="004030BB" w:rsidRPr="002927D3" w:rsidRDefault="004030BB" w:rsidP="00D51215">
          <w:pPr>
            <w:pStyle w:val="TOC3"/>
            <w:rPr>
              <w:rFonts w:eastAsiaTheme="minorEastAsia"/>
            </w:rPr>
          </w:pPr>
          <w:hyperlink w:anchor="_Toc239155235" w:history="1">
            <w:r w:rsidRPr="002927D3">
              <w:rPr>
                <w:rStyle w:val="Hyperlink"/>
              </w:rPr>
              <w:t>B.</w:t>
            </w:r>
            <w:r w:rsidRPr="002927D3">
              <w:rPr>
                <w:rFonts w:eastAsiaTheme="minorEastAsia"/>
              </w:rPr>
              <w:tab/>
            </w:r>
            <w:r w:rsidRPr="002927D3">
              <w:rPr>
                <w:rStyle w:val="Hyperlink"/>
              </w:rPr>
              <w:t>Parker Was Identified From an Employee Roster Before Calloway Testified.</w:t>
            </w:r>
            <w:r w:rsidRPr="002927D3">
              <w:rPr>
                <w:webHidden/>
              </w:rPr>
              <w:tab/>
            </w:r>
            <w:r w:rsidRPr="002927D3">
              <w:rPr>
                <w:webHidden/>
              </w:rPr>
              <w:fldChar w:fldCharType="begin"/>
            </w:r>
            <w:r w:rsidRPr="002927D3">
              <w:rPr>
                <w:webHidden/>
              </w:rPr>
              <w:instrText xml:space="preserve"> PAGEREF _Toc239155235 \h </w:instrText>
            </w:r>
            <w:r w:rsidRPr="002927D3">
              <w:rPr>
                <w:webHidden/>
              </w:rPr>
            </w:r>
            <w:r w:rsidRPr="002927D3">
              <w:rPr>
                <w:webHidden/>
              </w:rPr>
              <w:fldChar w:fldCharType="separate"/>
            </w:r>
            <w:r w:rsidRPr="002927D3">
              <w:rPr>
                <w:webHidden/>
              </w:rPr>
              <w:t>8</w:t>
            </w:r>
            <w:r w:rsidRPr="002927D3">
              <w:rPr>
                <w:webHidden/>
              </w:rPr>
              <w:fldChar w:fldCharType="end"/>
            </w:r>
          </w:hyperlink>
        </w:p>
        <w:p w14:paraId="2D6D71AA" w14:textId="37023E6F" w:rsidR="004030BB" w:rsidRPr="002927D3" w:rsidRDefault="004030BB" w:rsidP="00D51215">
          <w:pPr>
            <w:pStyle w:val="TOC3"/>
            <w:rPr>
              <w:rFonts w:eastAsiaTheme="minorEastAsia"/>
            </w:rPr>
          </w:pPr>
          <w:hyperlink w:anchor="_Toc239155236" w:history="1">
            <w:r w:rsidRPr="002927D3">
              <w:rPr>
                <w:rStyle w:val="Hyperlink"/>
              </w:rPr>
              <w:t>C.</w:t>
            </w:r>
            <w:r w:rsidRPr="002927D3">
              <w:rPr>
                <w:rFonts w:eastAsiaTheme="minorEastAsia"/>
              </w:rPr>
              <w:tab/>
            </w:r>
            <w:r w:rsidRPr="002927D3">
              <w:rPr>
                <w:rStyle w:val="Hyperlink"/>
              </w:rPr>
              <w:t>Parker’s Statements Are Untainted.</w:t>
            </w:r>
            <w:r w:rsidRPr="002927D3">
              <w:rPr>
                <w:webHidden/>
              </w:rPr>
              <w:tab/>
            </w:r>
            <w:r w:rsidRPr="002927D3">
              <w:rPr>
                <w:webHidden/>
              </w:rPr>
              <w:fldChar w:fldCharType="begin"/>
            </w:r>
            <w:r w:rsidRPr="002927D3">
              <w:rPr>
                <w:webHidden/>
              </w:rPr>
              <w:instrText xml:space="preserve"> PAGEREF _Toc239155236 \h </w:instrText>
            </w:r>
            <w:r w:rsidRPr="002927D3">
              <w:rPr>
                <w:webHidden/>
              </w:rPr>
            </w:r>
            <w:r w:rsidRPr="002927D3">
              <w:rPr>
                <w:webHidden/>
              </w:rPr>
              <w:fldChar w:fldCharType="separate"/>
            </w:r>
            <w:r w:rsidRPr="002927D3">
              <w:rPr>
                <w:webHidden/>
              </w:rPr>
              <w:t>9</w:t>
            </w:r>
            <w:r w:rsidRPr="002927D3">
              <w:rPr>
                <w:webHidden/>
              </w:rPr>
              <w:fldChar w:fldCharType="end"/>
            </w:r>
          </w:hyperlink>
        </w:p>
        <w:p w14:paraId="5AAE5A00" w14:textId="127B5517" w:rsidR="004030BB" w:rsidRPr="004030BB" w:rsidRDefault="004030BB" w:rsidP="00D51215">
          <w:pPr>
            <w:pStyle w:val="TOC3"/>
            <w:rPr>
              <w:rFonts w:eastAsiaTheme="minorEastAsia"/>
            </w:rPr>
          </w:pPr>
          <w:r w:rsidRPr="004030BB">
            <w:rPr>
              <w:rStyle w:val="Hyperlink"/>
              <w:bCs w:val="0"/>
              <w:u w:val="none"/>
            </w:rPr>
            <w:tab/>
          </w:r>
          <w:hyperlink w:anchor="_Toc239155237" w:history="1">
            <w:r w:rsidRPr="004030BB">
              <w:rPr>
                <w:rStyle w:val="Hyperlink"/>
                <w:i/>
                <w:iCs/>
              </w:rPr>
              <w:t>1.</w:t>
            </w:r>
            <w:r w:rsidRPr="004030BB">
              <w:rPr>
                <w:rFonts w:eastAsiaTheme="minorEastAsia"/>
              </w:rPr>
              <w:t xml:space="preserve">   </w:t>
            </w:r>
            <w:r w:rsidRPr="004030BB">
              <w:rPr>
                <w:rStyle w:val="Hyperlink"/>
                <w:i/>
                <w:iCs/>
              </w:rPr>
              <w:t>Parker Was Never Exposed to Calloway’s Testimony.</w:t>
            </w:r>
            <w:r w:rsidRPr="004030BB">
              <w:rPr>
                <w:webHidden/>
              </w:rPr>
              <w:tab/>
            </w:r>
            <w:r w:rsidRPr="004030BB">
              <w:rPr>
                <w:webHidden/>
              </w:rPr>
              <w:fldChar w:fldCharType="begin"/>
            </w:r>
            <w:r w:rsidRPr="004030BB">
              <w:rPr>
                <w:webHidden/>
              </w:rPr>
              <w:instrText xml:space="preserve"> PAGEREF _Toc239155237 \h </w:instrText>
            </w:r>
            <w:r w:rsidRPr="004030BB">
              <w:rPr>
                <w:webHidden/>
              </w:rPr>
            </w:r>
            <w:r w:rsidRPr="004030BB">
              <w:rPr>
                <w:webHidden/>
              </w:rPr>
              <w:fldChar w:fldCharType="separate"/>
            </w:r>
            <w:r w:rsidRPr="004030BB">
              <w:rPr>
                <w:webHidden/>
              </w:rPr>
              <w:t>10</w:t>
            </w:r>
            <w:r w:rsidRPr="004030BB">
              <w:rPr>
                <w:webHidden/>
              </w:rPr>
              <w:fldChar w:fldCharType="end"/>
            </w:r>
          </w:hyperlink>
        </w:p>
        <w:p w14:paraId="6DBFAAA2" w14:textId="0F48A6FB" w:rsidR="004030BB" w:rsidRPr="004030BB" w:rsidRDefault="004030BB" w:rsidP="00D51215">
          <w:pPr>
            <w:pStyle w:val="TOC3"/>
            <w:rPr>
              <w:rFonts w:eastAsiaTheme="minorEastAsia"/>
            </w:rPr>
          </w:pPr>
          <w:r w:rsidRPr="004030BB">
            <w:rPr>
              <w:rStyle w:val="Hyperlink"/>
              <w:bCs w:val="0"/>
              <w:u w:val="none"/>
            </w:rPr>
            <w:tab/>
          </w:r>
          <w:hyperlink w:anchor="_Toc239155238" w:history="1">
            <w:r w:rsidRPr="004030BB">
              <w:rPr>
                <w:rStyle w:val="Hyperlink"/>
                <w:i/>
                <w:iCs/>
              </w:rPr>
              <w:t>2.</w:t>
            </w:r>
            <w:r w:rsidRPr="004030BB">
              <w:rPr>
                <w:rFonts w:eastAsiaTheme="minorEastAsia"/>
              </w:rPr>
              <w:t xml:space="preserve">   </w:t>
            </w:r>
            <w:r w:rsidRPr="004030BB">
              <w:rPr>
                <w:rStyle w:val="Hyperlink"/>
                <w:i/>
                <w:iCs/>
              </w:rPr>
              <w:t>Parker Strictly Spoke to Events She Had Firsthand Knowledge Of.</w:t>
            </w:r>
            <w:r w:rsidRPr="004030BB">
              <w:rPr>
                <w:webHidden/>
              </w:rPr>
              <w:tab/>
            </w:r>
            <w:r w:rsidRPr="004030BB">
              <w:rPr>
                <w:webHidden/>
              </w:rPr>
              <w:fldChar w:fldCharType="begin"/>
            </w:r>
            <w:r w:rsidRPr="004030BB">
              <w:rPr>
                <w:webHidden/>
              </w:rPr>
              <w:instrText xml:space="preserve"> PAGEREF _Toc239155238 \h </w:instrText>
            </w:r>
            <w:r w:rsidRPr="004030BB">
              <w:rPr>
                <w:webHidden/>
              </w:rPr>
            </w:r>
            <w:r w:rsidRPr="004030BB">
              <w:rPr>
                <w:webHidden/>
              </w:rPr>
              <w:fldChar w:fldCharType="separate"/>
            </w:r>
            <w:r w:rsidRPr="004030BB">
              <w:rPr>
                <w:webHidden/>
              </w:rPr>
              <w:t>10</w:t>
            </w:r>
            <w:r w:rsidRPr="004030BB">
              <w:rPr>
                <w:webHidden/>
              </w:rPr>
              <w:fldChar w:fldCharType="end"/>
            </w:r>
          </w:hyperlink>
        </w:p>
        <w:p w14:paraId="6D01F39F" w14:textId="1FD67FAC" w:rsidR="004030BB" w:rsidRPr="004030BB" w:rsidRDefault="004030BB" w:rsidP="004030BB">
          <w:pPr>
            <w:pStyle w:val="TOC2"/>
            <w:rPr>
              <w:rFonts w:eastAsiaTheme="minorEastAsia"/>
            </w:rPr>
          </w:pPr>
          <w:hyperlink w:anchor="_Toc239155239" w:history="1">
            <w:r w:rsidRPr="004030BB">
              <w:rPr>
                <w:rStyle w:val="Hyperlink"/>
              </w:rPr>
              <w:t>II.</w:t>
            </w:r>
            <w:r w:rsidRPr="004030BB">
              <w:rPr>
                <w:rFonts w:eastAsiaTheme="minorEastAsia"/>
              </w:rPr>
              <w:tab/>
            </w:r>
            <w:r w:rsidRPr="004030BB">
              <w:rPr>
                <w:rStyle w:val="Hyperlink"/>
              </w:rPr>
              <w:t>The United States Has Shown Both that Sierra Seton is Unavailable and That the Information is Unobtainable by Any Means Other Than the Subpoenaed Notes, Therefore the Government has a Substantial Need for and Faces an Undue Hardship for the Subpoenaed Materials, as it is Directly Relevant to a Contested Element of the Charged Conspiracy.</w:t>
            </w:r>
            <w:r w:rsidRPr="004030BB">
              <w:rPr>
                <w:webHidden/>
              </w:rPr>
              <w:tab/>
            </w:r>
            <w:r w:rsidRPr="004030BB">
              <w:rPr>
                <w:webHidden/>
              </w:rPr>
              <w:fldChar w:fldCharType="begin"/>
            </w:r>
            <w:r w:rsidRPr="004030BB">
              <w:rPr>
                <w:webHidden/>
              </w:rPr>
              <w:instrText xml:space="preserve"> PAGEREF _Toc239155239 \h </w:instrText>
            </w:r>
            <w:r w:rsidRPr="004030BB">
              <w:rPr>
                <w:webHidden/>
              </w:rPr>
            </w:r>
            <w:r w:rsidRPr="004030BB">
              <w:rPr>
                <w:webHidden/>
              </w:rPr>
              <w:fldChar w:fldCharType="separate"/>
            </w:r>
            <w:r w:rsidRPr="004030BB">
              <w:rPr>
                <w:webHidden/>
              </w:rPr>
              <w:t>12</w:t>
            </w:r>
            <w:r w:rsidRPr="004030BB">
              <w:rPr>
                <w:webHidden/>
              </w:rPr>
              <w:fldChar w:fldCharType="end"/>
            </w:r>
          </w:hyperlink>
        </w:p>
        <w:p w14:paraId="3E301F05" w14:textId="0CB93E92" w:rsidR="002927D3" w:rsidRPr="004030BB" w:rsidRDefault="004030BB" w:rsidP="00D51215">
          <w:pPr>
            <w:pStyle w:val="TOC3"/>
            <w:rPr>
              <w:rFonts w:eastAsiaTheme="minorEastAsia"/>
            </w:rPr>
          </w:pPr>
          <w:hyperlink w:anchor="_Toc239155240" w:history="1">
            <w:r w:rsidRPr="002927D3">
              <w:rPr>
                <w:rStyle w:val="Hyperlink"/>
              </w:rPr>
              <w:t>A.</w:t>
            </w:r>
            <w:r w:rsidRPr="002927D3">
              <w:rPr>
                <w:rFonts w:eastAsiaTheme="minorEastAsia"/>
              </w:rPr>
              <w:tab/>
              <w:t xml:space="preserve">The </w:t>
            </w:r>
            <w:r w:rsidRPr="002927D3">
              <w:rPr>
                <w:rStyle w:val="Hyperlink"/>
                <w:shd w:val="clear" w:color="auto" w:fill="FCFCFC"/>
              </w:rPr>
              <w:t>Seton Interview Notes Are Fact Work Product, Not Opinion Work Product</w:t>
            </w:r>
            <w:r w:rsidRPr="002927D3">
              <w:rPr>
                <w:webHidden/>
              </w:rPr>
              <w:tab/>
            </w:r>
            <w:r w:rsidR="002927D3" w:rsidRPr="002927D3">
              <w:rPr>
                <w:webHidden/>
              </w:rPr>
              <w:t>…………………………………………………………………………..….</w:t>
            </w:r>
            <w:r w:rsidRPr="002927D3">
              <w:rPr>
                <w:webHidden/>
              </w:rPr>
              <w:fldChar w:fldCharType="begin"/>
            </w:r>
            <w:r w:rsidRPr="002927D3">
              <w:rPr>
                <w:webHidden/>
              </w:rPr>
              <w:instrText xml:space="preserve"> PAGEREF _Toc239155240 \h </w:instrText>
            </w:r>
            <w:r w:rsidRPr="002927D3">
              <w:rPr>
                <w:webHidden/>
              </w:rPr>
            </w:r>
            <w:r w:rsidRPr="002927D3">
              <w:rPr>
                <w:webHidden/>
              </w:rPr>
              <w:fldChar w:fldCharType="separate"/>
            </w:r>
            <w:r w:rsidRPr="002927D3">
              <w:rPr>
                <w:webHidden/>
              </w:rPr>
              <w:t>13</w:t>
            </w:r>
            <w:r w:rsidRPr="002927D3">
              <w:rPr>
                <w:webHidden/>
              </w:rPr>
              <w:fldChar w:fldCharType="end"/>
            </w:r>
          </w:hyperlink>
          <w:r w:rsidR="002927D3">
            <w:rPr>
              <w:rStyle w:val="Hyperlink"/>
              <w:u w:val="none"/>
            </w:rPr>
            <w:t xml:space="preserve">      </w:t>
          </w:r>
          <w:hyperlink w:anchor="_Toc239155237" w:history="1">
            <w:r w:rsidR="002927D3" w:rsidRPr="002927D3">
              <w:rPr>
                <w:rStyle w:val="Hyperlink"/>
                <w:i/>
                <w:iCs/>
                <w:color w:val="auto"/>
              </w:rPr>
              <w:t>1.</w:t>
            </w:r>
            <w:r w:rsidR="002927D3" w:rsidRPr="002927D3">
              <w:rPr>
                <w:rFonts w:eastAsiaTheme="minorEastAsia"/>
              </w:rPr>
              <w:t xml:space="preserve">   </w:t>
            </w:r>
            <w:r w:rsidR="002927D3" w:rsidRPr="002927D3">
              <w:rPr>
                <w:rStyle w:val="Hyperlink"/>
                <w:i/>
                <w:iCs/>
                <w:color w:val="auto"/>
              </w:rPr>
              <w:t xml:space="preserve">Armana’s Interview Notes are a Factual, Contemporaneous Record of          </w:t>
            </w:r>
            <w:r w:rsidR="002927D3" w:rsidRPr="002927D3">
              <w:rPr>
                <w:rStyle w:val="Hyperlink"/>
                <w:i/>
                <w:iCs/>
                <w:color w:val="auto"/>
              </w:rPr>
              <w:tab/>
            </w:r>
            <w:r w:rsidR="002927D3" w:rsidRPr="002927D3">
              <w:rPr>
                <w:rStyle w:val="Hyperlink"/>
                <w:i/>
                <w:iCs/>
                <w:color w:val="auto"/>
              </w:rPr>
              <w:tab/>
              <w:t>Seton’s Statements</w:t>
            </w:r>
            <w:r w:rsidR="002927D3" w:rsidRPr="002927D3">
              <w:rPr>
                <w:webHidden/>
              </w:rPr>
              <w:tab/>
            </w:r>
            <w:r w:rsidR="002927D3" w:rsidRPr="002927D3">
              <w:rPr>
                <w:webHidden/>
              </w:rPr>
              <w:fldChar w:fldCharType="begin"/>
            </w:r>
            <w:r w:rsidR="002927D3" w:rsidRPr="002927D3">
              <w:rPr>
                <w:webHidden/>
              </w:rPr>
              <w:instrText xml:space="preserve"> PAGEREF _Toc239155237 \h </w:instrText>
            </w:r>
            <w:r w:rsidR="002927D3" w:rsidRPr="002927D3">
              <w:rPr>
                <w:webHidden/>
              </w:rPr>
            </w:r>
            <w:r w:rsidR="002927D3" w:rsidRPr="002927D3">
              <w:rPr>
                <w:webHidden/>
              </w:rPr>
              <w:fldChar w:fldCharType="separate"/>
            </w:r>
            <w:r w:rsidR="002927D3" w:rsidRPr="002927D3">
              <w:rPr>
                <w:webHidden/>
              </w:rPr>
              <w:t>1</w:t>
            </w:r>
            <w:r w:rsidR="002927D3" w:rsidRPr="002927D3">
              <w:rPr>
                <w:webHidden/>
              </w:rPr>
              <w:fldChar w:fldCharType="end"/>
            </w:r>
          </w:hyperlink>
          <w:r w:rsidR="002927D3" w:rsidRPr="002927D3">
            <w:rPr>
              <w:rStyle w:val="Hyperlink"/>
              <w:color w:val="auto"/>
              <w:u w:val="none"/>
            </w:rPr>
            <w:t>4</w:t>
          </w:r>
        </w:p>
        <w:p w14:paraId="615A7534" w14:textId="5A9F221C" w:rsidR="002927D3" w:rsidRPr="004030BB" w:rsidRDefault="002927D3" w:rsidP="00D51215">
          <w:pPr>
            <w:pStyle w:val="TOC3"/>
            <w:rPr>
              <w:rFonts w:eastAsiaTheme="minorEastAsia"/>
            </w:rPr>
          </w:pPr>
          <w:r w:rsidRPr="004030BB">
            <w:rPr>
              <w:rStyle w:val="Hyperlink"/>
              <w:bCs w:val="0"/>
              <w:u w:val="none"/>
            </w:rPr>
            <w:tab/>
          </w:r>
          <w:r>
            <w:rPr>
              <w:rStyle w:val="Hyperlink"/>
              <w:bCs w:val="0"/>
              <w:u w:val="none"/>
            </w:rPr>
            <w:tab/>
          </w:r>
          <w:hyperlink w:anchor="_Toc239155238" w:history="1">
            <w:r w:rsidRPr="002927D3">
              <w:rPr>
                <w:rStyle w:val="Hyperlink"/>
                <w:i/>
                <w:iCs/>
                <w:color w:val="auto"/>
              </w:rPr>
              <w:t>2.</w:t>
            </w:r>
            <w:r w:rsidRPr="002927D3">
              <w:rPr>
                <w:rFonts w:eastAsiaTheme="minorEastAsia"/>
              </w:rPr>
              <w:t xml:space="preserve">   Seton is a Reluctant, Unavailable Witness, Whose Testimony May Never be </w:t>
            </w:r>
            <w:r w:rsidRPr="002927D3">
              <w:rPr>
                <w:rFonts w:eastAsiaTheme="minorEastAsia"/>
              </w:rPr>
              <w:tab/>
              <w:t>Replicable</w:t>
            </w:r>
            <w:r w:rsidRPr="002927D3">
              <w:rPr>
                <w:webHidden/>
              </w:rPr>
              <w:tab/>
            </w:r>
            <w:r w:rsidRPr="002927D3">
              <w:rPr>
                <w:webHidden/>
              </w:rPr>
              <w:fldChar w:fldCharType="begin"/>
            </w:r>
            <w:r w:rsidRPr="002927D3">
              <w:rPr>
                <w:webHidden/>
              </w:rPr>
              <w:instrText xml:space="preserve"> PAGEREF _Toc239155238 \h </w:instrText>
            </w:r>
            <w:r w:rsidRPr="002927D3">
              <w:rPr>
                <w:webHidden/>
              </w:rPr>
            </w:r>
            <w:r w:rsidRPr="002927D3">
              <w:rPr>
                <w:webHidden/>
              </w:rPr>
              <w:fldChar w:fldCharType="separate"/>
            </w:r>
            <w:r w:rsidRPr="002927D3">
              <w:rPr>
                <w:webHidden/>
              </w:rPr>
              <w:t>1</w:t>
            </w:r>
            <w:r w:rsidRPr="002927D3">
              <w:rPr>
                <w:webHidden/>
              </w:rPr>
              <w:fldChar w:fldCharType="end"/>
            </w:r>
          </w:hyperlink>
          <w:r w:rsidRPr="002927D3">
            <w:rPr>
              <w:rStyle w:val="Hyperlink"/>
              <w:color w:val="auto"/>
              <w:u w:val="none"/>
            </w:rPr>
            <w:t>4</w:t>
          </w:r>
        </w:p>
        <w:p w14:paraId="7347538E" w14:textId="28B96F1C" w:rsidR="004030BB" w:rsidRPr="00D51215" w:rsidRDefault="004030BB" w:rsidP="00D51215">
          <w:pPr>
            <w:pStyle w:val="TOC3"/>
            <w:rPr>
              <w:rFonts w:eastAsiaTheme="minorEastAsia"/>
            </w:rPr>
          </w:pPr>
          <w:hyperlink w:anchor="_Toc239155243" w:history="1">
            <w:r w:rsidRPr="00D51215">
              <w:rPr>
                <w:rStyle w:val="Hyperlink"/>
              </w:rPr>
              <w:t>B.</w:t>
            </w:r>
            <w:r w:rsidRPr="00D51215">
              <w:rPr>
                <w:rFonts w:eastAsiaTheme="minorEastAsia"/>
              </w:rPr>
              <w:tab/>
            </w:r>
            <w:r w:rsidRPr="00D51215">
              <w:rPr>
                <w:rStyle w:val="Hyperlink"/>
                <w:shd w:val="clear" w:color="auto" w:fill="FCFCFC"/>
              </w:rPr>
              <w:t>The Government Has Substantial Need For the Requested Materials and Cannot Obtain a Substantial Equivalent Without Undue Hardship</w:t>
            </w:r>
            <w:r w:rsidRPr="00D51215">
              <w:rPr>
                <w:webHidden/>
              </w:rPr>
              <w:tab/>
            </w:r>
            <w:r w:rsidRPr="00D51215">
              <w:rPr>
                <w:webHidden/>
              </w:rPr>
              <w:fldChar w:fldCharType="begin"/>
            </w:r>
            <w:r w:rsidRPr="00D51215">
              <w:rPr>
                <w:webHidden/>
              </w:rPr>
              <w:instrText xml:space="preserve"> PAGEREF _Toc239155243 \h </w:instrText>
            </w:r>
            <w:r w:rsidRPr="00D51215">
              <w:rPr>
                <w:webHidden/>
              </w:rPr>
            </w:r>
            <w:r w:rsidRPr="00D51215">
              <w:rPr>
                <w:webHidden/>
              </w:rPr>
              <w:fldChar w:fldCharType="separate"/>
            </w:r>
            <w:r w:rsidRPr="00D51215">
              <w:rPr>
                <w:webHidden/>
              </w:rPr>
              <w:t>15</w:t>
            </w:r>
            <w:r w:rsidRPr="00D51215">
              <w:rPr>
                <w:webHidden/>
              </w:rPr>
              <w:fldChar w:fldCharType="end"/>
            </w:r>
          </w:hyperlink>
        </w:p>
        <w:p w14:paraId="125D7130" w14:textId="28C7B60B" w:rsidR="004030BB" w:rsidRPr="004030BB" w:rsidRDefault="004030BB" w:rsidP="00D51215">
          <w:pPr>
            <w:pStyle w:val="TOC3"/>
            <w:rPr>
              <w:rFonts w:eastAsiaTheme="minorEastAsia"/>
            </w:rPr>
          </w:pPr>
          <w:r w:rsidRPr="004030BB">
            <w:rPr>
              <w:rStyle w:val="Hyperlink"/>
              <w:bCs w:val="0"/>
              <w:u w:val="none"/>
            </w:rPr>
            <w:tab/>
          </w:r>
          <w:r w:rsidR="002927D3">
            <w:rPr>
              <w:rStyle w:val="Hyperlink"/>
              <w:bCs w:val="0"/>
              <w:u w:val="none"/>
            </w:rPr>
            <w:tab/>
          </w:r>
          <w:hyperlink w:anchor="_Toc239155244" w:history="1">
            <w:r w:rsidRPr="004030BB">
              <w:rPr>
                <w:rStyle w:val="Hyperlink"/>
                <w:i/>
                <w:iCs/>
                <w:kern w:val="0"/>
                <w14:ligatures w14:val="none"/>
              </w:rPr>
              <w:t>1.</w:t>
            </w:r>
            <w:r w:rsidRPr="004030BB">
              <w:rPr>
                <w:rFonts w:eastAsiaTheme="minorEastAsia"/>
              </w:rPr>
              <w:t xml:space="preserve">   </w:t>
            </w:r>
            <w:r w:rsidRPr="004030BB">
              <w:rPr>
                <w:rStyle w:val="Hyperlink"/>
                <w:i/>
                <w:iCs/>
              </w:rPr>
              <w:t>Seton is Unreachable, and Has Been for Over Two Years</w:t>
            </w:r>
            <w:r w:rsidRPr="004030BB">
              <w:rPr>
                <w:webHidden/>
              </w:rPr>
              <w:tab/>
            </w:r>
            <w:r w:rsidRPr="004030BB">
              <w:rPr>
                <w:webHidden/>
              </w:rPr>
              <w:fldChar w:fldCharType="begin"/>
            </w:r>
            <w:r w:rsidRPr="004030BB">
              <w:rPr>
                <w:webHidden/>
              </w:rPr>
              <w:instrText xml:space="preserve"> PAGEREF _Toc239155244 \h </w:instrText>
            </w:r>
            <w:r w:rsidRPr="004030BB">
              <w:rPr>
                <w:webHidden/>
              </w:rPr>
            </w:r>
            <w:r w:rsidRPr="004030BB">
              <w:rPr>
                <w:webHidden/>
              </w:rPr>
              <w:fldChar w:fldCharType="separate"/>
            </w:r>
            <w:r w:rsidRPr="004030BB">
              <w:rPr>
                <w:webHidden/>
              </w:rPr>
              <w:t>16</w:t>
            </w:r>
            <w:r w:rsidRPr="004030BB">
              <w:rPr>
                <w:webHidden/>
              </w:rPr>
              <w:fldChar w:fldCharType="end"/>
            </w:r>
          </w:hyperlink>
        </w:p>
        <w:p w14:paraId="25CC08FE" w14:textId="4A14C166" w:rsidR="004030BB" w:rsidRPr="004030BB" w:rsidRDefault="004030BB" w:rsidP="00D51215">
          <w:pPr>
            <w:pStyle w:val="TOC3"/>
            <w:rPr>
              <w:rFonts w:eastAsiaTheme="minorEastAsia"/>
            </w:rPr>
          </w:pPr>
          <w:r w:rsidRPr="004030BB">
            <w:rPr>
              <w:rStyle w:val="Hyperlink"/>
              <w:bCs w:val="0"/>
              <w:u w:val="none"/>
            </w:rPr>
            <w:lastRenderedPageBreak/>
            <w:tab/>
          </w:r>
          <w:hyperlink w:anchor="_Toc239155245" w:history="1">
            <w:r w:rsidRPr="004030BB">
              <w:rPr>
                <w:rStyle w:val="Hyperlink"/>
                <w:i/>
                <w:iCs/>
              </w:rPr>
              <w:t>2.</w:t>
            </w:r>
            <w:r w:rsidRPr="004030BB">
              <w:rPr>
                <w:rFonts w:eastAsiaTheme="minorEastAsia"/>
              </w:rPr>
              <w:t xml:space="preserve">   </w:t>
            </w:r>
            <w:r w:rsidRPr="004030BB">
              <w:rPr>
                <w:rStyle w:val="Hyperlink"/>
                <w:i/>
                <w:iCs/>
              </w:rPr>
              <w:t xml:space="preserve">No Other Witness, Document, or Source Contains the Information Seton </w:t>
            </w:r>
            <w:r w:rsidR="002927D3">
              <w:rPr>
                <w:rStyle w:val="Hyperlink"/>
                <w:i/>
                <w:iCs/>
              </w:rPr>
              <w:tab/>
            </w:r>
            <w:r w:rsidRPr="004030BB">
              <w:rPr>
                <w:rStyle w:val="Hyperlink"/>
                <w:i/>
                <w:iCs/>
              </w:rPr>
              <w:t>Told Armana</w:t>
            </w:r>
            <w:r w:rsidRPr="004030BB">
              <w:rPr>
                <w:webHidden/>
              </w:rPr>
              <w:tab/>
            </w:r>
            <w:r w:rsidRPr="004030BB">
              <w:rPr>
                <w:webHidden/>
              </w:rPr>
              <w:fldChar w:fldCharType="begin"/>
            </w:r>
            <w:r w:rsidRPr="004030BB">
              <w:rPr>
                <w:webHidden/>
              </w:rPr>
              <w:instrText xml:space="preserve"> PAGEREF _Toc239155245 \h </w:instrText>
            </w:r>
            <w:r w:rsidRPr="004030BB">
              <w:rPr>
                <w:webHidden/>
              </w:rPr>
            </w:r>
            <w:r w:rsidRPr="004030BB">
              <w:rPr>
                <w:webHidden/>
              </w:rPr>
              <w:fldChar w:fldCharType="separate"/>
            </w:r>
            <w:r w:rsidRPr="004030BB">
              <w:rPr>
                <w:webHidden/>
              </w:rPr>
              <w:t>17</w:t>
            </w:r>
            <w:r w:rsidRPr="004030BB">
              <w:rPr>
                <w:webHidden/>
              </w:rPr>
              <w:fldChar w:fldCharType="end"/>
            </w:r>
          </w:hyperlink>
        </w:p>
        <w:p w14:paraId="1F81C7D9" w14:textId="1CB20C13" w:rsidR="004030BB" w:rsidRPr="004030BB" w:rsidRDefault="004030BB" w:rsidP="00D51215">
          <w:pPr>
            <w:pStyle w:val="TOC3"/>
            <w:rPr>
              <w:rFonts w:eastAsiaTheme="minorEastAsia"/>
            </w:rPr>
          </w:pPr>
          <w:hyperlink w:anchor="_Toc239155246" w:history="1">
            <w:r w:rsidRPr="004030BB">
              <w:rPr>
                <w:rStyle w:val="Hyperlink"/>
                <w:bCs w:val="0"/>
              </w:rPr>
              <w:t>C</w:t>
            </w:r>
            <w:r w:rsidRPr="004030BB">
              <w:rPr>
                <w:rStyle w:val="Hyperlink"/>
              </w:rPr>
              <w:t>.</w:t>
            </w:r>
            <w:r w:rsidRPr="004030BB">
              <w:rPr>
                <w:rFonts w:eastAsiaTheme="minorEastAsia"/>
              </w:rPr>
              <w:tab/>
            </w:r>
            <w:r w:rsidRPr="004030BB">
              <w:rPr>
                <w:rStyle w:val="Hyperlink"/>
                <w:shd w:val="clear" w:color="auto" w:fill="FCFCFC"/>
              </w:rPr>
              <w:t>The Proper Remedy Is an In Camera Review and Targeted Redaction, Not Quashing the Subpoena</w:t>
            </w:r>
            <w:r w:rsidRPr="004030BB">
              <w:rPr>
                <w:webHidden/>
              </w:rPr>
              <w:tab/>
            </w:r>
            <w:r w:rsidRPr="004030BB">
              <w:rPr>
                <w:webHidden/>
              </w:rPr>
              <w:fldChar w:fldCharType="begin"/>
            </w:r>
            <w:r w:rsidRPr="004030BB">
              <w:rPr>
                <w:webHidden/>
              </w:rPr>
              <w:instrText xml:space="preserve"> PAGEREF _Toc239155246 \h </w:instrText>
            </w:r>
            <w:r w:rsidRPr="004030BB">
              <w:rPr>
                <w:webHidden/>
              </w:rPr>
            </w:r>
            <w:r w:rsidRPr="004030BB">
              <w:rPr>
                <w:webHidden/>
              </w:rPr>
              <w:fldChar w:fldCharType="separate"/>
            </w:r>
            <w:r w:rsidRPr="004030BB">
              <w:rPr>
                <w:webHidden/>
              </w:rPr>
              <w:t>18</w:t>
            </w:r>
            <w:r w:rsidRPr="004030BB">
              <w:rPr>
                <w:webHidden/>
              </w:rPr>
              <w:fldChar w:fldCharType="end"/>
            </w:r>
          </w:hyperlink>
        </w:p>
        <w:p w14:paraId="50DCA5ED" w14:textId="57C2FCBB" w:rsidR="004030BB" w:rsidRPr="004030BB" w:rsidRDefault="004030BB" w:rsidP="004030BB">
          <w:pPr>
            <w:pStyle w:val="TOC1"/>
            <w:spacing w:line="240" w:lineRule="auto"/>
            <w:rPr>
              <w:rFonts w:eastAsiaTheme="minorEastAsia"/>
              <w:iCs w:val="0"/>
              <w:szCs w:val="26"/>
            </w:rPr>
          </w:pPr>
          <w:hyperlink w:anchor="_Toc239155247" w:history="1">
            <w:r w:rsidRPr="004030BB">
              <w:rPr>
                <w:rStyle w:val="Hyperlink"/>
                <w:szCs w:val="26"/>
              </w:rPr>
              <w:t>CONCLUSION</w:t>
            </w:r>
            <w:r w:rsidRPr="004030BB">
              <w:rPr>
                <w:webHidden/>
                <w:szCs w:val="26"/>
              </w:rPr>
              <w:tab/>
            </w:r>
            <w:r w:rsidRPr="004030BB">
              <w:rPr>
                <w:webHidden/>
                <w:szCs w:val="26"/>
              </w:rPr>
              <w:fldChar w:fldCharType="begin"/>
            </w:r>
            <w:r w:rsidRPr="004030BB">
              <w:rPr>
                <w:webHidden/>
                <w:szCs w:val="26"/>
              </w:rPr>
              <w:instrText xml:space="preserve"> PAGEREF _Toc239155247 \h </w:instrText>
            </w:r>
            <w:r w:rsidRPr="004030BB">
              <w:rPr>
                <w:webHidden/>
                <w:szCs w:val="26"/>
              </w:rPr>
            </w:r>
            <w:r w:rsidRPr="004030BB">
              <w:rPr>
                <w:webHidden/>
                <w:szCs w:val="26"/>
              </w:rPr>
              <w:fldChar w:fldCharType="separate"/>
            </w:r>
            <w:r w:rsidRPr="004030BB">
              <w:rPr>
                <w:webHidden/>
                <w:szCs w:val="26"/>
              </w:rPr>
              <w:t>19</w:t>
            </w:r>
            <w:r w:rsidRPr="004030BB">
              <w:rPr>
                <w:webHidden/>
                <w:szCs w:val="26"/>
              </w:rPr>
              <w:fldChar w:fldCharType="end"/>
            </w:r>
          </w:hyperlink>
        </w:p>
        <w:p w14:paraId="6B0B4CDE" w14:textId="6E666CBF" w:rsidR="004030BB" w:rsidRPr="004030BB" w:rsidRDefault="004030BB" w:rsidP="004030BB">
          <w:pPr>
            <w:spacing w:line="240" w:lineRule="auto"/>
            <w:rPr>
              <w:rFonts w:ascii="Times New Roman" w:hAnsi="Times New Roman" w:cs="Times New Roman"/>
              <w:sz w:val="26"/>
              <w:szCs w:val="26"/>
            </w:rPr>
          </w:pPr>
          <w:r w:rsidRPr="004030BB">
            <w:rPr>
              <w:rFonts w:ascii="Times New Roman" w:hAnsi="Times New Roman" w:cs="Times New Roman"/>
              <w:bCs/>
              <w:noProof/>
              <w:sz w:val="26"/>
              <w:szCs w:val="26"/>
            </w:rPr>
            <w:fldChar w:fldCharType="end"/>
          </w:r>
        </w:p>
      </w:sdtContent>
    </w:sdt>
    <w:p w14:paraId="07C17E1A" w14:textId="07093755" w:rsidR="00225F24" w:rsidRDefault="00225F24">
      <w:pPr>
        <w:rPr>
          <w:rFonts w:ascii="Times New Roman" w:eastAsia="Times New Roman" w:hAnsi="Times New Roman" w:cs="Times New Roman"/>
          <w:color w:val="000000" w:themeColor="text1"/>
          <w:sz w:val="26"/>
          <w:szCs w:val="26"/>
        </w:rPr>
      </w:pPr>
    </w:p>
    <w:p w14:paraId="197B74F4" w14:textId="77777777" w:rsidR="000564BD" w:rsidRDefault="000564BD">
      <w:pPr>
        <w:rPr>
          <w:rFonts w:ascii="Times New Roman" w:eastAsia="Times New Roman" w:hAnsi="Times New Roman" w:cs="Times New Roman"/>
          <w:color w:val="000000" w:themeColor="text1"/>
          <w:sz w:val="26"/>
          <w:szCs w:val="26"/>
        </w:rPr>
      </w:pPr>
    </w:p>
    <w:p w14:paraId="010DFCA4" w14:textId="77777777" w:rsidR="000564BD" w:rsidRDefault="000564BD">
      <w:pPr>
        <w:rPr>
          <w:rFonts w:ascii="Times New Roman" w:eastAsia="Times New Roman" w:hAnsi="Times New Roman" w:cs="Times New Roman"/>
          <w:color w:val="000000" w:themeColor="text1"/>
          <w:sz w:val="26"/>
          <w:szCs w:val="26"/>
        </w:rPr>
      </w:pPr>
    </w:p>
    <w:p w14:paraId="16EEA232" w14:textId="77777777" w:rsidR="000564BD" w:rsidRDefault="000564BD">
      <w:pPr>
        <w:rPr>
          <w:rFonts w:ascii="Times New Roman" w:eastAsia="Times New Roman" w:hAnsi="Times New Roman" w:cs="Times New Roman"/>
          <w:color w:val="000000" w:themeColor="text1"/>
          <w:sz w:val="26"/>
          <w:szCs w:val="26"/>
        </w:rPr>
      </w:pPr>
    </w:p>
    <w:p w14:paraId="7D95E5CC" w14:textId="77777777" w:rsidR="000564BD" w:rsidRDefault="000564BD">
      <w:pPr>
        <w:rPr>
          <w:rFonts w:ascii="Times New Roman" w:eastAsia="Times New Roman" w:hAnsi="Times New Roman" w:cs="Times New Roman"/>
          <w:color w:val="000000" w:themeColor="text1"/>
          <w:sz w:val="26"/>
          <w:szCs w:val="26"/>
        </w:rPr>
      </w:pPr>
    </w:p>
    <w:p w14:paraId="12F2D373" w14:textId="77777777" w:rsidR="000564BD" w:rsidRDefault="000564BD">
      <w:pPr>
        <w:rPr>
          <w:rFonts w:ascii="Times New Roman" w:eastAsia="Times New Roman" w:hAnsi="Times New Roman" w:cs="Times New Roman"/>
          <w:color w:val="000000" w:themeColor="text1"/>
          <w:sz w:val="26"/>
          <w:szCs w:val="26"/>
        </w:rPr>
      </w:pPr>
    </w:p>
    <w:p w14:paraId="796652B7" w14:textId="77777777" w:rsidR="000564BD" w:rsidRDefault="000564BD">
      <w:pPr>
        <w:rPr>
          <w:rFonts w:ascii="Times New Roman" w:eastAsia="Times New Roman" w:hAnsi="Times New Roman" w:cs="Times New Roman"/>
          <w:color w:val="000000" w:themeColor="text1"/>
          <w:sz w:val="26"/>
          <w:szCs w:val="26"/>
        </w:rPr>
      </w:pPr>
    </w:p>
    <w:p w14:paraId="7FDECA6D" w14:textId="77777777" w:rsidR="000564BD" w:rsidRDefault="000564BD">
      <w:pPr>
        <w:rPr>
          <w:rFonts w:ascii="Times New Roman" w:eastAsia="Times New Roman" w:hAnsi="Times New Roman" w:cs="Times New Roman"/>
          <w:color w:val="000000" w:themeColor="text1"/>
          <w:sz w:val="26"/>
          <w:szCs w:val="26"/>
        </w:rPr>
      </w:pPr>
    </w:p>
    <w:p w14:paraId="649A3B26" w14:textId="77777777" w:rsidR="000564BD" w:rsidRDefault="000564BD">
      <w:pPr>
        <w:rPr>
          <w:rFonts w:ascii="Times New Roman" w:eastAsia="Times New Roman" w:hAnsi="Times New Roman" w:cs="Times New Roman"/>
          <w:color w:val="000000" w:themeColor="text1"/>
          <w:sz w:val="26"/>
          <w:szCs w:val="26"/>
        </w:rPr>
      </w:pPr>
    </w:p>
    <w:p w14:paraId="1413DC1F" w14:textId="77777777" w:rsidR="000564BD" w:rsidRDefault="000564BD">
      <w:pPr>
        <w:rPr>
          <w:rFonts w:ascii="Times New Roman" w:eastAsia="Times New Roman" w:hAnsi="Times New Roman" w:cs="Times New Roman"/>
          <w:color w:val="000000" w:themeColor="text1"/>
          <w:sz w:val="26"/>
          <w:szCs w:val="26"/>
        </w:rPr>
      </w:pPr>
    </w:p>
    <w:p w14:paraId="157E2D58" w14:textId="77777777" w:rsidR="000564BD" w:rsidRDefault="000564BD">
      <w:pPr>
        <w:rPr>
          <w:rFonts w:ascii="Times New Roman" w:eastAsia="Times New Roman" w:hAnsi="Times New Roman" w:cs="Times New Roman"/>
          <w:color w:val="000000" w:themeColor="text1"/>
          <w:sz w:val="26"/>
          <w:szCs w:val="26"/>
        </w:rPr>
      </w:pPr>
    </w:p>
    <w:p w14:paraId="64AFDC86" w14:textId="77777777" w:rsidR="000564BD" w:rsidRDefault="000564BD">
      <w:pPr>
        <w:rPr>
          <w:rFonts w:ascii="Times New Roman" w:eastAsia="Times New Roman" w:hAnsi="Times New Roman" w:cs="Times New Roman"/>
          <w:color w:val="000000" w:themeColor="text1"/>
          <w:sz w:val="26"/>
          <w:szCs w:val="26"/>
        </w:rPr>
      </w:pPr>
    </w:p>
    <w:p w14:paraId="65B09B06" w14:textId="77777777" w:rsidR="000564BD" w:rsidRDefault="000564BD">
      <w:pPr>
        <w:rPr>
          <w:rFonts w:ascii="Times New Roman" w:eastAsia="Times New Roman" w:hAnsi="Times New Roman" w:cs="Times New Roman"/>
          <w:color w:val="000000" w:themeColor="text1"/>
          <w:sz w:val="26"/>
          <w:szCs w:val="26"/>
        </w:rPr>
      </w:pPr>
    </w:p>
    <w:p w14:paraId="5A908E5F" w14:textId="77777777" w:rsidR="000564BD" w:rsidRDefault="000564BD">
      <w:pPr>
        <w:rPr>
          <w:rFonts w:ascii="Times New Roman" w:eastAsia="Times New Roman" w:hAnsi="Times New Roman" w:cs="Times New Roman"/>
          <w:color w:val="000000" w:themeColor="text1"/>
          <w:sz w:val="26"/>
          <w:szCs w:val="26"/>
        </w:rPr>
      </w:pPr>
    </w:p>
    <w:p w14:paraId="431A015F" w14:textId="77777777" w:rsidR="000564BD" w:rsidRDefault="000564BD">
      <w:pPr>
        <w:rPr>
          <w:rFonts w:ascii="Times New Roman" w:eastAsia="Times New Roman" w:hAnsi="Times New Roman" w:cs="Times New Roman"/>
          <w:color w:val="000000" w:themeColor="text1"/>
          <w:sz w:val="26"/>
          <w:szCs w:val="26"/>
        </w:rPr>
      </w:pPr>
    </w:p>
    <w:p w14:paraId="1A011982" w14:textId="77777777" w:rsidR="000564BD" w:rsidRDefault="000564BD">
      <w:pPr>
        <w:rPr>
          <w:rFonts w:ascii="Times New Roman" w:eastAsia="Times New Roman" w:hAnsi="Times New Roman" w:cs="Times New Roman"/>
          <w:color w:val="000000" w:themeColor="text1"/>
          <w:sz w:val="26"/>
          <w:szCs w:val="26"/>
        </w:rPr>
      </w:pPr>
    </w:p>
    <w:p w14:paraId="2070C5DF" w14:textId="77777777" w:rsidR="000564BD" w:rsidRPr="00DF3B8E" w:rsidRDefault="000564BD">
      <w:pPr>
        <w:rPr>
          <w:rFonts w:ascii="Times New Roman" w:eastAsia="Times New Roman" w:hAnsi="Times New Roman" w:cs="Times New Roman"/>
          <w:color w:val="000000" w:themeColor="text1"/>
          <w:sz w:val="26"/>
          <w:szCs w:val="26"/>
        </w:rPr>
      </w:pPr>
    </w:p>
    <w:p w14:paraId="250F6092" w14:textId="77777777" w:rsidR="00225F24" w:rsidRPr="00DF3B8E" w:rsidRDefault="00225F24">
      <w:pPr>
        <w:rPr>
          <w:rFonts w:ascii="Times New Roman" w:eastAsia="Times New Roman" w:hAnsi="Times New Roman" w:cs="Times New Roman"/>
          <w:color w:val="000000" w:themeColor="text1"/>
          <w:sz w:val="26"/>
          <w:szCs w:val="26"/>
        </w:rPr>
      </w:pPr>
    </w:p>
    <w:p w14:paraId="59F8928F" w14:textId="77777777" w:rsidR="00225F24" w:rsidRDefault="00225F24">
      <w:pPr>
        <w:rPr>
          <w:rFonts w:ascii="Times New Roman" w:eastAsia="Times New Roman" w:hAnsi="Times New Roman" w:cs="Times New Roman"/>
          <w:color w:val="000000" w:themeColor="text1"/>
          <w:sz w:val="26"/>
          <w:szCs w:val="26"/>
        </w:rPr>
      </w:pPr>
    </w:p>
    <w:p w14:paraId="1F7DE56F" w14:textId="77777777" w:rsidR="00225F24" w:rsidRDefault="00225F24">
      <w:pPr>
        <w:rPr>
          <w:rFonts w:ascii="Times New Roman" w:eastAsia="Times New Roman" w:hAnsi="Times New Roman" w:cs="Times New Roman"/>
          <w:color w:val="000000" w:themeColor="text1"/>
          <w:sz w:val="26"/>
          <w:szCs w:val="26"/>
        </w:rPr>
      </w:pPr>
    </w:p>
    <w:p w14:paraId="57D6A713" w14:textId="63789AE0" w:rsidR="00DF3B8E" w:rsidRPr="00A52F4B" w:rsidRDefault="002D374B" w:rsidP="00A52F4B">
      <w:pPr>
        <w:pStyle w:val="Heading1"/>
        <w:jc w:val="center"/>
        <w:rPr>
          <w:rFonts w:ascii="Times New Roman" w:eastAsia="Times New Roman" w:hAnsi="Times New Roman" w:cs="Times New Roman"/>
          <w:b/>
          <w:bCs/>
          <w:color w:val="000000" w:themeColor="text1"/>
          <w:sz w:val="26"/>
          <w:szCs w:val="26"/>
        </w:rPr>
      </w:pPr>
      <w:bookmarkStart w:id="14" w:name="_Toc239149366"/>
      <w:bookmarkStart w:id="15" w:name="dabmch_35"/>
      <w:bookmarkStart w:id="16" w:name="_Toc239155229"/>
      <w:r w:rsidRPr="00DF3B8E">
        <w:rPr>
          <w:rFonts w:ascii="Times New Roman" w:eastAsia="Times New Roman" w:hAnsi="Times New Roman" w:cs="Times New Roman"/>
          <w:b/>
          <w:bCs/>
          <w:color w:val="000000" w:themeColor="text1"/>
          <w:sz w:val="26"/>
          <w:szCs w:val="26"/>
        </w:rPr>
        <w:lastRenderedPageBreak/>
        <w:t>TABLE OF AUTHORITIES</w:t>
      </w:r>
      <w:bookmarkEnd w:id="14"/>
      <w:bookmarkEnd w:id="15"/>
      <w:bookmarkEnd w:id="16"/>
    </w:p>
    <w:p w14:paraId="4D03605E" w14:textId="6290CC7B" w:rsidR="008E28AD" w:rsidRPr="000564BD" w:rsidRDefault="00A52F4B" w:rsidP="00DF3B8E">
      <w:pPr>
        <w:spacing w:line="240" w:lineRule="auto"/>
        <w:contextualSpacing/>
        <w:rPr>
          <w:b/>
          <w:bCs/>
        </w:rPr>
      </w:pPr>
      <w:bookmarkStart w:id="17" w:name="dabmtoa_"/>
      <w:r w:rsidRPr="000564BD">
        <w:rPr>
          <w:rFonts w:ascii="Times New Roman" w:eastAsia="Times New Roman" w:hAnsi="Times New Roman" w:cs="Times New Roman"/>
          <w:b/>
          <w:bCs/>
          <w:color w:val="000000"/>
        </w:rPr>
        <w:t xml:space="preserve">Cases </w:t>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Pr="000564BD">
        <w:rPr>
          <w:rFonts w:ascii="Times New Roman" w:eastAsia="Times New Roman" w:hAnsi="Times New Roman" w:cs="Times New Roman"/>
          <w:b/>
          <w:bCs/>
          <w:color w:val="000000"/>
        </w:rPr>
        <w:tab/>
      </w:r>
      <w:r w:rsidR="000564BD">
        <w:rPr>
          <w:rFonts w:ascii="Times New Roman" w:eastAsia="Times New Roman" w:hAnsi="Times New Roman" w:cs="Times New Roman"/>
          <w:b/>
          <w:bCs/>
          <w:color w:val="000000"/>
        </w:rPr>
        <w:t xml:space="preserve">           </w:t>
      </w:r>
      <w:r w:rsidR="002D374B" w:rsidRPr="000564BD">
        <w:rPr>
          <w:rFonts w:ascii="Times New Roman" w:eastAsia="Times New Roman" w:hAnsi="Times New Roman" w:cs="Times New Roman"/>
          <w:b/>
          <w:bCs/>
          <w:color w:val="000000"/>
        </w:rPr>
        <w:t>Page(s)</w:t>
      </w:r>
    </w:p>
    <w:p w14:paraId="1594E3C5" w14:textId="77777777" w:rsidR="008E28AD" w:rsidRDefault="008E28AD" w:rsidP="00DF3B8E">
      <w:pPr>
        <w:spacing w:line="240" w:lineRule="auto"/>
        <w:contextualSpacing/>
      </w:pPr>
    </w:p>
    <w:p w14:paraId="0BF2CC72"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Castle v. Sangamo Weston, Inc.</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744 F.2d 1464 (11th Cir. 1984)</w:t>
      </w:r>
      <w:r>
        <w:rPr>
          <w:rFonts w:ascii="Times New Roman" w:eastAsia="Times New Roman" w:hAnsi="Times New Roman" w:cs="Times New Roman"/>
          <w:color w:val="000000"/>
          <w:sz w:val="26"/>
        </w:rPr>
        <w:tab/>
        <w:t>15</w:t>
      </w:r>
    </w:p>
    <w:p w14:paraId="3FF9A5C5" w14:textId="77777777" w:rsidR="00A52F4B" w:rsidRDefault="00A52F4B" w:rsidP="00DF3B8E">
      <w:pPr>
        <w:tabs>
          <w:tab w:val="right" w:leader="dot" w:pos="9340"/>
        </w:tabs>
        <w:spacing w:line="240" w:lineRule="auto"/>
        <w:ind w:left="200" w:hanging="200"/>
        <w:contextualSpacing/>
      </w:pPr>
    </w:p>
    <w:p w14:paraId="7C99D6A6" w14:textId="77777777"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F.T.C. v. Boehringer Ingelheim Pharm., Inc</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778 F.3d 142 (D.C. Cir. 2015)</w:t>
      </w:r>
      <w:r>
        <w:rPr>
          <w:rFonts w:ascii="Times New Roman" w:eastAsia="Times New Roman" w:hAnsi="Times New Roman" w:cs="Times New Roman"/>
          <w:color w:val="000000"/>
          <w:sz w:val="26"/>
        </w:rPr>
        <w:tab/>
        <w:t>13, 15, 18</w:t>
      </w:r>
    </w:p>
    <w:p w14:paraId="68013C5E"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2A7F00AA" w14:textId="67594D8E"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Grand Jury Subpoena v. United States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870 F.3d 312 (4th Cir. 2017)</w:t>
      </w:r>
      <w:r>
        <w:rPr>
          <w:rFonts w:ascii="Times New Roman" w:eastAsia="Times New Roman" w:hAnsi="Times New Roman" w:cs="Times New Roman"/>
          <w:color w:val="000000"/>
          <w:sz w:val="26"/>
        </w:rPr>
        <w:tab/>
        <w:t>13, 14</w:t>
      </w:r>
    </w:p>
    <w:p w14:paraId="4A2125ED"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65494D87" w14:textId="1275BEB0"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Hickman v. Taylor</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329 U.S. 495 (1947)</w:t>
      </w:r>
      <w:r>
        <w:rPr>
          <w:rFonts w:ascii="Times New Roman" w:eastAsia="Times New Roman" w:hAnsi="Times New Roman" w:cs="Times New Roman"/>
          <w:color w:val="000000"/>
          <w:sz w:val="26"/>
        </w:rPr>
        <w:tab/>
        <w:t>12, 15, 17</w:t>
      </w:r>
    </w:p>
    <w:p w14:paraId="7199D6D7"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483010BB" w14:textId="74B8D394"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In re Grand Jury Investigation</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599 F.2d 1224 (3d Cir. 1979)</w:t>
      </w:r>
      <w:r>
        <w:rPr>
          <w:rFonts w:ascii="Times New Roman" w:eastAsia="Times New Roman" w:hAnsi="Times New Roman" w:cs="Times New Roman"/>
          <w:color w:val="000000"/>
          <w:sz w:val="26"/>
        </w:rPr>
        <w:tab/>
        <w:t>13</w:t>
      </w:r>
    </w:p>
    <w:p w14:paraId="1BC032F0"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76FEA3DB" w14:textId="35D3DC89"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Kastigar v. United States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406 U.S. 441 (1972)</w:t>
      </w:r>
      <w:r>
        <w:rPr>
          <w:rFonts w:ascii="Times New Roman" w:eastAsia="Times New Roman" w:hAnsi="Times New Roman" w:cs="Times New Roman"/>
          <w:color w:val="000000"/>
          <w:sz w:val="26"/>
        </w:rPr>
        <w:tab/>
        <w:t>5, 6</w:t>
      </w:r>
    </w:p>
    <w:p w14:paraId="32966749"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21E1052B" w14:textId="376ED962"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Miranda v. Arizona</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384 U.S. 436 (1966)</w:t>
      </w:r>
      <w:r>
        <w:rPr>
          <w:rFonts w:ascii="Times New Roman" w:eastAsia="Times New Roman" w:hAnsi="Times New Roman" w:cs="Times New Roman"/>
          <w:color w:val="000000"/>
          <w:sz w:val="26"/>
        </w:rPr>
        <w:tab/>
        <w:t>5</w:t>
      </w:r>
    </w:p>
    <w:p w14:paraId="1161EFB3"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508FF8CB" w14:textId="4F051776"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R.K. v. Ramirez</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887 S.W.2d 836 (Tex. 1994)</w:t>
      </w:r>
      <w:r>
        <w:rPr>
          <w:rFonts w:ascii="Times New Roman" w:eastAsia="Times New Roman" w:hAnsi="Times New Roman" w:cs="Times New Roman"/>
          <w:color w:val="000000"/>
          <w:sz w:val="26"/>
        </w:rPr>
        <w:tab/>
        <w:t>18</w:t>
      </w:r>
    </w:p>
    <w:p w14:paraId="19DA257F" w14:textId="77777777" w:rsidR="00A52F4B" w:rsidRDefault="00A52F4B" w:rsidP="00DF3B8E">
      <w:pPr>
        <w:tabs>
          <w:tab w:val="right" w:leader="dot" w:pos="9340"/>
        </w:tabs>
        <w:spacing w:line="240" w:lineRule="auto"/>
        <w:ind w:left="200" w:hanging="200"/>
        <w:contextualSpacing/>
        <w:rPr>
          <w:rFonts w:ascii="Times New Roman" w:eastAsia="Times New Roman" w:hAnsi="Times New Roman" w:cs="Times New Roman"/>
          <w:i/>
          <w:color w:val="000000"/>
          <w:sz w:val="26"/>
        </w:rPr>
      </w:pPr>
    </w:p>
    <w:p w14:paraId="3E486A19" w14:textId="753553BB"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Saunders v. United States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316 F.2d 346 (D.C. Cir. 1963)</w:t>
      </w:r>
      <w:r>
        <w:rPr>
          <w:rFonts w:ascii="Times New Roman" w:eastAsia="Times New Roman" w:hAnsi="Times New Roman" w:cs="Times New Roman"/>
          <w:color w:val="000000"/>
          <w:sz w:val="26"/>
        </w:rPr>
        <w:tab/>
        <w:t>14</w:t>
      </w:r>
    </w:p>
    <w:p w14:paraId="21868361" w14:textId="77777777" w:rsidR="00A52F4B" w:rsidRDefault="00A52F4B" w:rsidP="00DF3B8E">
      <w:pPr>
        <w:tabs>
          <w:tab w:val="right" w:leader="dot" w:pos="9340"/>
        </w:tabs>
        <w:spacing w:line="240" w:lineRule="auto"/>
        <w:ind w:left="200" w:hanging="200"/>
        <w:contextualSpacing/>
        <w:rPr>
          <w:color w:val="000000"/>
        </w:rPr>
      </w:pPr>
    </w:p>
    <w:p w14:paraId="7B1B1F90"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Southern Ry. Co. v. Lanham</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403 F.2d 119 (5th Cir. 1968)</w:t>
      </w:r>
      <w:r>
        <w:rPr>
          <w:rFonts w:ascii="Times New Roman" w:eastAsia="Times New Roman" w:hAnsi="Times New Roman" w:cs="Times New Roman"/>
          <w:color w:val="000000"/>
          <w:sz w:val="26"/>
        </w:rPr>
        <w:tab/>
        <w:t>15</w:t>
      </w:r>
    </w:p>
    <w:p w14:paraId="60B2BDD6" w14:textId="77777777" w:rsidR="00A52F4B" w:rsidRDefault="00A52F4B" w:rsidP="00DF3B8E">
      <w:pPr>
        <w:tabs>
          <w:tab w:val="right" w:leader="dot" w:pos="9340"/>
        </w:tabs>
        <w:spacing w:line="240" w:lineRule="auto"/>
        <w:ind w:left="200" w:hanging="200"/>
        <w:contextualSpacing/>
        <w:rPr>
          <w:color w:val="000000"/>
        </w:rPr>
      </w:pPr>
    </w:p>
    <w:p w14:paraId="5A96D963"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Adlman</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134 F.3d 1194 (2d Cir. 1998)</w:t>
      </w:r>
      <w:r>
        <w:rPr>
          <w:rFonts w:ascii="Times New Roman" w:eastAsia="Times New Roman" w:hAnsi="Times New Roman" w:cs="Times New Roman"/>
          <w:color w:val="000000"/>
          <w:sz w:val="26"/>
        </w:rPr>
        <w:tab/>
        <w:t>13</w:t>
      </w:r>
    </w:p>
    <w:p w14:paraId="0C1E93D2" w14:textId="77777777" w:rsidR="00A52F4B" w:rsidRDefault="00A52F4B" w:rsidP="00DF3B8E">
      <w:pPr>
        <w:tabs>
          <w:tab w:val="right" w:leader="dot" w:pos="9340"/>
        </w:tabs>
        <w:spacing w:line="240" w:lineRule="auto"/>
        <w:ind w:left="200" w:hanging="200"/>
        <w:contextualSpacing/>
        <w:rPr>
          <w:color w:val="000000"/>
        </w:rPr>
      </w:pPr>
    </w:p>
    <w:p w14:paraId="681E9164"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Byrd</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765 F.2d 1524 (11th Cir. 1985)</w:t>
      </w:r>
      <w:r>
        <w:rPr>
          <w:rFonts w:ascii="Times New Roman" w:eastAsia="Times New Roman" w:hAnsi="Times New Roman" w:cs="Times New Roman"/>
          <w:color w:val="000000"/>
          <w:sz w:val="26"/>
        </w:rPr>
        <w:tab/>
        <w:t>6, 11</w:t>
      </w:r>
    </w:p>
    <w:p w14:paraId="4A8DCCFB" w14:textId="77777777" w:rsidR="00A52F4B" w:rsidRDefault="00A52F4B" w:rsidP="00DF3B8E">
      <w:pPr>
        <w:tabs>
          <w:tab w:val="right" w:leader="dot" w:pos="9340"/>
        </w:tabs>
        <w:spacing w:line="240" w:lineRule="auto"/>
        <w:ind w:left="200" w:hanging="200"/>
        <w:contextualSpacing/>
        <w:rPr>
          <w:color w:val="000000"/>
        </w:rPr>
      </w:pPr>
    </w:p>
    <w:p w14:paraId="77BC8EC7"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Clemens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793 F. Supp. 2d 236 (D.D.C. 2011)</w:t>
      </w:r>
      <w:r>
        <w:rPr>
          <w:rFonts w:ascii="Times New Roman" w:eastAsia="Times New Roman" w:hAnsi="Times New Roman" w:cs="Times New Roman"/>
          <w:color w:val="000000"/>
          <w:sz w:val="26"/>
        </w:rPr>
        <w:tab/>
        <w:t>14</w:t>
      </w:r>
    </w:p>
    <w:p w14:paraId="67265D0A" w14:textId="77777777" w:rsidR="00A52F4B" w:rsidRDefault="00A52F4B" w:rsidP="00DF3B8E">
      <w:pPr>
        <w:tabs>
          <w:tab w:val="right" w:leader="dot" w:pos="9340"/>
        </w:tabs>
        <w:spacing w:line="240" w:lineRule="auto"/>
        <w:ind w:left="200" w:hanging="200"/>
        <w:contextualSpacing/>
        <w:rPr>
          <w:color w:val="000000"/>
        </w:rPr>
      </w:pPr>
    </w:p>
    <w:p w14:paraId="17BE6640"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lastRenderedPageBreak/>
        <w:t>United States v. Hampton</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775 F.2d 1479 (11th Cir. 1985)</w:t>
      </w:r>
      <w:r>
        <w:rPr>
          <w:rFonts w:ascii="Times New Roman" w:eastAsia="Times New Roman" w:hAnsi="Times New Roman" w:cs="Times New Roman"/>
          <w:color w:val="000000"/>
          <w:sz w:val="26"/>
        </w:rPr>
        <w:tab/>
        <w:t>6</w:t>
      </w:r>
    </w:p>
    <w:p w14:paraId="461C2D8E" w14:textId="77777777" w:rsidR="00A52F4B" w:rsidRDefault="00A52F4B" w:rsidP="00DF3B8E">
      <w:pPr>
        <w:tabs>
          <w:tab w:val="right" w:leader="dot" w:pos="9340"/>
        </w:tabs>
        <w:spacing w:line="240" w:lineRule="auto"/>
        <w:ind w:left="200" w:hanging="200"/>
        <w:contextualSpacing/>
        <w:rPr>
          <w:color w:val="000000"/>
        </w:rPr>
      </w:pPr>
    </w:p>
    <w:p w14:paraId="7E6565C3"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Harris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973 F.2d 333 (4th Cir. 1992)</w:t>
      </w:r>
      <w:r>
        <w:rPr>
          <w:rFonts w:ascii="Times New Roman" w:eastAsia="Times New Roman" w:hAnsi="Times New Roman" w:cs="Times New Roman"/>
          <w:color w:val="000000"/>
          <w:sz w:val="26"/>
        </w:rPr>
        <w:tab/>
        <w:t>6</w:t>
      </w:r>
    </w:p>
    <w:p w14:paraId="75C1223F" w14:textId="77777777" w:rsidR="00A52F4B" w:rsidRDefault="00A52F4B" w:rsidP="00DF3B8E">
      <w:pPr>
        <w:tabs>
          <w:tab w:val="right" w:leader="dot" w:pos="9340"/>
        </w:tabs>
        <w:spacing w:line="240" w:lineRule="auto"/>
        <w:ind w:left="200" w:hanging="200"/>
        <w:contextualSpacing/>
        <w:rPr>
          <w:color w:val="000000"/>
        </w:rPr>
      </w:pPr>
    </w:p>
    <w:p w14:paraId="12FDD2BE"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Martinez</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81 F. Supp. 3d 1046 (D. Colo. 2015)</w:t>
      </w:r>
      <w:r>
        <w:rPr>
          <w:rFonts w:ascii="Times New Roman" w:eastAsia="Times New Roman" w:hAnsi="Times New Roman" w:cs="Times New Roman"/>
          <w:color w:val="000000"/>
          <w:sz w:val="26"/>
        </w:rPr>
        <w:tab/>
        <w:t>7</w:t>
      </w:r>
    </w:p>
    <w:p w14:paraId="2EF78BE6" w14:textId="77777777" w:rsidR="00A52F4B" w:rsidRDefault="00A52F4B" w:rsidP="00DF3B8E">
      <w:pPr>
        <w:tabs>
          <w:tab w:val="right" w:leader="dot" w:pos="9340"/>
        </w:tabs>
        <w:spacing w:line="240" w:lineRule="auto"/>
        <w:ind w:left="200" w:hanging="200"/>
        <w:contextualSpacing/>
        <w:rPr>
          <w:color w:val="000000"/>
        </w:rPr>
      </w:pPr>
    </w:p>
    <w:p w14:paraId="2E8A81E4"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Morrissette</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70 M.J. 431 (C.A.A.F. 2012)</w:t>
      </w:r>
      <w:r>
        <w:rPr>
          <w:rFonts w:ascii="Times New Roman" w:eastAsia="Times New Roman" w:hAnsi="Times New Roman" w:cs="Times New Roman"/>
          <w:color w:val="000000"/>
          <w:sz w:val="26"/>
        </w:rPr>
        <w:tab/>
        <w:t>6, 7</w:t>
      </w:r>
    </w:p>
    <w:p w14:paraId="55484727" w14:textId="77777777" w:rsidR="00A52F4B" w:rsidRDefault="00A52F4B" w:rsidP="00DF3B8E">
      <w:pPr>
        <w:tabs>
          <w:tab w:val="right" w:leader="dot" w:pos="9340"/>
        </w:tabs>
        <w:spacing w:line="240" w:lineRule="auto"/>
        <w:ind w:left="200" w:hanging="200"/>
        <w:contextualSpacing/>
        <w:rPr>
          <w:color w:val="000000"/>
        </w:rPr>
      </w:pPr>
    </w:p>
    <w:p w14:paraId="12A5CA84"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Nanni</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59 F.3d 1425 (2d Cir. 1995)</w:t>
      </w:r>
      <w:r>
        <w:rPr>
          <w:rFonts w:ascii="Times New Roman" w:eastAsia="Times New Roman" w:hAnsi="Times New Roman" w:cs="Times New Roman"/>
          <w:color w:val="000000"/>
          <w:sz w:val="26"/>
        </w:rPr>
        <w:tab/>
        <w:t>7, 8</w:t>
      </w:r>
    </w:p>
    <w:p w14:paraId="01C4EF08" w14:textId="77777777" w:rsidR="00A52F4B" w:rsidRDefault="00A52F4B" w:rsidP="00DF3B8E">
      <w:pPr>
        <w:tabs>
          <w:tab w:val="right" w:leader="dot" w:pos="9340"/>
        </w:tabs>
        <w:spacing w:line="240" w:lineRule="auto"/>
        <w:ind w:left="200" w:hanging="200"/>
        <w:contextualSpacing/>
        <w:rPr>
          <w:color w:val="000000"/>
        </w:rPr>
      </w:pPr>
    </w:p>
    <w:p w14:paraId="7D56F6C0"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Nobles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422 U.S. 225 (1975)</w:t>
      </w:r>
      <w:r>
        <w:rPr>
          <w:rFonts w:ascii="Times New Roman" w:eastAsia="Times New Roman" w:hAnsi="Times New Roman" w:cs="Times New Roman"/>
          <w:color w:val="000000"/>
          <w:sz w:val="26"/>
        </w:rPr>
        <w:tab/>
        <w:t>12, 13</w:t>
      </w:r>
    </w:p>
    <w:p w14:paraId="1A3EC0AE" w14:textId="77777777" w:rsidR="00A52F4B" w:rsidRDefault="00A52F4B" w:rsidP="00DF3B8E">
      <w:pPr>
        <w:tabs>
          <w:tab w:val="right" w:leader="dot" w:pos="9340"/>
        </w:tabs>
        <w:spacing w:line="240" w:lineRule="auto"/>
        <w:ind w:left="200" w:hanging="200"/>
        <w:contextualSpacing/>
        <w:rPr>
          <w:color w:val="000000"/>
        </w:rPr>
      </w:pPr>
    </w:p>
    <w:p w14:paraId="0C452AED"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North</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910 F.2d 843 (D.C. Cir. 1990)</w:t>
      </w:r>
      <w:r>
        <w:rPr>
          <w:rFonts w:ascii="Times New Roman" w:eastAsia="Times New Roman" w:hAnsi="Times New Roman" w:cs="Times New Roman"/>
          <w:color w:val="000000"/>
          <w:sz w:val="26"/>
        </w:rPr>
        <w:tab/>
        <w:t>8</w:t>
      </w:r>
    </w:p>
    <w:p w14:paraId="6C6034AC" w14:textId="77777777" w:rsidR="00A52F4B" w:rsidRDefault="00A52F4B" w:rsidP="00DF3B8E">
      <w:pPr>
        <w:tabs>
          <w:tab w:val="right" w:leader="dot" w:pos="9340"/>
        </w:tabs>
        <w:spacing w:line="240" w:lineRule="auto"/>
        <w:ind w:left="200" w:hanging="200"/>
        <w:contextualSpacing/>
        <w:rPr>
          <w:color w:val="000000"/>
        </w:rPr>
      </w:pPr>
    </w:p>
    <w:p w14:paraId="548C6D49"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Pelletier</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898 F.2d 297 (2d Cir. 1990)</w:t>
      </w:r>
      <w:r>
        <w:rPr>
          <w:rFonts w:ascii="Times New Roman" w:eastAsia="Times New Roman" w:hAnsi="Times New Roman" w:cs="Times New Roman"/>
          <w:color w:val="000000"/>
          <w:sz w:val="26"/>
        </w:rPr>
        <w:tab/>
        <w:t>5</w:t>
      </w:r>
    </w:p>
    <w:p w14:paraId="1FB1202D" w14:textId="77777777" w:rsidR="00A52F4B" w:rsidRDefault="00A52F4B" w:rsidP="00DF3B8E">
      <w:pPr>
        <w:tabs>
          <w:tab w:val="right" w:leader="dot" w:pos="9340"/>
        </w:tabs>
        <w:spacing w:line="240" w:lineRule="auto"/>
        <w:ind w:left="200" w:hanging="200"/>
        <w:contextualSpacing/>
        <w:rPr>
          <w:color w:val="000000"/>
        </w:rPr>
      </w:pPr>
    </w:p>
    <w:p w14:paraId="2A496349"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Schmidgall,</w:t>
      </w:r>
      <w:r>
        <w:rPr>
          <w:rFonts w:ascii="Times New Roman" w:eastAsia="Times New Roman" w:hAnsi="Times New Roman" w:cs="Times New Roman"/>
          <w:i/>
          <w:color w:val="000000"/>
          <w:sz w:val="26"/>
        </w:rPr>
        <w:br/>
      </w:r>
      <w:r>
        <w:rPr>
          <w:rFonts w:ascii="Times New Roman" w:eastAsia="Times New Roman" w:hAnsi="Times New Roman" w:cs="Times New Roman"/>
          <w:color w:val="000000"/>
          <w:sz w:val="26"/>
        </w:rPr>
        <w:t>(</w:t>
      </w:r>
      <w:r>
        <w:rPr>
          <w:rFonts w:ascii="Times New Roman" w:eastAsia="Times New Roman" w:hAnsi="Times New Roman" w:cs="Times New Roman"/>
          <w:i/>
          <w:color w:val="000000"/>
          <w:sz w:val="26"/>
        </w:rPr>
        <w:t>Schmidgall I</w:t>
      </w:r>
      <w:r>
        <w:rPr>
          <w:rFonts w:ascii="Times New Roman" w:eastAsia="Times New Roman" w:hAnsi="Times New Roman" w:cs="Times New Roman"/>
          <w:color w:val="000000"/>
          <w:sz w:val="26"/>
        </w:rPr>
        <w:t>), 25 F.3d 1523 (11th Cir. 1994)</w:t>
      </w:r>
      <w:r>
        <w:rPr>
          <w:rFonts w:ascii="Times New Roman" w:eastAsia="Times New Roman" w:hAnsi="Times New Roman" w:cs="Times New Roman"/>
          <w:color w:val="000000"/>
          <w:sz w:val="26"/>
        </w:rPr>
        <w:tab/>
        <w:t>9</w:t>
      </w:r>
    </w:p>
    <w:p w14:paraId="5B69B52D" w14:textId="77777777" w:rsidR="00A52F4B" w:rsidRDefault="00A52F4B" w:rsidP="00DF3B8E">
      <w:pPr>
        <w:tabs>
          <w:tab w:val="right" w:leader="dot" w:pos="9340"/>
        </w:tabs>
        <w:spacing w:line="240" w:lineRule="auto"/>
        <w:ind w:left="200" w:hanging="200"/>
        <w:contextualSpacing/>
        <w:rPr>
          <w:color w:val="000000"/>
        </w:rPr>
      </w:pPr>
    </w:p>
    <w:p w14:paraId="5C72B239"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Seiffert</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501 F.2d 974 (5th Cir. 1974)</w:t>
      </w:r>
      <w:r>
        <w:rPr>
          <w:rFonts w:ascii="Times New Roman" w:eastAsia="Times New Roman" w:hAnsi="Times New Roman" w:cs="Times New Roman"/>
          <w:color w:val="000000"/>
          <w:sz w:val="26"/>
        </w:rPr>
        <w:tab/>
        <w:t>11</w:t>
      </w:r>
    </w:p>
    <w:p w14:paraId="36A7297F" w14:textId="77777777" w:rsidR="00A52F4B" w:rsidRDefault="00A52F4B" w:rsidP="00DF3B8E">
      <w:pPr>
        <w:tabs>
          <w:tab w:val="right" w:leader="dot" w:pos="9340"/>
        </w:tabs>
        <w:spacing w:line="240" w:lineRule="auto"/>
        <w:ind w:left="200" w:hanging="200"/>
        <w:contextualSpacing/>
        <w:rPr>
          <w:color w:val="000000"/>
        </w:rPr>
      </w:pPr>
    </w:p>
    <w:p w14:paraId="372C1238"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Slough</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36 F. Supp. 3d 37 (D.D.C. 2014)</w:t>
      </w:r>
      <w:r>
        <w:rPr>
          <w:rFonts w:ascii="Times New Roman" w:eastAsia="Times New Roman" w:hAnsi="Times New Roman" w:cs="Times New Roman"/>
          <w:color w:val="000000"/>
          <w:sz w:val="26"/>
        </w:rPr>
        <w:tab/>
        <w:t>9, 10, 11</w:t>
      </w:r>
    </w:p>
    <w:p w14:paraId="19D3EBEB" w14:textId="77777777" w:rsidR="00A52F4B" w:rsidRDefault="00A52F4B" w:rsidP="00DF3B8E">
      <w:pPr>
        <w:tabs>
          <w:tab w:val="right" w:leader="dot" w:pos="9340"/>
        </w:tabs>
        <w:spacing w:line="240" w:lineRule="auto"/>
        <w:ind w:left="200" w:hanging="200"/>
        <w:contextualSpacing/>
        <w:rPr>
          <w:color w:val="000000"/>
        </w:rPr>
      </w:pPr>
    </w:p>
    <w:p w14:paraId="30C3BC32"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i/>
          <w:color w:val="000000"/>
          <w:sz w:val="26"/>
        </w:rPr>
        <w:t>United States v. Vepuri</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623 F. Supp. 3d. 512 (E.D. Pa. 2022)</w:t>
      </w:r>
      <w:r>
        <w:rPr>
          <w:rFonts w:ascii="Times New Roman" w:eastAsia="Times New Roman" w:hAnsi="Times New Roman" w:cs="Times New Roman"/>
          <w:color w:val="000000"/>
          <w:sz w:val="26"/>
        </w:rPr>
        <w:tab/>
        <w:t>13</w:t>
      </w:r>
    </w:p>
    <w:p w14:paraId="297E9825" w14:textId="77777777" w:rsidR="00A52F4B" w:rsidRDefault="00A52F4B" w:rsidP="00DF3B8E">
      <w:pPr>
        <w:tabs>
          <w:tab w:val="right" w:leader="dot" w:pos="9340"/>
        </w:tabs>
        <w:spacing w:line="240" w:lineRule="auto"/>
        <w:ind w:left="200" w:hanging="200"/>
        <w:contextualSpacing/>
        <w:rPr>
          <w:color w:val="000000"/>
        </w:rPr>
      </w:pPr>
    </w:p>
    <w:p w14:paraId="60179970" w14:textId="77777777"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i/>
          <w:color w:val="000000"/>
          <w:sz w:val="26"/>
        </w:rPr>
        <w:t>Upjohn Co. v. United States</w:t>
      </w:r>
      <w:r>
        <w:rPr>
          <w:rFonts w:ascii="Times New Roman" w:eastAsia="Times New Roman" w:hAnsi="Times New Roman" w:cs="Times New Roman"/>
          <w:color w:val="000000"/>
          <w:sz w:val="26"/>
        </w:rPr>
        <w:t>,</w:t>
      </w:r>
      <w:r>
        <w:rPr>
          <w:rFonts w:ascii="Times New Roman" w:eastAsia="Times New Roman" w:hAnsi="Times New Roman" w:cs="Times New Roman"/>
          <w:color w:val="000000"/>
          <w:sz w:val="26"/>
        </w:rPr>
        <w:br/>
        <w:t>449 U.S. 383 (1981)</w:t>
      </w:r>
      <w:r>
        <w:rPr>
          <w:rFonts w:ascii="Times New Roman" w:eastAsia="Times New Roman" w:hAnsi="Times New Roman" w:cs="Times New Roman"/>
          <w:color w:val="000000"/>
          <w:sz w:val="26"/>
        </w:rPr>
        <w:tab/>
        <w:t>18</w:t>
      </w:r>
    </w:p>
    <w:p w14:paraId="04663E46" w14:textId="77777777" w:rsidR="008E28AD" w:rsidRDefault="008E28AD" w:rsidP="00DF3B8E">
      <w:pPr>
        <w:tabs>
          <w:tab w:val="right" w:leader="dot" w:pos="9340"/>
        </w:tabs>
        <w:spacing w:line="240" w:lineRule="auto"/>
        <w:ind w:left="200" w:hanging="200"/>
        <w:contextualSpacing/>
        <w:rPr>
          <w:color w:val="000000"/>
        </w:rPr>
      </w:pPr>
    </w:p>
    <w:p w14:paraId="616FBC13" w14:textId="77777777" w:rsidR="008E28AD" w:rsidRPr="00A52F4B" w:rsidRDefault="002D374B" w:rsidP="00DF3B8E">
      <w:pPr>
        <w:tabs>
          <w:tab w:val="right" w:leader="dot" w:pos="9340"/>
        </w:tabs>
        <w:spacing w:line="240" w:lineRule="auto"/>
        <w:contextualSpacing/>
        <w:rPr>
          <w:b/>
          <w:bCs/>
          <w:color w:val="000000"/>
        </w:rPr>
      </w:pPr>
      <w:r w:rsidRPr="00A52F4B">
        <w:rPr>
          <w:rFonts w:ascii="Times New Roman" w:eastAsia="Times New Roman" w:hAnsi="Times New Roman" w:cs="Times New Roman"/>
          <w:b/>
          <w:bCs/>
          <w:color w:val="000000"/>
        </w:rPr>
        <w:t>Statutes</w:t>
      </w:r>
    </w:p>
    <w:p w14:paraId="168F0B08" w14:textId="77777777" w:rsidR="008E28AD" w:rsidRDefault="008E28AD" w:rsidP="00DF3B8E">
      <w:pPr>
        <w:tabs>
          <w:tab w:val="right" w:leader="dot" w:pos="9340"/>
        </w:tabs>
        <w:spacing w:line="240" w:lineRule="auto"/>
        <w:contextualSpacing/>
        <w:rPr>
          <w:color w:val="000000"/>
        </w:rPr>
      </w:pPr>
    </w:p>
    <w:p w14:paraId="08A6FB7D"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18 U.S.C. § 1956</w:t>
      </w:r>
      <w:r>
        <w:rPr>
          <w:rFonts w:ascii="Times New Roman" w:eastAsia="Times New Roman" w:hAnsi="Times New Roman" w:cs="Times New Roman"/>
          <w:color w:val="000000"/>
          <w:sz w:val="26"/>
        </w:rPr>
        <w:tab/>
        <w:t>17</w:t>
      </w:r>
    </w:p>
    <w:p w14:paraId="19C15A1D" w14:textId="77777777" w:rsidR="00A52F4B" w:rsidRDefault="00A52F4B" w:rsidP="00DF3B8E">
      <w:pPr>
        <w:tabs>
          <w:tab w:val="right" w:leader="dot" w:pos="9340"/>
        </w:tabs>
        <w:spacing w:line="240" w:lineRule="auto"/>
        <w:ind w:left="200" w:hanging="200"/>
        <w:contextualSpacing/>
        <w:rPr>
          <w:color w:val="000000"/>
        </w:rPr>
      </w:pPr>
    </w:p>
    <w:p w14:paraId="090AAC20" w14:textId="77777777"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color w:val="000000"/>
          <w:sz w:val="26"/>
        </w:rPr>
        <w:lastRenderedPageBreak/>
        <w:t>U.S. Const. amend. V</w:t>
      </w:r>
      <w:r>
        <w:rPr>
          <w:rFonts w:ascii="Times New Roman" w:eastAsia="Times New Roman" w:hAnsi="Times New Roman" w:cs="Times New Roman"/>
          <w:color w:val="000000"/>
          <w:sz w:val="26"/>
        </w:rPr>
        <w:tab/>
        <w:t>5</w:t>
      </w:r>
    </w:p>
    <w:p w14:paraId="797A0690" w14:textId="77777777" w:rsidR="008E28AD" w:rsidRDefault="008E28AD" w:rsidP="00DF3B8E">
      <w:pPr>
        <w:tabs>
          <w:tab w:val="right" w:leader="dot" w:pos="9340"/>
        </w:tabs>
        <w:spacing w:line="240" w:lineRule="auto"/>
        <w:ind w:left="200" w:hanging="200"/>
        <w:contextualSpacing/>
        <w:rPr>
          <w:color w:val="000000"/>
        </w:rPr>
      </w:pPr>
    </w:p>
    <w:p w14:paraId="595AB254" w14:textId="77777777" w:rsidR="008E28AD" w:rsidRPr="00A52F4B" w:rsidRDefault="002D374B" w:rsidP="00DF3B8E">
      <w:pPr>
        <w:tabs>
          <w:tab w:val="right" w:leader="dot" w:pos="9340"/>
        </w:tabs>
        <w:spacing w:line="240" w:lineRule="auto"/>
        <w:contextualSpacing/>
        <w:rPr>
          <w:b/>
          <w:bCs/>
          <w:color w:val="000000"/>
        </w:rPr>
      </w:pPr>
      <w:r w:rsidRPr="00A52F4B">
        <w:rPr>
          <w:rFonts w:ascii="Times New Roman" w:eastAsia="Times New Roman" w:hAnsi="Times New Roman" w:cs="Times New Roman"/>
          <w:b/>
          <w:bCs/>
          <w:color w:val="000000"/>
        </w:rPr>
        <w:t>Rules</w:t>
      </w:r>
    </w:p>
    <w:p w14:paraId="07782FA3" w14:textId="77777777" w:rsidR="008E28AD" w:rsidRDefault="008E28AD" w:rsidP="00DF3B8E">
      <w:pPr>
        <w:tabs>
          <w:tab w:val="right" w:leader="dot" w:pos="9340"/>
        </w:tabs>
        <w:spacing w:line="240" w:lineRule="auto"/>
        <w:contextualSpacing/>
        <w:rPr>
          <w:color w:val="000000"/>
        </w:rPr>
      </w:pPr>
    </w:p>
    <w:p w14:paraId="28C84201"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Fed. R. Civ. P. 26</w:t>
      </w:r>
      <w:r>
        <w:rPr>
          <w:rFonts w:ascii="Times New Roman" w:eastAsia="Times New Roman" w:hAnsi="Times New Roman" w:cs="Times New Roman"/>
          <w:color w:val="000000"/>
          <w:sz w:val="26"/>
        </w:rPr>
        <w:tab/>
        <w:t>18</w:t>
      </w:r>
    </w:p>
    <w:p w14:paraId="17B83A36" w14:textId="77777777" w:rsidR="00A52F4B" w:rsidRDefault="00A52F4B" w:rsidP="00DF3B8E">
      <w:pPr>
        <w:tabs>
          <w:tab w:val="right" w:leader="dot" w:pos="9340"/>
        </w:tabs>
        <w:spacing w:line="240" w:lineRule="auto"/>
        <w:ind w:left="200" w:hanging="200"/>
        <w:contextualSpacing/>
        <w:rPr>
          <w:color w:val="000000"/>
        </w:rPr>
      </w:pPr>
    </w:p>
    <w:p w14:paraId="2598E646" w14:textId="77777777" w:rsidR="008E28AD" w:rsidRDefault="002D374B" w:rsidP="00DF3B8E">
      <w:pPr>
        <w:tabs>
          <w:tab w:val="right" w:leader="dot" w:pos="9340"/>
        </w:tabs>
        <w:spacing w:line="240" w:lineRule="auto"/>
        <w:ind w:left="200" w:hanging="200"/>
        <w:contextualSpacing/>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Fed. R. Civ. P. 26(b)(3)</w:t>
      </w:r>
      <w:r>
        <w:rPr>
          <w:rFonts w:ascii="Times New Roman" w:eastAsia="Times New Roman" w:hAnsi="Times New Roman" w:cs="Times New Roman"/>
          <w:color w:val="000000"/>
          <w:sz w:val="26"/>
        </w:rPr>
        <w:tab/>
        <w:t>14, 15</w:t>
      </w:r>
    </w:p>
    <w:p w14:paraId="7196639C" w14:textId="77777777" w:rsidR="00A52F4B" w:rsidRDefault="00A52F4B" w:rsidP="00DF3B8E">
      <w:pPr>
        <w:tabs>
          <w:tab w:val="right" w:leader="dot" w:pos="9340"/>
        </w:tabs>
        <w:spacing w:line="240" w:lineRule="auto"/>
        <w:ind w:left="200" w:hanging="200"/>
        <w:contextualSpacing/>
        <w:rPr>
          <w:color w:val="000000"/>
        </w:rPr>
      </w:pPr>
    </w:p>
    <w:p w14:paraId="75C6D0F6" w14:textId="77777777" w:rsidR="008E28AD" w:rsidRDefault="002D374B" w:rsidP="00DF3B8E">
      <w:pPr>
        <w:tabs>
          <w:tab w:val="right" w:leader="dot" w:pos="9340"/>
        </w:tabs>
        <w:spacing w:line="240" w:lineRule="auto"/>
        <w:ind w:left="200" w:hanging="200"/>
        <w:contextualSpacing/>
        <w:rPr>
          <w:color w:val="000000"/>
        </w:rPr>
      </w:pPr>
      <w:r>
        <w:rPr>
          <w:rFonts w:ascii="Times New Roman" w:eastAsia="Times New Roman" w:hAnsi="Times New Roman" w:cs="Times New Roman"/>
          <w:color w:val="000000"/>
          <w:sz w:val="26"/>
        </w:rPr>
        <w:t>Federal Rule of Criminal Procedure 16(b)(2)</w:t>
      </w:r>
      <w:r>
        <w:rPr>
          <w:rFonts w:ascii="Times New Roman" w:eastAsia="Times New Roman" w:hAnsi="Times New Roman" w:cs="Times New Roman"/>
          <w:color w:val="000000"/>
          <w:sz w:val="26"/>
        </w:rPr>
        <w:tab/>
        <w:t>12</w:t>
      </w:r>
    </w:p>
    <w:bookmarkEnd w:id="17"/>
    <w:p w14:paraId="674B5CC9" w14:textId="77777777" w:rsidR="008E28AD" w:rsidRDefault="008E28AD" w:rsidP="00DF3B8E">
      <w:pPr>
        <w:tabs>
          <w:tab w:val="right" w:leader="dot" w:pos="9340"/>
        </w:tabs>
        <w:ind w:left="200" w:hanging="200"/>
        <w:contextualSpacing/>
        <w:rPr>
          <w:color w:val="000000"/>
        </w:rPr>
      </w:pPr>
    </w:p>
    <w:p w14:paraId="513368C1" w14:textId="77777777" w:rsidR="00DF3B8E" w:rsidRPr="00DF3B8E" w:rsidRDefault="00DF3B8E" w:rsidP="00DF3B8E"/>
    <w:bookmarkEnd w:id="13"/>
    <w:p w14:paraId="3C4696DF" w14:textId="77777777" w:rsidR="00DB2E5F" w:rsidRPr="00375296" w:rsidRDefault="00DB2E5F" w:rsidP="00DB2E5F">
      <w:pPr>
        <w:spacing w:line="480" w:lineRule="auto"/>
        <w:jc w:val="both"/>
        <w:rPr>
          <w:rFonts w:ascii="Times New Roman" w:eastAsia="Times New Roman" w:hAnsi="Times New Roman" w:cs="Times New Roman"/>
          <w:b/>
          <w:bCs/>
          <w:smallCaps/>
          <w:color w:val="000000" w:themeColor="text1"/>
          <w:kern w:val="0"/>
          <w:sz w:val="26"/>
          <w:szCs w:val="26"/>
          <w14:ligatures w14:val="none"/>
        </w:rPr>
      </w:pPr>
    </w:p>
    <w:p w14:paraId="7B16ABEB" w14:textId="77777777" w:rsidR="00E72FD9" w:rsidRDefault="00E72FD9" w:rsidP="00DB2E5F">
      <w:pPr>
        <w:pStyle w:val="Heading1"/>
        <w:jc w:val="center"/>
        <w:rPr>
          <w:rFonts w:ascii="Times New Roman" w:eastAsia="Times New Roman" w:hAnsi="Times New Roman" w:cs="Times New Roman"/>
          <w:b/>
          <w:bCs/>
          <w:color w:val="000000" w:themeColor="text1"/>
          <w:sz w:val="26"/>
          <w:szCs w:val="26"/>
        </w:rPr>
        <w:sectPr w:rsidR="00E72FD9" w:rsidSect="00E72FD9">
          <w:footerReference w:type="first" r:id="rId9"/>
          <w:pgSz w:w="12240" w:h="15840"/>
          <w:pgMar w:top="1440" w:right="1440" w:bottom="1440" w:left="1440" w:header="720" w:footer="720" w:gutter="0"/>
          <w:pgNumType w:fmt="lowerRoman" w:start="1"/>
          <w:cols w:space="720"/>
          <w:titlePg/>
          <w:docGrid w:linePitch="360"/>
        </w:sectPr>
      </w:pPr>
      <w:bookmarkStart w:id="19" w:name="dabmch_36"/>
      <w:bookmarkStart w:id="20" w:name="_Toc239113014"/>
      <w:bookmarkEnd w:id="19"/>
    </w:p>
    <w:p w14:paraId="2FCE5E71" w14:textId="77777777" w:rsidR="00276094" w:rsidRPr="00DB2E5F" w:rsidRDefault="002D374B" w:rsidP="00DB2E5F">
      <w:pPr>
        <w:pStyle w:val="Heading1"/>
        <w:jc w:val="center"/>
        <w:rPr>
          <w:rFonts w:ascii="Times New Roman" w:eastAsia="Times New Roman" w:hAnsi="Times New Roman" w:cs="Times New Roman"/>
          <w:b/>
          <w:bCs/>
          <w:color w:val="000000" w:themeColor="text1"/>
          <w:sz w:val="26"/>
          <w:szCs w:val="26"/>
        </w:rPr>
      </w:pPr>
      <w:bookmarkStart w:id="21" w:name="_Toc239149367"/>
      <w:bookmarkStart w:id="22" w:name="dabmch_38"/>
      <w:bookmarkStart w:id="23" w:name="_Toc239155230"/>
      <w:r w:rsidRPr="00DB2E5F">
        <w:rPr>
          <w:rFonts w:ascii="Times New Roman" w:eastAsia="Times New Roman" w:hAnsi="Times New Roman" w:cs="Times New Roman"/>
          <w:b/>
          <w:bCs/>
          <w:color w:val="000000" w:themeColor="text1"/>
          <w:sz w:val="26"/>
          <w:szCs w:val="26"/>
        </w:rPr>
        <w:lastRenderedPageBreak/>
        <w:t>INTRODUCTION</w:t>
      </w:r>
      <w:bookmarkEnd w:id="20"/>
      <w:bookmarkEnd w:id="21"/>
      <w:bookmarkEnd w:id="22"/>
      <w:bookmarkEnd w:id="23"/>
    </w:p>
    <w:p w14:paraId="1B09E97F" w14:textId="77777777" w:rsidR="00C13CCF" w:rsidRPr="00DB2E5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4" w:name="dabmch_39"/>
      <w:r w:rsidRPr="00C13CCF">
        <w:rPr>
          <w:rFonts w:ascii="Times New Roman" w:eastAsia="Times New Roman" w:hAnsi="Times New Roman" w:cs="Times New Roman"/>
          <w:color w:val="000000" w:themeColor="text1"/>
          <w:kern w:val="0"/>
          <w:sz w:val="26"/>
          <w:szCs w:val="26"/>
          <w14:ligatures w14:val="none"/>
        </w:rPr>
        <w:t>This Court should deny Defendant’s Motion to Suppress because Kennedy Parker and Exhibit 19 were discovered through an independent investigation where at every step investigators were segregated from Defendant’s testimony. Additionally, the Defendant’s Motion to Quash the United States’ Subpoena should be denied because the work-product doctrine is not an absolute shield meant to bury the only account of an unavailable witness on a question at the heart of the United States’ case.</w:t>
      </w:r>
      <w:bookmarkEnd w:id="24"/>
    </w:p>
    <w:p w14:paraId="664F7BCF" w14:textId="77777777" w:rsidR="00071CC6" w:rsidRPr="00DB2E5F" w:rsidRDefault="002D374B" w:rsidP="00DB2E5F">
      <w:pPr>
        <w:pStyle w:val="Heading1"/>
        <w:spacing w:line="480" w:lineRule="auto"/>
        <w:jc w:val="center"/>
        <w:rPr>
          <w:rFonts w:ascii="Times New Roman" w:eastAsia="Times New Roman" w:hAnsi="Times New Roman" w:cs="Times New Roman"/>
          <w:b/>
          <w:bCs/>
          <w:color w:val="000000" w:themeColor="text1"/>
          <w:sz w:val="26"/>
          <w:szCs w:val="26"/>
        </w:rPr>
      </w:pPr>
      <w:bookmarkStart w:id="25" w:name="_Toc239113015"/>
      <w:bookmarkStart w:id="26" w:name="_Toc239149368"/>
      <w:bookmarkStart w:id="27" w:name="dabmch_40"/>
      <w:bookmarkStart w:id="28" w:name="_Toc239155231"/>
      <w:r w:rsidRPr="00DB2E5F">
        <w:rPr>
          <w:rFonts w:ascii="Times New Roman" w:eastAsia="Times New Roman" w:hAnsi="Times New Roman" w:cs="Times New Roman"/>
          <w:b/>
          <w:bCs/>
          <w:color w:val="000000" w:themeColor="text1"/>
          <w:sz w:val="26"/>
          <w:szCs w:val="26"/>
        </w:rPr>
        <w:t>STATEMENT OF FACTS</w:t>
      </w:r>
      <w:bookmarkEnd w:id="25"/>
      <w:bookmarkEnd w:id="26"/>
      <w:bookmarkEnd w:id="27"/>
      <w:bookmarkEnd w:id="28"/>
    </w:p>
    <w:p w14:paraId="124DA9C4" w14:textId="77777777"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bookmarkStart w:id="29" w:name="dabmch_41"/>
      <w:r w:rsidRPr="00071CC6">
        <w:rPr>
          <w:rFonts w:ascii="Times New Roman" w:eastAsia="Times New Roman" w:hAnsi="Times New Roman" w:cs="Times New Roman"/>
          <w:b/>
          <w:bCs/>
          <w:i/>
          <w:iCs/>
          <w:color w:val="000000" w:themeColor="text1"/>
          <w:kern w:val="0"/>
          <w:sz w:val="26"/>
          <w:szCs w:val="26"/>
          <w14:ligatures w14:val="none"/>
        </w:rPr>
        <w:t>“You name it, Silver Palms has it”</w:t>
      </w:r>
      <w:bookmarkEnd w:id="29"/>
    </w:p>
    <w:p w14:paraId="48767774" w14:textId="70E97328"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0" w:name="dabmch_42"/>
      <w:r w:rsidRPr="00071CC6">
        <w:rPr>
          <w:rFonts w:ascii="Times New Roman" w:eastAsia="Times New Roman" w:hAnsi="Times New Roman" w:cs="Times New Roman"/>
          <w:color w:val="000000" w:themeColor="text1"/>
          <w:kern w:val="0"/>
          <w:sz w:val="26"/>
          <w:szCs w:val="26"/>
          <w14:ligatures w14:val="none"/>
        </w:rPr>
        <w:t>Situated right on one of the best beaches in the country, Silver Palms is an institution in the lives of anyone who lives or passes through Gulf Haven. (Sinclair Dep. 008:32–37.) It was also the target of a money laundering investigation.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010:99</w:t>
      </w:r>
      <w:r w:rsidR="005020CA" w:rsidRPr="00071CC6">
        <w:rPr>
          <w:rFonts w:ascii="Times New Roman" w:eastAsia="Times New Roman" w:hAnsi="Times New Roman" w:cs="Times New Roman"/>
          <w:color w:val="000000" w:themeColor="text1"/>
          <w:kern w:val="0"/>
          <w:sz w:val="26"/>
          <w:szCs w:val="26"/>
          <w14:ligatures w14:val="none"/>
        </w:rPr>
        <w:t>–</w:t>
      </w:r>
      <w:r w:rsidRPr="00071CC6">
        <w:rPr>
          <w:rFonts w:ascii="Times New Roman" w:eastAsia="Times New Roman" w:hAnsi="Times New Roman" w:cs="Times New Roman"/>
          <w:color w:val="000000" w:themeColor="text1"/>
          <w:kern w:val="0"/>
          <w:sz w:val="26"/>
          <w:szCs w:val="26"/>
          <w14:ligatures w14:val="none"/>
        </w:rPr>
        <w:t>101.)</w:t>
      </w:r>
      <w:bookmarkEnd w:id="30"/>
    </w:p>
    <w:p w14:paraId="03D18046" w14:textId="77777777"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1" w:name="dabmch_43"/>
      <w:r w:rsidRPr="00071CC6">
        <w:rPr>
          <w:rFonts w:ascii="Times New Roman" w:eastAsia="Times New Roman" w:hAnsi="Times New Roman" w:cs="Times New Roman"/>
          <w:color w:val="000000" w:themeColor="text1"/>
          <w:kern w:val="0"/>
          <w:sz w:val="26"/>
          <w:szCs w:val="26"/>
          <w14:ligatures w14:val="none"/>
        </w:rPr>
        <w:t>The resort was plagued with overgrown lawns, leaky roofs, and missing shingles. (</w:t>
      </w:r>
      <w:r w:rsidRPr="00071CC6">
        <w:rPr>
          <w:rFonts w:ascii="Times New Roman" w:eastAsia="Times New Roman" w:hAnsi="Times New Roman" w:cs="Times New Roman"/>
          <w:i/>
          <w:iCs/>
          <w:color w:val="000000" w:themeColor="text1"/>
          <w:kern w:val="0"/>
          <w:sz w:val="26"/>
          <w:szCs w:val="26"/>
          <w14:ligatures w14:val="none"/>
        </w:rPr>
        <w:t xml:space="preserve">Id. </w:t>
      </w:r>
      <w:r w:rsidRPr="00071CC6">
        <w:rPr>
          <w:rFonts w:ascii="Times New Roman" w:eastAsia="Times New Roman" w:hAnsi="Times New Roman" w:cs="Times New Roman"/>
          <w:color w:val="000000" w:themeColor="text1"/>
          <w:kern w:val="0"/>
          <w:sz w:val="26"/>
          <w:szCs w:val="26"/>
          <w14:ligatures w14:val="none"/>
        </w:rPr>
        <w:t>009:56–59.) Tourists weren’t coming back like they used to, and the hotels and restaurants were suffering because of that.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The person left to handle this crisis is the twenty-eight-year-old Emily Calloway, the latest successor in almost a hundred years of Calloway ownership.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009:53–54.)</w:t>
      </w:r>
      <w:bookmarkEnd w:id="31"/>
    </w:p>
    <w:p w14:paraId="1732BCD2" w14:textId="77777777"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2" w:name="dabmch_44"/>
      <w:r w:rsidRPr="00071CC6">
        <w:rPr>
          <w:rFonts w:ascii="Times New Roman" w:eastAsia="Times New Roman" w:hAnsi="Times New Roman" w:cs="Times New Roman"/>
          <w:color w:val="000000" w:themeColor="text1"/>
          <w:kern w:val="0"/>
          <w:sz w:val="26"/>
          <w:szCs w:val="26"/>
          <w14:ligatures w14:val="none"/>
        </w:rPr>
        <w:t>But in 2018, things once again changed when New York financial hotshot, Saint Donovan, came back to town.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009:65–67.) Quickly, Calloway and Donovan formed a 50-50 partnership in Silver Palms. (</w:t>
      </w:r>
      <w:r w:rsidRPr="00071CC6">
        <w:rPr>
          <w:rFonts w:ascii="Times New Roman" w:eastAsia="Times New Roman" w:hAnsi="Times New Roman" w:cs="Times New Roman"/>
          <w:i/>
          <w:iCs/>
          <w:color w:val="000000" w:themeColor="text1"/>
          <w:kern w:val="0"/>
          <w:sz w:val="26"/>
          <w:szCs w:val="26"/>
          <w14:ligatures w14:val="none"/>
        </w:rPr>
        <w:t xml:space="preserve">Id. </w:t>
      </w:r>
      <w:r w:rsidRPr="00071CC6">
        <w:rPr>
          <w:rFonts w:ascii="Times New Roman" w:eastAsia="Times New Roman" w:hAnsi="Times New Roman" w:cs="Times New Roman"/>
          <w:color w:val="000000" w:themeColor="text1"/>
          <w:kern w:val="0"/>
          <w:sz w:val="26"/>
          <w:szCs w:val="26"/>
          <w14:ligatures w14:val="none"/>
        </w:rPr>
        <w:t>010:77–78.) </w:t>
      </w:r>
      <w:bookmarkEnd w:id="32"/>
    </w:p>
    <w:p w14:paraId="7CA63C4A" w14:textId="77777777" w:rsidR="00A52F4B" w:rsidRDefault="00A52F4B" w:rsidP="00DB2E5F">
      <w:pPr>
        <w:spacing w:after="0" w:line="480" w:lineRule="auto"/>
        <w:jc w:val="center"/>
        <w:rPr>
          <w:rFonts w:ascii="Times New Roman" w:eastAsia="Times New Roman" w:hAnsi="Times New Roman" w:cs="Times New Roman"/>
          <w:b/>
          <w:bCs/>
          <w:i/>
          <w:iCs/>
          <w:color w:val="000000" w:themeColor="text1"/>
          <w:kern w:val="0"/>
          <w:sz w:val="26"/>
          <w:szCs w:val="26"/>
          <w14:ligatures w14:val="none"/>
        </w:rPr>
      </w:pPr>
      <w:bookmarkStart w:id="33" w:name="dabmch_45"/>
    </w:p>
    <w:p w14:paraId="10829165" w14:textId="395B3FAA"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r w:rsidRPr="00071CC6">
        <w:rPr>
          <w:rFonts w:ascii="Times New Roman" w:eastAsia="Times New Roman" w:hAnsi="Times New Roman" w:cs="Times New Roman"/>
          <w:b/>
          <w:bCs/>
          <w:i/>
          <w:iCs/>
          <w:color w:val="000000" w:themeColor="text1"/>
          <w:kern w:val="0"/>
          <w:sz w:val="26"/>
          <w:szCs w:val="26"/>
          <w14:ligatures w14:val="none"/>
        </w:rPr>
        <w:lastRenderedPageBreak/>
        <w:t>“Mo Money, Mo Problems”</w:t>
      </w:r>
      <w:bookmarkEnd w:id="33"/>
    </w:p>
    <w:p w14:paraId="7C107FA4" w14:textId="77777777"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4" w:name="dabmch_46"/>
      <w:r w:rsidRPr="00071CC6">
        <w:rPr>
          <w:rFonts w:ascii="Times New Roman" w:eastAsia="Times New Roman" w:hAnsi="Times New Roman" w:cs="Times New Roman"/>
          <w:color w:val="000000" w:themeColor="text1"/>
          <w:kern w:val="0"/>
          <w:sz w:val="26"/>
          <w:szCs w:val="26"/>
          <w14:ligatures w14:val="none"/>
        </w:rPr>
        <w:t xml:space="preserve">Shortly after joining the Silver Palm’s team, Defendant’s accountant, Daniel Blake noticed expense patterns that didn’t add up, finding </w:t>
      </w:r>
      <w:r w:rsidRPr="00071CC6">
        <w:rPr>
          <w:rFonts w:ascii="Times New Roman" w:eastAsia="Times New Roman" w:hAnsi="Times New Roman" w:cs="Times New Roman"/>
          <w:i/>
          <w:iCs/>
          <w:color w:val="000000" w:themeColor="text1"/>
          <w:kern w:val="0"/>
          <w:sz w:val="26"/>
          <w:szCs w:val="26"/>
          <w14:ligatures w14:val="none"/>
        </w:rPr>
        <w:t>millions</w:t>
      </w:r>
      <w:r w:rsidRPr="00071CC6">
        <w:rPr>
          <w:rFonts w:ascii="Times New Roman" w:eastAsia="Times New Roman" w:hAnsi="Times New Roman" w:cs="Times New Roman"/>
          <w:color w:val="000000" w:themeColor="text1"/>
          <w:kern w:val="0"/>
          <w:sz w:val="26"/>
          <w:szCs w:val="26"/>
          <w14:ligatures w14:val="none"/>
        </w:rPr>
        <w:t xml:space="preserve"> of dollars in irregularities.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010:95–101.) Blake couldn’t match the money going to Coastal Event Solutions, LLC, (“Coastal”) to any services they provided.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011:129–30.)  Blake brought this to the attention of law enforcement, where AUSA Sinclair officially picked up the case. (</w:t>
      </w:r>
      <w:r w:rsidRPr="00071CC6">
        <w:rPr>
          <w:rFonts w:ascii="Times New Roman" w:eastAsia="Times New Roman" w:hAnsi="Times New Roman" w:cs="Times New Roman"/>
          <w:i/>
          <w:iCs/>
          <w:color w:val="000000" w:themeColor="text1"/>
          <w:kern w:val="0"/>
          <w:sz w:val="26"/>
          <w:szCs w:val="26"/>
          <w14:ligatures w14:val="none"/>
        </w:rPr>
        <w:t xml:space="preserve">Id. </w:t>
      </w:r>
      <w:r w:rsidRPr="00071CC6">
        <w:rPr>
          <w:rFonts w:ascii="Times New Roman" w:eastAsia="Times New Roman" w:hAnsi="Times New Roman" w:cs="Times New Roman"/>
          <w:color w:val="000000" w:themeColor="text1"/>
          <w:kern w:val="0"/>
          <w:sz w:val="26"/>
          <w:szCs w:val="26"/>
          <w14:ligatures w14:val="none"/>
        </w:rPr>
        <w:t>010:99–101.)</w:t>
      </w:r>
      <w:bookmarkEnd w:id="34"/>
    </w:p>
    <w:p w14:paraId="1FFDC060" w14:textId="77777777" w:rsidR="00071CC6" w:rsidRPr="00071CC6" w:rsidRDefault="002D374B"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35" w:name="dabmch_47"/>
      <w:r w:rsidRPr="00071CC6">
        <w:rPr>
          <w:rFonts w:ascii="Times New Roman" w:eastAsia="Times New Roman" w:hAnsi="Times New Roman" w:cs="Times New Roman"/>
          <w:color w:val="000000" w:themeColor="text1"/>
          <w:kern w:val="0"/>
          <w:sz w:val="26"/>
          <w:szCs w:val="26"/>
          <w14:ligatures w14:val="none"/>
        </w:rPr>
        <w:tab/>
        <w:t>After months of working on the case together, on December 9th, Daniel called AUSA Sinclair, more excited than he’d ever been, with a breakthrough—“the piece that tied it all together.”(</w:t>
      </w:r>
      <w:r w:rsidRPr="00071CC6">
        <w:rPr>
          <w:rFonts w:ascii="Times New Roman" w:eastAsia="Times New Roman" w:hAnsi="Times New Roman" w:cs="Times New Roman"/>
          <w:i/>
          <w:iCs/>
          <w:color w:val="000000" w:themeColor="text1"/>
          <w:kern w:val="0"/>
          <w:sz w:val="26"/>
          <w:szCs w:val="26"/>
          <w14:ligatures w14:val="none"/>
        </w:rPr>
        <w:t xml:space="preserve">Id. </w:t>
      </w:r>
      <w:r w:rsidRPr="00071CC6">
        <w:rPr>
          <w:rFonts w:ascii="Times New Roman" w:eastAsia="Times New Roman" w:hAnsi="Times New Roman" w:cs="Times New Roman"/>
          <w:color w:val="000000" w:themeColor="text1"/>
          <w:kern w:val="0"/>
          <w:sz w:val="26"/>
          <w:szCs w:val="26"/>
          <w14:ligatures w14:val="none"/>
        </w:rPr>
        <w:t xml:space="preserve">013:201–04.) But Blake didn’t want to talk about specifics over the phone out of a </w:t>
      </w:r>
      <w:r w:rsidRPr="00071CC6">
        <w:rPr>
          <w:rFonts w:ascii="Times New Roman" w:eastAsia="Times New Roman" w:hAnsi="Times New Roman" w:cs="Times New Roman"/>
          <w:i/>
          <w:iCs/>
          <w:color w:val="000000" w:themeColor="text1"/>
          <w:kern w:val="0"/>
          <w:sz w:val="26"/>
          <w:szCs w:val="26"/>
          <w14:ligatures w14:val="none"/>
        </w:rPr>
        <w:t>fear</w:t>
      </w:r>
      <w:r w:rsidRPr="00071CC6">
        <w:rPr>
          <w:rFonts w:ascii="Times New Roman" w:eastAsia="Times New Roman" w:hAnsi="Times New Roman" w:cs="Times New Roman"/>
          <w:color w:val="000000" w:themeColor="text1"/>
          <w:kern w:val="0"/>
          <w:sz w:val="26"/>
          <w:szCs w:val="26"/>
          <w14:ligatures w14:val="none"/>
        </w:rPr>
        <w:t xml:space="preserve"> he was being watched.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013:208–09.) Blake never got to share his breakthrough.</w:t>
      </w:r>
      <w:bookmarkEnd w:id="35"/>
    </w:p>
    <w:p w14:paraId="64C9D7D9" w14:textId="77777777"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bookmarkStart w:id="36" w:name="dabmch_48"/>
      <w:r w:rsidRPr="00071CC6">
        <w:rPr>
          <w:rFonts w:ascii="Times New Roman" w:eastAsia="Times New Roman" w:hAnsi="Times New Roman" w:cs="Times New Roman"/>
          <w:b/>
          <w:bCs/>
          <w:i/>
          <w:iCs/>
          <w:color w:val="000000" w:themeColor="text1"/>
          <w:kern w:val="0"/>
          <w:sz w:val="26"/>
          <w:szCs w:val="26"/>
          <w14:ligatures w14:val="none"/>
        </w:rPr>
        <w:t>“You know there’s a problem with the payments”</w:t>
      </w:r>
      <w:bookmarkEnd w:id="36"/>
    </w:p>
    <w:p w14:paraId="2E6A89C8" w14:textId="62902B02"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7" w:name="dabmch_49"/>
      <w:r w:rsidRPr="00071CC6">
        <w:rPr>
          <w:rFonts w:ascii="Times New Roman" w:eastAsia="Times New Roman" w:hAnsi="Times New Roman" w:cs="Times New Roman"/>
          <w:color w:val="000000" w:themeColor="text1"/>
          <w:kern w:val="0"/>
          <w:sz w:val="26"/>
          <w:szCs w:val="26"/>
          <w14:ligatures w14:val="none"/>
        </w:rPr>
        <w:t>A day after that phone call, Silver Palms hosted its annual staff holiday party, with much of the staff in attendance. (Parker Dep. 038:155–56.) There, Blake confronted Calloway once and for all. Unbeknownst to them at the time, events staff member Kennedy Parker was hidden behind the room’s alcove but heard everything.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038:180–89.) Blake challenged Calloway: “You know there’s a problem with the payments. I</w:t>
      </w:r>
      <w:r w:rsidR="005020CA">
        <w:rPr>
          <w:rFonts w:ascii="Times New Roman" w:eastAsia="Times New Roman" w:hAnsi="Times New Roman" w:cs="Times New Roman"/>
          <w:color w:val="000000" w:themeColor="text1"/>
          <w:kern w:val="0"/>
          <w:sz w:val="26"/>
          <w:szCs w:val="26"/>
          <w14:ligatures w14:val="none"/>
        </w:rPr>
        <w:t>’</w:t>
      </w:r>
      <w:r w:rsidRPr="00071CC6">
        <w:rPr>
          <w:rFonts w:ascii="Times New Roman" w:eastAsia="Times New Roman" w:hAnsi="Times New Roman" w:cs="Times New Roman"/>
          <w:color w:val="000000" w:themeColor="text1"/>
          <w:kern w:val="0"/>
          <w:sz w:val="26"/>
          <w:szCs w:val="26"/>
          <w14:ligatures w14:val="none"/>
        </w:rPr>
        <w:t>m giving you one last chance to do the right thing.”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To which Calloway cautioned him to “back off.”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w:t>
      </w:r>
      <w:bookmarkEnd w:id="37"/>
    </w:p>
    <w:p w14:paraId="60B2CFD7" w14:textId="77777777" w:rsidR="00A52F4B" w:rsidRDefault="00A52F4B" w:rsidP="00DB2E5F">
      <w:pPr>
        <w:spacing w:after="0" w:line="480" w:lineRule="auto"/>
        <w:jc w:val="center"/>
        <w:rPr>
          <w:rFonts w:ascii="Times New Roman" w:eastAsia="Times New Roman" w:hAnsi="Times New Roman" w:cs="Times New Roman"/>
          <w:b/>
          <w:bCs/>
          <w:i/>
          <w:iCs/>
          <w:color w:val="000000" w:themeColor="text1"/>
          <w:kern w:val="0"/>
          <w:sz w:val="26"/>
          <w:szCs w:val="26"/>
          <w14:ligatures w14:val="none"/>
        </w:rPr>
      </w:pPr>
      <w:bookmarkStart w:id="38" w:name="dabmch_50"/>
    </w:p>
    <w:p w14:paraId="0FEB3470" w14:textId="77777777" w:rsidR="00A52F4B" w:rsidRDefault="00A52F4B" w:rsidP="00DB2E5F">
      <w:pPr>
        <w:spacing w:after="0" w:line="480" w:lineRule="auto"/>
        <w:jc w:val="center"/>
        <w:rPr>
          <w:rFonts w:ascii="Times New Roman" w:eastAsia="Times New Roman" w:hAnsi="Times New Roman" w:cs="Times New Roman"/>
          <w:b/>
          <w:bCs/>
          <w:i/>
          <w:iCs/>
          <w:color w:val="000000" w:themeColor="text1"/>
          <w:kern w:val="0"/>
          <w:sz w:val="26"/>
          <w:szCs w:val="26"/>
          <w14:ligatures w14:val="none"/>
        </w:rPr>
      </w:pPr>
    </w:p>
    <w:p w14:paraId="4834915A" w14:textId="46DC63BD"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r w:rsidRPr="00071CC6">
        <w:rPr>
          <w:rFonts w:ascii="Times New Roman" w:eastAsia="Times New Roman" w:hAnsi="Times New Roman" w:cs="Times New Roman"/>
          <w:b/>
          <w:bCs/>
          <w:i/>
          <w:iCs/>
          <w:color w:val="000000" w:themeColor="text1"/>
          <w:kern w:val="0"/>
          <w:sz w:val="26"/>
          <w:szCs w:val="26"/>
          <w14:ligatures w14:val="none"/>
        </w:rPr>
        <w:lastRenderedPageBreak/>
        <w:t>“Handle it”</w:t>
      </w:r>
      <w:bookmarkEnd w:id="38"/>
    </w:p>
    <w:p w14:paraId="23B8FF6A" w14:textId="77777777"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39" w:name="dabmch_51"/>
      <w:r w:rsidRPr="00071CC6">
        <w:rPr>
          <w:rFonts w:ascii="Times New Roman" w:eastAsia="Times New Roman" w:hAnsi="Times New Roman" w:cs="Times New Roman"/>
          <w:color w:val="000000" w:themeColor="text1"/>
          <w:kern w:val="0"/>
          <w:sz w:val="26"/>
          <w:szCs w:val="26"/>
          <w14:ligatures w14:val="none"/>
        </w:rPr>
        <w:t>Less than 48 hours after that conversation took place, Blake was found shot dead in his office. (Sinclair Dep. 013:216–17.) However, by the time a warrant was issued, the office had already been ransacked.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014:243–245.) Whatever Blake was working on, it wasn’t there.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014:246.)</w:t>
      </w:r>
      <w:bookmarkEnd w:id="39"/>
    </w:p>
    <w:p w14:paraId="0B2B578F" w14:textId="77777777"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40" w:name="dabmch_52"/>
      <w:r w:rsidRPr="00071CC6">
        <w:rPr>
          <w:rFonts w:ascii="Times New Roman" w:eastAsia="Times New Roman" w:hAnsi="Times New Roman" w:cs="Times New Roman"/>
          <w:color w:val="000000" w:themeColor="text1"/>
          <w:kern w:val="0"/>
          <w:sz w:val="26"/>
          <w:szCs w:val="26"/>
          <w14:ligatures w14:val="none"/>
        </w:rPr>
        <w:t>At this point, Sinclair recruited FBI Special Agent Bryce Nolan.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013:227–28.) Their combined investigative efforts revealed that Saint Donovan hired a hit man to kill Blake.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015:275–76.)</w:t>
      </w:r>
      <w:bookmarkEnd w:id="40"/>
    </w:p>
    <w:p w14:paraId="18CAB875" w14:textId="77777777"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bookmarkStart w:id="41" w:name="dabmch_53"/>
      <w:r w:rsidRPr="00071CC6">
        <w:rPr>
          <w:rFonts w:ascii="Times New Roman" w:eastAsia="Times New Roman" w:hAnsi="Times New Roman" w:cs="Times New Roman"/>
          <w:b/>
          <w:bCs/>
          <w:i/>
          <w:iCs/>
          <w:color w:val="000000" w:themeColor="text1"/>
          <w:kern w:val="0"/>
          <w:sz w:val="26"/>
          <w:szCs w:val="26"/>
          <w14:ligatures w14:val="none"/>
        </w:rPr>
        <w:t>Compelling Calloway</w:t>
      </w:r>
      <w:bookmarkEnd w:id="41"/>
    </w:p>
    <w:p w14:paraId="34131A20" w14:textId="0E86243F" w:rsidR="00071CC6" w:rsidRPr="00071CC6"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42" w:name="dabmch_54"/>
      <w:r w:rsidRPr="00071CC6">
        <w:rPr>
          <w:rFonts w:ascii="Times New Roman" w:eastAsia="Times New Roman" w:hAnsi="Times New Roman" w:cs="Times New Roman"/>
          <w:color w:val="000000" w:themeColor="text1"/>
          <w:kern w:val="0"/>
          <w:sz w:val="26"/>
          <w:szCs w:val="26"/>
          <w14:ligatures w14:val="none"/>
        </w:rPr>
        <w:t>While the government had a strong homicide case built against Donovan, the same could not be said for money laundering. (Nolan Dep. 027:154–57.) Employee interviews led to dead ends. (</w:t>
      </w:r>
      <w:r w:rsidRPr="00071CC6">
        <w:rPr>
          <w:rFonts w:ascii="Times New Roman" w:eastAsia="Times New Roman" w:hAnsi="Times New Roman" w:cs="Times New Roman"/>
          <w:i/>
          <w:iCs/>
          <w:color w:val="000000" w:themeColor="text1"/>
          <w:kern w:val="0"/>
          <w:sz w:val="26"/>
          <w:szCs w:val="26"/>
          <w14:ligatures w14:val="none"/>
        </w:rPr>
        <w:t xml:space="preserve">See </w:t>
      </w:r>
      <w:r w:rsidRPr="00071CC6">
        <w:rPr>
          <w:rFonts w:ascii="Times New Roman" w:eastAsia="Times New Roman" w:hAnsi="Times New Roman" w:cs="Times New Roman"/>
          <w:color w:val="000000" w:themeColor="text1"/>
          <w:kern w:val="0"/>
          <w:sz w:val="26"/>
          <w:szCs w:val="26"/>
          <w14:ligatures w14:val="none"/>
        </w:rPr>
        <w:t>Ex. 11.) While the United States could trace the money coming in four out of the five of the suspected shell companies, the most money flowed through Coastal, which was currently untraceable. (Sinclair Dep. 017:371–74, Nolan Dep. 026:111–027:125.) The only people that the government could connect to Coastal was Ky Chandler, the nominee beneficiary, and Sierra Seton, the operations manager. Both disappeared. But prior to Seton’s disappearance, an investigator, Maddox Armana, hired by Calloway, interviewed Seton, contents of which the government has subpoenaed. The only person left to explain the scheme was Calloway. On the one hand, Sinclair and Nol</w:t>
      </w:r>
      <w:r w:rsidR="000164DA">
        <w:rPr>
          <w:rFonts w:ascii="Times New Roman" w:eastAsia="Times New Roman" w:hAnsi="Times New Roman" w:cs="Times New Roman"/>
          <w:color w:val="000000" w:themeColor="text1"/>
          <w:kern w:val="0"/>
          <w:sz w:val="26"/>
          <w:szCs w:val="26"/>
          <w14:ligatures w14:val="none"/>
        </w:rPr>
        <w:t>a</w:t>
      </w:r>
      <w:r w:rsidRPr="00071CC6">
        <w:rPr>
          <w:rFonts w:ascii="Times New Roman" w:eastAsia="Times New Roman" w:hAnsi="Times New Roman" w:cs="Times New Roman"/>
          <w:color w:val="000000" w:themeColor="text1"/>
          <w:kern w:val="0"/>
          <w:sz w:val="26"/>
          <w:szCs w:val="26"/>
          <w14:ligatures w14:val="none"/>
        </w:rPr>
        <w:t>n were building a case against Calloway. (Nolan Dep. 030:246–47.) But on the other hand, they needed Calloway’s cooperation—to connect the dots where they couldn’t. (Nolan Dep. 028:168–71.) On August 23, 2024, the United States ordered Calloway to testify. (</w:t>
      </w:r>
      <w:r w:rsidRPr="00071CC6">
        <w:rPr>
          <w:rFonts w:ascii="Times New Roman" w:eastAsia="Times New Roman" w:hAnsi="Times New Roman" w:cs="Times New Roman"/>
          <w:i/>
          <w:iCs/>
          <w:color w:val="000000" w:themeColor="text1"/>
          <w:kern w:val="0"/>
          <w:sz w:val="26"/>
          <w:szCs w:val="26"/>
          <w14:ligatures w14:val="none"/>
        </w:rPr>
        <w:t xml:space="preserve">See </w:t>
      </w:r>
      <w:r w:rsidRPr="00071CC6">
        <w:rPr>
          <w:rFonts w:ascii="Times New Roman" w:eastAsia="Times New Roman" w:hAnsi="Times New Roman" w:cs="Times New Roman"/>
          <w:color w:val="000000" w:themeColor="text1"/>
          <w:kern w:val="0"/>
          <w:sz w:val="26"/>
          <w:szCs w:val="26"/>
          <w14:ligatures w14:val="none"/>
        </w:rPr>
        <w:lastRenderedPageBreak/>
        <w:t>Ex. 12.) A central question in the money-laundering case is who actually controlled Coastal and directed the funds that moved through it. One person could answer that question: Sierra Seton, a former Coastal operations manager. </w:t>
      </w:r>
      <w:bookmarkEnd w:id="42"/>
    </w:p>
    <w:p w14:paraId="5BDE0B40" w14:textId="77777777"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bookmarkStart w:id="43" w:name="dabmch_55"/>
      <w:r w:rsidRPr="00071CC6">
        <w:rPr>
          <w:rFonts w:ascii="Times New Roman" w:eastAsia="Times New Roman" w:hAnsi="Times New Roman" w:cs="Times New Roman"/>
          <w:b/>
          <w:bCs/>
          <w:i/>
          <w:iCs/>
          <w:color w:val="000000" w:themeColor="text1"/>
          <w:kern w:val="0"/>
          <w:sz w:val="26"/>
          <w:szCs w:val="26"/>
          <w14:ligatures w14:val="none"/>
        </w:rPr>
        <w:t>The Wall</w:t>
      </w:r>
      <w:bookmarkEnd w:id="43"/>
    </w:p>
    <w:p w14:paraId="706276FB" w14:textId="77777777" w:rsidR="00071CC6" w:rsidRPr="00071CC6" w:rsidRDefault="002D374B"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44" w:name="dabmch_56"/>
      <w:r w:rsidRPr="00071CC6">
        <w:rPr>
          <w:rFonts w:ascii="Times New Roman" w:eastAsia="Times New Roman" w:hAnsi="Times New Roman" w:cs="Times New Roman"/>
          <w:color w:val="000000" w:themeColor="text1"/>
          <w:kern w:val="0"/>
          <w:sz w:val="26"/>
          <w:szCs w:val="26"/>
          <w14:ligatures w14:val="none"/>
        </w:rPr>
        <w:tab/>
        <w:t>In order to preserve the integrity of their investigation, Sinclair and Nolan split up into two teams. (</w:t>
      </w:r>
      <w:r w:rsidRPr="00071CC6">
        <w:rPr>
          <w:rFonts w:ascii="Times New Roman" w:eastAsia="Times New Roman" w:hAnsi="Times New Roman" w:cs="Times New Roman"/>
          <w:i/>
          <w:iCs/>
          <w:color w:val="000000" w:themeColor="text1"/>
          <w:kern w:val="0"/>
          <w:sz w:val="26"/>
          <w:szCs w:val="26"/>
          <w14:ligatures w14:val="none"/>
        </w:rPr>
        <w:t xml:space="preserve">See </w:t>
      </w:r>
      <w:r w:rsidRPr="00071CC6">
        <w:rPr>
          <w:rFonts w:ascii="Times New Roman" w:eastAsia="Times New Roman" w:hAnsi="Times New Roman" w:cs="Times New Roman"/>
          <w:color w:val="000000" w:themeColor="text1"/>
          <w:kern w:val="0"/>
          <w:sz w:val="26"/>
          <w:szCs w:val="26"/>
          <w14:ligatures w14:val="none"/>
        </w:rPr>
        <w:t>Ex. 15.) Team Donovan, led by Sinclair, would use Calloway’s testimony to prosecute Donovan.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Team Calloway, led by Nolan, would isolate themselves from Calloway’s testimony, and continue building evidence in the case against her.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Additionally, evidence would be marked pre- and post Calloway immunity.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w:t>
      </w:r>
      <w:bookmarkEnd w:id="44"/>
    </w:p>
    <w:p w14:paraId="0C7B6822" w14:textId="77777777" w:rsidR="00071CC6" w:rsidRPr="00071CC6" w:rsidRDefault="002D374B"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45" w:name="dabmch_57"/>
      <w:r w:rsidRPr="00071CC6">
        <w:rPr>
          <w:rFonts w:ascii="Times New Roman" w:eastAsia="Times New Roman" w:hAnsi="Times New Roman" w:cs="Times New Roman"/>
          <w:color w:val="000000" w:themeColor="text1"/>
          <w:kern w:val="0"/>
          <w:sz w:val="26"/>
          <w:szCs w:val="26"/>
          <w14:ligatures w14:val="none"/>
        </w:rPr>
        <w:tab/>
        <w:t>Now, Nolan’s attention was exclusively on Calloway and he needed to reexamine the evidence in light of this. (</w:t>
      </w:r>
      <w:r w:rsidRPr="00071CC6">
        <w:rPr>
          <w:rFonts w:ascii="Times New Roman" w:eastAsia="Times New Roman" w:hAnsi="Times New Roman" w:cs="Times New Roman"/>
          <w:i/>
          <w:iCs/>
          <w:color w:val="000000" w:themeColor="text1"/>
          <w:kern w:val="0"/>
          <w:sz w:val="26"/>
          <w:szCs w:val="26"/>
          <w14:ligatures w14:val="none"/>
        </w:rPr>
        <w:t xml:space="preserve">See </w:t>
      </w:r>
      <w:r w:rsidRPr="00071CC6">
        <w:rPr>
          <w:rFonts w:ascii="Times New Roman" w:eastAsia="Times New Roman" w:hAnsi="Times New Roman" w:cs="Times New Roman"/>
          <w:color w:val="000000" w:themeColor="text1"/>
          <w:kern w:val="0"/>
          <w:sz w:val="26"/>
          <w:szCs w:val="26"/>
          <w14:ligatures w14:val="none"/>
        </w:rPr>
        <w:t>Ex. 16.) He directed himself to the Silver Palms Employee roster, ranking employees by the frequency they worked in 2023. (Nolan Dep. 030:269–71.) In some cases, he reinterviewed employees that provided little evidence against Donovan. (Nolan Dep. 031:300–02.) But he also circled back to interviewing witnesses he hadn’t needed for the Donovan case.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After interviews with four other employees ahead of Parker on the priority list, on October 31, 2024, Nolan interviews her. (Nolan Dep. 031:305–06.)</w:t>
      </w:r>
      <w:bookmarkEnd w:id="45"/>
    </w:p>
    <w:p w14:paraId="75569805" w14:textId="77777777" w:rsidR="00071CC6" w:rsidRPr="00071CC6" w:rsidRDefault="002D374B" w:rsidP="00DB2E5F">
      <w:pPr>
        <w:spacing w:after="0" w:line="480" w:lineRule="auto"/>
        <w:jc w:val="center"/>
        <w:rPr>
          <w:rFonts w:ascii="Times New Roman" w:eastAsia="Times New Roman" w:hAnsi="Times New Roman" w:cs="Times New Roman"/>
          <w:i/>
          <w:iCs/>
          <w:color w:val="000000" w:themeColor="text1"/>
          <w:kern w:val="0"/>
          <w:sz w:val="26"/>
          <w:szCs w:val="26"/>
          <w14:ligatures w14:val="none"/>
        </w:rPr>
      </w:pPr>
      <w:bookmarkStart w:id="46" w:name="dabmch_58"/>
      <w:r w:rsidRPr="00071CC6">
        <w:rPr>
          <w:rFonts w:ascii="Times New Roman" w:eastAsia="Times New Roman" w:hAnsi="Times New Roman" w:cs="Times New Roman"/>
          <w:b/>
          <w:bCs/>
          <w:i/>
          <w:iCs/>
          <w:color w:val="000000" w:themeColor="text1"/>
          <w:kern w:val="0"/>
          <w:sz w:val="26"/>
          <w:szCs w:val="26"/>
          <w14:ligatures w14:val="none"/>
        </w:rPr>
        <w:t>The Breakthrough</w:t>
      </w:r>
      <w:bookmarkEnd w:id="46"/>
    </w:p>
    <w:p w14:paraId="1612F673" w14:textId="77777777" w:rsidR="00071CC6" w:rsidRPr="00071CC6" w:rsidRDefault="002D374B"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47" w:name="dabmch_59"/>
      <w:r w:rsidRPr="00071CC6">
        <w:rPr>
          <w:rFonts w:ascii="Times New Roman" w:eastAsia="Times New Roman" w:hAnsi="Times New Roman" w:cs="Times New Roman"/>
          <w:color w:val="000000" w:themeColor="text1"/>
          <w:kern w:val="0"/>
          <w:sz w:val="26"/>
          <w:szCs w:val="26"/>
          <w14:ligatures w14:val="none"/>
        </w:rPr>
        <w:tab/>
        <w:t>Through Parker, not only did Nolan discover the substance of the holiday party argument, but an errand Parker ran for Calloway ten days later. (</w:t>
      </w:r>
      <w:r w:rsidRPr="00071CC6">
        <w:rPr>
          <w:rFonts w:ascii="Times New Roman" w:eastAsia="Times New Roman" w:hAnsi="Times New Roman" w:cs="Times New Roman"/>
          <w:i/>
          <w:iCs/>
          <w:color w:val="000000" w:themeColor="text1"/>
          <w:kern w:val="0"/>
          <w:sz w:val="26"/>
          <w:szCs w:val="26"/>
          <w14:ligatures w14:val="none"/>
        </w:rPr>
        <w:t xml:space="preserve">See </w:t>
      </w:r>
      <w:r w:rsidRPr="00071CC6">
        <w:rPr>
          <w:rFonts w:ascii="Times New Roman" w:eastAsia="Times New Roman" w:hAnsi="Times New Roman" w:cs="Times New Roman"/>
          <w:color w:val="000000" w:themeColor="text1"/>
          <w:kern w:val="0"/>
          <w:sz w:val="26"/>
          <w:szCs w:val="26"/>
          <w14:ligatures w14:val="none"/>
        </w:rPr>
        <w:t>Ex. 18.) At Calloway’s instruction, Parker took a banker’s box marked “Coastal” to an offsite storage facility.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w:t>
      </w:r>
      <w:r w:rsidRPr="00071CC6">
        <w:rPr>
          <w:rFonts w:ascii="Times New Roman" w:eastAsia="Times New Roman" w:hAnsi="Times New Roman" w:cs="Times New Roman"/>
          <w:color w:val="000000" w:themeColor="text1"/>
          <w:kern w:val="0"/>
          <w:sz w:val="26"/>
          <w:szCs w:val="26"/>
          <w14:ligatures w14:val="none"/>
        </w:rPr>
        <w:lastRenderedPageBreak/>
        <w:t>Before Nolan, Parker never spoke to police about any of it.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She didn’t even follow the Donovan trial. (Parker Dep. 042:307–13.)</w:t>
      </w:r>
      <w:bookmarkEnd w:id="47"/>
    </w:p>
    <w:p w14:paraId="70854C5A" w14:textId="77777777" w:rsidR="00071CC6" w:rsidRPr="00DB2E5F" w:rsidRDefault="002D374B"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48" w:name="dabmch_60"/>
      <w:r w:rsidRPr="00071CC6">
        <w:rPr>
          <w:rFonts w:ascii="Times New Roman" w:eastAsia="Times New Roman" w:hAnsi="Times New Roman" w:cs="Times New Roman"/>
          <w:color w:val="000000" w:themeColor="text1"/>
          <w:kern w:val="0"/>
          <w:sz w:val="26"/>
          <w:szCs w:val="26"/>
          <w14:ligatures w14:val="none"/>
        </w:rPr>
        <w:tab/>
        <w:t>Shortly after, Nolan located the storage unit. (Nolan Dep. 033:352–53.) Inside the banker’s box was a banking record that tied Calloway to the Coastal account.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at 033:357–60.) Calloway was indicted for homicide and money laundering. (</w:t>
      </w:r>
      <w:r w:rsidRPr="00071CC6">
        <w:rPr>
          <w:rFonts w:ascii="Times New Roman" w:eastAsia="Times New Roman" w:hAnsi="Times New Roman" w:cs="Times New Roman"/>
          <w:i/>
          <w:iCs/>
          <w:color w:val="000000" w:themeColor="text1"/>
          <w:kern w:val="0"/>
          <w:sz w:val="26"/>
          <w:szCs w:val="26"/>
          <w14:ligatures w14:val="none"/>
        </w:rPr>
        <w:t>Id.</w:t>
      </w:r>
      <w:r w:rsidRPr="00071CC6">
        <w:rPr>
          <w:rFonts w:ascii="Times New Roman" w:eastAsia="Times New Roman" w:hAnsi="Times New Roman" w:cs="Times New Roman"/>
          <w:color w:val="000000" w:themeColor="text1"/>
          <w:kern w:val="0"/>
          <w:sz w:val="26"/>
          <w:szCs w:val="26"/>
          <w14:ligatures w14:val="none"/>
        </w:rPr>
        <w:t xml:space="preserve"> at 033:377–79.)</w:t>
      </w:r>
      <w:bookmarkEnd w:id="48"/>
    </w:p>
    <w:p w14:paraId="44CF09D6" w14:textId="77777777" w:rsidR="00C13CCF" w:rsidRPr="00C13CCF" w:rsidRDefault="002D374B" w:rsidP="00D51215">
      <w:pPr>
        <w:pStyle w:val="Heading1"/>
        <w:spacing w:before="0"/>
        <w:jc w:val="center"/>
        <w:rPr>
          <w:rFonts w:ascii="Times New Roman" w:eastAsia="Times New Roman" w:hAnsi="Times New Roman" w:cs="Times New Roman"/>
          <w:b/>
          <w:bCs/>
          <w:color w:val="000000" w:themeColor="text1"/>
          <w:kern w:val="0"/>
          <w:sz w:val="26"/>
          <w:szCs w:val="26"/>
          <w14:ligatures w14:val="none"/>
        </w:rPr>
      </w:pPr>
      <w:bookmarkStart w:id="49" w:name="dabmch_61"/>
      <w:bookmarkStart w:id="50" w:name="_Toc239155232"/>
      <w:r w:rsidRPr="00276094">
        <w:rPr>
          <w:rFonts w:ascii="Times New Roman" w:eastAsia="Times New Roman" w:hAnsi="Times New Roman" w:cs="Times New Roman"/>
          <w:b/>
          <w:bCs/>
          <w:color w:val="000000" w:themeColor="text1"/>
          <w:kern w:val="0"/>
          <w:sz w:val="26"/>
          <w:szCs w:val="26"/>
          <w14:ligatures w14:val="none"/>
        </w:rPr>
        <w:t>ARGUMENT</w:t>
      </w:r>
      <w:bookmarkEnd w:id="49"/>
      <w:bookmarkEnd w:id="50"/>
    </w:p>
    <w:p w14:paraId="55B93B5F"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51" w:name="dabmch_62"/>
      <w:r w:rsidRPr="00C13CCF">
        <w:rPr>
          <w:rFonts w:ascii="Times New Roman" w:eastAsia="Times New Roman" w:hAnsi="Times New Roman" w:cs="Times New Roman"/>
          <w:color w:val="000000" w:themeColor="text1"/>
          <w:kern w:val="0"/>
          <w:sz w:val="26"/>
          <w:szCs w:val="26"/>
          <w14:ligatures w14:val="none"/>
        </w:rPr>
        <w:t>The United States meets its burden. Its wall-off procedure protected Nolan from exposure to immunized testimony. Parker was not identified from Calloway’s testimony but from employee records obtained prior to Calloway’s immunity. Because Nolan was independently led to Parker through the records, and Parker herself was untainted, the United States’ discovery of Exhibit 19 was likewise untainted. </w:t>
      </w:r>
      <w:bookmarkEnd w:id="51"/>
    </w:p>
    <w:p w14:paraId="3E27832E" w14:textId="751A8EA2" w:rsidR="00C13CCF" w:rsidRPr="00DB2E5F" w:rsidRDefault="002D374B" w:rsidP="000564BD">
      <w:pPr>
        <w:pStyle w:val="Heading2"/>
        <w:numPr>
          <w:ilvl w:val="0"/>
          <w:numId w:val="24"/>
        </w:numPr>
        <w:spacing w:line="240" w:lineRule="auto"/>
        <w:jc w:val="both"/>
        <w:rPr>
          <w:rFonts w:ascii="Times New Roman" w:eastAsia="Times New Roman" w:hAnsi="Times New Roman" w:cs="Times New Roman"/>
          <w:b/>
          <w:bCs/>
          <w:color w:val="000000" w:themeColor="text1"/>
          <w:sz w:val="26"/>
          <w:szCs w:val="26"/>
        </w:rPr>
      </w:pPr>
      <w:bookmarkStart w:id="52" w:name="_Toc239113016"/>
      <w:bookmarkStart w:id="53" w:name="_Toc239149369"/>
      <w:bookmarkStart w:id="54" w:name="dabmch_63"/>
      <w:bookmarkStart w:id="55" w:name="_Toc239155233"/>
      <w:r w:rsidRPr="00DB2E5F">
        <w:rPr>
          <w:rFonts w:ascii="Times New Roman" w:eastAsia="Times New Roman" w:hAnsi="Times New Roman" w:cs="Times New Roman"/>
          <w:b/>
          <w:bCs/>
          <w:color w:val="000000" w:themeColor="text1"/>
          <w:sz w:val="26"/>
          <w:szCs w:val="26"/>
        </w:rPr>
        <w:t xml:space="preserve">The United States Meets Its Burden Under </w:t>
      </w:r>
      <w:r w:rsidRPr="00DB2E5F">
        <w:rPr>
          <w:rFonts w:ascii="Times New Roman" w:eastAsia="Times New Roman" w:hAnsi="Times New Roman" w:cs="Times New Roman"/>
          <w:b/>
          <w:bCs/>
          <w:i/>
          <w:iCs/>
          <w:color w:val="000000" w:themeColor="text1"/>
          <w:sz w:val="26"/>
          <w:szCs w:val="26"/>
        </w:rPr>
        <w:t>Kastigar</w:t>
      </w:r>
      <w:r w:rsidRPr="00DB2E5F">
        <w:rPr>
          <w:rFonts w:ascii="Times New Roman" w:eastAsia="Times New Roman" w:hAnsi="Times New Roman" w:cs="Times New Roman"/>
          <w:b/>
          <w:bCs/>
          <w:color w:val="000000" w:themeColor="text1"/>
          <w:sz w:val="26"/>
          <w:szCs w:val="26"/>
        </w:rPr>
        <w:t xml:space="preserve"> Because Parker's Statements Are Derived From an Independent, Walled-Off Investigation, and Exhibit 19 Was Recovered Pursuant to Parker's Untainted Interview.</w:t>
      </w:r>
      <w:bookmarkEnd w:id="52"/>
      <w:bookmarkEnd w:id="53"/>
      <w:bookmarkEnd w:id="54"/>
      <w:bookmarkEnd w:id="55"/>
    </w:p>
    <w:p w14:paraId="0CE0431F" w14:textId="0B60E546" w:rsidR="00C13CCF" w:rsidRPr="00C13CCF" w:rsidRDefault="002D374B" w:rsidP="00A52F4B">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56" w:name="dabmch_64"/>
      <w:r w:rsidRPr="00C13CCF">
        <w:rPr>
          <w:rFonts w:ascii="Times New Roman" w:eastAsia="Times New Roman" w:hAnsi="Times New Roman" w:cs="Times New Roman"/>
          <w:color w:val="000000" w:themeColor="text1"/>
          <w:kern w:val="0"/>
          <w:sz w:val="26"/>
          <w:szCs w:val="26"/>
          <w14:ligatures w14:val="none"/>
        </w:rPr>
        <w:t>The Fifth Amendment provides that “[n]o person shall . . . be compelled in any criminal case to be a witness against himself</w:t>
      </w:r>
      <w:r w:rsidR="006E3068">
        <w:rPr>
          <w:rFonts w:ascii="Times New Roman" w:eastAsia="Times New Roman" w:hAnsi="Times New Roman" w:cs="Times New Roman"/>
          <w:color w:val="000000" w:themeColor="text1"/>
          <w:kern w:val="0"/>
          <w:sz w:val="26"/>
          <w:szCs w:val="26"/>
          <w14:ligatures w14:val="none"/>
        </w:rPr>
        <w:t>.</w:t>
      </w:r>
      <w:r w:rsidRPr="00C13CCF">
        <w:rPr>
          <w:rFonts w:ascii="Times New Roman" w:eastAsia="Times New Roman" w:hAnsi="Times New Roman" w:cs="Times New Roman"/>
          <w:color w:val="000000" w:themeColor="text1"/>
          <w:kern w:val="0"/>
          <w:sz w:val="26"/>
          <w:szCs w:val="26"/>
          <w14:ligatures w14:val="none"/>
        </w:rPr>
        <w:t xml:space="preserve">” </w:t>
      </w:r>
      <w:bookmarkStart w:id="57" w:name="dabmci_454b09bea8e74bea893b875953562f4a"/>
      <w:r w:rsidRPr="00C13CCF">
        <w:rPr>
          <w:rFonts w:ascii="Times New Roman" w:eastAsia="Times New Roman" w:hAnsi="Times New Roman" w:cs="Times New Roman"/>
          <w:color w:val="000000" w:themeColor="text1"/>
          <w:kern w:val="0"/>
          <w:sz w:val="26"/>
          <w:szCs w:val="26"/>
          <w14:ligatures w14:val="none"/>
        </w:rPr>
        <w:t>U.S. Const. amend. V</w:t>
      </w:r>
      <w:bookmarkStart w:id="58" w:name="dabmen_454b09bea8e74bea893b875953562f4a"/>
      <w:bookmarkEnd w:id="57"/>
      <w:bookmarkEnd w:id="58"/>
      <w:r w:rsidRPr="00C13CCF">
        <w:rPr>
          <w:rFonts w:ascii="Times New Roman" w:eastAsia="Times New Roman" w:hAnsi="Times New Roman" w:cs="Times New Roman"/>
          <w:color w:val="000000" w:themeColor="text1"/>
          <w:kern w:val="0"/>
          <w:sz w:val="26"/>
          <w:szCs w:val="26"/>
          <w14:ligatures w14:val="none"/>
        </w:rPr>
        <w:t xml:space="preserve">. In effect, it protects an individual against self-incrimination.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59" w:name="dabmci_0bdd4933099d4acea3df947f69383675"/>
      <w:r w:rsidRPr="00C13CCF">
        <w:rPr>
          <w:rFonts w:ascii="Times New Roman" w:eastAsia="Times New Roman" w:hAnsi="Times New Roman" w:cs="Times New Roman"/>
          <w:i/>
          <w:iCs/>
          <w:color w:val="000000" w:themeColor="text1"/>
          <w:kern w:val="0"/>
          <w:sz w:val="26"/>
          <w:szCs w:val="26"/>
          <w14:ligatures w14:val="none"/>
        </w:rPr>
        <w:t>Miranda v. Arizona</w:t>
      </w:r>
      <w:r w:rsidRPr="00C13CCF">
        <w:rPr>
          <w:rFonts w:ascii="Times New Roman" w:eastAsia="Times New Roman" w:hAnsi="Times New Roman" w:cs="Times New Roman"/>
          <w:color w:val="000000" w:themeColor="text1"/>
          <w:kern w:val="0"/>
          <w:sz w:val="26"/>
          <w:szCs w:val="26"/>
          <w14:ligatures w14:val="none"/>
        </w:rPr>
        <w:t>, 384 U.S. 436, 467 (1966)</w:t>
      </w:r>
      <w:bookmarkStart w:id="60" w:name="dabmen_0bdd4933099d4acea3df947f69383675"/>
      <w:bookmarkEnd w:id="59"/>
      <w:bookmarkEnd w:id="60"/>
      <w:r w:rsidRPr="00C13CCF">
        <w:rPr>
          <w:rFonts w:ascii="Times New Roman" w:eastAsia="Times New Roman" w:hAnsi="Times New Roman" w:cs="Times New Roman"/>
          <w:color w:val="000000" w:themeColor="text1"/>
          <w:kern w:val="0"/>
          <w:sz w:val="26"/>
          <w:szCs w:val="26"/>
          <w14:ligatures w14:val="none"/>
        </w:rPr>
        <w:t xml:space="preserve">. However, it does not protect against the United States’ ability to compel a witness to testify and use such testimony to incriminate someone else.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61" w:name="dabmci_d47138a2f3b7459d9a5d7c0467945982"/>
      <w:r w:rsidRPr="00C13CCF">
        <w:rPr>
          <w:rFonts w:ascii="Times New Roman" w:eastAsia="Times New Roman" w:hAnsi="Times New Roman" w:cs="Times New Roman"/>
          <w:i/>
          <w:iCs/>
          <w:color w:val="000000" w:themeColor="text1"/>
          <w:kern w:val="0"/>
          <w:sz w:val="26"/>
          <w:szCs w:val="26"/>
          <w14:ligatures w14:val="none"/>
        </w:rPr>
        <w:t>Kastigar v. United States</w:t>
      </w:r>
      <w:r w:rsidRPr="00C13CCF">
        <w:rPr>
          <w:rFonts w:ascii="Times New Roman" w:eastAsia="Times New Roman" w:hAnsi="Times New Roman" w:cs="Times New Roman"/>
          <w:color w:val="000000" w:themeColor="text1"/>
          <w:kern w:val="0"/>
          <w:sz w:val="26"/>
          <w:szCs w:val="26"/>
          <w14:ligatures w14:val="none"/>
        </w:rPr>
        <w:t>, 406 U.S. 441, 443 (1972)</w:t>
      </w:r>
      <w:bookmarkStart w:id="62" w:name="dabmen_d47138a2f3b7459d9a5d7c0467945982"/>
      <w:bookmarkEnd w:id="61"/>
      <w:bookmarkEnd w:id="62"/>
      <w:r w:rsidRPr="00C13CCF">
        <w:rPr>
          <w:rFonts w:ascii="Times New Roman" w:eastAsia="Times New Roman" w:hAnsi="Times New Roman" w:cs="Times New Roman"/>
          <w:color w:val="000000" w:themeColor="text1"/>
          <w:kern w:val="0"/>
          <w:sz w:val="26"/>
          <w:szCs w:val="26"/>
          <w14:ligatures w14:val="none"/>
        </w:rPr>
        <w:t xml:space="preserve"> (“The power of the government to compel persons to testify in court . . . is firmly established in Anglo-American jurisprudence.”). Simply put, the United States cannot force you to tell on yourself; but it can force you to tell on someone else. </w:t>
      </w:r>
      <w:bookmarkEnd w:id="56"/>
    </w:p>
    <w:p w14:paraId="127BB3B6"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63" w:name="dabmch_65"/>
      <w:r w:rsidRPr="00C13CCF">
        <w:rPr>
          <w:rFonts w:ascii="Times New Roman" w:eastAsia="Times New Roman" w:hAnsi="Times New Roman" w:cs="Times New Roman"/>
          <w:color w:val="000000" w:themeColor="text1"/>
          <w:kern w:val="0"/>
          <w:sz w:val="26"/>
          <w:szCs w:val="26"/>
          <w14:ligatures w14:val="none"/>
        </w:rPr>
        <w:lastRenderedPageBreak/>
        <w:t xml:space="preserve">Neither does the Fifth Amendment protect against the later prosecution of a compelled witness, so long as they are granted use and derivative use immunity. </w:t>
      </w:r>
      <w:bookmarkStart w:id="64" w:name="dabmci_d7bd4a08b16948429db3694e1ef512d6"/>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at 460</w:t>
      </w:r>
      <w:bookmarkStart w:id="65" w:name="dabmen_d7bd4a08b16948429db3694e1ef512d6"/>
      <w:bookmarkEnd w:id="64"/>
      <w:bookmarkEnd w:id="65"/>
      <w:r w:rsidRPr="00C13CCF">
        <w:rPr>
          <w:rFonts w:ascii="Times New Roman" w:eastAsia="Times New Roman" w:hAnsi="Times New Roman" w:cs="Times New Roman"/>
          <w:color w:val="000000" w:themeColor="text1"/>
          <w:kern w:val="0"/>
          <w:sz w:val="26"/>
          <w:szCs w:val="26"/>
          <w14:ligatures w14:val="none"/>
        </w:rPr>
        <w:t xml:space="preserve">. Use immunity prohibits the United States from using the compelled testimony to prosecute the witness. </w:t>
      </w:r>
      <w:bookmarkStart w:id="66" w:name="dabmci_26be25deb83345a3bd7a829239703ee7"/>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at 455</w:t>
      </w:r>
      <w:bookmarkStart w:id="67" w:name="dabmen_26be25deb83345a3bd7a829239703ee7"/>
      <w:bookmarkEnd w:id="66"/>
      <w:bookmarkEnd w:id="67"/>
      <w:r w:rsidRPr="00C13CCF">
        <w:rPr>
          <w:rFonts w:ascii="Times New Roman" w:eastAsia="Times New Roman" w:hAnsi="Times New Roman" w:cs="Times New Roman"/>
          <w:color w:val="000000" w:themeColor="text1"/>
          <w:kern w:val="0"/>
          <w:sz w:val="26"/>
          <w:szCs w:val="26"/>
          <w14:ligatures w14:val="none"/>
        </w:rPr>
        <w:t xml:space="preserve">; </w:t>
      </w:r>
      <w:r w:rsidRPr="00C13CCF">
        <w:rPr>
          <w:rFonts w:ascii="Times New Roman" w:eastAsia="Times New Roman" w:hAnsi="Times New Roman" w:cs="Times New Roman"/>
          <w:i/>
          <w:iCs/>
          <w:color w:val="000000" w:themeColor="text1"/>
          <w:kern w:val="0"/>
          <w:sz w:val="26"/>
          <w:szCs w:val="26"/>
          <w14:ligatures w14:val="none"/>
        </w:rPr>
        <w:t>see, e.g.</w:t>
      </w:r>
      <w:r w:rsidRPr="00C13CCF">
        <w:rPr>
          <w:rFonts w:ascii="Times New Roman" w:eastAsia="Times New Roman" w:hAnsi="Times New Roman" w:cs="Times New Roman"/>
          <w:color w:val="000000" w:themeColor="text1"/>
          <w:kern w:val="0"/>
          <w:sz w:val="26"/>
          <w:szCs w:val="26"/>
          <w14:ligatures w14:val="none"/>
        </w:rPr>
        <w:t>,</w:t>
      </w:r>
      <w:r w:rsidRPr="00C13CCF">
        <w:rPr>
          <w:rFonts w:ascii="Times New Roman" w:eastAsia="Times New Roman" w:hAnsi="Times New Roman" w:cs="Times New Roman"/>
          <w:i/>
          <w:iCs/>
          <w:color w:val="000000" w:themeColor="text1"/>
          <w:kern w:val="0"/>
          <w:sz w:val="26"/>
          <w:szCs w:val="26"/>
          <w14:ligatures w14:val="none"/>
        </w:rPr>
        <w:t xml:space="preserve"> </w:t>
      </w:r>
      <w:bookmarkStart w:id="68" w:name="dabmci_ea0ed830eb6147d695bd83e825cb4fb7"/>
      <w:r w:rsidRPr="00C13CCF">
        <w:rPr>
          <w:rFonts w:ascii="Times New Roman" w:eastAsia="Times New Roman" w:hAnsi="Times New Roman" w:cs="Times New Roman"/>
          <w:i/>
          <w:iCs/>
          <w:color w:val="000000" w:themeColor="text1"/>
          <w:kern w:val="0"/>
          <w:sz w:val="26"/>
          <w:szCs w:val="26"/>
          <w14:ligatures w14:val="none"/>
        </w:rPr>
        <w:t>United States v. Pelletier</w:t>
      </w:r>
      <w:r w:rsidRPr="00C13CCF">
        <w:rPr>
          <w:rFonts w:ascii="Times New Roman" w:eastAsia="Times New Roman" w:hAnsi="Times New Roman" w:cs="Times New Roman"/>
          <w:color w:val="000000" w:themeColor="text1"/>
          <w:kern w:val="0"/>
          <w:sz w:val="26"/>
          <w:szCs w:val="26"/>
          <w14:ligatures w14:val="none"/>
        </w:rPr>
        <w:t>, 898 F.2d 297, 303 (2d Cir. 1990)</w:t>
      </w:r>
      <w:bookmarkStart w:id="69" w:name="dabmen_ea0ed830eb6147d695bd83e825cb4fb7"/>
      <w:bookmarkEnd w:id="68"/>
      <w:bookmarkEnd w:id="69"/>
      <w:r w:rsidRPr="00C13CCF">
        <w:rPr>
          <w:rFonts w:ascii="Times New Roman" w:eastAsia="Times New Roman" w:hAnsi="Times New Roman" w:cs="Times New Roman"/>
          <w:color w:val="000000" w:themeColor="text1"/>
          <w:kern w:val="0"/>
          <w:sz w:val="26"/>
          <w:szCs w:val="26"/>
          <w14:ligatures w14:val="none"/>
        </w:rPr>
        <w:t xml:space="preserve"> (prohibiting use of compelled testimony at trial).  Derivative use prohibits the use of evidence derived directly or indirectly from the compelled testimony. </w:t>
      </w:r>
      <w:bookmarkStart w:id="70" w:name="dabmci_63c04691182c419297ab00ccf9ddfff4"/>
      <w:r w:rsidRPr="00C13CCF">
        <w:rPr>
          <w:rFonts w:ascii="Times New Roman" w:eastAsia="Times New Roman" w:hAnsi="Times New Roman" w:cs="Times New Roman"/>
          <w:i/>
          <w:iCs/>
          <w:color w:val="000000" w:themeColor="text1"/>
          <w:kern w:val="0"/>
          <w:sz w:val="26"/>
          <w:szCs w:val="26"/>
          <w14:ligatures w14:val="none"/>
        </w:rPr>
        <w:t>Kastigar</w:t>
      </w:r>
      <w:r w:rsidRPr="00C13CCF">
        <w:rPr>
          <w:rFonts w:ascii="Times New Roman" w:eastAsia="Times New Roman" w:hAnsi="Times New Roman" w:cs="Times New Roman"/>
          <w:color w:val="000000" w:themeColor="text1"/>
          <w:kern w:val="0"/>
          <w:sz w:val="26"/>
          <w:szCs w:val="26"/>
          <w14:ligatures w14:val="none"/>
        </w:rPr>
        <w:t>, 406 U.S. at 455</w:t>
      </w:r>
      <w:bookmarkStart w:id="71" w:name="dabmen_63c04691182c419297ab00ccf9ddfff4"/>
      <w:bookmarkEnd w:id="70"/>
      <w:bookmarkEnd w:id="71"/>
      <w:r w:rsidRPr="00C13CCF">
        <w:rPr>
          <w:rFonts w:ascii="Times New Roman" w:eastAsia="Times New Roman" w:hAnsi="Times New Roman" w:cs="Times New Roman"/>
          <w:color w:val="000000" w:themeColor="text1"/>
          <w:kern w:val="0"/>
          <w:sz w:val="26"/>
          <w:szCs w:val="26"/>
          <w14:ligatures w14:val="none"/>
        </w:rPr>
        <w:t xml:space="preserve">; </w:t>
      </w:r>
      <w:r w:rsidRPr="00C13CCF">
        <w:rPr>
          <w:rFonts w:ascii="Times New Roman" w:eastAsia="Times New Roman" w:hAnsi="Times New Roman" w:cs="Times New Roman"/>
          <w:i/>
          <w:iCs/>
          <w:color w:val="000000" w:themeColor="text1"/>
          <w:kern w:val="0"/>
          <w:sz w:val="26"/>
          <w:szCs w:val="26"/>
          <w14:ligatures w14:val="none"/>
        </w:rPr>
        <w:t>see, e.g.</w:t>
      </w:r>
      <w:r w:rsidRPr="00C13CCF">
        <w:rPr>
          <w:rFonts w:ascii="Times New Roman" w:eastAsia="Times New Roman" w:hAnsi="Times New Roman" w:cs="Times New Roman"/>
          <w:color w:val="000000" w:themeColor="text1"/>
          <w:kern w:val="0"/>
          <w:sz w:val="26"/>
          <w:szCs w:val="26"/>
          <w14:ligatures w14:val="none"/>
        </w:rPr>
        <w:t xml:space="preserve">, </w:t>
      </w:r>
      <w:bookmarkStart w:id="72" w:name="dabmci_fbb6a5a405a640f7bb247d8ae740429a"/>
      <w:r w:rsidRPr="00C13CCF">
        <w:rPr>
          <w:rFonts w:ascii="Times New Roman" w:eastAsia="Times New Roman" w:hAnsi="Times New Roman" w:cs="Times New Roman"/>
          <w:i/>
          <w:iCs/>
          <w:color w:val="000000" w:themeColor="text1"/>
          <w:kern w:val="0"/>
          <w:sz w:val="26"/>
          <w:szCs w:val="26"/>
          <w14:ligatures w14:val="none"/>
        </w:rPr>
        <w:t>United States v. Harris</w:t>
      </w:r>
      <w:r w:rsidRPr="00C13CCF">
        <w:rPr>
          <w:rFonts w:ascii="Times New Roman" w:eastAsia="Times New Roman" w:hAnsi="Times New Roman" w:cs="Times New Roman"/>
          <w:color w:val="000000" w:themeColor="text1"/>
          <w:kern w:val="0"/>
          <w:sz w:val="26"/>
          <w:szCs w:val="26"/>
          <w14:ligatures w14:val="none"/>
        </w:rPr>
        <w:t>, 973 F.2d 333, 338 (4th Cir. 1992)</w:t>
      </w:r>
      <w:bookmarkStart w:id="73" w:name="dabmen_fbb6a5a405a640f7bb247d8ae740429a"/>
      <w:bookmarkEnd w:id="72"/>
      <w:bookmarkEnd w:id="73"/>
      <w:r w:rsidRPr="00C13CCF">
        <w:rPr>
          <w:rFonts w:ascii="Times New Roman" w:eastAsia="Times New Roman" w:hAnsi="Times New Roman" w:cs="Times New Roman"/>
          <w:color w:val="000000" w:themeColor="text1"/>
          <w:kern w:val="0"/>
          <w:sz w:val="26"/>
          <w:szCs w:val="26"/>
          <w14:ligatures w14:val="none"/>
        </w:rPr>
        <w:t xml:space="preserve"> (disallowing using compelled testimony as an investigatory lead)</w:t>
      </w:r>
      <w:r w:rsidRPr="00C13CCF">
        <w:rPr>
          <w:rFonts w:ascii="Times New Roman" w:eastAsia="Times New Roman" w:hAnsi="Times New Roman" w:cs="Times New Roman"/>
          <w:i/>
          <w:iCs/>
          <w:color w:val="000000" w:themeColor="text1"/>
          <w:kern w:val="0"/>
          <w:sz w:val="26"/>
          <w:szCs w:val="26"/>
          <w14:ligatures w14:val="none"/>
        </w:rPr>
        <w:t>.</w:t>
      </w:r>
      <w:r w:rsidRPr="00C13CCF">
        <w:rPr>
          <w:rFonts w:ascii="Times New Roman" w:eastAsia="Times New Roman" w:hAnsi="Times New Roman" w:cs="Times New Roman"/>
          <w:color w:val="000000" w:themeColor="text1"/>
          <w:kern w:val="0"/>
          <w:sz w:val="26"/>
          <w:szCs w:val="26"/>
          <w14:ligatures w14:val="none"/>
        </w:rPr>
        <w:t xml:space="preserve"> Compelled testimony, together with such immunity, is coextensive with the Fifth Amendment because it “leaves the witness and the Federal Government in substantially the same position as if the witness had claimed his privilege in the absence of a grant of immunity.” </w:t>
      </w:r>
      <w:bookmarkStart w:id="74" w:name="dabmci_b21143ce8b9c4f7091f57611e44514e0"/>
      <w:r w:rsidRPr="00C13CCF">
        <w:rPr>
          <w:rFonts w:ascii="Times New Roman" w:eastAsia="Times New Roman" w:hAnsi="Times New Roman" w:cs="Times New Roman"/>
          <w:i/>
          <w:iCs/>
          <w:color w:val="000000" w:themeColor="text1"/>
          <w:kern w:val="0"/>
          <w:sz w:val="26"/>
          <w:szCs w:val="26"/>
          <w14:ligatures w14:val="none"/>
        </w:rPr>
        <w:t>Kastigar</w:t>
      </w:r>
      <w:r w:rsidRPr="00C13CCF">
        <w:rPr>
          <w:rFonts w:ascii="Times New Roman" w:eastAsia="Times New Roman" w:hAnsi="Times New Roman" w:cs="Times New Roman"/>
          <w:color w:val="000000" w:themeColor="text1"/>
          <w:kern w:val="0"/>
          <w:sz w:val="26"/>
          <w:szCs w:val="26"/>
          <w14:ligatures w14:val="none"/>
        </w:rPr>
        <w:t>, 406 U.S. at 458 (citation modified)</w:t>
      </w:r>
      <w:bookmarkStart w:id="75" w:name="dabmen_b21143ce8b9c4f7091f57611e44514e0"/>
      <w:bookmarkEnd w:id="74"/>
      <w:bookmarkEnd w:id="75"/>
      <w:r w:rsidRPr="00C13CCF">
        <w:rPr>
          <w:rFonts w:ascii="Times New Roman" w:eastAsia="Times New Roman" w:hAnsi="Times New Roman" w:cs="Times New Roman"/>
          <w:color w:val="000000" w:themeColor="text1"/>
          <w:kern w:val="0"/>
          <w:sz w:val="26"/>
          <w:szCs w:val="26"/>
          <w14:ligatures w14:val="none"/>
        </w:rPr>
        <w:t>.</w:t>
      </w:r>
      <w:bookmarkEnd w:id="63"/>
    </w:p>
    <w:p w14:paraId="2EAA107B"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76" w:name="dabmch_66"/>
      <w:r w:rsidRPr="00C13CCF">
        <w:rPr>
          <w:rFonts w:ascii="Times New Roman" w:eastAsia="Times New Roman" w:hAnsi="Times New Roman" w:cs="Times New Roman"/>
          <w:color w:val="000000" w:themeColor="text1"/>
          <w:kern w:val="0"/>
          <w:sz w:val="26"/>
          <w:szCs w:val="26"/>
          <w14:ligatures w14:val="none"/>
        </w:rPr>
        <w:t xml:space="preserve">A defendant may challenge her prosecution upon a showing of a grant of immunity. </w:t>
      </w:r>
      <w:bookmarkStart w:id="77" w:name="dabmci_62d93790112245b4abc00a7003936730"/>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at 460</w:t>
      </w:r>
      <w:bookmarkStart w:id="78" w:name="dabmen_62d93790112245b4abc00a7003936730"/>
      <w:bookmarkEnd w:id="77"/>
      <w:bookmarkEnd w:id="78"/>
      <w:r w:rsidRPr="00C13CCF">
        <w:rPr>
          <w:rFonts w:ascii="Times New Roman" w:eastAsia="Times New Roman" w:hAnsi="Times New Roman" w:cs="Times New Roman"/>
          <w:color w:val="000000" w:themeColor="text1"/>
          <w:kern w:val="0"/>
          <w:sz w:val="26"/>
          <w:szCs w:val="26"/>
          <w14:ligatures w14:val="none"/>
        </w:rPr>
        <w:t xml:space="preserve">. The United States must then prove by a preponderance of the evidence that the evidence was obtained from legitimate independent sources.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79" w:name="dabmci_1b7365fa2be84222b424c3afe65c001b"/>
      <w:r w:rsidRPr="00C13CCF">
        <w:rPr>
          <w:rFonts w:ascii="Times New Roman" w:eastAsia="Times New Roman" w:hAnsi="Times New Roman" w:cs="Times New Roman"/>
          <w:i/>
          <w:iCs/>
          <w:color w:val="000000" w:themeColor="text1"/>
          <w:kern w:val="0"/>
          <w:sz w:val="26"/>
          <w:szCs w:val="26"/>
          <w14:ligatures w14:val="none"/>
        </w:rPr>
        <w:t>United States v. Byrd</w:t>
      </w:r>
      <w:r w:rsidRPr="00C13CCF">
        <w:rPr>
          <w:rFonts w:ascii="Times New Roman" w:eastAsia="Times New Roman" w:hAnsi="Times New Roman" w:cs="Times New Roman"/>
          <w:color w:val="000000" w:themeColor="text1"/>
          <w:kern w:val="0"/>
          <w:sz w:val="26"/>
          <w:szCs w:val="26"/>
          <w14:ligatures w14:val="none"/>
        </w:rPr>
        <w:t>, 765 F.2d 1524, 1529 (11th Cir. 1985)</w:t>
      </w:r>
      <w:bookmarkStart w:id="80" w:name="dabmen_1b7365fa2be84222b424c3afe65c001b"/>
      <w:bookmarkEnd w:id="79"/>
      <w:bookmarkEnd w:id="80"/>
      <w:r w:rsidRPr="00C13CCF">
        <w:rPr>
          <w:rFonts w:ascii="Times New Roman" w:eastAsia="Times New Roman" w:hAnsi="Times New Roman" w:cs="Times New Roman"/>
          <w:color w:val="000000" w:themeColor="text1"/>
          <w:kern w:val="0"/>
          <w:sz w:val="26"/>
          <w:szCs w:val="26"/>
          <w14:ligatures w14:val="none"/>
        </w:rPr>
        <w:t>.</w:t>
      </w:r>
      <w:bookmarkEnd w:id="76"/>
    </w:p>
    <w:p w14:paraId="4D46FD79" w14:textId="77777777" w:rsidR="00C13CCF" w:rsidRPr="00DB2E5F" w:rsidRDefault="002D374B" w:rsidP="000564BD">
      <w:pPr>
        <w:pStyle w:val="Heading3"/>
        <w:numPr>
          <w:ilvl w:val="0"/>
          <w:numId w:val="12"/>
        </w:numPr>
        <w:spacing w:before="0" w:line="240" w:lineRule="auto"/>
        <w:jc w:val="both"/>
        <w:rPr>
          <w:rFonts w:ascii="Times New Roman" w:eastAsia="Times New Roman" w:hAnsi="Times New Roman" w:cs="Times New Roman"/>
          <w:b/>
          <w:bCs/>
          <w:color w:val="000000" w:themeColor="text1"/>
          <w:sz w:val="26"/>
          <w:szCs w:val="26"/>
        </w:rPr>
      </w:pPr>
      <w:bookmarkStart w:id="81" w:name="_Toc239113017"/>
      <w:bookmarkStart w:id="82" w:name="_Toc239149370"/>
      <w:bookmarkStart w:id="83" w:name="dabmch_67"/>
      <w:bookmarkStart w:id="84" w:name="_Toc239155234"/>
      <w:r w:rsidRPr="00DB2E5F">
        <w:rPr>
          <w:rFonts w:ascii="Times New Roman" w:eastAsia="Times New Roman" w:hAnsi="Times New Roman" w:cs="Times New Roman"/>
          <w:b/>
          <w:bCs/>
          <w:color w:val="000000" w:themeColor="text1"/>
          <w:sz w:val="26"/>
          <w:szCs w:val="26"/>
        </w:rPr>
        <w:t>The United States’ Adherence to Its Policies and Procedures During the Calloway Investigation Creates a Well-Marked Trail for This Court to Follow, Starting From the Evidence and Ending at Its Independent Source.</w:t>
      </w:r>
      <w:bookmarkEnd w:id="81"/>
      <w:bookmarkEnd w:id="82"/>
      <w:bookmarkEnd w:id="83"/>
      <w:bookmarkEnd w:id="84"/>
    </w:p>
    <w:p w14:paraId="3776ED0A" w14:textId="77777777" w:rsidR="00C13CCF" w:rsidRPr="00C13CCF" w:rsidRDefault="002D374B" w:rsidP="00A52F4B">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85" w:name="dabmch_68"/>
      <w:r w:rsidRPr="00C13CCF">
        <w:rPr>
          <w:rFonts w:ascii="Times New Roman" w:eastAsia="Times New Roman" w:hAnsi="Times New Roman" w:cs="Times New Roman"/>
          <w:color w:val="000000" w:themeColor="text1"/>
          <w:kern w:val="0"/>
          <w:sz w:val="26"/>
          <w:szCs w:val="26"/>
          <w14:ligatures w14:val="none"/>
        </w:rPr>
        <w:t>Best practices dictate separating those handling the compelled testimony from those investigating the witness and marking the evidence that was obtained pre-immunized testimony from that obtained after.</w:t>
      </w:r>
      <w:r w:rsidRPr="00C13CCF">
        <w:rPr>
          <w:rFonts w:ascii="Times New Roman" w:eastAsia="Times New Roman" w:hAnsi="Times New Roman" w:cs="Times New Roman"/>
          <w:i/>
          <w:iCs/>
          <w:color w:val="000000" w:themeColor="text1"/>
          <w:kern w:val="0"/>
          <w:sz w:val="26"/>
          <w:szCs w:val="26"/>
          <w14:ligatures w14:val="none"/>
        </w:rPr>
        <w:t xml:space="preserve"> See </w:t>
      </w:r>
      <w:bookmarkStart w:id="86" w:name="dabmci_405e071f569044408c59773192ff3360"/>
      <w:r w:rsidRPr="00C13CCF">
        <w:rPr>
          <w:rFonts w:ascii="Times New Roman" w:eastAsia="Times New Roman" w:hAnsi="Times New Roman" w:cs="Times New Roman"/>
          <w:i/>
          <w:iCs/>
          <w:color w:val="000000" w:themeColor="text1"/>
          <w:kern w:val="0"/>
          <w:sz w:val="26"/>
          <w:szCs w:val="26"/>
          <w14:ligatures w14:val="none"/>
        </w:rPr>
        <w:t>United States v. Morrissette</w:t>
      </w:r>
      <w:r w:rsidRPr="00C13CCF">
        <w:rPr>
          <w:rFonts w:ascii="Times New Roman" w:eastAsia="Times New Roman" w:hAnsi="Times New Roman" w:cs="Times New Roman"/>
          <w:color w:val="000000" w:themeColor="text1"/>
          <w:kern w:val="0"/>
          <w:sz w:val="26"/>
          <w:szCs w:val="26"/>
          <w14:ligatures w14:val="none"/>
        </w:rPr>
        <w:t>,</w:t>
      </w:r>
      <w:r w:rsidRPr="00C13CCF">
        <w:rPr>
          <w:rFonts w:ascii="Times New Roman" w:eastAsia="Times New Roman" w:hAnsi="Times New Roman" w:cs="Times New Roman"/>
          <w:i/>
          <w:iCs/>
          <w:color w:val="000000" w:themeColor="text1"/>
          <w:kern w:val="0"/>
          <w:sz w:val="26"/>
          <w:szCs w:val="26"/>
          <w14:ligatures w14:val="none"/>
        </w:rPr>
        <w:t xml:space="preserve"> </w:t>
      </w:r>
      <w:r w:rsidRPr="00C13CCF">
        <w:rPr>
          <w:rFonts w:ascii="Times New Roman" w:eastAsia="Times New Roman" w:hAnsi="Times New Roman" w:cs="Times New Roman"/>
          <w:color w:val="000000" w:themeColor="text1"/>
          <w:kern w:val="0"/>
          <w:sz w:val="26"/>
          <w:szCs w:val="26"/>
          <w14:ligatures w14:val="none"/>
        </w:rPr>
        <w:t>70 M.J. 431, 439 (C.A.A.F. 2012)</w:t>
      </w:r>
      <w:bookmarkStart w:id="87" w:name="dabmen_405e071f569044408c59773192ff3360"/>
      <w:bookmarkEnd w:id="86"/>
      <w:bookmarkEnd w:id="87"/>
      <w:r w:rsidRPr="00C13CCF">
        <w:rPr>
          <w:rFonts w:ascii="Times New Roman" w:eastAsia="Times New Roman" w:hAnsi="Times New Roman" w:cs="Times New Roman"/>
          <w:color w:val="000000" w:themeColor="text1"/>
          <w:kern w:val="0"/>
          <w:sz w:val="26"/>
          <w:szCs w:val="26"/>
          <w14:ligatures w14:val="none"/>
        </w:rPr>
        <w:t xml:space="preserve"> (“Separating pre-immunity from post-immunity evidence is considered a </w:t>
      </w:r>
      <w:r w:rsidRPr="00C13CCF">
        <w:rPr>
          <w:rFonts w:ascii="Times New Roman" w:eastAsia="Times New Roman" w:hAnsi="Times New Roman" w:cs="Times New Roman"/>
          <w:color w:val="000000" w:themeColor="text1"/>
          <w:kern w:val="0"/>
          <w:sz w:val="26"/>
          <w:szCs w:val="26"/>
          <w14:ligatures w14:val="none"/>
        </w:rPr>
        <w:lastRenderedPageBreak/>
        <w:t xml:space="preserve">best practice . . . and separating the pre-immunity and post-immunity investigative and prosecuting teams . . . is also considered a best practice.”) (citation modified); </w:t>
      </w:r>
      <w:r w:rsidRPr="00C13CCF">
        <w:rPr>
          <w:rFonts w:ascii="Times New Roman" w:eastAsia="Times New Roman" w:hAnsi="Times New Roman" w:cs="Times New Roman"/>
          <w:i/>
          <w:iCs/>
          <w:color w:val="000000" w:themeColor="text1"/>
          <w:kern w:val="0"/>
          <w:sz w:val="26"/>
          <w:szCs w:val="26"/>
          <w14:ligatures w14:val="none"/>
        </w:rPr>
        <w:t xml:space="preserve">see also </w:t>
      </w:r>
      <w:bookmarkStart w:id="88" w:name="dabmci_382619ddfb0b4454b18085f333fb04cd"/>
      <w:r w:rsidRPr="00C13CCF">
        <w:rPr>
          <w:rFonts w:ascii="Times New Roman" w:eastAsia="Times New Roman" w:hAnsi="Times New Roman" w:cs="Times New Roman"/>
          <w:i/>
          <w:iCs/>
          <w:color w:val="000000" w:themeColor="text1"/>
          <w:kern w:val="0"/>
          <w:sz w:val="26"/>
          <w:szCs w:val="26"/>
          <w14:ligatures w14:val="none"/>
        </w:rPr>
        <w:t>United States v. Hampton</w:t>
      </w:r>
      <w:r w:rsidRPr="00C13CCF">
        <w:rPr>
          <w:rFonts w:ascii="Times New Roman" w:eastAsia="Times New Roman" w:hAnsi="Times New Roman" w:cs="Times New Roman"/>
          <w:color w:val="000000" w:themeColor="text1"/>
          <w:kern w:val="0"/>
          <w:sz w:val="26"/>
          <w:szCs w:val="26"/>
          <w14:ligatures w14:val="none"/>
        </w:rPr>
        <w:t>, 775 F.2d 1479, 1490 (11th Cir. 1985)</w:t>
      </w:r>
      <w:bookmarkStart w:id="89" w:name="dabmen_382619ddfb0b4454b18085f333fb04cd"/>
      <w:bookmarkEnd w:id="88"/>
      <w:bookmarkEnd w:id="89"/>
      <w:r w:rsidRPr="00C13CCF">
        <w:rPr>
          <w:rFonts w:ascii="Times New Roman" w:eastAsia="Times New Roman" w:hAnsi="Times New Roman" w:cs="Times New Roman"/>
          <w:color w:val="000000" w:themeColor="text1"/>
          <w:kern w:val="0"/>
          <w:sz w:val="26"/>
          <w:szCs w:val="26"/>
          <w14:ligatures w14:val="none"/>
        </w:rPr>
        <w:t xml:space="preserve"> (“[T]he principles of </w:t>
      </w:r>
      <w:r w:rsidRPr="00C13CCF">
        <w:rPr>
          <w:rFonts w:ascii="Times New Roman" w:eastAsia="Times New Roman" w:hAnsi="Times New Roman" w:cs="Times New Roman"/>
          <w:i/>
          <w:iCs/>
          <w:color w:val="000000" w:themeColor="text1"/>
          <w:kern w:val="0"/>
          <w:sz w:val="26"/>
          <w:szCs w:val="26"/>
          <w14:ligatures w14:val="none"/>
        </w:rPr>
        <w:t>Kastigar</w:t>
      </w:r>
      <w:r w:rsidRPr="00C13CCF">
        <w:rPr>
          <w:rFonts w:ascii="Times New Roman" w:eastAsia="Times New Roman" w:hAnsi="Times New Roman" w:cs="Times New Roman"/>
          <w:color w:val="000000" w:themeColor="text1"/>
          <w:kern w:val="0"/>
          <w:sz w:val="26"/>
          <w:szCs w:val="26"/>
          <w14:ligatures w14:val="none"/>
        </w:rPr>
        <w:t xml:space="preserve"> generally require . . . a showing that prosecuting officials and their agents were aware of the immunity problem and followed reliable procedures for segregating the immunized testimony and its fruits from officials pursuing any subsequent investigations.”). Colloquially, separating agents is known as a “wall-off.”</w:t>
      </w:r>
      <w:bookmarkEnd w:id="85"/>
    </w:p>
    <w:p w14:paraId="6870698E"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90" w:name="dabmch_69"/>
      <w:r w:rsidRPr="00C13CCF">
        <w:rPr>
          <w:rFonts w:ascii="Times New Roman" w:eastAsia="Times New Roman" w:hAnsi="Times New Roman" w:cs="Times New Roman"/>
          <w:color w:val="000000" w:themeColor="text1"/>
          <w:kern w:val="0"/>
          <w:sz w:val="26"/>
          <w:szCs w:val="26"/>
          <w14:ligatures w14:val="none"/>
        </w:rPr>
        <w:t xml:space="preserve">Use of “wall-off” procedures “is demonstrative evidence that the prosecution did not make direct or indirect use of immunized testimony.” </w:t>
      </w:r>
      <w:bookmarkStart w:id="91" w:name="dabmci_a05733eada6045879d7f7ddab4b79a1c"/>
      <w:r w:rsidRPr="00C13CCF">
        <w:rPr>
          <w:rFonts w:ascii="Times New Roman" w:eastAsia="Times New Roman" w:hAnsi="Times New Roman" w:cs="Times New Roman"/>
          <w:i/>
          <w:iCs/>
          <w:color w:val="000000" w:themeColor="text1"/>
          <w:kern w:val="0"/>
          <w:sz w:val="26"/>
          <w:szCs w:val="26"/>
          <w14:ligatures w14:val="none"/>
        </w:rPr>
        <w:t>Morrissette</w:t>
      </w:r>
      <w:r w:rsidRPr="00C13CCF">
        <w:rPr>
          <w:rFonts w:ascii="Times New Roman" w:eastAsia="Times New Roman" w:hAnsi="Times New Roman" w:cs="Times New Roman"/>
          <w:color w:val="000000" w:themeColor="text1"/>
          <w:kern w:val="0"/>
          <w:sz w:val="26"/>
          <w:szCs w:val="26"/>
          <w14:ligatures w14:val="none"/>
        </w:rPr>
        <w:t>, 70 M.J. at 439</w:t>
      </w:r>
      <w:bookmarkStart w:id="92" w:name="dabmen_a05733eada6045879d7f7ddab4b79a1c"/>
      <w:bookmarkEnd w:id="91"/>
      <w:bookmarkEnd w:id="92"/>
      <w:r w:rsidRPr="00C13CCF">
        <w:rPr>
          <w:rFonts w:ascii="Times New Roman" w:eastAsia="Times New Roman" w:hAnsi="Times New Roman" w:cs="Times New Roman"/>
          <w:color w:val="000000" w:themeColor="text1"/>
          <w:kern w:val="0"/>
          <w:sz w:val="26"/>
          <w:szCs w:val="26"/>
          <w14:ligatures w14:val="none"/>
        </w:rPr>
        <w:t xml:space="preserve">; </w:t>
      </w:r>
      <w:r w:rsidRPr="00C13CCF">
        <w:rPr>
          <w:rFonts w:ascii="Times New Roman" w:eastAsia="Times New Roman" w:hAnsi="Times New Roman" w:cs="Times New Roman"/>
          <w:i/>
          <w:iCs/>
          <w:color w:val="000000" w:themeColor="text1"/>
          <w:kern w:val="0"/>
          <w:sz w:val="26"/>
          <w:szCs w:val="26"/>
          <w14:ligatures w14:val="none"/>
        </w:rPr>
        <w:t xml:space="preserve">compare </w:t>
      </w:r>
      <w:bookmarkStart w:id="93" w:name="dabmci_f1f7ff7edd12417ab3cebad26fa16715"/>
      <w:r w:rsidRPr="00C13CCF">
        <w:rPr>
          <w:rFonts w:ascii="Times New Roman" w:eastAsia="Times New Roman" w:hAnsi="Times New Roman" w:cs="Times New Roman"/>
          <w:i/>
          <w:iCs/>
          <w:color w:val="000000" w:themeColor="text1"/>
          <w:kern w:val="0"/>
          <w:sz w:val="26"/>
          <w:szCs w:val="26"/>
          <w14:ligatures w14:val="none"/>
        </w:rPr>
        <w:t>United States v. Nanni</w:t>
      </w:r>
      <w:r w:rsidRPr="00C13CCF">
        <w:rPr>
          <w:rFonts w:ascii="Times New Roman" w:eastAsia="Times New Roman" w:hAnsi="Times New Roman" w:cs="Times New Roman"/>
          <w:color w:val="000000" w:themeColor="text1"/>
          <w:kern w:val="0"/>
          <w:sz w:val="26"/>
          <w:szCs w:val="26"/>
          <w14:ligatures w14:val="none"/>
        </w:rPr>
        <w:t>, 59 F.3d 1425, 1436 (2d Cir. 1995)</w:t>
      </w:r>
      <w:bookmarkStart w:id="94" w:name="dabmen_f1f7ff7edd12417ab3cebad26fa16715"/>
      <w:bookmarkEnd w:id="93"/>
      <w:bookmarkEnd w:id="94"/>
      <w:r w:rsidRPr="00C13CCF">
        <w:rPr>
          <w:rFonts w:ascii="Times New Roman" w:eastAsia="Times New Roman" w:hAnsi="Times New Roman" w:cs="Times New Roman"/>
          <w:color w:val="000000" w:themeColor="text1"/>
          <w:kern w:val="0"/>
          <w:sz w:val="26"/>
          <w:szCs w:val="26"/>
          <w14:ligatures w14:val="none"/>
        </w:rPr>
        <w:t xml:space="preserve"> (concluding Agent Ricotta’s investigation was supported by independent sources where upon receiving what Agent Ricotta suspected was a transcript of immunized testimony, she immediately shredded the material without reading it, and continued to rely on her independently sourced interviews and evidence) </w:t>
      </w:r>
      <w:r w:rsidRPr="00C13CCF">
        <w:rPr>
          <w:rFonts w:ascii="Times New Roman" w:eastAsia="Times New Roman" w:hAnsi="Times New Roman" w:cs="Times New Roman"/>
          <w:i/>
          <w:iCs/>
          <w:color w:val="000000" w:themeColor="text1"/>
          <w:kern w:val="0"/>
          <w:sz w:val="26"/>
          <w:szCs w:val="26"/>
          <w14:ligatures w14:val="none"/>
        </w:rPr>
        <w:t xml:space="preserve">with </w:t>
      </w:r>
      <w:bookmarkStart w:id="95" w:name="dabmci_bdf90aee75b24d52963c00977fb55c5b"/>
      <w:r w:rsidRPr="00C13CCF">
        <w:rPr>
          <w:rFonts w:ascii="Times New Roman" w:eastAsia="Times New Roman" w:hAnsi="Times New Roman" w:cs="Times New Roman"/>
          <w:i/>
          <w:iCs/>
          <w:color w:val="000000" w:themeColor="text1"/>
          <w:kern w:val="0"/>
          <w:sz w:val="26"/>
          <w:szCs w:val="26"/>
          <w14:ligatures w14:val="none"/>
        </w:rPr>
        <w:t>United States v. Martinez</w:t>
      </w:r>
      <w:r w:rsidRPr="00C13CCF">
        <w:rPr>
          <w:rFonts w:ascii="Times New Roman" w:eastAsia="Times New Roman" w:hAnsi="Times New Roman" w:cs="Times New Roman"/>
          <w:color w:val="000000" w:themeColor="text1"/>
          <w:kern w:val="0"/>
          <w:sz w:val="26"/>
          <w:szCs w:val="26"/>
          <w14:ligatures w14:val="none"/>
        </w:rPr>
        <w:t>, 81 F. Supp. 3d 1046, 1051, 1057 (D. Colo. 2015)</w:t>
      </w:r>
      <w:bookmarkStart w:id="96" w:name="dabmen_bdf90aee75b24d52963c00977fb55c5b"/>
      <w:bookmarkEnd w:id="95"/>
      <w:bookmarkEnd w:id="96"/>
      <w:r w:rsidRPr="00C13CCF">
        <w:rPr>
          <w:rFonts w:ascii="Times New Roman" w:eastAsia="Times New Roman" w:hAnsi="Times New Roman" w:cs="Times New Roman"/>
          <w:color w:val="000000" w:themeColor="text1"/>
          <w:kern w:val="0"/>
          <w:sz w:val="26"/>
          <w:szCs w:val="26"/>
          <w14:ligatures w14:val="none"/>
        </w:rPr>
        <w:t xml:space="preserve"> (dismissing indictment where circulation of immunized testimony was pervasive: no segregation procedures were implemented; immunized testimony was regularly discussed; transcripts were read and relied upon by agents in wiretap applications; and government could not distinguish which facts were sourced independently versus from the immunized testimony).</w:t>
      </w:r>
      <w:bookmarkEnd w:id="90"/>
    </w:p>
    <w:p w14:paraId="3B8E4D05" w14:textId="4B2940C1"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97" w:name="dabmch_70"/>
      <w:r w:rsidRPr="00C13CCF">
        <w:rPr>
          <w:rFonts w:ascii="Times New Roman" w:eastAsia="Times New Roman" w:hAnsi="Times New Roman" w:cs="Times New Roman"/>
          <w:color w:val="000000" w:themeColor="text1"/>
          <w:kern w:val="0"/>
          <w:sz w:val="26"/>
          <w:szCs w:val="26"/>
          <w14:ligatures w14:val="none"/>
        </w:rPr>
        <w:t xml:space="preserve">Here, AUSA Sinclair and Agent Nolan followed best practice procedures by walling-off agents from immunized testimony and dividing evidence between pre-immunity and post-immunity. Prior to Calloway’s immunization, the United States </w:t>
      </w:r>
      <w:r w:rsidRPr="00C13CCF">
        <w:rPr>
          <w:rFonts w:ascii="Times New Roman" w:eastAsia="Times New Roman" w:hAnsi="Times New Roman" w:cs="Times New Roman"/>
          <w:color w:val="000000" w:themeColor="text1"/>
          <w:kern w:val="0"/>
          <w:sz w:val="26"/>
          <w:szCs w:val="26"/>
          <w14:ligatures w14:val="none"/>
        </w:rPr>
        <w:lastRenderedPageBreak/>
        <w:t>believed that Calloway was involved in the scheme. (Sinclair Dep. 017:383–84.) Before the court granted the order compelling Calloway’s testimony and subsequent use and derivative use immunity, the United States formally split its investigation into two teams—Team Donovan and Team Calloway. (Nolan Dep. 028:183–88.) Team Calloway, led by Nolan, could not, and did not receive the contents of Calloway’s compelled testimony, any strategic inferences drawn from it, or any investigative leads that came out of it. (</w:t>
      </w:r>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028:190–94.) Additionally, Team Calloway delineated the evidence it had prior to the wall from evidence obtained post-wall.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xml:space="preserve"> </w:t>
      </w:r>
      <w:r w:rsidR="000164DA">
        <w:rPr>
          <w:rFonts w:ascii="Times New Roman" w:eastAsia="Times New Roman" w:hAnsi="Times New Roman" w:cs="Times New Roman"/>
          <w:color w:val="000000" w:themeColor="text1"/>
          <w:kern w:val="0"/>
          <w:sz w:val="26"/>
          <w:szCs w:val="26"/>
          <w14:ligatures w14:val="none"/>
        </w:rPr>
        <w:t>0</w:t>
      </w:r>
      <w:r w:rsidRPr="00C13CCF">
        <w:rPr>
          <w:rFonts w:ascii="Times New Roman" w:eastAsia="Times New Roman" w:hAnsi="Times New Roman" w:cs="Times New Roman"/>
          <w:color w:val="000000" w:themeColor="text1"/>
          <w:kern w:val="0"/>
          <w:sz w:val="26"/>
          <w:szCs w:val="26"/>
          <w14:ligatures w14:val="none"/>
        </w:rPr>
        <w:t>29:209–11.) These procedures were memorialized by Nolan on August 22, 2024.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15.) The United States’ meticulous adherence to its procedure creates a traceable record that allows this Court to conclude that Parker was identified prior to Calloway’s testimony—not from it. </w:t>
      </w:r>
      <w:bookmarkEnd w:id="97"/>
    </w:p>
    <w:p w14:paraId="5D2D89E3" w14:textId="77777777" w:rsidR="00C13CCF" w:rsidRPr="00DB2E5F" w:rsidRDefault="002D374B" w:rsidP="00DB2E5F">
      <w:pPr>
        <w:pStyle w:val="Heading3"/>
        <w:numPr>
          <w:ilvl w:val="0"/>
          <w:numId w:val="12"/>
        </w:numPr>
        <w:spacing w:line="240" w:lineRule="auto"/>
        <w:jc w:val="both"/>
        <w:rPr>
          <w:rFonts w:ascii="Times New Roman" w:eastAsia="Times New Roman" w:hAnsi="Times New Roman" w:cs="Times New Roman"/>
          <w:b/>
          <w:bCs/>
          <w:color w:val="000000" w:themeColor="text1"/>
          <w:sz w:val="26"/>
          <w:szCs w:val="26"/>
        </w:rPr>
      </w:pPr>
      <w:bookmarkStart w:id="98" w:name="_Toc239113018"/>
      <w:bookmarkStart w:id="99" w:name="_Toc239149371"/>
      <w:bookmarkStart w:id="100" w:name="_Toc239155235"/>
      <w:bookmarkStart w:id="101" w:name="dabmch_71"/>
      <w:r w:rsidRPr="00DB2E5F">
        <w:rPr>
          <w:rFonts w:ascii="Times New Roman" w:eastAsia="Times New Roman" w:hAnsi="Times New Roman" w:cs="Times New Roman"/>
          <w:b/>
          <w:bCs/>
          <w:color w:val="000000" w:themeColor="text1"/>
          <w:sz w:val="26"/>
          <w:szCs w:val="26"/>
        </w:rPr>
        <w:t>Parker Was Identified From an Employee Roster Before Calloway Testified.</w:t>
      </w:r>
      <w:bookmarkEnd w:id="98"/>
      <w:bookmarkEnd w:id="99"/>
      <w:bookmarkEnd w:id="100"/>
      <w:r w:rsidRPr="00DB2E5F">
        <w:rPr>
          <w:rFonts w:ascii="Times New Roman" w:eastAsia="Times New Roman" w:hAnsi="Times New Roman" w:cs="Times New Roman"/>
          <w:b/>
          <w:bCs/>
          <w:color w:val="000000" w:themeColor="text1"/>
          <w:sz w:val="26"/>
          <w:szCs w:val="26"/>
        </w:rPr>
        <w:t>  </w:t>
      </w:r>
      <w:bookmarkEnd w:id="101"/>
    </w:p>
    <w:p w14:paraId="370FB7D6" w14:textId="75662F82" w:rsidR="00C13CCF" w:rsidRPr="00C13CCF" w:rsidRDefault="002D374B" w:rsidP="00A52F4B">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02" w:name="dabmch_72"/>
      <w:r w:rsidRPr="00C13CCF">
        <w:rPr>
          <w:rFonts w:ascii="Times New Roman" w:eastAsia="Times New Roman" w:hAnsi="Times New Roman" w:cs="Times New Roman"/>
          <w:color w:val="000000" w:themeColor="text1"/>
          <w:kern w:val="0"/>
          <w:sz w:val="26"/>
          <w:szCs w:val="26"/>
          <w14:ligatures w14:val="none"/>
        </w:rPr>
        <w:t xml:space="preserve">The strongest proof of independently sourced information is evidence that the United States was in possession of independent leads prior to the immunized testimony.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103" w:name="dabmci_4c81668989034dbb97f9131316378e9b"/>
      <w:r w:rsidRPr="00C13CCF">
        <w:rPr>
          <w:rFonts w:ascii="Times New Roman" w:eastAsia="Times New Roman" w:hAnsi="Times New Roman" w:cs="Times New Roman"/>
          <w:i/>
          <w:iCs/>
          <w:color w:val="000000" w:themeColor="text1"/>
          <w:kern w:val="0"/>
          <w:sz w:val="26"/>
          <w:szCs w:val="26"/>
          <w14:ligatures w14:val="none"/>
        </w:rPr>
        <w:t>Nanni</w:t>
      </w:r>
      <w:r w:rsidRPr="00C13CCF">
        <w:rPr>
          <w:rFonts w:ascii="Times New Roman" w:eastAsia="Times New Roman" w:hAnsi="Times New Roman" w:cs="Times New Roman"/>
          <w:color w:val="000000" w:themeColor="text1"/>
          <w:kern w:val="0"/>
          <w:sz w:val="26"/>
          <w:szCs w:val="26"/>
          <w14:ligatures w14:val="none"/>
        </w:rPr>
        <w:t>, 59 F.3d at 1432</w:t>
      </w:r>
      <w:bookmarkStart w:id="104" w:name="dabmen_4c81668989034dbb97f9131316378e9b"/>
      <w:bookmarkEnd w:id="103"/>
      <w:bookmarkEnd w:id="104"/>
      <w:r w:rsidRPr="00C13CCF">
        <w:rPr>
          <w:rFonts w:ascii="Times New Roman" w:eastAsia="Times New Roman" w:hAnsi="Times New Roman" w:cs="Times New Roman"/>
          <w:color w:val="000000" w:themeColor="text1"/>
          <w:kern w:val="0"/>
          <w:sz w:val="26"/>
          <w:szCs w:val="26"/>
          <w14:ligatures w14:val="none"/>
        </w:rPr>
        <w:t xml:space="preserve">. Parker was identified three times prior to Calloway’s testimony. First, in February 2024, Sinclair subpoenaed a roster of Silver Palms employees. (Sinclair Dep. 018:407–08,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10.) Parker appears on that list. Second, Nolan created a priority list, organizing employees by tenure and shift frequency.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xml:space="preserve"> 18:414–17.) Parker ranked seventh.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17.) Lastly, almost two months prior to Calloway’s testimony, Nolan yet again prioritized interviewing Parker.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16.) Indeed, four of the witnesses above Parker on the priority list had already been interviewed. (</w:t>
      </w:r>
      <w:r w:rsidRPr="00C13CCF">
        <w:rPr>
          <w:rFonts w:ascii="Times New Roman" w:eastAsia="Times New Roman" w:hAnsi="Times New Roman" w:cs="Times New Roman"/>
          <w:i/>
          <w:iCs/>
          <w:color w:val="000000" w:themeColor="text1"/>
          <w:kern w:val="0"/>
          <w:sz w:val="26"/>
          <w:szCs w:val="26"/>
          <w14:ligatures w14:val="none"/>
        </w:rPr>
        <w:t>See</w:t>
      </w:r>
      <w:r w:rsidRPr="00C13CCF">
        <w:rPr>
          <w:rFonts w:ascii="Times New Roman" w:eastAsia="Times New Roman" w:hAnsi="Times New Roman" w:cs="Times New Roman"/>
          <w:color w:val="000000" w:themeColor="text1"/>
          <w:kern w:val="0"/>
          <w:sz w:val="26"/>
          <w:szCs w:val="26"/>
          <w14:ligatures w14:val="none"/>
        </w:rPr>
        <w:t xml:space="preserve"> Ex. 11.) Nolan was </w:t>
      </w:r>
      <w:r w:rsidRPr="00C13CCF">
        <w:rPr>
          <w:rFonts w:ascii="Times New Roman" w:eastAsia="Times New Roman" w:hAnsi="Times New Roman" w:cs="Times New Roman"/>
          <w:color w:val="000000" w:themeColor="text1"/>
          <w:kern w:val="0"/>
          <w:sz w:val="26"/>
          <w:szCs w:val="26"/>
          <w14:ligatures w14:val="none"/>
        </w:rPr>
        <w:lastRenderedPageBreak/>
        <w:t>working down his list. It was only a matter of time before Parker was interviewed. It was inevitable.</w:t>
      </w:r>
      <w:bookmarkEnd w:id="102"/>
    </w:p>
    <w:p w14:paraId="710C5592" w14:textId="77777777" w:rsidR="00C13CCF" w:rsidRPr="00DB2E5F" w:rsidRDefault="002D374B" w:rsidP="00DB2E5F">
      <w:pPr>
        <w:pStyle w:val="Heading3"/>
        <w:numPr>
          <w:ilvl w:val="0"/>
          <w:numId w:val="12"/>
        </w:numPr>
        <w:spacing w:line="240" w:lineRule="auto"/>
        <w:jc w:val="both"/>
        <w:rPr>
          <w:rFonts w:ascii="Times New Roman" w:eastAsia="Times New Roman" w:hAnsi="Times New Roman" w:cs="Times New Roman"/>
          <w:b/>
          <w:bCs/>
          <w:color w:val="000000" w:themeColor="text1"/>
          <w:sz w:val="26"/>
          <w:szCs w:val="26"/>
        </w:rPr>
      </w:pPr>
      <w:bookmarkStart w:id="105" w:name="_Toc239113019"/>
      <w:bookmarkStart w:id="106" w:name="_Toc239149372"/>
      <w:bookmarkStart w:id="107" w:name="dabmch_73"/>
      <w:bookmarkStart w:id="108" w:name="_Toc239155236"/>
      <w:r w:rsidRPr="00DB2E5F">
        <w:rPr>
          <w:rFonts w:ascii="Times New Roman" w:eastAsia="Times New Roman" w:hAnsi="Times New Roman" w:cs="Times New Roman"/>
          <w:b/>
          <w:bCs/>
          <w:color w:val="000000" w:themeColor="text1"/>
          <w:sz w:val="26"/>
          <w:szCs w:val="26"/>
        </w:rPr>
        <w:t>Parker’s Statements Are Untainted.</w:t>
      </w:r>
      <w:bookmarkEnd w:id="105"/>
      <w:bookmarkEnd w:id="106"/>
      <w:bookmarkEnd w:id="107"/>
      <w:bookmarkEnd w:id="108"/>
    </w:p>
    <w:p w14:paraId="013BB129" w14:textId="77777777" w:rsidR="00C13CCF" w:rsidRPr="00C13CCF" w:rsidRDefault="002D374B" w:rsidP="00A52F4B">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09" w:name="dabmch_74"/>
      <w:r w:rsidRPr="00C13CCF">
        <w:rPr>
          <w:rFonts w:ascii="Times New Roman" w:eastAsia="Times New Roman" w:hAnsi="Times New Roman" w:cs="Times New Roman"/>
          <w:color w:val="000000" w:themeColor="text1"/>
          <w:kern w:val="0"/>
          <w:sz w:val="26"/>
          <w:szCs w:val="26"/>
          <w14:ligatures w14:val="none"/>
        </w:rPr>
        <w:t xml:space="preserve">Prohibited use of immunized testimony includes refreshing a witness’s recollection.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110" w:name="dabmci_11b441518aa64ef3877a0b1495d77eec"/>
      <w:r w:rsidRPr="00C13CCF">
        <w:rPr>
          <w:rFonts w:ascii="Times New Roman" w:eastAsia="Times New Roman" w:hAnsi="Times New Roman" w:cs="Times New Roman"/>
          <w:i/>
          <w:iCs/>
          <w:color w:val="000000" w:themeColor="text1"/>
          <w:kern w:val="0"/>
          <w:sz w:val="26"/>
          <w:szCs w:val="26"/>
          <w14:ligatures w14:val="none"/>
        </w:rPr>
        <w:t>United States v. North</w:t>
      </w:r>
      <w:r w:rsidRPr="00C13CCF">
        <w:rPr>
          <w:rFonts w:ascii="Times New Roman" w:eastAsia="Times New Roman" w:hAnsi="Times New Roman" w:cs="Times New Roman"/>
          <w:color w:val="000000" w:themeColor="text1"/>
          <w:kern w:val="0"/>
          <w:sz w:val="26"/>
          <w:szCs w:val="26"/>
          <w14:ligatures w14:val="none"/>
        </w:rPr>
        <w:t>, 910 F.2d 843, 861 (D.C. Cir. 1990)</w:t>
      </w:r>
      <w:bookmarkStart w:id="111" w:name="dabmen_11b441518aa64ef3877a0b1495d77eec"/>
      <w:bookmarkEnd w:id="110"/>
      <w:bookmarkEnd w:id="111"/>
      <w:r w:rsidRPr="00C13CCF">
        <w:rPr>
          <w:rFonts w:ascii="Times New Roman" w:eastAsia="Times New Roman" w:hAnsi="Times New Roman" w:cs="Times New Roman"/>
          <w:color w:val="000000" w:themeColor="text1"/>
          <w:kern w:val="0"/>
          <w:sz w:val="26"/>
          <w:szCs w:val="26"/>
          <w14:ligatures w14:val="none"/>
        </w:rPr>
        <w:t xml:space="preserve">, </w:t>
      </w:r>
      <w:r w:rsidRPr="00C13CCF">
        <w:rPr>
          <w:rFonts w:ascii="Times New Roman" w:eastAsia="Times New Roman" w:hAnsi="Times New Roman" w:cs="Times New Roman"/>
          <w:i/>
          <w:iCs/>
          <w:color w:val="000000" w:themeColor="text1"/>
          <w:kern w:val="0"/>
          <w:sz w:val="26"/>
          <w:szCs w:val="26"/>
          <w14:ligatures w14:val="none"/>
        </w:rPr>
        <w:t>opinion withdrawn and superseded in part on reh’g</w:t>
      </w:r>
      <w:r w:rsidRPr="00C13CCF">
        <w:rPr>
          <w:rFonts w:ascii="Times New Roman" w:eastAsia="Times New Roman" w:hAnsi="Times New Roman" w:cs="Times New Roman"/>
          <w:color w:val="000000" w:themeColor="text1"/>
          <w:kern w:val="0"/>
          <w:sz w:val="26"/>
          <w:szCs w:val="26"/>
          <w14:ligatures w14:val="none"/>
        </w:rPr>
        <w:t xml:space="preserve">, </w:t>
      </w:r>
      <w:bookmarkStart w:id="112" w:name="dabmci_082b0ae4427441e38d2057ae1ebcdb59"/>
      <w:r w:rsidRPr="00C13CCF">
        <w:rPr>
          <w:rFonts w:ascii="Times New Roman" w:eastAsia="Times New Roman" w:hAnsi="Times New Roman" w:cs="Times New Roman"/>
          <w:color w:val="000000" w:themeColor="text1"/>
          <w:kern w:val="0"/>
          <w:sz w:val="26"/>
          <w:szCs w:val="26"/>
          <w14:ligatures w14:val="none"/>
        </w:rPr>
        <w:t>920 F.2d 940 (D.C. Cir. 1990)</w:t>
      </w:r>
      <w:bookmarkStart w:id="113" w:name="dabmen_082b0ae4427441e38d2057ae1ebcdb59"/>
      <w:bookmarkEnd w:id="112"/>
      <w:bookmarkEnd w:id="113"/>
      <w:r w:rsidRPr="00C13CCF">
        <w:rPr>
          <w:rFonts w:ascii="Times New Roman" w:eastAsia="Times New Roman" w:hAnsi="Times New Roman" w:cs="Times New Roman"/>
          <w:color w:val="000000" w:themeColor="text1"/>
          <w:kern w:val="0"/>
          <w:sz w:val="26"/>
          <w:szCs w:val="26"/>
          <w14:ligatures w14:val="none"/>
        </w:rPr>
        <w:t xml:space="preserve">. The United States must prove that a witness “has not been shaped, altered, or affected by [exposure to] the immunized testimony.” </w:t>
      </w:r>
      <w:bookmarkStart w:id="114" w:name="dabmci_fca82af7d36e4114b102c6510fed589d"/>
      <w:r w:rsidRPr="00C13CCF">
        <w:rPr>
          <w:rFonts w:ascii="Times New Roman" w:eastAsia="Times New Roman" w:hAnsi="Times New Roman" w:cs="Times New Roman"/>
          <w:i/>
          <w:iCs/>
          <w:color w:val="000000" w:themeColor="text1"/>
          <w:kern w:val="0"/>
          <w:sz w:val="26"/>
          <w:szCs w:val="26"/>
          <w14:ligatures w14:val="none"/>
        </w:rPr>
        <w:t>United States v. Slough</w:t>
      </w:r>
      <w:r w:rsidRPr="00C13CCF">
        <w:rPr>
          <w:rFonts w:ascii="Times New Roman" w:eastAsia="Times New Roman" w:hAnsi="Times New Roman" w:cs="Times New Roman"/>
          <w:color w:val="000000" w:themeColor="text1"/>
          <w:kern w:val="0"/>
          <w:sz w:val="26"/>
          <w:szCs w:val="26"/>
          <w14:ligatures w14:val="none"/>
        </w:rPr>
        <w:t>, 36 F. Supp. 3d 37, 43 (D.D.C. 2014)</w:t>
      </w:r>
      <w:bookmarkStart w:id="115" w:name="dabmen_fca82af7d36e4114b102c6510fed589d"/>
      <w:bookmarkEnd w:id="114"/>
      <w:bookmarkEnd w:id="115"/>
      <w:r w:rsidRPr="00C13CCF">
        <w:rPr>
          <w:rFonts w:ascii="Times New Roman" w:eastAsia="Times New Roman" w:hAnsi="Times New Roman" w:cs="Times New Roman"/>
          <w:color w:val="000000" w:themeColor="text1"/>
          <w:kern w:val="0"/>
          <w:sz w:val="26"/>
          <w:szCs w:val="26"/>
          <w14:ligatures w14:val="none"/>
        </w:rPr>
        <w:t xml:space="preserve"> (citation modified). The United States can show a witness is untainted from immunized testimony by (1) showing the witness was unexposed to the testimony; (2) showing that the witness has an independent source for their testimony; or (3) showing that there is no overlap between the witness’s statements and the immunized testimony. </w:t>
      </w:r>
      <w:bookmarkStart w:id="116" w:name="dabmci_13cafc303791417d968c3ba1091c2578"/>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at 49</w:t>
      </w:r>
      <w:bookmarkStart w:id="117" w:name="dabmen_13cafc303791417d968c3ba1091c2578"/>
      <w:bookmarkEnd w:id="116"/>
      <w:bookmarkEnd w:id="117"/>
      <w:r w:rsidRPr="00C13CCF">
        <w:rPr>
          <w:rFonts w:ascii="Times New Roman" w:eastAsia="Times New Roman" w:hAnsi="Times New Roman" w:cs="Times New Roman"/>
          <w:color w:val="000000" w:themeColor="text1"/>
          <w:kern w:val="0"/>
          <w:sz w:val="26"/>
          <w:szCs w:val="26"/>
          <w14:ligatures w14:val="none"/>
        </w:rPr>
        <w:t xml:space="preserve">. The United States need only prove </w:t>
      </w:r>
      <w:r w:rsidRPr="00C13CCF">
        <w:rPr>
          <w:rFonts w:ascii="Times New Roman" w:eastAsia="Times New Roman" w:hAnsi="Times New Roman" w:cs="Times New Roman"/>
          <w:i/>
          <w:iCs/>
          <w:color w:val="000000" w:themeColor="text1"/>
          <w:kern w:val="0"/>
          <w:sz w:val="26"/>
          <w:szCs w:val="26"/>
          <w14:ligatures w14:val="none"/>
        </w:rPr>
        <w:t>one</w:t>
      </w:r>
      <w:r w:rsidRPr="00C13CCF">
        <w:rPr>
          <w:rFonts w:ascii="Times New Roman" w:eastAsia="Times New Roman" w:hAnsi="Times New Roman" w:cs="Times New Roman"/>
          <w:color w:val="000000" w:themeColor="text1"/>
          <w:kern w:val="0"/>
          <w:sz w:val="26"/>
          <w:szCs w:val="26"/>
          <w14:ligatures w14:val="none"/>
        </w:rPr>
        <w:t xml:space="preserve"> of the above factors to prevail. </w:t>
      </w:r>
      <w:bookmarkStart w:id="118" w:name="dabmci_9364dbfd17fa40cb86b2edab1099a97d"/>
      <w:r w:rsidRPr="00C13CCF">
        <w:rPr>
          <w:rFonts w:ascii="Times New Roman" w:eastAsia="Times New Roman" w:hAnsi="Times New Roman" w:cs="Times New Roman"/>
          <w:i/>
          <w:iCs/>
          <w:color w:val="000000" w:themeColor="text1"/>
          <w:kern w:val="0"/>
          <w:sz w:val="26"/>
          <w:szCs w:val="26"/>
          <w14:ligatures w14:val="none"/>
        </w:rPr>
        <w:t>Id.</w:t>
      </w:r>
      <w:bookmarkStart w:id="119" w:name="dabmen_9364dbfd17fa40cb86b2edab1099a97d"/>
      <w:bookmarkEnd w:id="109"/>
      <w:bookmarkEnd w:id="118"/>
      <w:bookmarkEnd w:id="119"/>
    </w:p>
    <w:p w14:paraId="6A0833C1" w14:textId="6B26F6F3"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20" w:name="dabmch_75"/>
      <w:r w:rsidRPr="00C13CCF">
        <w:rPr>
          <w:rFonts w:ascii="Times New Roman" w:eastAsia="Times New Roman" w:hAnsi="Times New Roman" w:cs="Times New Roman"/>
          <w:color w:val="000000" w:themeColor="text1"/>
          <w:kern w:val="0"/>
          <w:sz w:val="26"/>
          <w:szCs w:val="26"/>
          <w14:ligatures w14:val="none"/>
        </w:rPr>
        <w:t xml:space="preserve">Proof that a witness was unexposed to immunized testimony is de facto proof that a witness’s statements are untainted.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121" w:name="dabmci_1b3ac55a45744c9881b2b880593cfcd9"/>
      <w:r w:rsidRPr="00C13CCF">
        <w:rPr>
          <w:rFonts w:ascii="Times New Roman" w:eastAsia="Times New Roman" w:hAnsi="Times New Roman" w:cs="Times New Roman"/>
          <w:i/>
          <w:iCs/>
          <w:color w:val="000000" w:themeColor="text1"/>
          <w:kern w:val="0"/>
          <w:sz w:val="26"/>
          <w:szCs w:val="26"/>
          <w14:ligatures w14:val="none"/>
        </w:rPr>
        <w:t>Slough</w:t>
      </w:r>
      <w:r w:rsidRPr="00C13CCF">
        <w:rPr>
          <w:rFonts w:ascii="Times New Roman" w:eastAsia="Times New Roman" w:hAnsi="Times New Roman" w:cs="Times New Roman"/>
          <w:color w:val="000000" w:themeColor="text1"/>
          <w:kern w:val="0"/>
          <w:sz w:val="26"/>
          <w:szCs w:val="26"/>
          <w14:ligatures w14:val="none"/>
        </w:rPr>
        <w:t>, 36 F. Supp. 3d at 52</w:t>
      </w:r>
      <w:bookmarkStart w:id="122" w:name="dabmen_1b3ac55a45744c9881b2b880593cfcd9"/>
      <w:bookmarkEnd w:id="121"/>
      <w:bookmarkEnd w:id="122"/>
      <w:r w:rsidRPr="00C13CCF">
        <w:rPr>
          <w:rFonts w:ascii="Times New Roman" w:eastAsia="Times New Roman" w:hAnsi="Times New Roman" w:cs="Times New Roman"/>
          <w:color w:val="000000" w:themeColor="text1"/>
          <w:kern w:val="0"/>
          <w:sz w:val="26"/>
          <w:szCs w:val="26"/>
          <w14:ligatures w14:val="none"/>
        </w:rPr>
        <w:t xml:space="preserve"> (“</w:t>
      </w:r>
      <w:r w:rsidR="000164DA">
        <w:rPr>
          <w:rFonts w:ascii="Times New Roman" w:eastAsia="Times New Roman" w:hAnsi="Times New Roman" w:cs="Times New Roman"/>
          <w:color w:val="000000" w:themeColor="text1"/>
          <w:kern w:val="0"/>
          <w:sz w:val="26"/>
          <w:szCs w:val="26"/>
          <w14:ligatures w14:val="none"/>
        </w:rPr>
        <w:t>[T]</w:t>
      </w:r>
      <w:r w:rsidRPr="00C13CCF">
        <w:rPr>
          <w:rFonts w:ascii="Times New Roman" w:eastAsia="Times New Roman" w:hAnsi="Times New Roman" w:cs="Times New Roman"/>
          <w:color w:val="000000" w:themeColor="text1"/>
          <w:kern w:val="0"/>
          <w:sz w:val="26"/>
          <w:szCs w:val="26"/>
          <w14:ligatures w14:val="none"/>
        </w:rPr>
        <w:t xml:space="preserve">he Court finds that [the witness] was not exposed to the defendants’ compelled statements </w:t>
      </w:r>
      <w:r w:rsidRPr="00C13CCF">
        <w:rPr>
          <w:rFonts w:ascii="Times New Roman" w:eastAsia="Times New Roman" w:hAnsi="Times New Roman" w:cs="Times New Roman"/>
          <w:i/>
          <w:iCs/>
          <w:color w:val="000000" w:themeColor="text1"/>
          <w:kern w:val="0"/>
          <w:sz w:val="26"/>
          <w:szCs w:val="26"/>
          <w14:ligatures w14:val="none"/>
        </w:rPr>
        <w:t>and that his testimony is therefore untainted</w:t>
      </w:r>
      <w:r w:rsidRPr="00C13CCF">
        <w:rPr>
          <w:rFonts w:ascii="Times New Roman" w:eastAsia="Times New Roman" w:hAnsi="Times New Roman" w:cs="Times New Roman"/>
          <w:color w:val="000000" w:themeColor="text1"/>
          <w:kern w:val="0"/>
          <w:sz w:val="26"/>
          <w:szCs w:val="26"/>
          <w14:ligatures w14:val="none"/>
        </w:rPr>
        <w:t>.”) (emphasis added). Even if a witness was exposed to compelled testimony, exposure doesn’t mean a witness’s statements are per se</w:t>
      </w:r>
      <w:r w:rsidRPr="00C13CCF">
        <w:rPr>
          <w:rFonts w:ascii="Times New Roman" w:eastAsia="Times New Roman" w:hAnsi="Times New Roman" w:cs="Times New Roman"/>
          <w:i/>
          <w:iCs/>
          <w:color w:val="000000" w:themeColor="text1"/>
          <w:kern w:val="0"/>
          <w:sz w:val="26"/>
          <w:szCs w:val="26"/>
          <w14:ligatures w14:val="none"/>
        </w:rPr>
        <w:t xml:space="preserve"> </w:t>
      </w:r>
      <w:r w:rsidRPr="00C13CCF">
        <w:rPr>
          <w:rFonts w:ascii="Times New Roman" w:eastAsia="Times New Roman" w:hAnsi="Times New Roman" w:cs="Times New Roman"/>
          <w:color w:val="000000" w:themeColor="text1"/>
          <w:kern w:val="0"/>
          <w:sz w:val="26"/>
          <w:szCs w:val="26"/>
          <w14:ligatures w14:val="none"/>
        </w:rPr>
        <w:t xml:space="preserve">tainted.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123" w:name="dabmci_56e7c19b49fb491c9b66b6443d839867"/>
      <w:r w:rsidRPr="00C13CCF">
        <w:rPr>
          <w:rFonts w:ascii="Times New Roman" w:eastAsia="Times New Roman" w:hAnsi="Times New Roman" w:cs="Times New Roman"/>
          <w:i/>
          <w:iCs/>
          <w:color w:val="000000" w:themeColor="text1"/>
          <w:kern w:val="0"/>
          <w:sz w:val="26"/>
          <w:szCs w:val="26"/>
          <w14:ligatures w14:val="none"/>
        </w:rPr>
        <w:t xml:space="preserve">United States v. Schmidgall </w:t>
      </w:r>
      <w:r w:rsidRPr="00C13CCF">
        <w:rPr>
          <w:rFonts w:ascii="Times New Roman" w:eastAsia="Times New Roman" w:hAnsi="Times New Roman" w:cs="Times New Roman"/>
          <w:color w:val="000000" w:themeColor="text1"/>
          <w:kern w:val="0"/>
          <w:sz w:val="26"/>
          <w:szCs w:val="26"/>
          <w14:ligatures w14:val="none"/>
        </w:rPr>
        <w:t>(</w:t>
      </w:r>
      <w:r w:rsidRPr="00C13CCF">
        <w:rPr>
          <w:rFonts w:ascii="Times New Roman" w:eastAsia="Times New Roman" w:hAnsi="Times New Roman" w:cs="Times New Roman"/>
          <w:i/>
          <w:iCs/>
          <w:color w:val="000000" w:themeColor="text1"/>
          <w:kern w:val="0"/>
          <w:sz w:val="26"/>
          <w:szCs w:val="26"/>
          <w14:ligatures w14:val="none"/>
        </w:rPr>
        <w:t>Schmidgall I</w:t>
      </w:r>
      <w:r w:rsidRPr="00C13CCF">
        <w:rPr>
          <w:rFonts w:ascii="Times New Roman" w:eastAsia="Times New Roman" w:hAnsi="Times New Roman" w:cs="Times New Roman"/>
          <w:color w:val="000000" w:themeColor="text1"/>
          <w:kern w:val="0"/>
          <w:sz w:val="26"/>
          <w:szCs w:val="26"/>
          <w14:ligatures w14:val="none"/>
        </w:rPr>
        <w:t>), 25 F.3d 1523, 1532 (11th Cir. 1994)</w:t>
      </w:r>
      <w:bookmarkStart w:id="124" w:name="dabmen_56e7c19b49fb491c9b66b6443d839867"/>
      <w:bookmarkEnd w:id="123"/>
      <w:bookmarkEnd w:id="124"/>
      <w:r w:rsidRPr="00C13CCF">
        <w:rPr>
          <w:rFonts w:ascii="Times New Roman" w:eastAsia="Times New Roman" w:hAnsi="Times New Roman" w:cs="Times New Roman"/>
          <w:color w:val="000000" w:themeColor="text1"/>
          <w:kern w:val="0"/>
          <w:sz w:val="26"/>
          <w:szCs w:val="26"/>
          <w14:ligatures w14:val="none"/>
        </w:rPr>
        <w:t xml:space="preserve"> (rejecting the argument that exposure equates to per se</w:t>
      </w:r>
      <w:r w:rsidRPr="00C13CCF">
        <w:rPr>
          <w:rFonts w:ascii="Times New Roman" w:eastAsia="Times New Roman" w:hAnsi="Times New Roman" w:cs="Times New Roman"/>
          <w:i/>
          <w:iCs/>
          <w:color w:val="000000" w:themeColor="text1"/>
          <w:kern w:val="0"/>
          <w:sz w:val="26"/>
          <w:szCs w:val="26"/>
          <w14:ligatures w14:val="none"/>
        </w:rPr>
        <w:t xml:space="preserve"> </w:t>
      </w:r>
      <w:r w:rsidRPr="00C13CCF">
        <w:rPr>
          <w:rFonts w:ascii="Times New Roman" w:eastAsia="Times New Roman" w:hAnsi="Times New Roman" w:cs="Times New Roman"/>
          <w:color w:val="000000" w:themeColor="text1"/>
          <w:kern w:val="0"/>
          <w:sz w:val="26"/>
          <w:szCs w:val="26"/>
          <w14:ligatures w14:val="none"/>
        </w:rPr>
        <w:t xml:space="preserve">taint); </w:t>
      </w:r>
      <w:r w:rsidRPr="00C13CCF">
        <w:rPr>
          <w:rFonts w:ascii="Times New Roman" w:eastAsia="Times New Roman" w:hAnsi="Times New Roman" w:cs="Times New Roman"/>
          <w:i/>
          <w:iCs/>
          <w:color w:val="000000" w:themeColor="text1"/>
          <w:kern w:val="0"/>
          <w:sz w:val="26"/>
          <w:szCs w:val="26"/>
          <w14:ligatures w14:val="none"/>
        </w:rPr>
        <w:t>see also</w:t>
      </w:r>
      <w:r w:rsidRPr="00C13CCF">
        <w:rPr>
          <w:rFonts w:ascii="Times New Roman" w:eastAsia="Times New Roman" w:hAnsi="Times New Roman" w:cs="Times New Roman"/>
          <w:color w:val="000000" w:themeColor="text1"/>
          <w:kern w:val="0"/>
          <w:sz w:val="26"/>
          <w:szCs w:val="26"/>
          <w14:ligatures w14:val="none"/>
        </w:rPr>
        <w:t xml:space="preserve"> </w:t>
      </w:r>
      <w:bookmarkStart w:id="125" w:name="dabmci_5113b25661a240318e448960be7de35f"/>
      <w:r w:rsidRPr="00C13CCF">
        <w:rPr>
          <w:rFonts w:ascii="Times New Roman" w:eastAsia="Times New Roman" w:hAnsi="Times New Roman" w:cs="Times New Roman"/>
          <w:i/>
          <w:iCs/>
          <w:color w:val="000000" w:themeColor="text1"/>
          <w:kern w:val="0"/>
          <w:sz w:val="26"/>
          <w:szCs w:val="26"/>
          <w14:ligatures w14:val="none"/>
        </w:rPr>
        <w:t>Slough</w:t>
      </w:r>
      <w:bookmarkStart w:id="126" w:name="dabmen_5113b25661a240318e448960be7de35f"/>
      <w:bookmarkEnd w:id="125"/>
      <w:bookmarkEnd w:id="126"/>
      <w:r w:rsidRPr="00C13CCF">
        <w:rPr>
          <w:rFonts w:ascii="Times New Roman" w:eastAsia="Times New Roman" w:hAnsi="Times New Roman" w:cs="Times New Roman"/>
          <w:color w:val="000000" w:themeColor="text1"/>
          <w:kern w:val="0"/>
          <w:sz w:val="26"/>
          <w:szCs w:val="26"/>
          <w14:ligatures w14:val="none"/>
        </w:rPr>
        <w:t xml:space="preserve">, 36. F. Supp. 3d at 52 (finding that although witnesses were exposed to immunized testimony, their statements were untainted because they could separate what they had learned from what they observed </w:t>
      </w:r>
      <w:r w:rsidRPr="00C13CCF">
        <w:rPr>
          <w:rFonts w:ascii="Times New Roman" w:eastAsia="Times New Roman" w:hAnsi="Times New Roman" w:cs="Times New Roman"/>
          <w:color w:val="000000" w:themeColor="text1"/>
          <w:kern w:val="0"/>
          <w:sz w:val="26"/>
          <w:szCs w:val="26"/>
          <w14:ligatures w14:val="none"/>
        </w:rPr>
        <w:lastRenderedPageBreak/>
        <w:t xml:space="preserve">firsthand). And such testimony cannot be tainted where details don’t overlap. </w:t>
      </w:r>
      <w:bookmarkStart w:id="127" w:name="dabmci_773274dbfd4145d19bc93408689e2b8f"/>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at 45</w:t>
      </w:r>
      <w:bookmarkStart w:id="128" w:name="dabmen_773274dbfd4145d19bc93408689e2b8f"/>
      <w:bookmarkEnd w:id="127"/>
      <w:bookmarkEnd w:id="128"/>
      <w:r w:rsidRPr="00C13CCF">
        <w:rPr>
          <w:rFonts w:ascii="Times New Roman" w:eastAsia="Times New Roman" w:hAnsi="Times New Roman" w:cs="Times New Roman"/>
          <w:color w:val="000000" w:themeColor="text1"/>
          <w:kern w:val="0"/>
          <w:sz w:val="26"/>
          <w:szCs w:val="26"/>
          <w14:ligatures w14:val="none"/>
        </w:rPr>
        <w:t xml:space="preserve"> (“As [witness’s] additional details do not overlap with [Defendant’s] immunized statement, that testimony could not be tainted.”).</w:t>
      </w:r>
      <w:bookmarkEnd w:id="120"/>
    </w:p>
    <w:p w14:paraId="57B6665A"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29" w:name="dabmch_76"/>
      <w:r w:rsidRPr="00C13CCF">
        <w:rPr>
          <w:rFonts w:ascii="Times New Roman" w:eastAsia="Times New Roman" w:hAnsi="Times New Roman" w:cs="Times New Roman"/>
          <w:color w:val="000000" w:themeColor="text1"/>
          <w:kern w:val="0"/>
          <w:sz w:val="26"/>
          <w:szCs w:val="26"/>
          <w14:ligatures w14:val="none"/>
        </w:rPr>
        <w:t>The United States prevails on three grounds: Parker was never exposed to the testimony, she has an independent basis for her statements, and portions of her statements have no overlap with Calloway’s testimony. </w:t>
      </w:r>
      <w:bookmarkEnd w:id="129"/>
    </w:p>
    <w:p w14:paraId="0B817DF0" w14:textId="2AA5060E" w:rsidR="00C13CCF" w:rsidRPr="000564BD" w:rsidRDefault="002D374B" w:rsidP="000564BD">
      <w:pPr>
        <w:pStyle w:val="Heading3"/>
        <w:numPr>
          <w:ilvl w:val="1"/>
          <w:numId w:val="19"/>
        </w:numPr>
        <w:rPr>
          <w:rFonts w:ascii="Times New Roman" w:eastAsia="Times New Roman" w:hAnsi="Times New Roman" w:cs="Times New Roman"/>
          <w:b/>
          <w:bCs/>
          <w:i/>
          <w:iCs/>
          <w:color w:val="000000" w:themeColor="text1"/>
          <w:sz w:val="26"/>
          <w:szCs w:val="26"/>
        </w:rPr>
      </w:pPr>
      <w:bookmarkStart w:id="130" w:name="dabmch_77"/>
      <w:bookmarkStart w:id="131" w:name="_Toc239155237"/>
      <w:r w:rsidRPr="000564BD">
        <w:rPr>
          <w:rFonts w:ascii="Times New Roman" w:eastAsia="Times New Roman" w:hAnsi="Times New Roman" w:cs="Times New Roman"/>
          <w:b/>
          <w:bCs/>
          <w:i/>
          <w:iCs/>
          <w:color w:val="000000" w:themeColor="text1"/>
          <w:sz w:val="26"/>
          <w:szCs w:val="26"/>
        </w:rPr>
        <w:t>Parker Was Never Exposed to Calloway’s Testimony.</w:t>
      </w:r>
      <w:bookmarkEnd w:id="130"/>
      <w:bookmarkEnd w:id="131"/>
    </w:p>
    <w:p w14:paraId="01C9219B" w14:textId="77777777" w:rsidR="00C13CCF" w:rsidRDefault="002D374B" w:rsidP="000564BD">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32" w:name="dabmch_78"/>
      <w:r w:rsidRPr="00C13CCF">
        <w:rPr>
          <w:rFonts w:ascii="Times New Roman" w:eastAsia="Times New Roman" w:hAnsi="Times New Roman" w:cs="Times New Roman"/>
          <w:color w:val="000000" w:themeColor="text1"/>
          <w:kern w:val="0"/>
          <w:sz w:val="26"/>
          <w:szCs w:val="26"/>
          <w14:ligatures w14:val="none"/>
        </w:rPr>
        <w:t>Parker was uninfluenced by Calloway’s testimony. She didn’t follow the Donovan trial. (Parker Dep. 42:308–10.) She didn’t watch Calloway’s testimony. (</w:t>
      </w:r>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042:313.) She didn’t read it.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The first, and only time, Parker talked with law enforcement about anything Donovan or Calloway related was in Nolan’s interview. (</w:t>
      </w:r>
      <w:bookmarkStart w:id="133" w:name="dabmci_798b9ded78704e3896ebbf21aaa0ab6b"/>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041</w:t>
      </w:r>
      <w:bookmarkStart w:id="134" w:name="dabmen_798b9ded78704e3896ebbf21aaa0ab6b"/>
      <w:bookmarkEnd w:id="133"/>
      <w:bookmarkEnd w:id="134"/>
      <w:r w:rsidRPr="00C13CCF">
        <w:rPr>
          <w:rFonts w:ascii="Times New Roman" w:eastAsia="Times New Roman" w:hAnsi="Times New Roman" w:cs="Times New Roman"/>
          <w:color w:val="000000" w:themeColor="text1"/>
          <w:kern w:val="0"/>
          <w:sz w:val="26"/>
          <w:szCs w:val="26"/>
          <w14:ligatures w14:val="none"/>
        </w:rPr>
        <w:t xml:space="preserve">–42:305–06,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18.) </w:t>
      </w:r>
      <w:bookmarkEnd w:id="132"/>
    </w:p>
    <w:p w14:paraId="1C1ADA61" w14:textId="251D40B5" w:rsidR="00C13CCF" w:rsidRPr="000564BD" w:rsidRDefault="002D374B" w:rsidP="000564BD">
      <w:pPr>
        <w:pStyle w:val="Heading3"/>
        <w:numPr>
          <w:ilvl w:val="1"/>
          <w:numId w:val="19"/>
        </w:numPr>
        <w:rPr>
          <w:rFonts w:ascii="Times New Roman" w:eastAsia="Times New Roman" w:hAnsi="Times New Roman" w:cs="Times New Roman"/>
          <w:b/>
          <w:bCs/>
          <w:i/>
          <w:iCs/>
          <w:color w:val="000000" w:themeColor="text1"/>
          <w:sz w:val="26"/>
          <w:szCs w:val="26"/>
        </w:rPr>
      </w:pPr>
      <w:bookmarkStart w:id="135" w:name="dabmch_79"/>
      <w:bookmarkStart w:id="136" w:name="_Toc239155238"/>
      <w:r w:rsidRPr="000564BD">
        <w:rPr>
          <w:rFonts w:ascii="Times New Roman" w:eastAsia="Times New Roman" w:hAnsi="Times New Roman" w:cs="Times New Roman"/>
          <w:b/>
          <w:bCs/>
          <w:i/>
          <w:iCs/>
          <w:color w:val="000000" w:themeColor="text1"/>
          <w:sz w:val="26"/>
          <w:szCs w:val="26"/>
        </w:rPr>
        <w:t>Parker Strictly Spoke to Events She Had Firsthand Knowledge Of.</w:t>
      </w:r>
      <w:bookmarkEnd w:id="135"/>
      <w:bookmarkEnd w:id="136"/>
    </w:p>
    <w:p w14:paraId="4D386F04"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37" w:name="dabmch_80"/>
      <w:r w:rsidRPr="00C13CCF">
        <w:rPr>
          <w:rFonts w:ascii="Times New Roman" w:eastAsia="Times New Roman" w:hAnsi="Times New Roman" w:cs="Times New Roman"/>
          <w:color w:val="000000" w:themeColor="text1"/>
          <w:kern w:val="0"/>
          <w:sz w:val="26"/>
          <w:szCs w:val="26"/>
          <w14:ligatures w14:val="none"/>
        </w:rPr>
        <w:t> Not only was she unexposed, but her statements were based on her firsthand observations. She was at the Christmas party when she stumbled upon Blake and Calloway arguing. (Parker Dep.</w:t>
      </w:r>
      <w:r w:rsidRPr="00C13CCF">
        <w:rPr>
          <w:rFonts w:ascii="Times New Roman" w:eastAsia="Times New Roman" w:hAnsi="Times New Roman" w:cs="Times New Roman"/>
          <w:i/>
          <w:iCs/>
          <w:color w:val="000000" w:themeColor="text1"/>
          <w:kern w:val="0"/>
          <w:sz w:val="26"/>
          <w:szCs w:val="26"/>
          <w14:ligatures w14:val="none"/>
        </w:rPr>
        <w:t xml:space="preserve"> </w:t>
      </w:r>
      <w:r w:rsidRPr="00C13CCF">
        <w:rPr>
          <w:rFonts w:ascii="Times New Roman" w:eastAsia="Times New Roman" w:hAnsi="Times New Roman" w:cs="Times New Roman"/>
          <w:color w:val="000000" w:themeColor="text1"/>
          <w:kern w:val="0"/>
          <w:sz w:val="26"/>
          <w:szCs w:val="26"/>
          <w14:ligatures w14:val="none"/>
        </w:rPr>
        <w:t>038:177–78.) She heard Blake confront Calloway with the payment problem. (</w:t>
      </w:r>
      <w:r w:rsidRPr="00C13CCF">
        <w:rPr>
          <w:rFonts w:ascii="Times New Roman" w:eastAsia="Times New Roman" w:hAnsi="Times New Roman" w:cs="Times New Roman"/>
          <w:i/>
          <w:iCs/>
          <w:color w:val="000000" w:themeColor="text1"/>
          <w:kern w:val="0"/>
          <w:sz w:val="26"/>
          <w:szCs w:val="26"/>
          <w14:ligatures w14:val="none"/>
        </w:rPr>
        <w:t xml:space="preserve">Id. </w:t>
      </w:r>
      <w:r w:rsidRPr="00C13CCF">
        <w:rPr>
          <w:rFonts w:ascii="Times New Roman" w:eastAsia="Times New Roman" w:hAnsi="Times New Roman" w:cs="Times New Roman"/>
          <w:color w:val="000000" w:themeColor="text1"/>
          <w:kern w:val="0"/>
          <w:sz w:val="26"/>
          <w:szCs w:val="26"/>
          <w14:ligatures w14:val="none"/>
        </w:rPr>
        <w:t>038:187–89.) She heard Blake giving Calloway “one last chance to do the right thing,” before Calloway told him, “You’re making a mistake. Back off Daniel.”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And when Defendant’s lawyer asked how certain Parker was of what she heard, Parker replied, “I heard clear as anything because I was right there.”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xml:space="preserve"> 038:190–92.) Parker’s </w:t>
      </w:r>
      <w:r w:rsidRPr="00C13CCF">
        <w:rPr>
          <w:rFonts w:ascii="Times New Roman" w:eastAsia="Times New Roman" w:hAnsi="Times New Roman" w:cs="Times New Roman"/>
          <w:color w:val="000000" w:themeColor="text1"/>
          <w:kern w:val="0"/>
          <w:sz w:val="26"/>
          <w:szCs w:val="26"/>
          <w14:ligatures w14:val="none"/>
        </w:rPr>
        <w:lastRenderedPageBreak/>
        <w:t xml:space="preserve">firsthand observations provide her with an untainted, independent source for her statements, satisfying </w:t>
      </w:r>
      <w:r w:rsidRPr="00C13CCF">
        <w:rPr>
          <w:rFonts w:ascii="Times New Roman" w:eastAsia="Times New Roman" w:hAnsi="Times New Roman" w:cs="Times New Roman"/>
          <w:i/>
          <w:iCs/>
          <w:color w:val="000000" w:themeColor="text1"/>
          <w:kern w:val="0"/>
          <w:sz w:val="26"/>
          <w:szCs w:val="26"/>
          <w14:ligatures w14:val="none"/>
        </w:rPr>
        <w:t>Kastigar</w:t>
      </w:r>
      <w:r w:rsidRPr="00C13CCF">
        <w:rPr>
          <w:rFonts w:ascii="Times New Roman" w:eastAsia="Times New Roman" w:hAnsi="Times New Roman" w:cs="Times New Roman"/>
          <w:color w:val="000000" w:themeColor="text1"/>
          <w:kern w:val="0"/>
          <w:sz w:val="26"/>
          <w:szCs w:val="26"/>
          <w14:ligatures w14:val="none"/>
        </w:rPr>
        <w:t>.</w:t>
      </w:r>
      <w:bookmarkEnd w:id="137"/>
    </w:p>
    <w:p w14:paraId="5C6DDA66" w14:textId="40B94610" w:rsidR="00A52F4B" w:rsidRPr="00A52F4B" w:rsidRDefault="002D374B" w:rsidP="000564BD">
      <w:pPr>
        <w:pStyle w:val="Heading4"/>
        <w:numPr>
          <w:ilvl w:val="1"/>
          <w:numId w:val="19"/>
        </w:numPr>
        <w:spacing w:line="240" w:lineRule="auto"/>
        <w:jc w:val="both"/>
        <w:rPr>
          <w:rFonts w:ascii="Times New Roman" w:eastAsia="Times New Roman" w:hAnsi="Times New Roman" w:cs="Times New Roman"/>
          <w:b/>
          <w:bCs/>
          <w:color w:val="000000" w:themeColor="text1"/>
          <w:sz w:val="26"/>
          <w:szCs w:val="26"/>
        </w:rPr>
      </w:pPr>
      <w:bookmarkStart w:id="138" w:name="dabmch_81"/>
      <w:r w:rsidRPr="00DB2E5F">
        <w:rPr>
          <w:rFonts w:ascii="Times New Roman" w:eastAsia="Times New Roman" w:hAnsi="Times New Roman" w:cs="Times New Roman"/>
          <w:b/>
          <w:bCs/>
          <w:color w:val="000000" w:themeColor="text1"/>
          <w:sz w:val="26"/>
          <w:szCs w:val="26"/>
        </w:rPr>
        <w:t>There Is No Overlap or Taint Because Calloway Never Mentions the Banker’s Box.</w:t>
      </w:r>
      <w:bookmarkEnd w:id="138"/>
    </w:p>
    <w:p w14:paraId="0AF5B56C" w14:textId="77777777" w:rsidR="00C13CCF" w:rsidRPr="00C13CCF" w:rsidRDefault="002D374B" w:rsidP="00A52F4B">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39" w:name="dabmch_82"/>
      <w:r w:rsidRPr="00C13CCF">
        <w:rPr>
          <w:rFonts w:ascii="Times New Roman" w:eastAsia="Times New Roman" w:hAnsi="Times New Roman" w:cs="Times New Roman"/>
          <w:color w:val="000000" w:themeColor="text1"/>
          <w:kern w:val="0"/>
          <w:sz w:val="26"/>
          <w:szCs w:val="26"/>
          <w14:ligatures w14:val="none"/>
        </w:rPr>
        <w:t xml:space="preserve">A witness’s testimony that does not overlap with a defendant’s immunized testimony cannot be tainted. </w:t>
      </w:r>
      <w:r w:rsidRPr="00C13CCF">
        <w:rPr>
          <w:rFonts w:ascii="Times New Roman" w:eastAsia="Times New Roman" w:hAnsi="Times New Roman" w:cs="Times New Roman"/>
          <w:i/>
          <w:iCs/>
          <w:color w:val="000000" w:themeColor="text1"/>
          <w:kern w:val="0"/>
          <w:sz w:val="26"/>
          <w:szCs w:val="26"/>
          <w14:ligatures w14:val="none"/>
        </w:rPr>
        <w:t xml:space="preserve">See </w:t>
      </w:r>
      <w:bookmarkStart w:id="140" w:name="dabmci_e233718535fd479cb74f6d3b3ed1da2f"/>
      <w:r w:rsidRPr="00C13CCF">
        <w:rPr>
          <w:rFonts w:ascii="Times New Roman" w:eastAsia="Times New Roman" w:hAnsi="Times New Roman" w:cs="Times New Roman"/>
          <w:i/>
          <w:iCs/>
          <w:color w:val="000000" w:themeColor="text1"/>
          <w:kern w:val="0"/>
          <w:sz w:val="26"/>
          <w:szCs w:val="26"/>
          <w14:ligatures w14:val="none"/>
        </w:rPr>
        <w:t>Slough</w:t>
      </w:r>
      <w:r w:rsidRPr="00C13CCF">
        <w:rPr>
          <w:rFonts w:ascii="Times New Roman" w:eastAsia="Times New Roman" w:hAnsi="Times New Roman" w:cs="Times New Roman"/>
          <w:color w:val="000000" w:themeColor="text1"/>
          <w:kern w:val="0"/>
          <w:sz w:val="26"/>
          <w:szCs w:val="26"/>
          <w14:ligatures w14:val="none"/>
        </w:rPr>
        <w:t>, 36 F. Supp. 3d at 44</w:t>
      </w:r>
      <w:bookmarkStart w:id="141" w:name="dabmen_e233718535fd479cb74f6d3b3ed1da2f"/>
      <w:bookmarkEnd w:id="140"/>
      <w:bookmarkEnd w:id="141"/>
      <w:r w:rsidRPr="00C13CCF">
        <w:rPr>
          <w:rFonts w:ascii="Times New Roman" w:eastAsia="Times New Roman" w:hAnsi="Times New Roman" w:cs="Times New Roman"/>
          <w:color w:val="000000" w:themeColor="text1"/>
          <w:kern w:val="0"/>
          <w:sz w:val="26"/>
          <w:szCs w:val="26"/>
          <w14:ligatures w14:val="none"/>
        </w:rPr>
        <w:t>. Calloway’s testimony only concerned the Christmas party that happened on December 10, 2023. (</w:t>
      </w:r>
      <w:r w:rsidRPr="00C13CCF">
        <w:rPr>
          <w:rFonts w:ascii="Times New Roman" w:eastAsia="Times New Roman" w:hAnsi="Times New Roman" w:cs="Times New Roman"/>
          <w:i/>
          <w:iCs/>
          <w:color w:val="000000" w:themeColor="text1"/>
          <w:kern w:val="0"/>
          <w:sz w:val="26"/>
          <w:szCs w:val="26"/>
          <w14:ligatures w14:val="none"/>
        </w:rPr>
        <w:t xml:space="preserve">See </w:t>
      </w:r>
      <w:r w:rsidRPr="00C13CCF">
        <w:rPr>
          <w:rFonts w:ascii="Times New Roman" w:eastAsia="Times New Roman" w:hAnsi="Times New Roman" w:cs="Times New Roman"/>
          <w:color w:val="000000" w:themeColor="text1"/>
          <w:kern w:val="0"/>
          <w:sz w:val="26"/>
          <w:szCs w:val="26"/>
          <w14:ligatures w14:val="none"/>
        </w:rPr>
        <w:t>Ex. 13.) There’s no mention of the banker’s box. Only through Parker’s interview the United States discovered that Calloway instructed Parker to take a banker’s box marked “Coastal” to an offsite storage facility. (</w:t>
      </w:r>
      <w:r w:rsidRPr="00C13CCF">
        <w:rPr>
          <w:rFonts w:ascii="Times New Roman" w:eastAsia="Times New Roman" w:hAnsi="Times New Roman" w:cs="Times New Roman"/>
          <w:i/>
          <w:iCs/>
          <w:color w:val="000000" w:themeColor="text1"/>
          <w:kern w:val="0"/>
          <w:sz w:val="26"/>
          <w:szCs w:val="26"/>
          <w14:ligatures w14:val="none"/>
        </w:rPr>
        <w:t>Id.</w:t>
      </w:r>
      <w:r w:rsidRPr="00C13CCF">
        <w:rPr>
          <w:rFonts w:ascii="Times New Roman" w:eastAsia="Times New Roman" w:hAnsi="Times New Roman" w:cs="Times New Roman"/>
          <w:color w:val="000000" w:themeColor="text1"/>
          <w:kern w:val="0"/>
          <w:sz w:val="26"/>
          <w:szCs w:val="26"/>
          <w14:ligatures w14:val="none"/>
        </w:rPr>
        <w:t>) Through Parker’s interview, and only Parker’s interview, the United States tracked down the storage unit, located the banker’s box, and recovered Exhibit 19—the beneficial ownership declaration. (Nolan Dep. 33:356–60.) To say that Calloway’s testimony led to the banker’s box, where Calloway made no mention of a storage facility, the Coastal records, or any subsequent conversations with Parker, is beyond peradventure. </w:t>
      </w:r>
      <w:bookmarkEnd w:id="139"/>
    </w:p>
    <w:p w14:paraId="0F3D9A6C"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42" w:name="dabmch_83"/>
      <w:r w:rsidRPr="00C13CCF">
        <w:rPr>
          <w:rFonts w:ascii="Times New Roman" w:eastAsia="Times New Roman" w:hAnsi="Times New Roman" w:cs="Times New Roman"/>
          <w:color w:val="000000" w:themeColor="text1"/>
          <w:kern w:val="0"/>
          <w:sz w:val="26"/>
          <w:szCs w:val="26"/>
          <w14:ligatures w14:val="none"/>
        </w:rPr>
        <w:t>Alone, any one of these reasons is enough for this Court to find that Parker’s statements are untainted. But together, it’s unmistakable. Because Agent Nolan’s independent investigation led to Parker, and Parker was untainted, it follows that any evidence found through the Parker interview is also untainted. Exhibit 19, the beneficial ownership declaration, was procured only from the details Parker provided and therefore must be seen as untainted. </w:t>
      </w:r>
      <w:bookmarkEnd w:id="142"/>
    </w:p>
    <w:p w14:paraId="4959DED3"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43" w:name="dabmch_84"/>
      <w:r w:rsidRPr="00C13CCF">
        <w:rPr>
          <w:rFonts w:ascii="Times New Roman" w:eastAsia="Times New Roman" w:hAnsi="Times New Roman" w:cs="Times New Roman"/>
          <w:color w:val="000000" w:themeColor="text1"/>
          <w:kern w:val="0"/>
          <w:sz w:val="26"/>
          <w:szCs w:val="26"/>
          <w14:ligatures w14:val="none"/>
        </w:rPr>
        <w:lastRenderedPageBreak/>
        <w:t xml:space="preserve">The United States’ burden is to show by a preponderance of the evidence that each piece of evidence is linked to an independent source. </w:t>
      </w:r>
      <w:bookmarkStart w:id="144" w:name="dabmci_75d22b5def9c475684528efc9bfa1ba5"/>
      <w:r w:rsidRPr="00C13CCF">
        <w:rPr>
          <w:rFonts w:ascii="Times New Roman" w:eastAsia="Times New Roman" w:hAnsi="Times New Roman" w:cs="Times New Roman"/>
          <w:i/>
          <w:iCs/>
          <w:color w:val="000000" w:themeColor="text1"/>
          <w:kern w:val="0"/>
          <w:sz w:val="26"/>
          <w:szCs w:val="26"/>
          <w14:ligatures w14:val="none"/>
        </w:rPr>
        <w:t>Byrd</w:t>
      </w:r>
      <w:r w:rsidRPr="00C13CCF">
        <w:rPr>
          <w:rFonts w:ascii="Times New Roman" w:eastAsia="Times New Roman" w:hAnsi="Times New Roman" w:cs="Times New Roman"/>
          <w:color w:val="000000" w:themeColor="text1"/>
          <w:kern w:val="0"/>
          <w:sz w:val="26"/>
          <w:szCs w:val="26"/>
          <w14:ligatures w14:val="none"/>
        </w:rPr>
        <w:t>, 765 F.2d at 1529 (11th Cir. 1985)</w:t>
      </w:r>
      <w:bookmarkStart w:id="145" w:name="dabmen_75d22b5def9c475684528efc9bfa1ba5"/>
      <w:bookmarkEnd w:id="144"/>
      <w:bookmarkEnd w:id="145"/>
      <w:r w:rsidRPr="00C13CCF">
        <w:rPr>
          <w:rFonts w:ascii="Times New Roman" w:eastAsia="Times New Roman" w:hAnsi="Times New Roman" w:cs="Times New Roman"/>
          <w:color w:val="000000" w:themeColor="text1"/>
          <w:kern w:val="0"/>
          <w:sz w:val="26"/>
          <w:szCs w:val="26"/>
          <w14:ligatures w14:val="none"/>
        </w:rPr>
        <w:t xml:space="preserve"> (citing </w:t>
      </w:r>
      <w:bookmarkStart w:id="146" w:name="dabmci_60fc03f46696406290f81cb5ea00b6ad"/>
      <w:r w:rsidRPr="00C13CCF">
        <w:rPr>
          <w:rFonts w:ascii="Times New Roman" w:eastAsia="Times New Roman" w:hAnsi="Times New Roman" w:cs="Times New Roman"/>
          <w:i/>
          <w:iCs/>
          <w:color w:val="000000" w:themeColor="text1"/>
          <w:kern w:val="0"/>
          <w:sz w:val="26"/>
          <w:szCs w:val="26"/>
          <w14:ligatures w14:val="none"/>
        </w:rPr>
        <w:t>United States v. Seiffert</w:t>
      </w:r>
      <w:r w:rsidRPr="00C13CCF">
        <w:rPr>
          <w:rFonts w:ascii="Times New Roman" w:eastAsia="Times New Roman" w:hAnsi="Times New Roman" w:cs="Times New Roman"/>
          <w:color w:val="000000" w:themeColor="text1"/>
          <w:kern w:val="0"/>
          <w:sz w:val="26"/>
          <w:szCs w:val="26"/>
          <w14:ligatures w14:val="none"/>
        </w:rPr>
        <w:t>, 501 F.2d 974, 982 (5th Cir. 1974)</w:t>
      </w:r>
      <w:bookmarkStart w:id="147" w:name="dabmen_60fc03f46696406290f81cb5ea00b6ad"/>
      <w:bookmarkEnd w:id="146"/>
      <w:bookmarkEnd w:id="147"/>
      <w:r w:rsidRPr="00C13CCF">
        <w:rPr>
          <w:rFonts w:ascii="Times New Roman" w:eastAsia="Times New Roman" w:hAnsi="Times New Roman" w:cs="Times New Roman"/>
          <w:color w:val="000000" w:themeColor="text1"/>
          <w:kern w:val="0"/>
          <w:sz w:val="26"/>
          <w:szCs w:val="26"/>
          <w14:ligatures w14:val="none"/>
        </w:rPr>
        <w:t xml:space="preserve">). The Prosecution’s burden does not require negating all abstract possibilities of taint. </w:t>
      </w:r>
      <w:bookmarkStart w:id="148" w:name="dabmci_9ad75a7f60c749818ca4d50055443531"/>
      <w:r w:rsidRPr="00C13CCF">
        <w:rPr>
          <w:rFonts w:ascii="Times New Roman" w:eastAsia="Times New Roman" w:hAnsi="Times New Roman" w:cs="Times New Roman"/>
          <w:i/>
          <w:iCs/>
          <w:color w:val="000000" w:themeColor="text1"/>
          <w:kern w:val="0"/>
          <w:sz w:val="26"/>
          <w:szCs w:val="26"/>
          <w14:ligatures w14:val="none"/>
        </w:rPr>
        <w:t>Id.</w:t>
      </w:r>
      <w:bookmarkStart w:id="149" w:name="dabmen_9ad75a7f60c749818ca4d50055443531"/>
      <w:bookmarkEnd w:id="148"/>
      <w:bookmarkEnd w:id="149"/>
      <w:r w:rsidRPr="00C13CCF">
        <w:rPr>
          <w:rFonts w:ascii="Times New Roman" w:eastAsia="Times New Roman" w:hAnsi="Times New Roman" w:cs="Times New Roman"/>
          <w:color w:val="000000" w:themeColor="text1"/>
          <w:kern w:val="0"/>
          <w:sz w:val="26"/>
          <w:szCs w:val="26"/>
          <w14:ligatures w14:val="none"/>
        </w:rPr>
        <w:t xml:space="preserve"> An invitation for this Court to consider imaginary watercooler conversations between Parker and coworkers about the trial or Nolan following the trial through local news or Sinclair, where no such evidence exists, would be an invitation for this Court to err. This Court should decline such an invitation. </w:t>
      </w:r>
      <w:bookmarkEnd w:id="143"/>
    </w:p>
    <w:p w14:paraId="17C62A55" w14:textId="77777777" w:rsidR="00C13CCF" w:rsidRPr="00C13CCF" w:rsidRDefault="002D374B" w:rsidP="00DB2E5F">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50" w:name="dabmch_85"/>
      <w:r w:rsidRPr="00C13CCF">
        <w:rPr>
          <w:rFonts w:ascii="Times New Roman" w:eastAsia="Times New Roman" w:hAnsi="Times New Roman" w:cs="Times New Roman"/>
          <w:color w:val="000000" w:themeColor="text1"/>
          <w:kern w:val="0"/>
          <w:sz w:val="26"/>
          <w:szCs w:val="26"/>
          <w14:ligatures w14:val="none"/>
        </w:rPr>
        <w:t>For these reasons Defendant’s motion to suppress the statements of Kennedy Parker and Exhibit 19 should be denied. </w:t>
      </w:r>
      <w:bookmarkEnd w:id="150"/>
    </w:p>
    <w:p w14:paraId="2852C503" w14:textId="75B8A482" w:rsidR="00276094" w:rsidRPr="00DB2E5F" w:rsidRDefault="002D374B" w:rsidP="000564BD">
      <w:pPr>
        <w:pStyle w:val="Heading2"/>
        <w:numPr>
          <w:ilvl w:val="0"/>
          <w:numId w:val="24"/>
        </w:numPr>
        <w:spacing w:line="240" w:lineRule="auto"/>
        <w:rPr>
          <w:rFonts w:ascii="Times New Roman" w:eastAsia="Times New Roman" w:hAnsi="Times New Roman" w:cs="Times New Roman"/>
          <w:b/>
          <w:bCs/>
          <w:color w:val="000000" w:themeColor="text1"/>
          <w:sz w:val="26"/>
          <w:szCs w:val="26"/>
        </w:rPr>
      </w:pPr>
      <w:bookmarkStart w:id="151" w:name="_Toc239113020"/>
      <w:bookmarkStart w:id="152" w:name="_Toc239149373"/>
      <w:bookmarkStart w:id="153" w:name="dabmch_86"/>
      <w:bookmarkStart w:id="154" w:name="_Toc239155239"/>
      <w:r w:rsidRPr="00DB2E5F">
        <w:rPr>
          <w:rFonts w:ascii="Times New Roman" w:eastAsia="Times New Roman" w:hAnsi="Times New Roman" w:cs="Times New Roman"/>
          <w:b/>
          <w:bCs/>
          <w:color w:val="000000" w:themeColor="text1"/>
          <w:sz w:val="26"/>
          <w:szCs w:val="26"/>
        </w:rPr>
        <w:t xml:space="preserve">The </w:t>
      </w:r>
      <w:r w:rsidR="000564BD">
        <w:rPr>
          <w:rFonts w:ascii="Times New Roman" w:eastAsia="Times New Roman" w:hAnsi="Times New Roman" w:cs="Times New Roman"/>
          <w:b/>
          <w:bCs/>
          <w:color w:val="000000" w:themeColor="text1"/>
          <w:sz w:val="26"/>
          <w:szCs w:val="26"/>
        </w:rPr>
        <w:t>U</w:t>
      </w:r>
      <w:r w:rsidRPr="00DB2E5F">
        <w:rPr>
          <w:rFonts w:ascii="Times New Roman" w:eastAsia="Times New Roman" w:hAnsi="Times New Roman" w:cs="Times New Roman"/>
          <w:b/>
          <w:bCs/>
          <w:color w:val="000000" w:themeColor="text1"/>
          <w:sz w:val="26"/>
          <w:szCs w:val="26"/>
        </w:rPr>
        <w:t xml:space="preserve">nited States </w:t>
      </w:r>
      <w:r w:rsidR="00A52F4B">
        <w:rPr>
          <w:rFonts w:ascii="Times New Roman" w:eastAsia="Times New Roman" w:hAnsi="Times New Roman" w:cs="Times New Roman"/>
          <w:b/>
          <w:bCs/>
          <w:color w:val="000000" w:themeColor="text1"/>
          <w:sz w:val="26"/>
          <w:szCs w:val="26"/>
        </w:rPr>
        <w:t>H</w:t>
      </w:r>
      <w:r w:rsidRPr="00DB2E5F">
        <w:rPr>
          <w:rFonts w:ascii="Times New Roman" w:eastAsia="Times New Roman" w:hAnsi="Times New Roman" w:cs="Times New Roman"/>
          <w:b/>
          <w:bCs/>
          <w:color w:val="000000" w:themeColor="text1"/>
          <w:sz w:val="26"/>
          <w:szCs w:val="26"/>
        </w:rPr>
        <w:t xml:space="preserve">as </w:t>
      </w:r>
      <w:r w:rsidR="00A52F4B">
        <w:rPr>
          <w:rFonts w:ascii="Times New Roman" w:eastAsia="Times New Roman" w:hAnsi="Times New Roman" w:cs="Times New Roman"/>
          <w:b/>
          <w:bCs/>
          <w:color w:val="000000" w:themeColor="text1"/>
          <w:sz w:val="26"/>
          <w:szCs w:val="26"/>
        </w:rPr>
        <w:t>S</w:t>
      </w:r>
      <w:r w:rsidRPr="00DB2E5F">
        <w:rPr>
          <w:rFonts w:ascii="Times New Roman" w:eastAsia="Times New Roman" w:hAnsi="Times New Roman" w:cs="Times New Roman"/>
          <w:b/>
          <w:bCs/>
          <w:color w:val="000000" w:themeColor="text1"/>
          <w:sz w:val="26"/>
          <w:szCs w:val="26"/>
        </w:rPr>
        <w:t xml:space="preserve">hown </w:t>
      </w:r>
      <w:r w:rsidR="00A52F4B">
        <w:rPr>
          <w:rFonts w:ascii="Times New Roman" w:eastAsia="Times New Roman" w:hAnsi="Times New Roman" w:cs="Times New Roman"/>
          <w:b/>
          <w:bCs/>
          <w:color w:val="000000" w:themeColor="text1"/>
          <w:sz w:val="26"/>
          <w:szCs w:val="26"/>
        </w:rPr>
        <w:t>B</w:t>
      </w:r>
      <w:r w:rsidRPr="00DB2E5F">
        <w:rPr>
          <w:rFonts w:ascii="Times New Roman" w:eastAsia="Times New Roman" w:hAnsi="Times New Roman" w:cs="Times New Roman"/>
          <w:b/>
          <w:bCs/>
          <w:color w:val="000000" w:themeColor="text1"/>
          <w:sz w:val="26"/>
          <w:szCs w:val="26"/>
        </w:rPr>
        <w:t xml:space="preserve">oth that Sierra Seton is </w:t>
      </w:r>
      <w:r w:rsidR="00A52F4B">
        <w:rPr>
          <w:rFonts w:ascii="Times New Roman" w:eastAsia="Times New Roman" w:hAnsi="Times New Roman" w:cs="Times New Roman"/>
          <w:b/>
          <w:bCs/>
          <w:color w:val="000000" w:themeColor="text1"/>
          <w:sz w:val="26"/>
          <w:szCs w:val="26"/>
        </w:rPr>
        <w:t>U</w:t>
      </w:r>
      <w:r w:rsidRPr="00DB2E5F">
        <w:rPr>
          <w:rFonts w:ascii="Times New Roman" w:eastAsia="Times New Roman" w:hAnsi="Times New Roman" w:cs="Times New Roman"/>
          <w:b/>
          <w:bCs/>
          <w:color w:val="000000" w:themeColor="text1"/>
          <w:sz w:val="26"/>
          <w:szCs w:val="26"/>
        </w:rPr>
        <w:t xml:space="preserve">navailable and </w:t>
      </w:r>
      <w:r w:rsidR="00541897">
        <w:rPr>
          <w:rFonts w:ascii="Times New Roman" w:eastAsia="Times New Roman" w:hAnsi="Times New Roman" w:cs="Times New Roman"/>
          <w:b/>
          <w:bCs/>
          <w:color w:val="000000" w:themeColor="text1"/>
          <w:sz w:val="26"/>
          <w:szCs w:val="26"/>
        </w:rPr>
        <w:t>T</w:t>
      </w:r>
      <w:r w:rsidRPr="00DB2E5F">
        <w:rPr>
          <w:rFonts w:ascii="Times New Roman" w:eastAsia="Times New Roman" w:hAnsi="Times New Roman" w:cs="Times New Roman"/>
          <w:b/>
          <w:bCs/>
          <w:color w:val="000000" w:themeColor="text1"/>
          <w:sz w:val="26"/>
          <w:szCs w:val="26"/>
        </w:rPr>
        <w:t xml:space="preserve">hat the </w:t>
      </w:r>
      <w:r w:rsidR="00541897">
        <w:rPr>
          <w:rFonts w:ascii="Times New Roman" w:eastAsia="Times New Roman" w:hAnsi="Times New Roman" w:cs="Times New Roman"/>
          <w:b/>
          <w:bCs/>
          <w:color w:val="000000" w:themeColor="text1"/>
          <w:sz w:val="26"/>
          <w:szCs w:val="26"/>
        </w:rPr>
        <w:t>I</w:t>
      </w:r>
      <w:r w:rsidRPr="00DB2E5F">
        <w:rPr>
          <w:rFonts w:ascii="Times New Roman" w:eastAsia="Times New Roman" w:hAnsi="Times New Roman" w:cs="Times New Roman"/>
          <w:b/>
          <w:bCs/>
          <w:color w:val="000000" w:themeColor="text1"/>
          <w:sz w:val="26"/>
          <w:szCs w:val="26"/>
        </w:rPr>
        <w:t xml:space="preserve">nformation is </w:t>
      </w:r>
      <w:r w:rsidR="00541897">
        <w:rPr>
          <w:rFonts w:ascii="Times New Roman" w:eastAsia="Times New Roman" w:hAnsi="Times New Roman" w:cs="Times New Roman"/>
          <w:b/>
          <w:bCs/>
          <w:color w:val="000000" w:themeColor="text1"/>
          <w:sz w:val="26"/>
          <w:szCs w:val="26"/>
        </w:rPr>
        <w:t>U</w:t>
      </w:r>
      <w:r w:rsidRPr="00DB2E5F">
        <w:rPr>
          <w:rFonts w:ascii="Times New Roman" w:eastAsia="Times New Roman" w:hAnsi="Times New Roman" w:cs="Times New Roman"/>
          <w:b/>
          <w:bCs/>
          <w:color w:val="000000" w:themeColor="text1"/>
          <w:sz w:val="26"/>
          <w:szCs w:val="26"/>
        </w:rPr>
        <w:t xml:space="preserve">nobtainable by </w:t>
      </w:r>
      <w:r w:rsidR="00541897">
        <w:rPr>
          <w:rFonts w:ascii="Times New Roman" w:eastAsia="Times New Roman" w:hAnsi="Times New Roman" w:cs="Times New Roman"/>
          <w:b/>
          <w:bCs/>
          <w:color w:val="000000" w:themeColor="text1"/>
          <w:sz w:val="26"/>
          <w:szCs w:val="26"/>
        </w:rPr>
        <w:t>A</w:t>
      </w:r>
      <w:r w:rsidRPr="00DB2E5F">
        <w:rPr>
          <w:rFonts w:ascii="Times New Roman" w:eastAsia="Times New Roman" w:hAnsi="Times New Roman" w:cs="Times New Roman"/>
          <w:b/>
          <w:bCs/>
          <w:color w:val="000000" w:themeColor="text1"/>
          <w:sz w:val="26"/>
          <w:szCs w:val="26"/>
        </w:rPr>
        <w:t xml:space="preserve">ny </w:t>
      </w:r>
      <w:r w:rsidR="00541897">
        <w:rPr>
          <w:rFonts w:ascii="Times New Roman" w:eastAsia="Times New Roman" w:hAnsi="Times New Roman" w:cs="Times New Roman"/>
          <w:b/>
          <w:bCs/>
          <w:color w:val="000000" w:themeColor="text1"/>
          <w:sz w:val="26"/>
          <w:szCs w:val="26"/>
        </w:rPr>
        <w:t>M</w:t>
      </w:r>
      <w:r w:rsidRPr="00DB2E5F">
        <w:rPr>
          <w:rFonts w:ascii="Times New Roman" w:eastAsia="Times New Roman" w:hAnsi="Times New Roman" w:cs="Times New Roman"/>
          <w:b/>
          <w:bCs/>
          <w:color w:val="000000" w:themeColor="text1"/>
          <w:sz w:val="26"/>
          <w:szCs w:val="26"/>
        </w:rPr>
        <w:t xml:space="preserve">eans </w:t>
      </w:r>
      <w:r w:rsidR="00541897">
        <w:rPr>
          <w:rFonts w:ascii="Times New Roman" w:eastAsia="Times New Roman" w:hAnsi="Times New Roman" w:cs="Times New Roman"/>
          <w:b/>
          <w:bCs/>
          <w:color w:val="000000" w:themeColor="text1"/>
          <w:sz w:val="26"/>
          <w:szCs w:val="26"/>
        </w:rPr>
        <w:t>O</w:t>
      </w:r>
      <w:r w:rsidRPr="00DB2E5F">
        <w:rPr>
          <w:rFonts w:ascii="Times New Roman" w:eastAsia="Times New Roman" w:hAnsi="Times New Roman" w:cs="Times New Roman"/>
          <w:b/>
          <w:bCs/>
          <w:color w:val="000000" w:themeColor="text1"/>
          <w:sz w:val="26"/>
          <w:szCs w:val="26"/>
        </w:rPr>
        <w:t xml:space="preserve">ther </w:t>
      </w:r>
      <w:r w:rsidR="00541897">
        <w:rPr>
          <w:rFonts w:ascii="Times New Roman" w:eastAsia="Times New Roman" w:hAnsi="Times New Roman" w:cs="Times New Roman"/>
          <w:b/>
          <w:bCs/>
          <w:color w:val="000000" w:themeColor="text1"/>
          <w:sz w:val="26"/>
          <w:szCs w:val="26"/>
        </w:rPr>
        <w:t>T</w:t>
      </w:r>
      <w:r w:rsidRPr="00DB2E5F">
        <w:rPr>
          <w:rFonts w:ascii="Times New Roman" w:eastAsia="Times New Roman" w:hAnsi="Times New Roman" w:cs="Times New Roman"/>
          <w:b/>
          <w:bCs/>
          <w:color w:val="000000" w:themeColor="text1"/>
          <w:sz w:val="26"/>
          <w:szCs w:val="26"/>
        </w:rPr>
        <w:t xml:space="preserve">han the </w:t>
      </w:r>
      <w:r w:rsidR="00541897">
        <w:rPr>
          <w:rFonts w:ascii="Times New Roman" w:eastAsia="Times New Roman" w:hAnsi="Times New Roman" w:cs="Times New Roman"/>
          <w:b/>
          <w:bCs/>
          <w:color w:val="000000" w:themeColor="text1"/>
          <w:sz w:val="26"/>
          <w:szCs w:val="26"/>
        </w:rPr>
        <w:t>S</w:t>
      </w:r>
      <w:r w:rsidRPr="00DB2E5F">
        <w:rPr>
          <w:rFonts w:ascii="Times New Roman" w:eastAsia="Times New Roman" w:hAnsi="Times New Roman" w:cs="Times New Roman"/>
          <w:b/>
          <w:bCs/>
          <w:color w:val="000000" w:themeColor="text1"/>
          <w:sz w:val="26"/>
          <w:szCs w:val="26"/>
        </w:rPr>
        <w:t xml:space="preserve">ubpoenaed </w:t>
      </w:r>
      <w:r w:rsidR="00541897">
        <w:rPr>
          <w:rFonts w:ascii="Times New Roman" w:eastAsia="Times New Roman" w:hAnsi="Times New Roman" w:cs="Times New Roman"/>
          <w:b/>
          <w:bCs/>
          <w:color w:val="000000" w:themeColor="text1"/>
          <w:sz w:val="26"/>
          <w:szCs w:val="26"/>
        </w:rPr>
        <w:t>N</w:t>
      </w:r>
      <w:r w:rsidRPr="00DB2E5F">
        <w:rPr>
          <w:rFonts w:ascii="Times New Roman" w:eastAsia="Times New Roman" w:hAnsi="Times New Roman" w:cs="Times New Roman"/>
          <w:b/>
          <w:bCs/>
          <w:color w:val="000000" w:themeColor="text1"/>
          <w:sz w:val="26"/>
          <w:szCs w:val="26"/>
        </w:rPr>
        <w:t xml:space="preserve">otes, </w:t>
      </w:r>
      <w:r w:rsidR="00541897">
        <w:rPr>
          <w:rFonts w:ascii="Times New Roman" w:eastAsia="Times New Roman" w:hAnsi="Times New Roman" w:cs="Times New Roman"/>
          <w:b/>
          <w:bCs/>
          <w:color w:val="000000" w:themeColor="text1"/>
          <w:sz w:val="26"/>
          <w:szCs w:val="26"/>
        </w:rPr>
        <w:t>T</w:t>
      </w:r>
      <w:r w:rsidRPr="00DB2E5F">
        <w:rPr>
          <w:rFonts w:ascii="Times New Roman" w:eastAsia="Times New Roman" w:hAnsi="Times New Roman" w:cs="Times New Roman"/>
          <w:b/>
          <w:bCs/>
          <w:color w:val="000000" w:themeColor="text1"/>
          <w:sz w:val="26"/>
          <w:szCs w:val="26"/>
        </w:rPr>
        <w:t xml:space="preserve">herefore the </w:t>
      </w:r>
      <w:r w:rsidR="00541897">
        <w:rPr>
          <w:rFonts w:ascii="Times New Roman" w:eastAsia="Times New Roman" w:hAnsi="Times New Roman" w:cs="Times New Roman"/>
          <w:b/>
          <w:bCs/>
          <w:color w:val="000000" w:themeColor="text1"/>
          <w:sz w:val="26"/>
          <w:szCs w:val="26"/>
        </w:rPr>
        <w:t>G</w:t>
      </w:r>
      <w:r w:rsidRPr="00DB2E5F">
        <w:rPr>
          <w:rFonts w:ascii="Times New Roman" w:eastAsia="Times New Roman" w:hAnsi="Times New Roman" w:cs="Times New Roman"/>
          <w:b/>
          <w:bCs/>
          <w:color w:val="000000" w:themeColor="text1"/>
          <w:sz w:val="26"/>
          <w:szCs w:val="26"/>
        </w:rPr>
        <w:t xml:space="preserve">overnment has a </w:t>
      </w:r>
      <w:r w:rsidR="00541897">
        <w:rPr>
          <w:rFonts w:ascii="Times New Roman" w:eastAsia="Times New Roman" w:hAnsi="Times New Roman" w:cs="Times New Roman"/>
          <w:b/>
          <w:bCs/>
          <w:color w:val="000000" w:themeColor="text1"/>
          <w:sz w:val="26"/>
          <w:szCs w:val="26"/>
        </w:rPr>
        <w:t>S</w:t>
      </w:r>
      <w:r w:rsidRPr="00DB2E5F">
        <w:rPr>
          <w:rFonts w:ascii="Times New Roman" w:eastAsia="Times New Roman" w:hAnsi="Times New Roman" w:cs="Times New Roman"/>
          <w:b/>
          <w:bCs/>
          <w:color w:val="000000" w:themeColor="text1"/>
          <w:sz w:val="26"/>
          <w:szCs w:val="26"/>
        </w:rPr>
        <w:t xml:space="preserve">ubstantial </w:t>
      </w:r>
      <w:r w:rsidR="00541897">
        <w:rPr>
          <w:rFonts w:ascii="Times New Roman" w:eastAsia="Times New Roman" w:hAnsi="Times New Roman" w:cs="Times New Roman"/>
          <w:b/>
          <w:bCs/>
          <w:color w:val="000000" w:themeColor="text1"/>
          <w:sz w:val="26"/>
          <w:szCs w:val="26"/>
        </w:rPr>
        <w:t>N</w:t>
      </w:r>
      <w:r w:rsidRPr="00DB2E5F">
        <w:rPr>
          <w:rFonts w:ascii="Times New Roman" w:eastAsia="Times New Roman" w:hAnsi="Times New Roman" w:cs="Times New Roman"/>
          <w:b/>
          <w:bCs/>
          <w:color w:val="000000" w:themeColor="text1"/>
          <w:sz w:val="26"/>
          <w:szCs w:val="26"/>
        </w:rPr>
        <w:t xml:space="preserve">eed for and </w:t>
      </w:r>
      <w:r w:rsidR="00541897">
        <w:rPr>
          <w:rFonts w:ascii="Times New Roman" w:eastAsia="Times New Roman" w:hAnsi="Times New Roman" w:cs="Times New Roman"/>
          <w:b/>
          <w:bCs/>
          <w:color w:val="000000" w:themeColor="text1"/>
          <w:sz w:val="26"/>
          <w:szCs w:val="26"/>
        </w:rPr>
        <w:t>F</w:t>
      </w:r>
      <w:r w:rsidRPr="00DB2E5F">
        <w:rPr>
          <w:rFonts w:ascii="Times New Roman" w:eastAsia="Times New Roman" w:hAnsi="Times New Roman" w:cs="Times New Roman"/>
          <w:b/>
          <w:bCs/>
          <w:color w:val="000000" w:themeColor="text1"/>
          <w:sz w:val="26"/>
          <w:szCs w:val="26"/>
        </w:rPr>
        <w:t xml:space="preserve">aces an </w:t>
      </w:r>
      <w:r w:rsidR="00541897">
        <w:rPr>
          <w:rFonts w:ascii="Times New Roman" w:eastAsia="Times New Roman" w:hAnsi="Times New Roman" w:cs="Times New Roman"/>
          <w:b/>
          <w:bCs/>
          <w:color w:val="000000" w:themeColor="text1"/>
          <w:sz w:val="26"/>
          <w:szCs w:val="26"/>
        </w:rPr>
        <w:t>U</w:t>
      </w:r>
      <w:r w:rsidRPr="00DB2E5F">
        <w:rPr>
          <w:rFonts w:ascii="Times New Roman" w:eastAsia="Times New Roman" w:hAnsi="Times New Roman" w:cs="Times New Roman"/>
          <w:b/>
          <w:bCs/>
          <w:color w:val="000000" w:themeColor="text1"/>
          <w:sz w:val="26"/>
          <w:szCs w:val="26"/>
        </w:rPr>
        <w:t xml:space="preserve">ndue </w:t>
      </w:r>
      <w:r w:rsidR="00541897">
        <w:rPr>
          <w:rFonts w:ascii="Times New Roman" w:eastAsia="Times New Roman" w:hAnsi="Times New Roman" w:cs="Times New Roman"/>
          <w:b/>
          <w:bCs/>
          <w:color w:val="000000" w:themeColor="text1"/>
          <w:sz w:val="26"/>
          <w:szCs w:val="26"/>
        </w:rPr>
        <w:t>H</w:t>
      </w:r>
      <w:r w:rsidRPr="00DB2E5F">
        <w:rPr>
          <w:rFonts w:ascii="Times New Roman" w:eastAsia="Times New Roman" w:hAnsi="Times New Roman" w:cs="Times New Roman"/>
          <w:b/>
          <w:bCs/>
          <w:color w:val="000000" w:themeColor="text1"/>
          <w:sz w:val="26"/>
          <w:szCs w:val="26"/>
        </w:rPr>
        <w:t xml:space="preserve">ardship for the </w:t>
      </w:r>
      <w:r w:rsidR="00541897">
        <w:rPr>
          <w:rFonts w:ascii="Times New Roman" w:eastAsia="Times New Roman" w:hAnsi="Times New Roman" w:cs="Times New Roman"/>
          <w:b/>
          <w:bCs/>
          <w:color w:val="000000" w:themeColor="text1"/>
          <w:sz w:val="26"/>
          <w:szCs w:val="26"/>
        </w:rPr>
        <w:t>S</w:t>
      </w:r>
      <w:r w:rsidRPr="00DB2E5F">
        <w:rPr>
          <w:rFonts w:ascii="Times New Roman" w:eastAsia="Times New Roman" w:hAnsi="Times New Roman" w:cs="Times New Roman"/>
          <w:b/>
          <w:bCs/>
          <w:color w:val="000000" w:themeColor="text1"/>
          <w:sz w:val="26"/>
          <w:szCs w:val="26"/>
        </w:rPr>
        <w:t xml:space="preserve">ubpoenaed </w:t>
      </w:r>
      <w:r w:rsidR="00541897">
        <w:rPr>
          <w:rFonts w:ascii="Times New Roman" w:eastAsia="Times New Roman" w:hAnsi="Times New Roman" w:cs="Times New Roman"/>
          <w:b/>
          <w:bCs/>
          <w:color w:val="000000" w:themeColor="text1"/>
          <w:sz w:val="26"/>
          <w:szCs w:val="26"/>
        </w:rPr>
        <w:t>M</w:t>
      </w:r>
      <w:r w:rsidRPr="00DB2E5F">
        <w:rPr>
          <w:rFonts w:ascii="Times New Roman" w:eastAsia="Times New Roman" w:hAnsi="Times New Roman" w:cs="Times New Roman"/>
          <w:b/>
          <w:bCs/>
          <w:color w:val="000000" w:themeColor="text1"/>
          <w:sz w:val="26"/>
          <w:szCs w:val="26"/>
        </w:rPr>
        <w:t xml:space="preserve">aterials, as it is </w:t>
      </w:r>
      <w:r w:rsidR="00541897">
        <w:rPr>
          <w:rFonts w:ascii="Times New Roman" w:eastAsia="Times New Roman" w:hAnsi="Times New Roman" w:cs="Times New Roman"/>
          <w:b/>
          <w:bCs/>
          <w:color w:val="000000" w:themeColor="text1"/>
          <w:sz w:val="26"/>
          <w:szCs w:val="26"/>
        </w:rPr>
        <w:t>D</w:t>
      </w:r>
      <w:r w:rsidRPr="00DB2E5F">
        <w:rPr>
          <w:rFonts w:ascii="Times New Roman" w:eastAsia="Times New Roman" w:hAnsi="Times New Roman" w:cs="Times New Roman"/>
          <w:b/>
          <w:bCs/>
          <w:color w:val="000000" w:themeColor="text1"/>
          <w:sz w:val="26"/>
          <w:szCs w:val="26"/>
        </w:rPr>
        <w:t xml:space="preserve">irectly </w:t>
      </w:r>
      <w:r w:rsidR="00541897">
        <w:rPr>
          <w:rFonts w:ascii="Times New Roman" w:eastAsia="Times New Roman" w:hAnsi="Times New Roman" w:cs="Times New Roman"/>
          <w:b/>
          <w:bCs/>
          <w:color w:val="000000" w:themeColor="text1"/>
          <w:sz w:val="26"/>
          <w:szCs w:val="26"/>
        </w:rPr>
        <w:t>R</w:t>
      </w:r>
      <w:r w:rsidRPr="00DB2E5F">
        <w:rPr>
          <w:rFonts w:ascii="Times New Roman" w:eastAsia="Times New Roman" w:hAnsi="Times New Roman" w:cs="Times New Roman"/>
          <w:b/>
          <w:bCs/>
          <w:color w:val="000000" w:themeColor="text1"/>
          <w:sz w:val="26"/>
          <w:szCs w:val="26"/>
        </w:rPr>
        <w:t xml:space="preserve">elevant to a </w:t>
      </w:r>
      <w:r w:rsidR="00541897">
        <w:rPr>
          <w:rFonts w:ascii="Times New Roman" w:eastAsia="Times New Roman" w:hAnsi="Times New Roman" w:cs="Times New Roman"/>
          <w:b/>
          <w:bCs/>
          <w:color w:val="000000" w:themeColor="text1"/>
          <w:sz w:val="26"/>
          <w:szCs w:val="26"/>
        </w:rPr>
        <w:t>C</w:t>
      </w:r>
      <w:r w:rsidRPr="00DB2E5F">
        <w:rPr>
          <w:rFonts w:ascii="Times New Roman" w:eastAsia="Times New Roman" w:hAnsi="Times New Roman" w:cs="Times New Roman"/>
          <w:b/>
          <w:bCs/>
          <w:color w:val="000000" w:themeColor="text1"/>
          <w:sz w:val="26"/>
          <w:szCs w:val="26"/>
        </w:rPr>
        <w:t xml:space="preserve">ontested </w:t>
      </w:r>
      <w:r w:rsidR="00541897">
        <w:rPr>
          <w:rFonts w:ascii="Times New Roman" w:eastAsia="Times New Roman" w:hAnsi="Times New Roman" w:cs="Times New Roman"/>
          <w:b/>
          <w:bCs/>
          <w:color w:val="000000" w:themeColor="text1"/>
          <w:sz w:val="26"/>
          <w:szCs w:val="26"/>
        </w:rPr>
        <w:t>E</w:t>
      </w:r>
      <w:r w:rsidRPr="00DB2E5F">
        <w:rPr>
          <w:rFonts w:ascii="Times New Roman" w:eastAsia="Times New Roman" w:hAnsi="Times New Roman" w:cs="Times New Roman"/>
          <w:b/>
          <w:bCs/>
          <w:color w:val="000000" w:themeColor="text1"/>
          <w:sz w:val="26"/>
          <w:szCs w:val="26"/>
        </w:rPr>
        <w:t xml:space="preserve">lement of the </w:t>
      </w:r>
      <w:r w:rsidR="00541897">
        <w:rPr>
          <w:rFonts w:ascii="Times New Roman" w:eastAsia="Times New Roman" w:hAnsi="Times New Roman" w:cs="Times New Roman"/>
          <w:b/>
          <w:bCs/>
          <w:color w:val="000000" w:themeColor="text1"/>
          <w:sz w:val="26"/>
          <w:szCs w:val="26"/>
        </w:rPr>
        <w:t>C</w:t>
      </w:r>
      <w:r w:rsidRPr="00DB2E5F">
        <w:rPr>
          <w:rFonts w:ascii="Times New Roman" w:eastAsia="Times New Roman" w:hAnsi="Times New Roman" w:cs="Times New Roman"/>
          <w:b/>
          <w:bCs/>
          <w:color w:val="000000" w:themeColor="text1"/>
          <w:sz w:val="26"/>
          <w:szCs w:val="26"/>
        </w:rPr>
        <w:t xml:space="preserve">harged </w:t>
      </w:r>
      <w:r w:rsidR="00541897">
        <w:rPr>
          <w:rFonts w:ascii="Times New Roman" w:eastAsia="Times New Roman" w:hAnsi="Times New Roman" w:cs="Times New Roman"/>
          <w:b/>
          <w:bCs/>
          <w:color w:val="000000" w:themeColor="text1"/>
          <w:sz w:val="26"/>
          <w:szCs w:val="26"/>
        </w:rPr>
        <w:t>C</w:t>
      </w:r>
      <w:r w:rsidRPr="00DB2E5F">
        <w:rPr>
          <w:rFonts w:ascii="Times New Roman" w:eastAsia="Times New Roman" w:hAnsi="Times New Roman" w:cs="Times New Roman"/>
          <w:b/>
          <w:bCs/>
          <w:color w:val="000000" w:themeColor="text1"/>
          <w:sz w:val="26"/>
          <w:szCs w:val="26"/>
        </w:rPr>
        <w:t>onspiracy.</w:t>
      </w:r>
      <w:bookmarkEnd w:id="151"/>
      <w:bookmarkEnd w:id="152"/>
      <w:bookmarkEnd w:id="153"/>
      <w:bookmarkEnd w:id="154"/>
    </w:p>
    <w:p w14:paraId="0A5CDE88" w14:textId="42E42111" w:rsidR="00276094" w:rsidRPr="00276094" w:rsidRDefault="002D374B" w:rsidP="00A52F4B">
      <w:pPr>
        <w:spacing w:before="240" w:after="20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55" w:name="dabmch_87"/>
      <w:r w:rsidRPr="00276094">
        <w:rPr>
          <w:rFonts w:ascii="Times New Roman" w:eastAsia="Times New Roman" w:hAnsi="Times New Roman" w:cs="Times New Roman"/>
          <w:color w:val="000000" w:themeColor="text1"/>
          <w:kern w:val="0"/>
          <w:sz w:val="26"/>
          <w:szCs w:val="26"/>
          <w14:ligatures w14:val="none"/>
        </w:rPr>
        <w:t xml:space="preserve">The work-product doctrine protects an attorney’s trial-preparation materials from routine discovery to preserve “a certain degree of privacy, free from unnecessary intrusion by opposing parties and their counsel.” </w:t>
      </w:r>
      <w:bookmarkStart w:id="156" w:name="dabmci_b2fa936dfda74ec494bdc60aeee7b49e"/>
      <w:r w:rsidRPr="00276094">
        <w:rPr>
          <w:rFonts w:ascii="Times New Roman" w:eastAsia="Times New Roman" w:hAnsi="Times New Roman" w:cs="Times New Roman"/>
          <w:i/>
          <w:iCs/>
          <w:color w:val="000000" w:themeColor="text1"/>
          <w:kern w:val="0"/>
          <w:sz w:val="26"/>
          <w:szCs w:val="26"/>
          <w14:ligatures w14:val="none"/>
        </w:rPr>
        <w:t>Hickman v. Taylor</w:t>
      </w:r>
      <w:r w:rsidRPr="00276094">
        <w:rPr>
          <w:rFonts w:ascii="Times New Roman" w:eastAsia="Times New Roman" w:hAnsi="Times New Roman" w:cs="Times New Roman"/>
          <w:color w:val="000000" w:themeColor="text1"/>
          <w:kern w:val="0"/>
          <w:sz w:val="26"/>
          <w:szCs w:val="26"/>
          <w14:ligatures w14:val="none"/>
        </w:rPr>
        <w:t>, 329 U.S. 495, 510 (1947)</w:t>
      </w:r>
      <w:bookmarkStart w:id="157" w:name="dabmen_b2fa936dfda74ec494bdc60aeee7b49e"/>
      <w:bookmarkEnd w:id="156"/>
      <w:bookmarkEnd w:id="157"/>
      <w:r w:rsidRPr="00276094">
        <w:rPr>
          <w:rFonts w:ascii="Times New Roman" w:eastAsia="Times New Roman" w:hAnsi="Times New Roman" w:cs="Times New Roman"/>
          <w:color w:val="000000" w:themeColor="text1"/>
          <w:kern w:val="0"/>
          <w:sz w:val="26"/>
          <w:szCs w:val="26"/>
          <w14:ligatures w14:val="none"/>
        </w:rPr>
        <w:t xml:space="preserve">. At the same time, “the very integrity of the judicial system and public confidence in the system depend on full disclosure of all the facts, within the framework of the rules of evidence.” </w:t>
      </w:r>
      <w:bookmarkStart w:id="158" w:name="dabmci_8e3df05023cf4f1fa54c77ab2018c0c9"/>
      <w:r w:rsidRPr="00276094">
        <w:rPr>
          <w:rFonts w:ascii="Times New Roman" w:eastAsia="Times New Roman" w:hAnsi="Times New Roman" w:cs="Times New Roman"/>
          <w:i/>
          <w:iCs/>
          <w:color w:val="000000" w:themeColor="text1"/>
          <w:kern w:val="0"/>
          <w:sz w:val="26"/>
          <w:szCs w:val="26"/>
          <w14:ligatures w14:val="none"/>
        </w:rPr>
        <w:t>United States v. Nobles,</w:t>
      </w:r>
      <w:r w:rsidRPr="00276094">
        <w:rPr>
          <w:rFonts w:ascii="Times New Roman" w:eastAsia="Times New Roman" w:hAnsi="Times New Roman" w:cs="Times New Roman"/>
          <w:color w:val="000000" w:themeColor="text1"/>
          <w:kern w:val="0"/>
          <w:sz w:val="26"/>
          <w:szCs w:val="26"/>
          <w14:ligatures w14:val="none"/>
        </w:rPr>
        <w:t xml:space="preserve"> 422 U.S. 225, 231 (1975)</w:t>
      </w:r>
      <w:bookmarkStart w:id="159" w:name="dabmen_8e3df05023cf4f1fa54c77ab2018c0c9"/>
      <w:bookmarkEnd w:id="158"/>
      <w:bookmarkEnd w:id="159"/>
      <w:r w:rsidRPr="00276094">
        <w:rPr>
          <w:rFonts w:ascii="Times New Roman" w:eastAsia="Times New Roman" w:hAnsi="Times New Roman" w:cs="Times New Roman"/>
          <w:color w:val="000000" w:themeColor="text1"/>
          <w:kern w:val="0"/>
          <w:sz w:val="26"/>
          <w:szCs w:val="26"/>
          <w14:ligatures w14:val="none"/>
        </w:rPr>
        <w:t xml:space="preserve">. The </w:t>
      </w:r>
      <w:r w:rsidR="00344981" w:rsidRPr="00276094">
        <w:rPr>
          <w:rFonts w:ascii="Times New Roman" w:eastAsia="Times New Roman" w:hAnsi="Times New Roman" w:cs="Times New Roman"/>
          <w:color w:val="000000" w:themeColor="text1"/>
          <w:kern w:val="0"/>
          <w:sz w:val="26"/>
          <w:szCs w:val="26"/>
          <w14:ligatures w14:val="none"/>
        </w:rPr>
        <w:t>doctrine</w:t>
      </w:r>
      <w:r w:rsidR="00344981">
        <w:rPr>
          <w:rFonts w:ascii="Times New Roman" w:eastAsia="Times New Roman" w:hAnsi="Times New Roman" w:cs="Times New Roman"/>
          <w:color w:val="000000" w:themeColor="text1"/>
          <w:kern w:val="0"/>
          <w:sz w:val="26"/>
          <w:szCs w:val="26"/>
          <w14:ligatures w14:val="none"/>
        </w:rPr>
        <w:t>’</w:t>
      </w:r>
      <w:r w:rsidR="00344981" w:rsidRPr="00276094">
        <w:rPr>
          <w:rFonts w:ascii="Times New Roman" w:eastAsia="Times New Roman" w:hAnsi="Times New Roman" w:cs="Times New Roman"/>
          <w:color w:val="000000" w:themeColor="text1"/>
          <w:kern w:val="0"/>
          <w:sz w:val="26"/>
          <w:szCs w:val="26"/>
          <w14:ligatures w14:val="none"/>
        </w:rPr>
        <w:t>s</w:t>
      </w:r>
      <w:r w:rsidRPr="00276094">
        <w:rPr>
          <w:rFonts w:ascii="Times New Roman" w:eastAsia="Times New Roman" w:hAnsi="Times New Roman" w:cs="Times New Roman"/>
          <w:color w:val="000000" w:themeColor="text1"/>
          <w:kern w:val="0"/>
          <w:sz w:val="26"/>
          <w:szCs w:val="26"/>
          <w14:ligatures w14:val="none"/>
        </w:rPr>
        <w:t xml:space="preserve"> role is even more vital in criminal cases and is designed to protect the attorney’s mental processes, extending to material prepared by agents. </w:t>
      </w:r>
      <w:bookmarkStart w:id="160" w:name="dabmci_c2061c24f9504570856e2bec1f0fe5a4"/>
      <w:r w:rsidRPr="00276094">
        <w:rPr>
          <w:rFonts w:ascii="Times New Roman" w:eastAsia="Times New Roman" w:hAnsi="Times New Roman" w:cs="Times New Roman"/>
          <w:i/>
          <w:iCs/>
          <w:color w:val="000000" w:themeColor="text1"/>
          <w:kern w:val="0"/>
          <w:sz w:val="26"/>
          <w:szCs w:val="26"/>
          <w14:ligatures w14:val="none"/>
        </w:rPr>
        <w:t>Id</w:t>
      </w:r>
      <w:r w:rsidRPr="00276094">
        <w:rPr>
          <w:rFonts w:ascii="Times New Roman" w:eastAsia="Times New Roman" w:hAnsi="Times New Roman" w:cs="Times New Roman"/>
          <w:color w:val="000000" w:themeColor="text1"/>
          <w:kern w:val="0"/>
          <w:sz w:val="26"/>
          <w:szCs w:val="26"/>
          <w14:ligatures w14:val="none"/>
        </w:rPr>
        <w:t>. at 238</w:t>
      </w:r>
      <w:bookmarkStart w:id="161" w:name="dabmen_c2061c24f9504570856e2bec1f0fe5a4"/>
      <w:bookmarkEnd w:id="160"/>
      <w:bookmarkEnd w:id="161"/>
      <w:r w:rsidRPr="00276094">
        <w:rPr>
          <w:rFonts w:ascii="Times New Roman" w:eastAsia="Times New Roman" w:hAnsi="Times New Roman" w:cs="Times New Roman"/>
          <w:color w:val="000000" w:themeColor="text1"/>
          <w:kern w:val="0"/>
          <w:sz w:val="26"/>
          <w:szCs w:val="26"/>
          <w14:ligatures w14:val="none"/>
        </w:rPr>
        <w:t xml:space="preserve">. This principle is reflected in </w:t>
      </w:r>
      <w:bookmarkStart w:id="162" w:name="dabmci_697f3233c4a5406ca5c67079ce193c5f"/>
      <w:r w:rsidRPr="00276094">
        <w:rPr>
          <w:rFonts w:ascii="Times New Roman" w:eastAsia="Times New Roman" w:hAnsi="Times New Roman" w:cs="Times New Roman"/>
          <w:color w:val="000000" w:themeColor="text1"/>
          <w:kern w:val="0"/>
          <w:sz w:val="26"/>
          <w:szCs w:val="26"/>
          <w14:ligatures w14:val="none"/>
        </w:rPr>
        <w:t>Federal Rule of Criminal Procedure 16(b)(2)</w:t>
      </w:r>
      <w:bookmarkStart w:id="163" w:name="dabmen_697f3233c4a5406ca5c67079ce193c5f"/>
      <w:bookmarkEnd w:id="162"/>
      <w:bookmarkEnd w:id="163"/>
      <w:r w:rsidRPr="00276094">
        <w:rPr>
          <w:rFonts w:ascii="Times New Roman" w:eastAsia="Times New Roman" w:hAnsi="Times New Roman" w:cs="Times New Roman"/>
          <w:color w:val="000000" w:themeColor="text1"/>
          <w:kern w:val="0"/>
          <w:sz w:val="26"/>
          <w:szCs w:val="26"/>
          <w14:ligatures w14:val="none"/>
        </w:rPr>
        <w:t>. </w:t>
      </w:r>
      <w:bookmarkEnd w:id="155"/>
    </w:p>
    <w:p w14:paraId="27D1C41A" w14:textId="77777777" w:rsidR="00276094" w:rsidRPr="00276094" w:rsidRDefault="002D374B" w:rsidP="00DB2E5F">
      <w:pPr>
        <w:spacing w:before="12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64" w:name="dabmch_88"/>
      <w:r w:rsidRPr="00276094">
        <w:rPr>
          <w:rFonts w:ascii="Times New Roman" w:eastAsia="Times New Roman" w:hAnsi="Times New Roman" w:cs="Times New Roman"/>
          <w:color w:val="000000" w:themeColor="text1"/>
          <w:kern w:val="0"/>
          <w:sz w:val="26"/>
          <w:szCs w:val="26"/>
          <w14:ligatures w14:val="none"/>
        </w:rPr>
        <w:lastRenderedPageBreak/>
        <w:t xml:space="preserve">The privilege, however, is not absolute. </w:t>
      </w:r>
      <w:bookmarkStart w:id="165" w:name="dabmci_5c23d99ecc9245a7af09715b94ed3923"/>
      <w:r w:rsidRPr="00276094">
        <w:rPr>
          <w:rFonts w:ascii="Times New Roman" w:eastAsia="Times New Roman" w:hAnsi="Times New Roman" w:cs="Times New Roman"/>
          <w:i/>
          <w:iCs/>
          <w:color w:val="000000" w:themeColor="text1"/>
          <w:kern w:val="0"/>
          <w:sz w:val="26"/>
          <w:szCs w:val="26"/>
          <w14:ligatures w14:val="none"/>
        </w:rPr>
        <w:t>Nobles</w:t>
      </w:r>
      <w:r w:rsidRPr="00276094">
        <w:rPr>
          <w:rFonts w:ascii="Times New Roman" w:eastAsia="Times New Roman" w:hAnsi="Times New Roman" w:cs="Times New Roman"/>
          <w:color w:val="000000" w:themeColor="text1"/>
          <w:kern w:val="0"/>
          <w:sz w:val="26"/>
          <w:szCs w:val="26"/>
          <w14:ligatures w14:val="none"/>
        </w:rPr>
        <w:t>, 422 U.S. at 239</w:t>
      </w:r>
      <w:bookmarkStart w:id="166" w:name="dabmen_5c23d99ecc9245a7af09715b94ed3923"/>
      <w:bookmarkEnd w:id="165"/>
      <w:bookmarkEnd w:id="166"/>
      <w:r w:rsidRPr="00276094">
        <w:rPr>
          <w:rFonts w:ascii="Times New Roman" w:eastAsia="Times New Roman" w:hAnsi="Times New Roman" w:cs="Times New Roman"/>
          <w:color w:val="000000" w:themeColor="text1"/>
          <w:kern w:val="0"/>
          <w:sz w:val="26"/>
          <w:szCs w:val="26"/>
          <w14:ligatures w14:val="none"/>
        </w:rPr>
        <w:t xml:space="preserve">. Like other qualified privileges, it may be waived. </w:t>
      </w:r>
      <w:bookmarkStart w:id="167" w:name="dabmci_487d2386600d4b5695bc17cbdbff52ae"/>
      <w:r w:rsidRPr="00276094">
        <w:rPr>
          <w:rFonts w:ascii="Times New Roman" w:eastAsia="Times New Roman" w:hAnsi="Times New Roman" w:cs="Times New Roman"/>
          <w:i/>
          <w:iCs/>
          <w:color w:val="000000" w:themeColor="text1"/>
          <w:kern w:val="0"/>
          <w:sz w:val="26"/>
          <w:szCs w:val="26"/>
          <w14:ligatures w14:val="none"/>
        </w:rPr>
        <w:t>Id.</w:t>
      </w:r>
      <w:bookmarkStart w:id="168" w:name="dabmen_487d2386600d4b5695bc17cbdbff52ae"/>
      <w:bookmarkEnd w:id="167"/>
      <w:bookmarkEnd w:id="168"/>
      <w:r w:rsidRPr="00276094">
        <w:rPr>
          <w:rFonts w:ascii="Times New Roman" w:eastAsia="Times New Roman" w:hAnsi="Times New Roman" w:cs="Times New Roman"/>
          <w:i/>
          <w:iCs/>
          <w:color w:val="000000" w:themeColor="text1"/>
          <w:kern w:val="0"/>
          <w:sz w:val="26"/>
          <w:szCs w:val="26"/>
          <w14:ligatures w14:val="none"/>
        </w:rPr>
        <w:t xml:space="preserve"> </w:t>
      </w:r>
      <w:r w:rsidRPr="00276094">
        <w:rPr>
          <w:rFonts w:ascii="Times New Roman" w:eastAsia="Times New Roman" w:hAnsi="Times New Roman" w:cs="Times New Roman"/>
          <w:color w:val="000000" w:themeColor="text1"/>
          <w:kern w:val="0"/>
          <w:sz w:val="26"/>
          <w:szCs w:val="26"/>
          <w:shd w:val="clear" w:color="auto" w:fill="FCFCFC"/>
          <w14:ligatures w14:val="none"/>
        </w:rPr>
        <w:t xml:space="preserve">A document prepared because of litigation is eligible for work-product protection, but not automatically shielded from discovery. </w:t>
      </w:r>
      <w:r w:rsidRPr="00276094">
        <w:rPr>
          <w:rFonts w:ascii="Times New Roman" w:eastAsia="Times New Roman" w:hAnsi="Times New Roman" w:cs="Times New Roman"/>
          <w:i/>
          <w:iCs/>
          <w:color w:val="000000" w:themeColor="text1"/>
          <w:kern w:val="0"/>
          <w:sz w:val="26"/>
          <w:szCs w:val="26"/>
          <w:shd w:val="clear" w:color="auto" w:fill="FCFCFC"/>
          <w14:ligatures w14:val="none"/>
        </w:rPr>
        <w:t>See</w:t>
      </w:r>
      <w:r w:rsidRPr="00276094">
        <w:rPr>
          <w:rFonts w:ascii="Times New Roman" w:eastAsia="Times New Roman" w:hAnsi="Times New Roman" w:cs="Times New Roman"/>
          <w:color w:val="000000" w:themeColor="text1"/>
          <w:kern w:val="0"/>
          <w:sz w:val="26"/>
          <w:szCs w:val="26"/>
          <w:shd w:val="clear" w:color="auto" w:fill="FCFCFC"/>
          <w14:ligatures w14:val="none"/>
        </w:rPr>
        <w:t xml:space="preserve"> </w:t>
      </w:r>
      <w:bookmarkStart w:id="169" w:name="dabmci_4aa72f529cc745bfa2466f436e201999"/>
      <w:r w:rsidRPr="00276094">
        <w:rPr>
          <w:rFonts w:ascii="Times New Roman" w:eastAsia="Times New Roman" w:hAnsi="Times New Roman" w:cs="Times New Roman"/>
          <w:i/>
          <w:iCs/>
          <w:color w:val="000000" w:themeColor="text1"/>
          <w:kern w:val="0"/>
          <w:sz w:val="26"/>
          <w:szCs w:val="26"/>
          <w:shd w:val="clear" w:color="auto" w:fill="FCFCFC"/>
          <w14:ligatures w14:val="none"/>
        </w:rPr>
        <w:t>United States v. Adlman</w:t>
      </w:r>
      <w:r w:rsidRPr="00276094">
        <w:rPr>
          <w:rFonts w:ascii="Times New Roman" w:eastAsia="Times New Roman" w:hAnsi="Times New Roman" w:cs="Times New Roman"/>
          <w:color w:val="000000" w:themeColor="text1"/>
          <w:kern w:val="0"/>
          <w:sz w:val="26"/>
          <w:szCs w:val="26"/>
          <w:shd w:val="clear" w:color="auto" w:fill="FCFCFC"/>
          <w14:ligatures w14:val="none"/>
        </w:rPr>
        <w:t>, 134 F.3d 1194, 1202–03 (2d Cir. 1998)</w:t>
      </w:r>
      <w:bookmarkStart w:id="170" w:name="dabmen_4aa72f529cc745bfa2466f436e201999"/>
      <w:bookmarkEnd w:id="169"/>
      <w:bookmarkEnd w:id="170"/>
      <w:r w:rsidRPr="00276094">
        <w:rPr>
          <w:rFonts w:ascii="Times New Roman" w:eastAsia="Times New Roman" w:hAnsi="Times New Roman" w:cs="Times New Roman"/>
          <w:color w:val="000000" w:themeColor="text1"/>
          <w:kern w:val="0"/>
          <w:sz w:val="26"/>
          <w:szCs w:val="26"/>
          <w:shd w:val="clear" w:color="auto" w:fill="FCFCFC"/>
          <w14:ligatures w14:val="none"/>
        </w:rPr>
        <w:t xml:space="preserve">. The court must then assess </w:t>
      </w:r>
      <w:r w:rsidRPr="00276094">
        <w:rPr>
          <w:rFonts w:ascii="Times New Roman" w:eastAsia="Times New Roman" w:hAnsi="Times New Roman" w:cs="Times New Roman"/>
          <w:color w:val="000000" w:themeColor="text1"/>
          <w:kern w:val="0"/>
          <w:sz w:val="26"/>
          <w:szCs w:val="26"/>
          <w14:ligatures w14:val="none"/>
        </w:rPr>
        <w:t xml:space="preserve">whether the party seeking discovery has made an adequate showing of substantial need for the document and an inability to obtain its substantial equivalent elsewhere without undue hardship. </w:t>
      </w:r>
      <w:bookmarkStart w:id="171" w:name="dabmci_0dc9f349dbc340059fb3b330420fb8f9"/>
      <w:r w:rsidRPr="00276094">
        <w:rPr>
          <w:rFonts w:ascii="Times New Roman" w:eastAsia="Times New Roman" w:hAnsi="Times New Roman" w:cs="Times New Roman"/>
          <w:i/>
          <w:iCs/>
          <w:color w:val="000000" w:themeColor="text1"/>
          <w:kern w:val="0"/>
          <w:sz w:val="26"/>
          <w:szCs w:val="26"/>
          <w14:ligatures w14:val="none"/>
        </w:rPr>
        <w:t>Id</w:t>
      </w:r>
      <w:r w:rsidRPr="00276094">
        <w:rPr>
          <w:rFonts w:ascii="Times New Roman" w:eastAsia="Times New Roman" w:hAnsi="Times New Roman" w:cs="Times New Roman"/>
          <w:color w:val="000000" w:themeColor="text1"/>
          <w:kern w:val="0"/>
          <w:sz w:val="26"/>
          <w:szCs w:val="26"/>
          <w14:ligatures w14:val="none"/>
        </w:rPr>
        <w:t>. at 12</w:t>
      </w:r>
      <w:r w:rsidRPr="00276094">
        <w:rPr>
          <w:rFonts w:ascii="Times New Roman" w:eastAsia="Times New Roman" w:hAnsi="Times New Roman" w:cs="Times New Roman"/>
          <w:color w:val="000000" w:themeColor="text1"/>
          <w:kern w:val="0"/>
          <w:sz w:val="26"/>
          <w:szCs w:val="26"/>
          <w:shd w:val="clear" w:color="auto" w:fill="FCFCFC"/>
          <w14:ligatures w14:val="none"/>
        </w:rPr>
        <w:t>03</w:t>
      </w:r>
      <w:bookmarkStart w:id="172" w:name="dabmen_0dc9f349dbc340059fb3b330420fb8f9"/>
      <w:bookmarkEnd w:id="171"/>
      <w:bookmarkEnd w:id="172"/>
      <w:r w:rsidRPr="00276094">
        <w:rPr>
          <w:rFonts w:ascii="Times New Roman" w:eastAsia="Times New Roman" w:hAnsi="Times New Roman" w:cs="Times New Roman"/>
          <w:color w:val="000000" w:themeColor="text1"/>
          <w:kern w:val="0"/>
          <w:sz w:val="26"/>
          <w:szCs w:val="26"/>
          <w14:ligatures w14:val="none"/>
        </w:rPr>
        <w:t>.</w:t>
      </w:r>
      <w:bookmarkEnd w:id="164"/>
    </w:p>
    <w:p w14:paraId="355CD1DE" w14:textId="77777777" w:rsidR="00276094" w:rsidRPr="00276094" w:rsidRDefault="002D374B" w:rsidP="000564BD">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73" w:name="dabmch_89"/>
      <w:r w:rsidRPr="00276094">
        <w:rPr>
          <w:rFonts w:ascii="Times New Roman" w:eastAsia="Times New Roman" w:hAnsi="Times New Roman" w:cs="Times New Roman"/>
          <w:color w:val="000000" w:themeColor="text1"/>
          <w:kern w:val="0"/>
          <w:sz w:val="26"/>
          <w:szCs w:val="26"/>
          <w14:ligatures w14:val="none"/>
        </w:rPr>
        <w:t xml:space="preserve">The doctrine applies not only in civil cases but also in criminal actions. </w:t>
      </w:r>
      <w:bookmarkStart w:id="174" w:name="dabmci_3892d4b560be4f188cba51a332f26148"/>
      <w:r w:rsidRPr="00276094">
        <w:rPr>
          <w:rFonts w:ascii="Times New Roman" w:eastAsia="Times New Roman" w:hAnsi="Times New Roman" w:cs="Times New Roman"/>
          <w:i/>
          <w:iCs/>
          <w:color w:val="000000" w:themeColor="text1"/>
          <w:kern w:val="0"/>
          <w:sz w:val="26"/>
          <w:szCs w:val="26"/>
          <w14:ligatures w14:val="none"/>
        </w:rPr>
        <w:t xml:space="preserve">Nobles, </w:t>
      </w:r>
      <w:r w:rsidRPr="00276094">
        <w:rPr>
          <w:rFonts w:ascii="Times New Roman" w:eastAsia="Times New Roman" w:hAnsi="Times New Roman" w:cs="Times New Roman"/>
          <w:color w:val="000000" w:themeColor="text1"/>
          <w:kern w:val="0"/>
          <w:sz w:val="26"/>
          <w:szCs w:val="26"/>
          <w14:ligatures w14:val="none"/>
        </w:rPr>
        <w:t>422 U.S. at 236–38</w:t>
      </w:r>
      <w:bookmarkStart w:id="175" w:name="dabmen_3892d4b560be4f188cba51a332f26148"/>
      <w:bookmarkEnd w:id="174"/>
      <w:bookmarkEnd w:id="175"/>
      <w:r w:rsidRPr="00276094">
        <w:rPr>
          <w:rFonts w:ascii="Times New Roman" w:eastAsia="Times New Roman" w:hAnsi="Times New Roman" w:cs="Times New Roman"/>
          <w:color w:val="000000" w:themeColor="text1"/>
          <w:kern w:val="0"/>
          <w:sz w:val="26"/>
          <w:szCs w:val="26"/>
          <w14:ligatures w14:val="none"/>
        </w:rPr>
        <w:t xml:space="preserve">. </w:t>
      </w:r>
      <w:r w:rsidRPr="00276094">
        <w:rPr>
          <w:rFonts w:ascii="Times New Roman" w:eastAsia="Times New Roman" w:hAnsi="Times New Roman" w:cs="Times New Roman"/>
          <w:i/>
          <w:iCs/>
          <w:color w:val="000000" w:themeColor="text1"/>
          <w:kern w:val="0"/>
          <w:sz w:val="26"/>
          <w:szCs w:val="26"/>
          <w14:ligatures w14:val="none"/>
        </w:rPr>
        <w:t> </w:t>
      </w:r>
      <w:r w:rsidRPr="00276094">
        <w:rPr>
          <w:rFonts w:ascii="Times New Roman" w:eastAsia="Times New Roman" w:hAnsi="Times New Roman" w:cs="Times New Roman"/>
          <w:color w:val="000000" w:themeColor="text1"/>
          <w:kern w:val="0"/>
          <w:sz w:val="26"/>
          <w:szCs w:val="26"/>
          <w14:ligatures w14:val="none"/>
        </w:rPr>
        <w:t xml:space="preserve">Courts have relied upon decisions in civil cases and Rule 26(b)(3) in interpreting and applying the doctrine in the criminal context. </w:t>
      </w:r>
      <w:bookmarkStart w:id="176" w:name="dabmci_1d8078fede864cb28521d9ae6564286d"/>
      <w:r w:rsidRPr="00276094">
        <w:rPr>
          <w:rFonts w:ascii="Times New Roman" w:eastAsia="Times New Roman" w:hAnsi="Times New Roman" w:cs="Times New Roman"/>
          <w:i/>
          <w:iCs/>
          <w:color w:val="000000" w:themeColor="text1"/>
          <w:kern w:val="0"/>
          <w:sz w:val="26"/>
          <w:szCs w:val="26"/>
          <w14:ligatures w14:val="none"/>
        </w:rPr>
        <w:t xml:space="preserve">United States v. Vepuri, </w:t>
      </w:r>
      <w:r w:rsidRPr="00276094">
        <w:rPr>
          <w:rFonts w:ascii="Times New Roman" w:eastAsia="Times New Roman" w:hAnsi="Times New Roman" w:cs="Times New Roman"/>
          <w:color w:val="000000" w:themeColor="text1"/>
          <w:kern w:val="0"/>
          <w:sz w:val="26"/>
          <w:szCs w:val="26"/>
          <w14:ligatures w14:val="none"/>
        </w:rPr>
        <w:t>623 F. Supp. 3d. 512, 516 (E.D. Pa. 2022)</w:t>
      </w:r>
      <w:bookmarkStart w:id="177" w:name="dabmen_1d8078fede864cb28521d9ae6564286d"/>
      <w:bookmarkEnd w:id="176"/>
      <w:bookmarkEnd w:id="177"/>
      <w:r w:rsidRPr="00276094">
        <w:rPr>
          <w:rFonts w:ascii="Times New Roman" w:eastAsia="Times New Roman" w:hAnsi="Times New Roman" w:cs="Times New Roman"/>
          <w:color w:val="000000" w:themeColor="text1"/>
          <w:kern w:val="0"/>
          <w:sz w:val="26"/>
          <w:szCs w:val="26"/>
          <w14:ligatures w14:val="none"/>
        </w:rPr>
        <w:t xml:space="preserve"> (citing </w:t>
      </w:r>
      <w:bookmarkStart w:id="178" w:name="dabmci_110a3937e0e4487ab09c985f1832c02f"/>
      <w:r w:rsidRPr="00276094">
        <w:rPr>
          <w:rFonts w:ascii="Times New Roman" w:eastAsia="Times New Roman" w:hAnsi="Times New Roman" w:cs="Times New Roman"/>
          <w:i/>
          <w:iCs/>
          <w:color w:val="000000" w:themeColor="text1"/>
          <w:kern w:val="0"/>
          <w:sz w:val="26"/>
          <w:szCs w:val="26"/>
          <w14:ligatures w14:val="none"/>
        </w:rPr>
        <w:t>In re Grand Jury Investigation</w:t>
      </w:r>
      <w:r w:rsidRPr="00276094">
        <w:rPr>
          <w:rFonts w:ascii="Times New Roman" w:eastAsia="Times New Roman" w:hAnsi="Times New Roman" w:cs="Times New Roman"/>
          <w:color w:val="000000" w:themeColor="text1"/>
          <w:kern w:val="0"/>
          <w:sz w:val="26"/>
          <w:szCs w:val="26"/>
          <w14:ligatures w14:val="none"/>
        </w:rPr>
        <w:t>, 599 F.2d 1224 (3d Cir. 1979)</w:t>
      </w:r>
      <w:bookmarkStart w:id="179" w:name="dabmen_110a3937e0e4487ab09c985f1832c02f"/>
      <w:bookmarkEnd w:id="178"/>
      <w:bookmarkEnd w:id="179"/>
      <w:r w:rsidRPr="00276094">
        <w:rPr>
          <w:rFonts w:ascii="Times New Roman" w:eastAsia="Times New Roman" w:hAnsi="Times New Roman" w:cs="Times New Roman"/>
          <w:color w:val="000000" w:themeColor="text1"/>
          <w:kern w:val="0"/>
          <w:sz w:val="26"/>
          <w:szCs w:val="26"/>
          <w14:ligatures w14:val="none"/>
        </w:rPr>
        <w:t>). </w:t>
      </w:r>
      <w:bookmarkEnd w:id="173"/>
    </w:p>
    <w:p w14:paraId="44EC02DF" w14:textId="77777777" w:rsidR="00276094" w:rsidRPr="00DB2E5F" w:rsidRDefault="002D374B" w:rsidP="000564BD">
      <w:pPr>
        <w:pStyle w:val="Heading3"/>
        <w:numPr>
          <w:ilvl w:val="0"/>
          <w:numId w:val="26"/>
        </w:numPr>
        <w:spacing w:before="0"/>
        <w:jc w:val="both"/>
        <w:rPr>
          <w:rFonts w:ascii="Times New Roman" w:eastAsia="Times New Roman" w:hAnsi="Times New Roman" w:cs="Times New Roman"/>
          <w:b/>
          <w:bCs/>
          <w:color w:val="000000" w:themeColor="text1"/>
          <w:sz w:val="26"/>
          <w:szCs w:val="26"/>
        </w:rPr>
      </w:pPr>
      <w:bookmarkStart w:id="180" w:name="_Toc239113021"/>
      <w:bookmarkStart w:id="181" w:name="_Toc239149374"/>
      <w:bookmarkStart w:id="182" w:name="dabmch_90"/>
      <w:bookmarkStart w:id="183" w:name="_Toc239155240"/>
      <w:r w:rsidRPr="00DB2E5F">
        <w:rPr>
          <w:rFonts w:ascii="Times New Roman" w:eastAsia="Times New Roman" w:hAnsi="Times New Roman" w:cs="Times New Roman"/>
          <w:b/>
          <w:bCs/>
          <w:color w:val="000000" w:themeColor="text1"/>
          <w:sz w:val="26"/>
          <w:szCs w:val="26"/>
          <w:shd w:val="clear" w:color="auto" w:fill="FCFCFC"/>
        </w:rPr>
        <w:t>The Seton Interview Notes Are Fact Work Product, Not Opinion Work Product</w:t>
      </w:r>
      <w:bookmarkEnd w:id="180"/>
      <w:bookmarkEnd w:id="181"/>
      <w:bookmarkEnd w:id="182"/>
      <w:bookmarkEnd w:id="183"/>
    </w:p>
    <w:p w14:paraId="2D36FAF5" w14:textId="0AC38A62" w:rsidR="00276094" w:rsidRPr="00276094" w:rsidRDefault="002D374B" w:rsidP="000564BD">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84" w:name="dabmch_91"/>
      <w:r w:rsidRPr="00276094">
        <w:rPr>
          <w:rFonts w:ascii="Times New Roman" w:eastAsia="Times New Roman" w:hAnsi="Times New Roman" w:cs="Times New Roman"/>
          <w:color w:val="000000" w:themeColor="text1"/>
          <w:kern w:val="0"/>
          <w:sz w:val="26"/>
          <w:szCs w:val="26"/>
          <w14:ligatures w14:val="none"/>
        </w:rPr>
        <w:t xml:space="preserve">A party’s ability to discover work product often turns on whether the withheld materials are fact work product or opinion work product. </w:t>
      </w:r>
      <w:bookmarkStart w:id="185" w:name="dabmci_125b3cc3fa3f485193c9f7fd7188a032"/>
      <w:r w:rsidRPr="00276094">
        <w:rPr>
          <w:rFonts w:ascii="Times New Roman" w:eastAsia="Times New Roman" w:hAnsi="Times New Roman" w:cs="Times New Roman"/>
          <w:i/>
          <w:iCs/>
          <w:color w:val="000000" w:themeColor="text1"/>
          <w:kern w:val="0"/>
          <w:sz w:val="26"/>
          <w:szCs w:val="26"/>
          <w14:ligatures w14:val="none"/>
        </w:rPr>
        <w:t>F.T.C. v. Boehringer Ingelheim Pharm., Inc</w:t>
      </w:r>
      <w:r w:rsidRPr="00276094">
        <w:rPr>
          <w:rFonts w:ascii="Times New Roman" w:eastAsia="Times New Roman" w:hAnsi="Times New Roman" w:cs="Times New Roman"/>
          <w:color w:val="000000" w:themeColor="text1"/>
          <w:kern w:val="0"/>
          <w:sz w:val="26"/>
          <w:szCs w:val="26"/>
          <w14:ligatures w14:val="none"/>
        </w:rPr>
        <w:t>., 778 F.3d 142, 153 (D.C. Cir. 2015)</w:t>
      </w:r>
      <w:bookmarkStart w:id="186" w:name="dabmen_125b3cc3fa3f485193c9f7fd7188a032"/>
      <w:bookmarkEnd w:id="185"/>
      <w:bookmarkEnd w:id="186"/>
      <w:r w:rsidRPr="00276094">
        <w:rPr>
          <w:rFonts w:ascii="Times New Roman" w:eastAsia="Times New Roman" w:hAnsi="Times New Roman" w:cs="Times New Roman"/>
          <w:color w:val="000000" w:themeColor="text1"/>
          <w:kern w:val="0"/>
          <w:sz w:val="26"/>
          <w:szCs w:val="26"/>
          <w14:ligatures w14:val="none"/>
        </w:rPr>
        <w:t xml:space="preserve">. Courts afford greater protection to opinion work product than to fact work product. </w:t>
      </w:r>
      <w:bookmarkStart w:id="187" w:name="dabmci_9353ca461ece46a98f118024485c917d"/>
      <w:r w:rsidRPr="00276094">
        <w:rPr>
          <w:rFonts w:ascii="Times New Roman" w:eastAsia="Times New Roman" w:hAnsi="Times New Roman" w:cs="Times New Roman"/>
          <w:i/>
          <w:iCs/>
          <w:color w:val="000000" w:themeColor="text1"/>
          <w:kern w:val="0"/>
          <w:sz w:val="26"/>
          <w:szCs w:val="26"/>
          <w14:ligatures w14:val="none"/>
        </w:rPr>
        <w:t>Grand Jury Subpoena v. United States</w:t>
      </w:r>
      <w:r w:rsidRPr="00276094">
        <w:rPr>
          <w:rFonts w:ascii="Times New Roman" w:eastAsia="Times New Roman" w:hAnsi="Times New Roman" w:cs="Times New Roman"/>
          <w:color w:val="000000" w:themeColor="text1"/>
          <w:kern w:val="0"/>
          <w:sz w:val="26"/>
          <w:szCs w:val="26"/>
          <w14:ligatures w14:val="none"/>
        </w:rPr>
        <w:t>, 870 F.3d 312, 316 (4th Cir. 2017)</w:t>
      </w:r>
      <w:bookmarkStart w:id="188" w:name="dabmen_9353ca461ece46a98f118024485c917d"/>
      <w:bookmarkEnd w:id="187"/>
      <w:bookmarkEnd w:id="188"/>
      <w:r w:rsidRPr="00276094">
        <w:rPr>
          <w:rFonts w:ascii="Times New Roman" w:eastAsia="Times New Roman" w:hAnsi="Times New Roman" w:cs="Times New Roman"/>
          <w:color w:val="000000" w:themeColor="text1"/>
          <w:kern w:val="0"/>
          <w:sz w:val="26"/>
          <w:szCs w:val="26"/>
          <w14:ligatures w14:val="none"/>
        </w:rPr>
        <w:t xml:space="preserve">. Fact work product is a “transaction of the factual events involved” and may be obtained upon a mere “showing of both a substantial need and an inability to secure the substantial equivalent of the materials by alternate means without undue hardship.” </w:t>
      </w:r>
      <w:bookmarkStart w:id="189" w:name="dabmci_386951e6f98b4821ba8f7d72720e8f4a"/>
      <w:r w:rsidRPr="00276094">
        <w:rPr>
          <w:rFonts w:ascii="Times New Roman" w:eastAsia="Times New Roman" w:hAnsi="Times New Roman" w:cs="Times New Roman"/>
          <w:i/>
          <w:iCs/>
          <w:color w:val="000000" w:themeColor="text1"/>
          <w:kern w:val="0"/>
          <w:sz w:val="26"/>
          <w:szCs w:val="26"/>
          <w14:ligatures w14:val="none"/>
        </w:rPr>
        <w:t>Id</w:t>
      </w:r>
      <w:r w:rsidRPr="00276094">
        <w:rPr>
          <w:rFonts w:ascii="Times New Roman" w:eastAsia="Times New Roman" w:hAnsi="Times New Roman" w:cs="Times New Roman"/>
          <w:color w:val="000000" w:themeColor="text1"/>
          <w:kern w:val="0"/>
          <w:sz w:val="26"/>
          <w:szCs w:val="26"/>
          <w14:ligatures w14:val="none"/>
        </w:rPr>
        <w:t>.</w:t>
      </w:r>
      <w:bookmarkStart w:id="190" w:name="dabmen_386951e6f98b4821ba8f7d72720e8f4a"/>
      <w:bookmarkEnd w:id="189"/>
      <w:bookmarkEnd w:id="190"/>
      <w:r w:rsidRPr="00276094">
        <w:rPr>
          <w:rFonts w:ascii="Times New Roman" w:eastAsia="Times New Roman" w:hAnsi="Times New Roman" w:cs="Times New Roman"/>
          <w:color w:val="000000" w:themeColor="text1"/>
          <w:kern w:val="0"/>
          <w:sz w:val="26"/>
          <w:szCs w:val="26"/>
          <w14:ligatures w14:val="none"/>
        </w:rPr>
        <w:t xml:space="preserve"> (citation modified). Opinion work product, on the other hand, </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represents the actual thoughts and impressions of the attorney,</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and it is </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more </w:t>
      </w:r>
      <w:r w:rsidRPr="00276094">
        <w:rPr>
          <w:rFonts w:ascii="Times New Roman" w:eastAsia="Times New Roman" w:hAnsi="Times New Roman" w:cs="Times New Roman"/>
          <w:color w:val="000000" w:themeColor="text1"/>
          <w:kern w:val="0"/>
          <w:sz w:val="26"/>
          <w:szCs w:val="26"/>
          <w14:ligatures w14:val="none"/>
        </w:rPr>
        <w:lastRenderedPageBreak/>
        <w:t>scrupulously protected.</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w:t>
      </w:r>
      <w:bookmarkStart w:id="191" w:name="dabmci_9f917b92a15e48e4a56e253c0fd2da27"/>
      <w:r w:rsidRPr="00276094">
        <w:rPr>
          <w:rFonts w:ascii="Times New Roman" w:eastAsia="Times New Roman" w:hAnsi="Times New Roman" w:cs="Times New Roman"/>
          <w:i/>
          <w:iCs/>
          <w:color w:val="000000" w:themeColor="text1"/>
          <w:kern w:val="0"/>
          <w:sz w:val="26"/>
          <w:szCs w:val="26"/>
          <w14:ligatures w14:val="none"/>
        </w:rPr>
        <w:t>Id</w:t>
      </w:r>
      <w:r w:rsidRPr="00276094">
        <w:rPr>
          <w:rFonts w:ascii="Times New Roman" w:eastAsia="Times New Roman" w:hAnsi="Times New Roman" w:cs="Times New Roman"/>
          <w:color w:val="000000" w:themeColor="text1"/>
          <w:kern w:val="0"/>
          <w:sz w:val="26"/>
          <w:szCs w:val="26"/>
          <w14:ligatures w14:val="none"/>
        </w:rPr>
        <w:t>.</w:t>
      </w:r>
      <w:bookmarkStart w:id="192" w:name="dabmen_9f917b92a15e48e4a56e253c0fd2da27"/>
      <w:bookmarkEnd w:id="191"/>
      <w:bookmarkEnd w:id="192"/>
      <w:r w:rsidRPr="00276094">
        <w:rPr>
          <w:rFonts w:ascii="Times New Roman" w:eastAsia="Times New Roman" w:hAnsi="Times New Roman" w:cs="Times New Roman"/>
          <w:color w:val="000000" w:themeColor="text1"/>
          <w:kern w:val="0"/>
          <w:sz w:val="26"/>
          <w:szCs w:val="26"/>
          <w14:ligatures w14:val="none"/>
        </w:rPr>
        <w:t xml:space="preserve"> </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[O]pinion work product enjoys a nearly absolute immunity and can be discovered only in very rare and extraordinary circumstances.</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w:t>
      </w:r>
      <w:bookmarkStart w:id="193" w:name="dabmci_d7e89a76ce0c46499a5784554c5a9bfe"/>
      <w:r w:rsidRPr="00276094">
        <w:rPr>
          <w:rFonts w:ascii="Times New Roman" w:eastAsia="Times New Roman" w:hAnsi="Times New Roman" w:cs="Times New Roman"/>
          <w:i/>
          <w:iCs/>
          <w:color w:val="000000" w:themeColor="text1"/>
          <w:kern w:val="0"/>
          <w:sz w:val="26"/>
          <w:szCs w:val="26"/>
          <w14:ligatures w14:val="none"/>
        </w:rPr>
        <w:t>Id.</w:t>
      </w:r>
      <w:bookmarkStart w:id="194" w:name="dabmen_d7e89a76ce0c46499a5784554c5a9bfe"/>
      <w:bookmarkEnd w:id="193"/>
      <w:bookmarkEnd w:id="194"/>
      <w:r w:rsidRPr="00276094">
        <w:rPr>
          <w:rFonts w:ascii="Times New Roman" w:eastAsia="Times New Roman" w:hAnsi="Times New Roman" w:cs="Times New Roman"/>
          <w:i/>
          <w:iCs/>
          <w:color w:val="000000" w:themeColor="text1"/>
          <w:kern w:val="0"/>
          <w:sz w:val="26"/>
          <w:szCs w:val="26"/>
          <w14:ligatures w14:val="none"/>
        </w:rPr>
        <w:t xml:space="preserve"> </w:t>
      </w:r>
      <w:r w:rsidRPr="00276094">
        <w:rPr>
          <w:rFonts w:ascii="Times New Roman" w:eastAsia="Times New Roman" w:hAnsi="Times New Roman" w:cs="Times New Roman"/>
          <w:color w:val="000000" w:themeColor="text1"/>
          <w:kern w:val="0"/>
          <w:sz w:val="26"/>
          <w:szCs w:val="26"/>
          <w14:ligatures w14:val="none"/>
        </w:rPr>
        <w:t>(citation modified).</w:t>
      </w:r>
      <w:bookmarkEnd w:id="184"/>
    </w:p>
    <w:p w14:paraId="31464998" w14:textId="77777777" w:rsidR="00276094" w:rsidRPr="000564BD" w:rsidRDefault="002D374B" w:rsidP="000564BD">
      <w:pPr>
        <w:pStyle w:val="Heading3"/>
        <w:numPr>
          <w:ilvl w:val="0"/>
          <w:numId w:val="29"/>
        </w:numPr>
        <w:spacing w:before="0"/>
        <w:rPr>
          <w:rFonts w:ascii="Times New Roman" w:eastAsia="Times New Roman" w:hAnsi="Times New Roman" w:cs="Times New Roman"/>
          <w:b/>
          <w:bCs/>
          <w:i/>
          <w:iCs/>
          <w:color w:val="000000" w:themeColor="text1"/>
          <w:sz w:val="26"/>
          <w:szCs w:val="26"/>
        </w:rPr>
      </w:pPr>
      <w:bookmarkStart w:id="195" w:name="dabmch_92"/>
      <w:bookmarkStart w:id="196" w:name="_Toc239155241"/>
      <w:r w:rsidRPr="000564BD">
        <w:rPr>
          <w:rFonts w:ascii="Times New Roman" w:eastAsia="Times New Roman" w:hAnsi="Times New Roman" w:cs="Times New Roman"/>
          <w:b/>
          <w:bCs/>
          <w:i/>
          <w:iCs/>
          <w:color w:val="000000" w:themeColor="text1"/>
          <w:sz w:val="26"/>
          <w:szCs w:val="26"/>
        </w:rPr>
        <w:t>Armana’s Interview Notes are a Factual, Contemporaneous Record of Seton’s Statements</w:t>
      </w:r>
      <w:bookmarkEnd w:id="195"/>
      <w:bookmarkEnd w:id="196"/>
    </w:p>
    <w:p w14:paraId="708215B9" w14:textId="77777777" w:rsidR="00276094" w:rsidRPr="00276094" w:rsidRDefault="002D374B" w:rsidP="00541897">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197" w:name="dabmch_93"/>
      <w:r w:rsidRPr="00276094">
        <w:rPr>
          <w:rFonts w:ascii="Times New Roman" w:eastAsia="Times New Roman" w:hAnsi="Times New Roman" w:cs="Times New Roman"/>
          <w:color w:val="000000" w:themeColor="text1"/>
          <w:kern w:val="0"/>
          <w:sz w:val="26"/>
          <w:szCs w:val="26"/>
          <w14:ligatures w14:val="none"/>
        </w:rPr>
        <w:t xml:space="preserve">If notes are substantially a verbatim recitation of the witness’s interview, there is no invasion of the attorney’s work product. </w:t>
      </w:r>
      <w:bookmarkStart w:id="198" w:name="dabmci_59c5c1d98fcf487d82e343ae91102965"/>
      <w:r w:rsidRPr="00276094">
        <w:rPr>
          <w:rFonts w:ascii="Times New Roman" w:eastAsia="Times New Roman" w:hAnsi="Times New Roman" w:cs="Times New Roman"/>
          <w:i/>
          <w:iCs/>
          <w:color w:val="000000" w:themeColor="text1"/>
          <w:kern w:val="0"/>
          <w:sz w:val="26"/>
          <w:szCs w:val="26"/>
          <w14:ligatures w14:val="none"/>
        </w:rPr>
        <w:t>United States v. Clemens</w:t>
      </w:r>
      <w:r w:rsidRPr="00276094">
        <w:rPr>
          <w:rFonts w:ascii="Times New Roman" w:eastAsia="Times New Roman" w:hAnsi="Times New Roman" w:cs="Times New Roman"/>
          <w:color w:val="000000" w:themeColor="text1"/>
          <w:kern w:val="0"/>
          <w:sz w:val="26"/>
          <w:szCs w:val="26"/>
          <w14:ligatures w14:val="none"/>
        </w:rPr>
        <w:t>, 793 F. Supp. 2d 236, 252 (D.D.C. 2011)</w:t>
      </w:r>
      <w:bookmarkStart w:id="199" w:name="dabmen_59c5c1d98fcf487d82e343ae91102965"/>
      <w:bookmarkEnd w:id="198"/>
      <w:bookmarkEnd w:id="199"/>
      <w:r w:rsidRPr="00276094">
        <w:rPr>
          <w:rFonts w:ascii="Times New Roman" w:eastAsia="Times New Roman" w:hAnsi="Times New Roman" w:cs="Times New Roman"/>
          <w:color w:val="000000" w:themeColor="text1"/>
          <w:kern w:val="0"/>
          <w:sz w:val="26"/>
          <w:szCs w:val="26"/>
          <w14:ligatures w14:val="none"/>
        </w:rPr>
        <w:t xml:space="preserve"> (quoting </w:t>
      </w:r>
      <w:bookmarkStart w:id="200" w:name="dabmci_652855a8d69c4304bc18906eb5697bd9"/>
      <w:r w:rsidRPr="00276094">
        <w:rPr>
          <w:rFonts w:ascii="Times New Roman" w:eastAsia="Times New Roman" w:hAnsi="Times New Roman" w:cs="Times New Roman"/>
          <w:i/>
          <w:iCs/>
          <w:color w:val="000000" w:themeColor="text1"/>
          <w:kern w:val="0"/>
          <w:sz w:val="26"/>
          <w:szCs w:val="26"/>
          <w14:ligatures w14:val="none"/>
        </w:rPr>
        <w:t>Saunders v. United States</w:t>
      </w:r>
      <w:r w:rsidRPr="00276094">
        <w:rPr>
          <w:rFonts w:ascii="Times New Roman" w:eastAsia="Times New Roman" w:hAnsi="Times New Roman" w:cs="Times New Roman"/>
          <w:color w:val="000000" w:themeColor="text1"/>
          <w:kern w:val="0"/>
          <w:sz w:val="26"/>
          <w:szCs w:val="26"/>
          <w14:ligatures w14:val="none"/>
        </w:rPr>
        <w:t>, 316 F.2d 346, 350 (D.C. Cir. 1963)</w:t>
      </w:r>
      <w:bookmarkStart w:id="201" w:name="dabmen_652855a8d69c4304bc18906eb5697bd9"/>
      <w:bookmarkEnd w:id="200"/>
      <w:bookmarkEnd w:id="201"/>
      <w:r w:rsidRPr="00276094">
        <w:rPr>
          <w:rFonts w:ascii="Times New Roman" w:eastAsia="Times New Roman" w:hAnsi="Times New Roman" w:cs="Times New Roman"/>
          <w:color w:val="000000" w:themeColor="text1"/>
          <w:kern w:val="0"/>
          <w:sz w:val="26"/>
          <w:szCs w:val="26"/>
          <w14:ligatures w14:val="none"/>
        </w:rPr>
        <w:t>). </w:t>
      </w:r>
      <w:bookmarkEnd w:id="197"/>
    </w:p>
    <w:p w14:paraId="49883B50" w14:textId="7FD8FD93" w:rsidR="00276094" w:rsidRDefault="002D374B" w:rsidP="00541897">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02" w:name="dabmch_94"/>
      <w:r w:rsidRPr="00276094">
        <w:rPr>
          <w:rFonts w:ascii="Times New Roman" w:eastAsia="Times New Roman" w:hAnsi="Times New Roman" w:cs="Times New Roman"/>
          <w:color w:val="000000" w:themeColor="text1"/>
          <w:kern w:val="0"/>
          <w:sz w:val="26"/>
          <w:szCs w:val="26"/>
          <w14:ligatures w14:val="none"/>
        </w:rPr>
        <w:t>Here, there is no invasion of the attorney’s work product because the notes classify as fact work product. These notes are neither summarized, nor paraphrased, which puts them in a different category of protection</w:t>
      </w:r>
      <w:r w:rsidRPr="00276094">
        <w:rPr>
          <w:rFonts w:ascii="Times New Roman" w:eastAsia="Times New Roman" w:hAnsi="Times New Roman" w:cs="Times New Roman"/>
          <w:color w:val="000000" w:themeColor="text1"/>
          <w:kern w:val="0"/>
          <w:sz w:val="26"/>
          <w:szCs w:val="26"/>
          <w:shd w:val="clear" w:color="auto" w:fill="FCFCFC"/>
          <w14:ligatures w14:val="none"/>
        </w:rPr>
        <w:t xml:space="preserve">. </w:t>
      </w:r>
      <w:r w:rsidRPr="00276094">
        <w:rPr>
          <w:rFonts w:ascii="Times New Roman" w:eastAsia="Times New Roman" w:hAnsi="Times New Roman" w:cs="Times New Roman"/>
          <w:color w:val="000000" w:themeColor="text1"/>
          <w:kern w:val="0"/>
          <w:sz w:val="26"/>
          <w:szCs w:val="26"/>
          <w14:ligatures w14:val="none"/>
        </w:rPr>
        <w:t>Armana testified that he recorded the interview in “contemporaneous typewritten notes,” writing down “the factual account as Sierra gave it.” (Armana Dep. 046:121</w:t>
      </w:r>
      <w:r w:rsidR="00E31D46">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140.) </w:t>
      </w:r>
      <w:r w:rsidRPr="00276094">
        <w:rPr>
          <w:rFonts w:ascii="Times New Roman" w:eastAsia="Times New Roman" w:hAnsi="Times New Roman" w:cs="Times New Roman"/>
          <w:color w:val="000000" w:themeColor="text1"/>
          <w:kern w:val="0"/>
          <w:sz w:val="26"/>
          <w:szCs w:val="26"/>
          <w:shd w:val="clear" w:color="auto" w:fill="FCFCFC"/>
          <w14:ligatures w14:val="none"/>
        </w:rPr>
        <w:t>A</w:t>
      </w:r>
      <w:r w:rsidRPr="00276094">
        <w:rPr>
          <w:rFonts w:ascii="Times New Roman" w:eastAsia="Times New Roman" w:hAnsi="Times New Roman" w:cs="Times New Roman"/>
          <w:color w:val="000000" w:themeColor="text1"/>
          <w:kern w:val="0"/>
          <w:sz w:val="26"/>
          <w:szCs w:val="26"/>
          <w14:ligatures w14:val="none"/>
        </w:rPr>
        <w:t xml:space="preserve"> “substantially verbatim recital of an oral statement made by [the] witness and recorded contemporaneously with the making of such oral statement” do not constitute “opinion” work product. </w:t>
      </w:r>
      <w:bookmarkStart w:id="203" w:name="dabmci_4603d4c3c7924ca48b409feb1f8a72eb"/>
      <w:r w:rsidRPr="00276094">
        <w:rPr>
          <w:rFonts w:ascii="Times New Roman" w:eastAsia="Times New Roman" w:hAnsi="Times New Roman" w:cs="Times New Roman"/>
          <w:i/>
          <w:iCs/>
          <w:color w:val="000000" w:themeColor="text1"/>
          <w:kern w:val="0"/>
          <w:sz w:val="26"/>
          <w:szCs w:val="26"/>
          <w14:ligatures w14:val="none"/>
        </w:rPr>
        <w:t>Clemens</w:t>
      </w:r>
      <w:r w:rsidRPr="00276094">
        <w:rPr>
          <w:rFonts w:ascii="Times New Roman" w:eastAsia="Times New Roman" w:hAnsi="Times New Roman" w:cs="Times New Roman"/>
          <w:color w:val="000000" w:themeColor="text1"/>
          <w:kern w:val="0"/>
          <w:sz w:val="26"/>
          <w:szCs w:val="26"/>
          <w14:ligatures w14:val="none"/>
        </w:rPr>
        <w:t>, 793 F. Supp. 2d at 252</w:t>
      </w:r>
      <w:bookmarkStart w:id="204" w:name="dabmen_4603d4c3c7924ca48b409feb1f8a72eb"/>
      <w:bookmarkEnd w:id="203"/>
      <w:bookmarkEnd w:id="204"/>
      <w:r w:rsidRPr="00276094">
        <w:rPr>
          <w:rFonts w:ascii="Times New Roman" w:eastAsia="Times New Roman" w:hAnsi="Times New Roman" w:cs="Times New Roman"/>
          <w:color w:val="000000" w:themeColor="text1"/>
          <w:kern w:val="0"/>
          <w:sz w:val="26"/>
          <w:szCs w:val="26"/>
          <w14:ligatures w14:val="none"/>
        </w:rPr>
        <w:t xml:space="preserve"> (citing </w:t>
      </w:r>
      <w:bookmarkStart w:id="205" w:name="dabmci_f37d8954ea824b3ba02b1f6d18ed5c8e"/>
      <w:r w:rsidRPr="00276094">
        <w:rPr>
          <w:rFonts w:ascii="Times New Roman" w:eastAsia="Times New Roman" w:hAnsi="Times New Roman" w:cs="Times New Roman"/>
          <w:i/>
          <w:iCs/>
          <w:color w:val="000000" w:themeColor="text1"/>
          <w:kern w:val="0"/>
          <w:sz w:val="26"/>
          <w:szCs w:val="26"/>
          <w14:ligatures w14:val="none"/>
        </w:rPr>
        <w:t>Saunders</w:t>
      </w:r>
      <w:r w:rsidRPr="00276094">
        <w:rPr>
          <w:rFonts w:ascii="Times New Roman" w:eastAsia="Times New Roman" w:hAnsi="Times New Roman" w:cs="Times New Roman"/>
          <w:color w:val="000000" w:themeColor="text1"/>
          <w:kern w:val="0"/>
          <w:sz w:val="26"/>
          <w:szCs w:val="26"/>
          <w14:ligatures w14:val="none"/>
        </w:rPr>
        <w:t>, 316 F.2d at 350</w:t>
      </w:r>
      <w:bookmarkStart w:id="206" w:name="dabmen_f37d8954ea824b3ba02b1f6d18ed5c8e"/>
      <w:bookmarkEnd w:id="205"/>
      <w:bookmarkEnd w:id="206"/>
      <w:r w:rsidRPr="00276094">
        <w:rPr>
          <w:rFonts w:ascii="Times New Roman" w:eastAsia="Times New Roman" w:hAnsi="Times New Roman" w:cs="Times New Roman"/>
          <w:color w:val="000000" w:themeColor="text1"/>
          <w:kern w:val="0"/>
          <w:sz w:val="26"/>
          <w:szCs w:val="26"/>
          <w14:ligatures w14:val="none"/>
        </w:rPr>
        <w:t>). </w:t>
      </w:r>
      <w:bookmarkEnd w:id="202"/>
    </w:p>
    <w:p w14:paraId="0A58557D" w14:textId="662AE2F2" w:rsidR="00276094" w:rsidRPr="000564BD" w:rsidRDefault="002D374B" w:rsidP="000564BD">
      <w:pPr>
        <w:pStyle w:val="Heading3"/>
        <w:numPr>
          <w:ilvl w:val="0"/>
          <w:numId w:val="29"/>
        </w:numPr>
        <w:rPr>
          <w:rFonts w:ascii="Times New Roman" w:eastAsia="Times New Roman" w:hAnsi="Times New Roman" w:cs="Times New Roman"/>
          <w:b/>
          <w:bCs/>
          <w:i/>
          <w:iCs/>
          <w:color w:val="000000" w:themeColor="text1"/>
          <w:sz w:val="26"/>
          <w:szCs w:val="26"/>
        </w:rPr>
      </w:pPr>
      <w:bookmarkStart w:id="207" w:name="dabmch_95"/>
      <w:bookmarkStart w:id="208" w:name="_Toc239155242"/>
      <w:r w:rsidRPr="000564BD">
        <w:rPr>
          <w:rFonts w:ascii="Times New Roman" w:eastAsia="Times New Roman" w:hAnsi="Times New Roman" w:cs="Times New Roman"/>
          <w:b/>
          <w:bCs/>
          <w:i/>
          <w:iCs/>
          <w:color w:val="000000" w:themeColor="text1"/>
          <w:sz w:val="26"/>
          <w:szCs w:val="26"/>
        </w:rPr>
        <w:t xml:space="preserve">Seton is a </w:t>
      </w:r>
      <w:r w:rsidR="000564BD">
        <w:rPr>
          <w:rFonts w:ascii="Times New Roman" w:eastAsia="Times New Roman" w:hAnsi="Times New Roman" w:cs="Times New Roman"/>
          <w:b/>
          <w:bCs/>
          <w:i/>
          <w:iCs/>
          <w:color w:val="000000" w:themeColor="text1"/>
          <w:sz w:val="26"/>
          <w:szCs w:val="26"/>
        </w:rPr>
        <w:t>R</w:t>
      </w:r>
      <w:r w:rsidRPr="000564BD">
        <w:rPr>
          <w:rFonts w:ascii="Times New Roman" w:eastAsia="Times New Roman" w:hAnsi="Times New Roman" w:cs="Times New Roman"/>
          <w:b/>
          <w:bCs/>
          <w:i/>
          <w:iCs/>
          <w:color w:val="000000" w:themeColor="text1"/>
          <w:sz w:val="26"/>
          <w:szCs w:val="26"/>
        </w:rPr>
        <w:t xml:space="preserve">eluctant, </w:t>
      </w:r>
      <w:r w:rsidR="000564BD">
        <w:rPr>
          <w:rFonts w:ascii="Times New Roman" w:eastAsia="Times New Roman" w:hAnsi="Times New Roman" w:cs="Times New Roman"/>
          <w:b/>
          <w:bCs/>
          <w:i/>
          <w:iCs/>
          <w:color w:val="000000" w:themeColor="text1"/>
          <w:sz w:val="26"/>
          <w:szCs w:val="26"/>
        </w:rPr>
        <w:t>U</w:t>
      </w:r>
      <w:r w:rsidRPr="000564BD">
        <w:rPr>
          <w:rFonts w:ascii="Times New Roman" w:eastAsia="Times New Roman" w:hAnsi="Times New Roman" w:cs="Times New Roman"/>
          <w:b/>
          <w:bCs/>
          <w:i/>
          <w:iCs/>
          <w:color w:val="000000" w:themeColor="text1"/>
          <w:sz w:val="26"/>
          <w:szCs w:val="26"/>
        </w:rPr>
        <w:t xml:space="preserve">navailable </w:t>
      </w:r>
      <w:r w:rsidR="000564BD">
        <w:rPr>
          <w:rFonts w:ascii="Times New Roman" w:eastAsia="Times New Roman" w:hAnsi="Times New Roman" w:cs="Times New Roman"/>
          <w:b/>
          <w:bCs/>
          <w:i/>
          <w:iCs/>
          <w:color w:val="000000" w:themeColor="text1"/>
          <w:sz w:val="26"/>
          <w:szCs w:val="26"/>
        </w:rPr>
        <w:t>W</w:t>
      </w:r>
      <w:r w:rsidRPr="000564BD">
        <w:rPr>
          <w:rFonts w:ascii="Times New Roman" w:eastAsia="Times New Roman" w:hAnsi="Times New Roman" w:cs="Times New Roman"/>
          <w:b/>
          <w:bCs/>
          <w:i/>
          <w:iCs/>
          <w:color w:val="000000" w:themeColor="text1"/>
          <w:sz w:val="26"/>
          <w:szCs w:val="26"/>
        </w:rPr>
        <w:t xml:space="preserve">itness, </w:t>
      </w:r>
      <w:r w:rsidR="000564BD">
        <w:rPr>
          <w:rFonts w:ascii="Times New Roman" w:eastAsia="Times New Roman" w:hAnsi="Times New Roman" w:cs="Times New Roman"/>
          <w:b/>
          <w:bCs/>
          <w:i/>
          <w:iCs/>
          <w:color w:val="000000" w:themeColor="text1"/>
          <w:sz w:val="26"/>
          <w:szCs w:val="26"/>
        </w:rPr>
        <w:t>W</w:t>
      </w:r>
      <w:r w:rsidRPr="000564BD">
        <w:rPr>
          <w:rFonts w:ascii="Times New Roman" w:eastAsia="Times New Roman" w:hAnsi="Times New Roman" w:cs="Times New Roman"/>
          <w:b/>
          <w:bCs/>
          <w:i/>
          <w:iCs/>
          <w:color w:val="000000" w:themeColor="text1"/>
          <w:sz w:val="26"/>
          <w:szCs w:val="26"/>
        </w:rPr>
        <w:t xml:space="preserve">hose </w:t>
      </w:r>
      <w:r w:rsidR="000564BD">
        <w:rPr>
          <w:rFonts w:ascii="Times New Roman" w:eastAsia="Times New Roman" w:hAnsi="Times New Roman" w:cs="Times New Roman"/>
          <w:b/>
          <w:bCs/>
          <w:i/>
          <w:iCs/>
          <w:color w:val="000000" w:themeColor="text1"/>
          <w:sz w:val="26"/>
          <w:szCs w:val="26"/>
        </w:rPr>
        <w:t>T</w:t>
      </w:r>
      <w:r w:rsidRPr="000564BD">
        <w:rPr>
          <w:rFonts w:ascii="Times New Roman" w:eastAsia="Times New Roman" w:hAnsi="Times New Roman" w:cs="Times New Roman"/>
          <w:b/>
          <w:bCs/>
          <w:i/>
          <w:iCs/>
          <w:color w:val="000000" w:themeColor="text1"/>
          <w:sz w:val="26"/>
          <w:szCs w:val="26"/>
        </w:rPr>
        <w:t xml:space="preserve">estimony </w:t>
      </w:r>
      <w:r w:rsidR="000564BD">
        <w:rPr>
          <w:rFonts w:ascii="Times New Roman" w:eastAsia="Times New Roman" w:hAnsi="Times New Roman" w:cs="Times New Roman"/>
          <w:b/>
          <w:bCs/>
          <w:i/>
          <w:iCs/>
          <w:color w:val="000000" w:themeColor="text1"/>
          <w:sz w:val="26"/>
          <w:szCs w:val="26"/>
        </w:rPr>
        <w:t>M</w:t>
      </w:r>
      <w:r w:rsidRPr="000564BD">
        <w:rPr>
          <w:rFonts w:ascii="Times New Roman" w:eastAsia="Times New Roman" w:hAnsi="Times New Roman" w:cs="Times New Roman"/>
          <w:b/>
          <w:bCs/>
          <w:i/>
          <w:iCs/>
          <w:color w:val="000000" w:themeColor="text1"/>
          <w:sz w:val="26"/>
          <w:szCs w:val="26"/>
        </w:rPr>
        <w:t xml:space="preserve">ay </w:t>
      </w:r>
      <w:r w:rsidR="000564BD">
        <w:rPr>
          <w:rFonts w:ascii="Times New Roman" w:eastAsia="Times New Roman" w:hAnsi="Times New Roman" w:cs="Times New Roman"/>
          <w:b/>
          <w:bCs/>
          <w:i/>
          <w:iCs/>
          <w:color w:val="000000" w:themeColor="text1"/>
          <w:sz w:val="26"/>
          <w:szCs w:val="26"/>
        </w:rPr>
        <w:t>N</w:t>
      </w:r>
      <w:r w:rsidRPr="000564BD">
        <w:rPr>
          <w:rFonts w:ascii="Times New Roman" w:eastAsia="Times New Roman" w:hAnsi="Times New Roman" w:cs="Times New Roman"/>
          <w:b/>
          <w:bCs/>
          <w:i/>
          <w:iCs/>
          <w:color w:val="000000" w:themeColor="text1"/>
          <w:sz w:val="26"/>
          <w:szCs w:val="26"/>
        </w:rPr>
        <w:t xml:space="preserve">ever be </w:t>
      </w:r>
      <w:r w:rsidR="000564BD">
        <w:rPr>
          <w:rFonts w:ascii="Times New Roman" w:eastAsia="Times New Roman" w:hAnsi="Times New Roman" w:cs="Times New Roman"/>
          <w:b/>
          <w:bCs/>
          <w:i/>
          <w:iCs/>
          <w:color w:val="000000" w:themeColor="text1"/>
          <w:sz w:val="26"/>
          <w:szCs w:val="26"/>
        </w:rPr>
        <w:t>R</w:t>
      </w:r>
      <w:r w:rsidRPr="000564BD">
        <w:rPr>
          <w:rFonts w:ascii="Times New Roman" w:eastAsia="Times New Roman" w:hAnsi="Times New Roman" w:cs="Times New Roman"/>
          <w:b/>
          <w:bCs/>
          <w:i/>
          <w:iCs/>
          <w:color w:val="000000" w:themeColor="text1"/>
          <w:sz w:val="26"/>
          <w:szCs w:val="26"/>
        </w:rPr>
        <w:t>eplicable.</w:t>
      </w:r>
      <w:bookmarkEnd w:id="207"/>
      <w:bookmarkEnd w:id="208"/>
    </w:p>
    <w:p w14:paraId="79D465B0" w14:textId="77777777" w:rsidR="00276094" w:rsidRPr="00276094" w:rsidRDefault="002D374B" w:rsidP="00541897">
      <w:pPr>
        <w:spacing w:before="12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09" w:name="dabmch_96"/>
      <w:r w:rsidRPr="00276094">
        <w:rPr>
          <w:rFonts w:ascii="Times New Roman" w:eastAsia="Times New Roman" w:hAnsi="Times New Roman" w:cs="Times New Roman"/>
          <w:color w:val="000000" w:themeColor="text1"/>
          <w:kern w:val="0"/>
          <w:sz w:val="26"/>
          <w:szCs w:val="26"/>
          <w14:ligatures w14:val="none"/>
        </w:rPr>
        <w:t xml:space="preserve">Even if Seton were somehow located today, there is no guarantee she would speak again. </w:t>
      </w:r>
      <w:r w:rsidRPr="00276094">
        <w:rPr>
          <w:rFonts w:ascii="Times New Roman" w:eastAsia="Times New Roman" w:hAnsi="Times New Roman" w:cs="Times New Roman"/>
          <w:color w:val="000000" w:themeColor="text1"/>
          <w:kern w:val="0"/>
          <w:sz w:val="26"/>
          <w:szCs w:val="26"/>
          <w:shd w:val="clear" w:color="auto" w:fill="FCFCFC"/>
          <w14:ligatures w14:val="none"/>
        </w:rPr>
        <w:t xml:space="preserve">Courts may order production of contemporaneous witness statements in the face of unavailability over time, reluctance or hostility, memory loss, or probable deviation from </w:t>
      </w:r>
      <w:r w:rsidRPr="00276094">
        <w:rPr>
          <w:rFonts w:ascii="Times New Roman" w:eastAsia="Times New Roman" w:hAnsi="Times New Roman" w:cs="Times New Roman"/>
          <w:color w:val="000000" w:themeColor="text1"/>
          <w:kern w:val="0"/>
          <w:sz w:val="26"/>
          <w:szCs w:val="26"/>
          <w:shd w:val="clear" w:color="auto" w:fill="FCFCFC"/>
          <w14:ligatures w14:val="none"/>
        </w:rPr>
        <w:lastRenderedPageBreak/>
        <w:t xml:space="preserve">an earlier account. </w:t>
      </w:r>
      <w:bookmarkStart w:id="210" w:name="dabmci_ada89a7adcc44a4cbab2567813ff84bc"/>
      <w:r w:rsidRPr="00276094">
        <w:rPr>
          <w:rFonts w:ascii="Times New Roman" w:eastAsia="Times New Roman" w:hAnsi="Times New Roman" w:cs="Times New Roman"/>
          <w:color w:val="000000" w:themeColor="text1"/>
          <w:kern w:val="0"/>
          <w:sz w:val="26"/>
          <w:szCs w:val="26"/>
          <w14:ligatures w14:val="none"/>
        </w:rPr>
        <w:t>Fed. R. Civ. P. 26(b)(3)</w:t>
      </w:r>
      <w:bookmarkStart w:id="211" w:name="dabmen_ada89a7adcc44a4cbab2567813ff84bc"/>
      <w:bookmarkEnd w:id="210"/>
      <w:bookmarkEnd w:id="211"/>
      <w:r w:rsidRPr="00276094">
        <w:rPr>
          <w:rFonts w:ascii="Times New Roman" w:eastAsia="Times New Roman" w:hAnsi="Times New Roman" w:cs="Times New Roman"/>
          <w:color w:val="000000" w:themeColor="text1"/>
          <w:kern w:val="0"/>
          <w:sz w:val="26"/>
          <w:szCs w:val="26"/>
          <w14:ligatures w14:val="none"/>
        </w:rPr>
        <w:t xml:space="preserve"> Advisory Committee’s Note to 1970 Amendment; </w:t>
      </w:r>
      <w:r w:rsidRPr="00276094">
        <w:rPr>
          <w:rFonts w:ascii="Times New Roman" w:eastAsia="Times New Roman" w:hAnsi="Times New Roman" w:cs="Times New Roman"/>
          <w:i/>
          <w:iCs/>
          <w:color w:val="000000" w:themeColor="text1"/>
          <w:kern w:val="0"/>
          <w:sz w:val="26"/>
          <w:szCs w:val="26"/>
          <w14:ligatures w14:val="none"/>
        </w:rPr>
        <w:t>see</w:t>
      </w:r>
      <w:r w:rsidRPr="00276094">
        <w:rPr>
          <w:rFonts w:ascii="Times New Roman" w:eastAsia="Times New Roman" w:hAnsi="Times New Roman" w:cs="Times New Roman"/>
          <w:color w:val="000000" w:themeColor="text1"/>
          <w:kern w:val="0"/>
          <w:sz w:val="26"/>
          <w:szCs w:val="26"/>
          <w14:ligatures w14:val="none"/>
        </w:rPr>
        <w:t xml:space="preserve"> </w:t>
      </w:r>
      <w:bookmarkStart w:id="212" w:name="dabmci_e333d03e6bb14f31bad37b22b7ac5e23"/>
      <w:r w:rsidRPr="00276094">
        <w:rPr>
          <w:rFonts w:ascii="Times New Roman" w:eastAsia="Times New Roman" w:hAnsi="Times New Roman" w:cs="Times New Roman"/>
          <w:i/>
          <w:iCs/>
          <w:color w:val="000000" w:themeColor="text1"/>
          <w:kern w:val="0"/>
          <w:sz w:val="26"/>
          <w:szCs w:val="26"/>
          <w14:ligatures w14:val="none"/>
        </w:rPr>
        <w:t>Southern Ry. Co. v. Lanham</w:t>
      </w:r>
      <w:r w:rsidRPr="00276094">
        <w:rPr>
          <w:rFonts w:ascii="Times New Roman" w:eastAsia="Times New Roman" w:hAnsi="Times New Roman" w:cs="Times New Roman"/>
          <w:color w:val="000000" w:themeColor="text1"/>
          <w:kern w:val="0"/>
          <w:sz w:val="26"/>
          <w:szCs w:val="26"/>
          <w14:ligatures w14:val="none"/>
        </w:rPr>
        <w:t xml:space="preserve">, 403 F.2d 119, </w:t>
      </w:r>
      <w:r w:rsidRPr="00276094">
        <w:rPr>
          <w:rFonts w:ascii="Times New Roman" w:eastAsia="Times New Roman" w:hAnsi="Times New Roman" w:cs="Times New Roman"/>
          <w:color w:val="000000" w:themeColor="text1"/>
          <w:kern w:val="0"/>
          <w:sz w:val="26"/>
          <w:szCs w:val="26"/>
          <w:shd w:val="clear" w:color="auto" w:fill="FCFCFC"/>
          <w14:ligatures w14:val="none"/>
        </w:rPr>
        <w:t>127–29, 131–33</w:t>
      </w:r>
      <w:r w:rsidRPr="00276094">
        <w:rPr>
          <w:rFonts w:ascii="Times New Roman" w:eastAsia="Times New Roman" w:hAnsi="Times New Roman" w:cs="Times New Roman"/>
          <w:color w:val="000000" w:themeColor="text1"/>
          <w:kern w:val="0"/>
          <w:sz w:val="26"/>
          <w:szCs w:val="26"/>
          <w14:ligatures w14:val="none"/>
        </w:rPr>
        <w:t xml:space="preserve"> (5th Cir. 1968)</w:t>
      </w:r>
      <w:bookmarkStart w:id="213" w:name="dabmen_e333d03e6bb14f31bad37b22b7ac5e23"/>
      <w:bookmarkEnd w:id="212"/>
      <w:bookmarkEnd w:id="213"/>
      <w:r w:rsidRPr="00276094">
        <w:rPr>
          <w:rFonts w:ascii="Times New Roman" w:eastAsia="Times New Roman" w:hAnsi="Times New Roman" w:cs="Times New Roman"/>
          <w:color w:val="000000" w:themeColor="text1"/>
          <w:kern w:val="0"/>
          <w:sz w:val="26"/>
          <w:szCs w:val="26"/>
          <w14:ligatures w14:val="none"/>
        </w:rPr>
        <w:t xml:space="preserve"> (finding the factual elements of the reports, such as witness statements and observed facts, were discoverable, but the mental impressions and evaluations of the claim agents were not). </w:t>
      </w:r>
      <w:bookmarkEnd w:id="209"/>
    </w:p>
    <w:p w14:paraId="644E0380" w14:textId="77777777" w:rsidR="00C13CCF" w:rsidRPr="00C13CCF" w:rsidRDefault="002D374B" w:rsidP="00541897">
      <w:pPr>
        <w:pStyle w:val="NormalWeb"/>
        <w:spacing w:before="0" w:beforeAutospacing="0" w:after="0" w:afterAutospacing="0" w:line="480" w:lineRule="auto"/>
        <w:ind w:firstLine="720"/>
        <w:jc w:val="both"/>
        <w:rPr>
          <w:color w:val="000000" w:themeColor="text1"/>
          <w:sz w:val="26"/>
          <w:szCs w:val="26"/>
        </w:rPr>
      </w:pPr>
      <w:bookmarkStart w:id="214" w:name="dabmch_97"/>
      <w:r w:rsidRPr="00276094">
        <w:rPr>
          <w:color w:val="000000" w:themeColor="text1"/>
          <w:sz w:val="26"/>
          <w:szCs w:val="26"/>
        </w:rPr>
        <w:t>Armana testified he believed he would “only get one shot” with a reluctant witness who had “gone quiet.” (Armana Dep. 045:91–93; 95–96.)  Armana described the witness’s demeanor as “guarded” and “nervous,” noting she “clearly had reservations about talking at all.” (</w:t>
      </w:r>
      <w:r w:rsidRPr="00276094">
        <w:rPr>
          <w:i/>
          <w:iCs/>
          <w:color w:val="000000" w:themeColor="text1"/>
          <w:sz w:val="26"/>
          <w:szCs w:val="26"/>
        </w:rPr>
        <w:t>Id</w:t>
      </w:r>
      <w:r w:rsidRPr="00276094">
        <w:rPr>
          <w:color w:val="000000" w:themeColor="text1"/>
          <w:sz w:val="26"/>
          <w:szCs w:val="26"/>
        </w:rPr>
        <w:t>. 045:104–05.) Seton was “exactly the kind of witness who might not be there the next time I came looking.” (</w:t>
      </w:r>
      <w:r w:rsidRPr="00276094">
        <w:rPr>
          <w:i/>
          <w:iCs/>
          <w:color w:val="000000" w:themeColor="text1"/>
          <w:sz w:val="26"/>
          <w:szCs w:val="26"/>
        </w:rPr>
        <w:t>Id</w:t>
      </w:r>
      <w:r w:rsidRPr="00DB2E5F">
        <w:rPr>
          <w:color w:val="000000" w:themeColor="text1"/>
          <w:sz w:val="26"/>
          <w:szCs w:val="26"/>
        </w:rPr>
        <w:t>. 045:116–17.) Therefore, the conditions under which Armana obtained this information may never be replicable even if Seton were found, further supporting its production.</w:t>
      </w:r>
      <w:bookmarkEnd w:id="214"/>
    </w:p>
    <w:p w14:paraId="1FE93B5D" w14:textId="77777777" w:rsidR="00276094" w:rsidRPr="00DB2E5F" w:rsidRDefault="002D374B" w:rsidP="000564BD">
      <w:pPr>
        <w:pStyle w:val="Heading3"/>
        <w:numPr>
          <w:ilvl w:val="0"/>
          <w:numId w:val="26"/>
        </w:numPr>
        <w:spacing w:line="240" w:lineRule="auto"/>
        <w:jc w:val="both"/>
        <w:rPr>
          <w:rFonts w:ascii="Times New Roman" w:eastAsia="Times New Roman" w:hAnsi="Times New Roman" w:cs="Times New Roman"/>
          <w:b/>
          <w:bCs/>
          <w:color w:val="000000" w:themeColor="text1"/>
          <w:sz w:val="26"/>
          <w:szCs w:val="26"/>
        </w:rPr>
      </w:pPr>
      <w:bookmarkStart w:id="215" w:name="_Toc239113022"/>
      <w:bookmarkStart w:id="216" w:name="_Toc239149375"/>
      <w:bookmarkStart w:id="217" w:name="dabmch_98"/>
      <w:bookmarkStart w:id="218" w:name="_Toc239155243"/>
      <w:r w:rsidRPr="00DB2E5F">
        <w:rPr>
          <w:rFonts w:ascii="Times New Roman" w:eastAsia="Times New Roman" w:hAnsi="Times New Roman" w:cs="Times New Roman"/>
          <w:b/>
          <w:bCs/>
          <w:color w:val="000000" w:themeColor="text1"/>
          <w:sz w:val="26"/>
          <w:szCs w:val="26"/>
          <w:shd w:val="clear" w:color="auto" w:fill="FCFCFC"/>
        </w:rPr>
        <w:t>The Government Has Substantial Need For the Requested Materials and Cannot Obtain a Substantial Equivalent Without Undue Hardship</w:t>
      </w:r>
      <w:bookmarkEnd w:id="215"/>
      <w:bookmarkEnd w:id="216"/>
      <w:bookmarkEnd w:id="217"/>
      <w:bookmarkEnd w:id="218"/>
    </w:p>
    <w:p w14:paraId="51972DE9" w14:textId="33BBC96C" w:rsidR="00276094" w:rsidRPr="00276094" w:rsidRDefault="002D374B" w:rsidP="00D51215">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19" w:name="dabmch_99"/>
      <w:r w:rsidRPr="00276094">
        <w:rPr>
          <w:rFonts w:ascii="Times New Roman" w:eastAsia="Times New Roman" w:hAnsi="Times New Roman" w:cs="Times New Roman"/>
          <w:color w:val="000000" w:themeColor="text1"/>
          <w:kern w:val="0"/>
          <w:sz w:val="26"/>
          <w:szCs w:val="26"/>
          <w14:ligatures w14:val="none"/>
        </w:rPr>
        <w:t>Production of an attorney</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s or investigator</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s witness-interview notes “might be justified where the witnesses are no longer available or can be reached only with difficulty.” </w:t>
      </w:r>
      <w:bookmarkStart w:id="220" w:name="dabmci_469ab34ad4eb49d7beec9238a3653e97"/>
      <w:r w:rsidRPr="00276094">
        <w:rPr>
          <w:rFonts w:ascii="Times New Roman" w:eastAsia="Times New Roman" w:hAnsi="Times New Roman" w:cs="Times New Roman"/>
          <w:i/>
          <w:iCs/>
          <w:color w:val="000000" w:themeColor="text1"/>
          <w:kern w:val="0"/>
          <w:sz w:val="26"/>
          <w:szCs w:val="26"/>
          <w14:ligatures w14:val="none"/>
        </w:rPr>
        <w:t xml:space="preserve">Hickman, </w:t>
      </w:r>
      <w:r w:rsidRPr="00276094">
        <w:rPr>
          <w:rFonts w:ascii="Times New Roman" w:eastAsia="Times New Roman" w:hAnsi="Times New Roman" w:cs="Times New Roman"/>
          <w:color w:val="000000" w:themeColor="text1"/>
          <w:kern w:val="0"/>
          <w:sz w:val="26"/>
          <w:szCs w:val="26"/>
          <w14:ligatures w14:val="none"/>
        </w:rPr>
        <w:t>329 U.S. at 511</w:t>
      </w:r>
      <w:bookmarkStart w:id="221" w:name="dabmen_469ab34ad4eb49d7beec9238a3653e97"/>
      <w:bookmarkEnd w:id="220"/>
      <w:bookmarkEnd w:id="221"/>
      <w:r w:rsidRPr="00276094">
        <w:rPr>
          <w:rFonts w:ascii="Times New Roman" w:eastAsia="Times New Roman" w:hAnsi="Times New Roman" w:cs="Times New Roman"/>
          <w:color w:val="000000" w:themeColor="text1"/>
          <w:kern w:val="0"/>
          <w:sz w:val="26"/>
          <w:szCs w:val="26"/>
          <w14:ligatures w14:val="none"/>
        </w:rPr>
        <w:t xml:space="preserve">. The party seeking discovery bears a “twofold burden” to “show both substantial need and undue hardship” in obtaining the substantial equivalent by other means. </w:t>
      </w:r>
      <w:bookmarkStart w:id="222" w:name="dabmci_4e537225f3844730a24d08f7251f265f"/>
      <w:r w:rsidRPr="00276094">
        <w:rPr>
          <w:rFonts w:ascii="Times New Roman" w:eastAsia="Times New Roman" w:hAnsi="Times New Roman" w:cs="Times New Roman"/>
          <w:i/>
          <w:iCs/>
          <w:color w:val="000000" w:themeColor="text1"/>
          <w:kern w:val="0"/>
          <w:sz w:val="26"/>
          <w:szCs w:val="26"/>
          <w14:ligatures w14:val="none"/>
        </w:rPr>
        <w:t>Castle v. Sangamo Weston, Inc.</w:t>
      </w:r>
      <w:r w:rsidRPr="00276094">
        <w:rPr>
          <w:rFonts w:ascii="Times New Roman" w:eastAsia="Times New Roman" w:hAnsi="Times New Roman" w:cs="Times New Roman"/>
          <w:color w:val="000000" w:themeColor="text1"/>
          <w:kern w:val="0"/>
          <w:sz w:val="26"/>
          <w:szCs w:val="26"/>
          <w14:ligatures w14:val="none"/>
        </w:rPr>
        <w:t>, 744 F.2d 1464, 1467 (11th Cir. 1984)</w:t>
      </w:r>
      <w:bookmarkStart w:id="223" w:name="dabmen_4e537225f3844730a24d08f7251f265f"/>
      <w:bookmarkEnd w:id="222"/>
      <w:bookmarkEnd w:id="223"/>
      <w:r w:rsidRPr="00276094">
        <w:rPr>
          <w:rFonts w:ascii="Times New Roman" w:eastAsia="Times New Roman" w:hAnsi="Times New Roman" w:cs="Times New Roman"/>
          <w:color w:val="000000" w:themeColor="text1"/>
          <w:kern w:val="0"/>
          <w:sz w:val="26"/>
          <w:szCs w:val="26"/>
          <w14:ligatures w14:val="none"/>
        </w:rPr>
        <w:t xml:space="preserve"> (citing </w:t>
      </w:r>
      <w:bookmarkStart w:id="224" w:name="dabmci_8eabc503ba7a4417b66f737cee66791b"/>
      <w:r w:rsidRPr="00276094">
        <w:rPr>
          <w:rFonts w:ascii="Times New Roman" w:eastAsia="Times New Roman" w:hAnsi="Times New Roman" w:cs="Times New Roman"/>
          <w:color w:val="000000" w:themeColor="text1"/>
          <w:kern w:val="0"/>
          <w:sz w:val="26"/>
          <w:szCs w:val="26"/>
          <w14:ligatures w14:val="none"/>
        </w:rPr>
        <w:t>Fed. R. Civ. P. 26(b)(3)</w:t>
      </w:r>
      <w:bookmarkStart w:id="225" w:name="dabmen_8eabc503ba7a4417b66f737cee66791b"/>
      <w:bookmarkEnd w:id="224"/>
      <w:bookmarkEnd w:id="225"/>
      <w:r w:rsidRPr="00276094">
        <w:rPr>
          <w:rFonts w:ascii="Times New Roman" w:eastAsia="Times New Roman" w:hAnsi="Times New Roman" w:cs="Times New Roman"/>
          <w:color w:val="000000" w:themeColor="text1"/>
          <w:kern w:val="0"/>
          <w:sz w:val="26"/>
          <w:szCs w:val="26"/>
          <w14:ligatures w14:val="none"/>
        </w:rPr>
        <w:t>). A moving party</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s burden is generally met if it demonstrates that the materials are relevant to the case, that the materials have a unique value apart from those already in the movant</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s possession, and that “special circumstances” </w:t>
      </w:r>
      <w:r w:rsidRPr="00276094">
        <w:rPr>
          <w:rFonts w:ascii="Times New Roman" w:eastAsia="Times New Roman" w:hAnsi="Times New Roman" w:cs="Times New Roman"/>
          <w:color w:val="000000" w:themeColor="text1"/>
          <w:kern w:val="0"/>
          <w:sz w:val="26"/>
          <w:szCs w:val="26"/>
          <w14:ligatures w14:val="none"/>
        </w:rPr>
        <w:lastRenderedPageBreak/>
        <w:t>excuse the movant</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s failure to obtain the requested materials itself. </w:t>
      </w:r>
      <w:bookmarkStart w:id="226" w:name="dabmci_9c4919aa0fa843cf96692b8ecb1dbb14"/>
      <w:r w:rsidRPr="00276094">
        <w:rPr>
          <w:rFonts w:ascii="Times New Roman" w:eastAsia="Times New Roman" w:hAnsi="Times New Roman" w:cs="Times New Roman"/>
          <w:i/>
          <w:iCs/>
          <w:color w:val="000000" w:themeColor="text1"/>
          <w:kern w:val="0"/>
          <w:sz w:val="26"/>
          <w:szCs w:val="26"/>
          <w14:ligatures w14:val="none"/>
        </w:rPr>
        <w:t>F.T.C.</w:t>
      </w:r>
      <w:r w:rsidRPr="00276094">
        <w:rPr>
          <w:rFonts w:ascii="Times New Roman" w:eastAsia="Times New Roman" w:hAnsi="Times New Roman" w:cs="Times New Roman"/>
          <w:color w:val="000000" w:themeColor="text1"/>
          <w:kern w:val="0"/>
          <w:sz w:val="26"/>
          <w:szCs w:val="26"/>
          <w14:ligatures w14:val="none"/>
        </w:rPr>
        <w:t>, 778 F.3d at 155</w:t>
      </w:r>
      <w:bookmarkStart w:id="227" w:name="dabmen_9c4919aa0fa843cf96692b8ecb1dbb14"/>
      <w:bookmarkEnd w:id="226"/>
      <w:bookmarkEnd w:id="227"/>
      <w:r w:rsidRPr="00276094">
        <w:rPr>
          <w:rFonts w:ascii="Times New Roman" w:eastAsia="Times New Roman" w:hAnsi="Times New Roman" w:cs="Times New Roman"/>
          <w:color w:val="000000" w:themeColor="text1"/>
          <w:kern w:val="0"/>
          <w:sz w:val="26"/>
          <w:szCs w:val="26"/>
          <w14:ligatures w14:val="none"/>
        </w:rPr>
        <w:t>. </w:t>
      </w:r>
      <w:bookmarkEnd w:id="219"/>
    </w:p>
    <w:p w14:paraId="2FC9164B" w14:textId="36113453" w:rsidR="00276094" w:rsidRPr="004030BB" w:rsidRDefault="002D374B" w:rsidP="00D51215">
      <w:pPr>
        <w:pStyle w:val="Heading3"/>
        <w:numPr>
          <w:ilvl w:val="0"/>
          <w:numId w:val="31"/>
        </w:numPr>
        <w:spacing w:before="0" w:after="0"/>
        <w:rPr>
          <w:rFonts w:ascii="Times New Roman" w:eastAsia="Times New Roman" w:hAnsi="Times New Roman" w:cs="Times New Roman"/>
          <w:b/>
          <w:bCs/>
          <w:i/>
          <w:iCs/>
          <w:color w:val="000000" w:themeColor="text1"/>
          <w:kern w:val="0"/>
          <w:sz w:val="26"/>
          <w:szCs w:val="26"/>
          <w14:ligatures w14:val="none"/>
        </w:rPr>
      </w:pPr>
      <w:bookmarkStart w:id="228" w:name="dabmch_100"/>
      <w:bookmarkStart w:id="229" w:name="_Toc239155244"/>
      <w:r w:rsidRPr="004030BB">
        <w:rPr>
          <w:rFonts w:ascii="Times New Roman" w:hAnsi="Times New Roman" w:cs="Times New Roman"/>
          <w:b/>
          <w:bCs/>
          <w:i/>
          <w:iCs/>
          <w:color w:val="000000" w:themeColor="text1"/>
          <w:sz w:val="26"/>
          <w:szCs w:val="26"/>
        </w:rPr>
        <w:t xml:space="preserve">Seton is </w:t>
      </w:r>
      <w:r w:rsidR="00541897" w:rsidRPr="004030BB">
        <w:rPr>
          <w:rFonts w:ascii="Times New Roman" w:hAnsi="Times New Roman" w:cs="Times New Roman"/>
          <w:b/>
          <w:bCs/>
          <w:i/>
          <w:iCs/>
          <w:color w:val="000000" w:themeColor="text1"/>
          <w:sz w:val="26"/>
          <w:szCs w:val="26"/>
        </w:rPr>
        <w:t>U</w:t>
      </w:r>
      <w:r w:rsidRPr="004030BB">
        <w:rPr>
          <w:rFonts w:ascii="Times New Roman" w:hAnsi="Times New Roman" w:cs="Times New Roman"/>
          <w:b/>
          <w:bCs/>
          <w:i/>
          <w:iCs/>
          <w:color w:val="000000" w:themeColor="text1"/>
          <w:sz w:val="26"/>
          <w:szCs w:val="26"/>
        </w:rPr>
        <w:t xml:space="preserve">nreachable, and </w:t>
      </w:r>
      <w:r w:rsidR="00541897" w:rsidRPr="004030BB">
        <w:rPr>
          <w:rFonts w:ascii="Times New Roman" w:hAnsi="Times New Roman" w:cs="Times New Roman"/>
          <w:b/>
          <w:bCs/>
          <w:i/>
          <w:iCs/>
          <w:color w:val="000000" w:themeColor="text1"/>
          <w:sz w:val="26"/>
          <w:szCs w:val="26"/>
        </w:rPr>
        <w:t>H</w:t>
      </w:r>
      <w:r w:rsidRPr="004030BB">
        <w:rPr>
          <w:rFonts w:ascii="Times New Roman" w:hAnsi="Times New Roman" w:cs="Times New Roman"/>
          <w:b/>
          <w:bCs/>
          <w:i/>
          <w:iCs/>
          <w:color w:val="000000" w:themeColor="text1"/>
          <w:sz w:val="26"/>
          <w:szCs w:val="26"/>
        </w:rPr>
        <w:t xml:space="preserve">as </w:t>
      </w:r>
      <w:r w:rsidR="00541897" w:rsidRPr="004030BB">
        <w:rPr>
          <w:rFonts w:ascii="Times New Roman" w:hAnsi="Times New Roman" w:cs="Times New Roman"/>
          <w:b/>
          <w:bCs/>
          <w:i/>
          <w:iCs/>
          <w:color w:val="000000" w:themeColor="text1"/>
          <w:sz w:val="26"/>
          <w:szCs w:val="26"/>
        </w:rPr>
        <w:t>B</w:t>
      </w:r>
      <w:r w:rsidRPr="004030BB">
        <w:rPr>
          <w:rFonts w:ascii="Times New Roman" w:hAnsi="Times New Roman" w:cs="Times New Roman"/>
          <w:b/>
          <w:bCs/>
          <w:i/>
          <w:iCs/>
          <w:color w:val="000000" w:themeColor="text1"/>
          <w:sz w:val="26"/>
          <w:szCs w:val="26"/>
        </w:rPr>
        <w:t xml:space="preserve">een for </w:t>
      </w:r>
      <w:r w:rsidR="00541897" w:rsidRPr="004030BB">
        <w:rPr>
          <w:rFonts w:ascii="Times New Roman" w:hAnsi="Times New Roman" w:cs="Times New Roman"/>
          <w:b/>
          <w:bCs/>
          <w:i/>
          <w:iCs/>
          <w:color w:val="000000" w:themeColor="text1"/>
          <w:sz w:val="26"/>
          <w:szCs w:val="26"/>
        </w:rPr>
        <w:t>O</w:t>
      </w:r>
      <w:r w:rsidRPr="004030BB">
        <w:rPr>
          <w:rFonts w:ascii="Times New Roman" w:hAnsi="Times New Roman" w:cs="Times New Roman"/>
          <w:b/>
          <w:bCs/>
          <w:i/>
          <w:iCs/>
          <w:color w:val="000000" w:themeColor="text1"/>
          <w:sz w:val="26"/>
          <w:szCs w:val="26"/>
        </w:rPr>
        <w:t xml:space="preserve">ver </w:t>
      </w:r>
      <w:r w:rsidR="00541897" w:rsidRPr="004030BB">
        <w:rPr>
          <w:rFonts w:ascii="Times New Roman" w:hAnsi="Times New Roman" w:cs="Times New Roman"/>
          <w:b/>
          <w:bCs/>
          <w:i/>
          <w:iCs/>
          <w:color w:val="000000" w:themeColor="text1"/>
          <w:sz w:val="26"/>
          <w:szCs w:val="26"/>
        </w:rPr>
        <w:t>T</w:t>
      </w:r>
      <w:r w:rsidRPr="004030BB">
        <w:rPr>
          <w:rFonts w:ascii="Times New Roman" w:hAnsi="Times New Roman" w:cs="Times New Roman"/>
          <w:b/>
          <w:bCs/>
          <w:i/>
          <w:iCs/>
          <w:color w:val="000000" w:themeColor="text1"/>
          <w:sz w:val="26"/>
          <w:szCs w:val="26"/>
        </w:rPr>
        <w:t xml:space="preserve">wo </w:t>
      </w:r>
      <w:r w:rsidR="00541897" w:rsidRPr="004030BB">
        <w:rPr>
          <w:rFonts w:ascii="Times New Roman" w:hAnsi="Times New Roman" w:cs="Times New Roman"/>
          <w:b/>
          <w:bCs/>
          <w:i/>
          <w:iCs/>
          <w:color w:val="000000" w:themeColor="text1"/>
          <w:sz w:val="26"/>
          <w:szCs w:val="26"/>
        </w:rPr>
        <w:t>Y</w:t>
      </w:r>
      <w:r w:rsidRPr="004030BB">
        <w:rPr>
          <w:rFonts w:ascii="Times New Roman" w:hAnsi="Times New Roman" w:cs="Times New Roman"/>
          <w:b/>
          <w:bCs/>
          <w:i/>
          <w:iCs/>
          <w:color w:val="000000" w:themeColor="text1"/>
          <w:sz w:val="26"/>
          <w:szCs w:val="26"/>
        </w:rPr>
        <w:t>ears</w:t>
      </w:r>
      <w:bookmarkEnd w:id="228"/>
      <w:bookmarkEnd w:id="229"/>
    </w:p>
    <w:p w14:paraId="5068FC22" w14:textId="170CC6A7" w:rsidR="00276094" w:rsidRPr="00276094" w:rsidRDefault="002D374B" w:rsidP="00541897">
      <w:pPr>
        <w:spacing w:before="24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30" w:name="dabmch_101"/>
      <w:r w:rsidRPr="00276094">
        <w:rPr>
          <w:rFonts w:ascii="Times New Roman" w:eastAsia="Times New Roman" w:hAnsi="Times New Roman" w:cs="Times New Roman"/>
          <w:color w:val="000000" w:themeColor="text1"/>
          <w:kern w:val="0"/>
          <w:sz w:val="26"/>
          <w:szCs w:val="26"/>
          <w14:ligatures w14:val="none"/>
        </w:rPr>
        <w:t xml:space="preserve">Shortly after the February 2024 interview, Seton left the country and has not been seen since. (Armana Dep. 046:146–47, Sinclair Dep. 018:392–93, Nolan Dep. 026:102–03.) The </w:t>
      </w:r>
      <w:r w:rsidR="00E31D46">
        <w:rPr>
          <w:rFonts w:ascii="Times New Roman" w:eastAsia="Times New Roman" w:hAnsi="Times New Roman" w:cs="Times New Roman"/>
          <w:color w:val="000000" w:themeColor="text1"/>
          <w:kern w:val="0"/>
          <w:sz w:val="26"/>
          <w:szCs w:val="26"/>
          <w14:ligatures w14:val="none"/>
        </w:rPr>
        <w:t>g</w:t>
      </w:r>
      <w:r w:rsidRPr="00276094">
        <w:rPr>
          <w:rFonts w:ascii="Times New Roman" w:eastAsia="Times New Roman" w:hAnsi="Times New Roman" w:cs="Times New Roman"/>
          <w:color w:val="000000" w:themeColor="text1"/>
          <w:kern w:val="0"/>
          <w:sz w:val="26"/>
          <w:szCs w:val="26"/>
          <w14:ligatures w14:val="none"/>
        </w:rPr>
        <w:t>overnment has not been able to confirm Seton’s exact location through any investigative efforts. (Sinclair Dep. 018:394–96</w:t>
      </w:r>
      <w:r w:rsidR="00344981">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Despite repeated and sustained efforts to relocate her, Seton is “gone and unreachable,” leaving Armana’s notes as the </w:t>
      </w:r>
      <w:r w:rsidRPr="00276094">
        <w:rPr>
          <w:rFonts w:ascii="Times New Roman" w:eastAsia="Times New Roman" w:hAnsi="Times New Roman" w:cs="Times New Roman"/>
          <w:b/>
          <w:bCs/>
          <w:i/>
          <w:iCs/>
          <w:color w:val="000000" w:themeColor="text1"/>
          <w:kern w:val="0"/>
          <w:sz w:val="26"/>
          <w:szCs w:val="26"/>
          <w14:ligatures w14:val="none"/>
        </w:rPr>
        <w:t>only place</w:t>
      </w:r>
      <w:r w:rsidRPr="00276094">
        <w:rPr>
          <w:rFonts w:ascii="Times New Roman" w:eastAsia="Times New Roman" w:hAnsi="Times New Roman" w:cs="Times New Roman"/>
          <w:color w:val="000000" w:themeColor="text1"/>
          <w:kern w:val="0"/>
          <w:sz w:val="26"/>
          <w:szCs w:val="26"/>
          <w14:ligatures w14:val="none"/>
        </w:rPr>
        <w:t xml:space="preserve"> that account still exists. (Armana Dep. 047:150–59</w:t>
      </w:r>
      <w:r w:rsidR="00E31D46">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 164–68.) </w:t>
      </w:r>
      <w:r w:rsidRPr="00276094">
        <w:rPr>
          <w:rFonts w:ascii="Times New Roman" w:eastAsia="Times New Roman" w:hAnsi="Times New Roman" w:cs="Times New Roman"/>
          <w:color w:val="000000" w:themeColor="text1"/>
          <w:kern w:val="0"/>
          <w:sz w:val="26"/>
          <w:szCs w:val="26"/>
          <w:shd w:val="clear" w:color="auto" w:fill="FCFCFC"/>
          <w14:ligatures w14:val="none"/>
        </w:rPr>
        <w:t>This circumstance alone supports production because Seton is no longer available.</w:t>
      </w:r>
      <w:bookmarkEnd w:id="230"/>
    </w:p>
    <w:p w14:paraId="669D89BA" w14:textId="77777777" w:rsidR="00276094" w:rsidRPr="00276094" w:rsidRDefault="002D374B" w:rsidP="00541897">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31" w:name="dabmch_102"/>
      <w:r w:rsidRPr="00276094">
        <w:rPr>
          <w:rFonts w:ascii="Times New Roman" w:eastAsia="Times New Roman" w:hAnsi="Times New Roman" w:cs="Times New Roman"/>
          <w:color w:val="000000" w:themeColor="text1"/>
          <w:kern w:val="0"/>
          <w:sz w:val="26"/>
          <w:szCs w:val="26"/>
          <w:shd w:val="clear" w:color="auto" w:fill="FCFCFC"/>
          <w14:ligatures w14:val="none"/>
        </w:rPr>
        <w:t xml:space="preserve">Beyond Seton’s unavailability, locating her required substantial time and effort. </w:t>
      </w:r>
      <w:r w:rsidRPr="00276094">
        <w:rPr>
          <w:rFonts w:ascii="Times New Roman" w:eastAsia="Times New Roman" w:hAnsi="Times New Roman" w:cs="Times New Roman"/>
          <w:color w:val="000000" w:themeColor="text1"/>
          <w:kern w:val="0"/>
          <w:sz w:val="26"/>
          <w:szCs w:val="26"/>
          <w14:ligatures w14:val="none"/>
        </w:rPr>
        <w:t>Armana described Seton as being “very” hard to find, explaining that it took “real time and real effort” and that he “had to work at it.” (</w:t>
      </w:r>
      <w:r w:rsidRPr="00276094">
        <w:rPr>
          <w:rFonts w:ascii="Times New Roman" w:eastAsia="Times New Roman" w:hAnsi="Times New Roman" w:cs="Times New Roman"/>
          <w:i/>
          <w:iCs/>
          <w:color w:val="000000" w:themeColor="text1"/>
          <w:kern w:val="0"/>
          <w:sz w:val="26"/>
          <w:szCs w:val="26"/>
          <w14:ligatures w14:val="none"/>
        </w:rPr>
        <w:t>Id</w:t>
      </w:r>
      <w:r w:rsidRPr="00276094">
        <w:rPr>
          <w:rFonts w:ascii="Times New Roman" w:eastAsia="Times New Roman" w:hAnsi="Times New Roman" w:cs="Times New Roman"/>
          <w:color w:val="000000" w:themeColor="text1"/>
          <w:kern w:val="0"/>
          <w:sz w:val="26"/>
          <w:szCs w:val="26"/>
          <w14:ligatures w14:val="none"/>
        </w:rPr>
        <w:t>. 044:67–68, 78–79.)  Seton’s disappearance is not the only obstacle. Recreating the same investigative information through other means would impose an extraordinarily disproportionate burden. </w:t>
      </w:r>
      <w:bookmarkEnd w:id="231"/>
    </w:p>
    <w:p w14:paraId="44B99B8E" w14:textId="03672431" w:rsidR="00276094" w:rsidRPr="00276094" w:rsidRDefault="002D374B" w:rsidP="00DB2E5F">
      <w:pPr>
        <w:spacing w:after="200" w:line="480" w:lineRule="auto"/>
        <w:ind w:firstLine="720"/>
        <w:jc w:val="both"/>
        <w:rPr>
          <w:rFonts w:ascii="Times New Roman" w:eastAsia="Times New Roman" w:hAnsi="Times New Roman" w:cs="Times New Roman"/>
          <w:b/>
          <w:bCs/>
          <w:color w:val="000000" w:themeColor="text1"/>
          <w:kern w:val="0"/>
          <w:sz w:val="26"/>
          <w:szCs w:val="26"/>
          <w14:ligatures w14:val="none"/>
        </w:rPr>
      </w:pPr>
      <w:bookmarkStart w:id="232" w:name="dabmch_103"/>
      <w:r w:rsidRPr="00276094">
        <w:rPr>
          <w:rFonts w:ascii="Times New Roman" w:eastAsia="Times New Roman" w:hAnsi="Times New Roman" w:cs="Times New Roman"/>
          <w:color w:val="000000" w:themeColor="text1"/>
          <w:kern w:val="0"/>
          <w:sz w:val="26"/>
          <w:szCs w:val="26"/>
          <w14:ligatures w14:val="none"/>
        </w:rPr>
        <w:t>That burden has only grown with time. Seton has now been missing for more than two years, and even Armana</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s renewed efforts to locate her, despite his experience, familiarity with the investigation, and prior success in finding her, come up completely empty. (Armana Dep. 047:150–59.) If the defense investigator who successfully located her once, cannot find her again, the Government, starting from scratch, faces an even greater burden in attempting to do so.  </w:t>
      </w:r>
      <w:bookmarkEnd w:id="232"/>
    </w:p>
    <w:p w14:paraId="1F918183" w14:textId="538D6B48" w:rsidR="00276094" w:rsidRPr="004030BB" w:rsidRDefault="002D374B" w:rsidP="004030BB">
      <w:pPr>
        <w:pStyle w:val="Heading3"/>
        <w:numPr>
          <w:ilvl w:val="0"/>
          <w:numId w:val="33"/>
        </w:numPr>
        <w:rPr>
          <w:rFonts w:ascii="Times New Roman" w:eastAsia="Times New Roman" w:hAnsi="Times New Roman" w:cs="Times New Roman"/>
          <w:b/>
          <w:bCs/>
          <w:i/>
          <w:iCs/>
          <w:color w:val="000000" w:themeColor="text1"/>
          <w:sz w:val="26"/>
          <w:szCs w:val="26"/>
        </w:rPr>
      </w:pPr>
      <w:bookmarkStart w:id="233" w:name="dabmch_104"/>
      <w:bookmarkStart w:id="234" w:name="_Toc239155245"/>
      <w:r w:rsidRPr="004030BB">
        <w:rPr>
          <w:rFonts w:ascii="Times New Roman" w:eastAsia="Times New Roman" w:hAnsi="Times New Roman" w:cs="Times New Roman"/>
          <w:b/>
          <w:bCs/>
          <w:i/>
          <w:iCs/>
          <w:color w:val="000000" w:themeColor="text1"/>
          <w:sz w:val="26"/>
          <w:szCs w:val="26"/>
        </w:rPr>
        <w:lastRenderedPageBreak/>
        <w:t xml:space="preserve">No </w:t>
      </w:r>
      <w:r w:rsidR="00541897" w:rsidRPr="004030BB">
        <w:rPr>
          <w:rFonts w:ascii="Times New Roman" w:eastAsia="Times New Roman" w:hAnsi="Times New Roman" w:cs="Times New Roman"/>
          <w:b/>
          <w:bCs/>
          <w:i/>
          <w:iCs/>
          <w:color w:val="000000" w:themeColor="text1"/>
          <w:sz w:val="26"/>
          <w:szCs w:val="26"/>
        </w:rPr>
        <w:t>O</w:t>
      </w:r>
      <w:r w:rsidRPr="004030BB">
        <w:rPr>
          <w:rFonts w:ascii="Times New Roman" w:eastAsia="Times New Roman" w:hAnsi="Times New Roman" w:cs="Times New Roman"/>
          <w:b/>
          <w:bCs/>
          <w:i/>
          <w:iCs/>
          <w:color w:val="000000" w:themeColor="text1"/>
          <w:sz w:val="26"/>
          <w:szCs w:val="26"/>
        </w:rPr>
        <w:t xml:space="preserve">ther </w:t>
      </w:r>
      <w:r w:rsidR="00541897" w:rsidRPr="004030BB">
        <w:rPr>
          <w:rFonts w:ascii="Times New Roman" w:eastAsia="Times New Roman" w:hAnsi="Times New Roman" w:cs="Times New Roman"/>
          <w:b/>
          <w:bCs/>
          <w:i/>
          <w:iCs/>
          <w:color w:val="000000" w:themeColor="text1"/>
          <w:sz w:val="26"/>
          <w:szCs w:val="26"/>
        </w:rPr>
        <w:t>W</w:t>
      </w:r>
      <w:r w:rsidRPr="004030BB">
        <w:rPr>
          <w:rFonts w:ascii="Times New Roman" w:eastAsia="Times New Roman" w:hAnsi="Times New Roman" w:cs="Times New Roman"/>
          <w:b/>
          <w:bCs/>
          <w:i/>
          <w:iCs/>
          <w:color w:val="000000" w:themeColor="text1"/>
          <w:sz w:val="26"/>
          <w:szCs w:val="26"/>
        </w:rPr>
        <w:t xml:space="preserve">itness, </w:t>
      </w:r>
      <w:r w:rsidR="00541897" w:rsidRPr="004030BB">
        <w:rPr>
          <w:rFonts w:ascii="Times New Roman" w:eastAsia="Times New Roman" w:hAnsi="Times New Roman" w:cs="Times New Roman"/>
          <w:b/>
          <w:bCs/>
          <w:i/>
          <w:iCs/>
          <w:color w:val="000000" w:themeColor="text1"/>
          <w:sz w:val="26"/>
          <w:szCs w:val="26"/>
        </w:rPr>
        <w:t>D</w:t>
      </w:r>
      <w:r w:rsidRPr="004030BB">
        <w:rPr>
          <w:rFonts w:ascii="Times New Roman" w:eastAsia="Times New Roman" w:hAnsi="Times New Roman" w:cs="Times New Roman"/>
          <w:b/>
          <w:bCs/>
          <w:i/>
          <w:iCs/>
          <w:color w:val="000000" w:themeColor="text1"/>
          <w:sz w:val="26"/>
          <w:szCs w:val="26"/>
        </w:rPr>
        <w:t xml:space="preserve">ocument, or </w:t>
      </w:r>
      <w:r w:rsidR="00541897" w:rsidRPr="004030BB">
        <w:rPr>
          <w:rFonts w:ascii="Times New Roman" w:eastAsia="Times New Roman" w:hAnsi="Times New Roman" w:cs="Times New Roman"/>
          <w:b/>
          <w:bCs/>
          <w:i/>
          <w:iCs/>
          <w:color w:val="000000" w:themeColor="text1"/>
          <w:sz w:val="26"/>
          <w:szCs w:val="26"/>
        </w:rPr>
        <w:t>S</w:t>
      </w:r>
      <w:r w:rsidRPr="004030BB">
        <w:rPr>
          <w:rFonts w:ascii="Times New Roman" w:eastAsia="Times New Roman" w:hAnsi="Times New Roman" w:cs="Times New Roman"/>
          <w:b/>
          <w:bCs/>
          <w:i/>
          <w:iCs/>
          <w:color w:val="000000" w:themeColor="text1"/>
          <w:sz w:val="26"/>
          <w:szCs w:val="26"/>
        </w:rPr>
        <w:t xml:space="preserve">ource </w:t>
      </w:r>
      <w:r w:rsidR="00541897" w:rsidRPr="004030BB">
        <w:rPr>
          <w:rFonts w:ascii="Times New Roman" w:eastAsia="Times New Roman" w:hAnsi="Times New Roman" w:cs="Times New Roman"/>
          <w:b/>
          <w:bCs/>
          <w:i/>
          <w:iCs/>
          <w:color w:val="000000" w:themeColor="text1"/>
          <w:sz w:val="26"/>
          <w:szCs w:val="26"/>
        </w:rPr>
        <w:t>C</w:t>
      </w:r>
      <w:r w:rsidRPr="004030BB">
        <w:rPr>
          <w:rFonts w:ascii="Times New Roman" w:eastAsia="Times New Roman" w:hAnsi="Times New Roman" w:cs="Times New Roman"/>
          <w:b/>
          <w:bCs/>
          <w:i/>
          <w:iCs/>
          <w:color w:val="000000" w:themeColor="text1"/>
          <w:sz w:val="26"/>
          <w:szCs w:val="26"/>
        </w:rPr>
        <w:t xml:space="preserve">ontains the </w:t>
      </w:r>
      <w:r w:rsidR="00541897" w:rsidRPr="004030BB">
        <w:rPr>
          <w:rFonts w:ascii="Times New Roman" w:eastAsia="Times New Roman" w:hAnsi="Times New Roman" w:cs="Times New Roman"/>
          <w:b/>
          <w:bCs/>
          <w:i/>
          <w:iCs/>
          <w:color w:val="000000" w:themeColor="text1"/>
          <w:sz w:val="26"/>
          <w:szCs w:val="26"/>
        </w:rPr>
        <w:t>I</w:t>
      </w:r>
      <w:r w:rsidRPr="004030BB">
        <w:rPr>
          <w:rFonts w:ascii="Times New Roman" w:eastAsia="Times New Roman" w:hAnsi="Times New Roman" w:cs="Times New Roman"/>
          <w:b/>
          <w:bCs/>
          <w:i/>
          <w:iCs/>
          <w:color w:val="000000" w:themeColor="text1"/>
          <w:sz w:val="26"/>
          <w:szCs w:val="26"/>
        </w:rPr>
        <w:t xml:space="preserve">nformation Seton </w:t>
      </w:r>
      <w:r w:rsidR="00541897" w:rsidRPr="004030BB">
        <w:rPr>
          <w:rFonts w:ascii="Times New Roman" w:eastAsia="Times New Roman" w:hAnsi="Times New Roman" w:cs="Times New Roman"/>
          <w:b/>
          <w:bCs/>
          <w:i/>
          <w:iCs/>
          <w:color w:val="000000" w:themeColor="text1"/>
          <w:sz w:val="26"/>
          <w:szCs w:val="26"/>
        </w:rPr>
        <w:t>T</w:t>
      </w:r>
      <w:r w:rsidRPr="004030BB">
        <w:rPr>
          <w:rFonts w:ascii="Times New Roman" w:eastAsia="Times New Roman" w:hAnsi="Times New Roman" w:cs="Times New Roman"/>
          <w:b/>
          <w:bCs/>
          <w:i/>
          <w:iCs/>
          <w:color w:val="000000" w:themeColor="text1"/>
          <w:sz w:val="26"/>
          <w:szCs w:val="26"/>
        </w:rPr>
        <w:t>old Armana</w:t>
      </w:r>
      <w:bookmarkEnd w:id="233"/>
      <w:bookmarkEnd w:id="234"/>
    </w:p>
    <w:p w14:paraId="2C2239C9" w14:textId="527BA668" w:rsidR="00276094" w:rsidRPr="00DB2E5F" w:rsidRDefault="002D374B" w:rsidP="00D51215">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35" w:name="dabmch_105"/>
      <w:r w:rsidRPr="00276094">
        <w:rPr>
          <w:rFonts w:ascii="Times New Roman" w:eastAsia="Times New Roman" w:hAnsi="Times New Roman" w:cs="Times New Roman"/>
          <w:i/>
          <w:iCs/>
          <w:color w:val="000000" w:themeColor="text1"/>
          <w:kern w:val="0"/>
          <w:sz w:val="26"/>
          <w:szCs w:val="26"/>
          <w14:ligatures w14:val="none"/>
        </w:rPr>
        <w:t>Hickman</w:t>
      </w:r>
      <w:r w:rsidRPr="00DB2E5F">
        <w:rPr>
          <w:rFonts w:ascii="Times New Roman" w:eastAsia="Times New Roman" w:hAnsi="Times New Roman" w:cs="Times New Roman"/>
          <w:color w:val="000000" w:themeColor="text1"/>
          <w:kern w:val="0"/>
          <w:sz w:val="26"/>
          <w:szCs w:val="26"/>
          <w14:ligatures w14:val="none"/>
        </w:rPr>
        <w:t xml:space="preserve"> instructs that fact work product that is unavailable elsewhere may be discovered if it could “give clues as to the existence or location of relevant facts.” </w:t>
      </w:r>
      <w:bookmarkStart w:id="236" w:name="dabmci_c38d0f138596401fa388fecfeb8cce8c"/>
      <w:r w:rsidRPr="00DB2E5F">
        <w:rPr>
          <w:rFonts w:ascii="Times New Roman" w:eastAsia="Times New Roman" w:hAnsi="Times New Roman" w:cs="Times New Roman"/>
          <w:color w:val="000000" w:themeColor="text1"/>
          <w:kern w:val="0"/>
          <w:sz w:val="26"/>
          <w:szCs w:val="26"/>
          <w14:ligatures w14:val="none"/>
        </w:rPr>
        <w:t>329 U.S. at 511</w:t>
      </w:r>
      <w:bookmarkStart w:id="237" w:name="dabmen_c38d0f138596401fa388fecfeb8cce8c"/>
      <w:bookmarkEnd w:id="236"/>
      <w:bookmarkEnd w:id="237"/>
      <w:r w:rsidRPr="00DB2E5F">
        <w:rPr>
          <w:rFonts w:ascii="Times New Roman" w:eastAsia="Times New Roman" w:hAnsi="Times New Roman" w:cs="Times New Roman"/>
          <w:color w:val="000000" w:themeColor="text1"/>
          <w:kern w:val="0"/>
          <w:sz w:val="26"/>
          <w:szCs w:val="26"/>
          <w14:ligatures w14:val="none"/>
        </w:rPr>
        <w:t>. Here, there is unique, relevant information that the Government never had the opportunity to obtain on its own, and that cannot be obtained through normal discovery procedures. Documents already in the Government’s possession reveal only where the money goes in and out. (Ex. 9</w:t>
      </w:r>
      <w:r w:rsidR="00E31D46">
        <w:rPr>
          <w:rFonts w:ascii="Times New Roman" w:eastAsia="Times New Roman" w:hAnsi="Times New Roman" w:cs="Times New Roman"/>
          <w:color w:val="000000" w:themeColor="text1"/>
          <w:kern w:val="0"/>
          <w:sz w:val="26"/>
          <w:szCs w:val="26"/>
          <w14:ligatures w14:val="none"/>
        </w:rPr>
        <w:t>,</w:t>
      </w:r>
      <w:r w:rsidRPr="00DB2E5F">
        <w:rPr>
          <w:rFonts w:ascii="Times New Roman" w:eastAsia="Times New Roman" w:hAnsi="Times New Roman" w:cs="Times New Roman"/>
          <w:color w:val="000000" w:themeColor="text1"/>
          <w:kern w:val="0"/>
          <w:sz w:val="26"/>
          <w:szCs w:val="26"/>
          <w14:ligatures w14:val="none"/>
        </w:rPr>
        <w:t xml:space="preserve"> Sinclair Dep. 017:354–70.) Even with attempts to obtain such information, no other evidence reveals information about ownership of the Coastal account. (Sinclair Dep. 017:371–74, Nolan Dep. 026:111–027:125.) Bank records show what happened to the money, but they cannot show what Coastal's principals knew or intended when they moved it.</w:t>
      </w:r>
      <w:bookmarkEnd w:id="235"/>
    </w:p>
    <w:p w14:paraId="380F9A87" w14:textId="7CEC2074" w:rsidR="00276094" w:rsidRPr="00DB2E5F" w:rsidRDefault="002D374B" w:rsidP="000564BD">
      <w:pPr>
        <w:spacing w:after="0" w:line="480" w:lineRule="auto"/>
        <w:ind w:firstLine="720"/>
        <w:jc w:val="both"/>
        <w:rPr>
          <w:rFonts w:ascii="Times New Roman" w:hAnsi="Times New Roman" w:cs="Times New Roman"/>
          <w:color w:val="000000" w:themeColor="text1"/>
          <w:sz w:val="26"/>
          <w:szCs w:val="26"/>
        </w:rPr>
      </w:pPr>
      <w:bookmarkStart w:id="238" w:name="dabmch_106"/>
      <w:r w:rsidRPr="00DB2E5F">
        <w:rPr>
          <w:rFonts w:ascii="Times New Roman" w:hAnsi="Times New Roman" w:cs="Times New Roman"/>
          <w:color w:val="000000" w:themeColor="text1"/>
          <w:sz w:val="26"/>
          <w:szCs w:val="26"/>
        </w:rPr>
        <w:t>Seton</w:t>
      </w:r>
      <w:r w:rsidR="004030BB">
        <w:rPr>
          <w:rFonts w:ascii="Times New Roman" w:hAnsi="Times New Roman" w:cs="Times New Roman"/>
          <w:color w:val="000000" w:themeColor="text1"/>
          <w:sz w:val="26"/>
          <w:szCs w:val="26"/>
        </w:rPr>
        <w:t>’</w:t>
      </w:r>
      <w:r w:rsidRPr="00DB2E5F">
        <w:rPr>
          <w:rFonts w:ascii="Times New Roman" w:hAnsi="Times New Roman" w:cs="Times New Roman"/>
          <w:color w:val="000000" w:themeColor="text1"/>
          <w:sz w:val="26"/>
          <w:szCs w:val="26"/>
        </w:rPr>
        <w:t xml:space="preserve">s account, per Armana, covering </w:t>
      </w:r>
      <w:r w:rsidR="00541897">
        <w:rPr>
          <w:rFonts w:ascii="Times New Roman" w:hAnsi="Times New Roman" w:cs="Times New Roman"/>
          <w:color w:val="000000" w:themeColor="text1"/>
          <w:sz w:val="26"/>
          <w:szCs w:val="26"/>
        </w:rPr>
        <w:t>“</w:t>
      </w:r>
      <w:r w:rsidRPr="00DB2E5F">
        <w:rPr>
          <w:rFonts w:ascii="Times New Roman" w:hAnsi="Times New Roman" w:cs="Times New Roman"/>
          <w:color w:val="000000" w:themeColor="text1"/>
          <w:sz w:val="26"/>
          <w:szCs w:val="26"/>
        </w:rPr>
        <w:t>how Coastal actually operated, the people connected to the company, and how the money moved,</w:t>
      </w:r>
      <w:r w:rsidR="00541897">
        <w:rPr>
          <w:rFonts w:ascii="Times New Roman" w:hAnsi="Times New Roman" w:cs="Times New Roman"/>
          <w:color w:val="000000" w:themeColor="text1"/>
          <w:sz w:val="26"/>
          <w:szCs w:val="26"/>
        </w:rPr>
        <w:t>”</w:t>
      </w:r>
      <w:r w:rsidRPr="00DB2E5F">
        <w:rPr>
          <w:rFonts w:ascii="Times New Roman" w:hAnsi="Times New Roman" w:cs="Times New Roman"/>
          <w:color w:val="000000" w:themeColor="text1"/>
          <w:sz w:val="26"/>
          <w:szCs w:val="26"/>
        </w:rPr>
        <w:t xml:space="preserve"> goes to the operational reality that distinguishes a legitimate vendor relationship from a knowing concealment scheme under </w:t>
      </w:r>
      <w:bookmarkStart w:id="239" w:name="dabmci_c279c8466304496c84ad25dbbff13cb8"/>
      <w:r w:rsidRPr="00DB2E5F">
        <w:rPr>
          <w:rFonts w:ascii="Times New Roman" w:hAnsi="Times New Roman" w:cs="Times New Roman"/>
          <w:color w:val="000000" w:themeColor="text1"/>
          <w:sz w:val="26"/>
          <w:szCs w:val="26"/>
        </w:rPr>
        <w:t>18 U.S.C. § 1956</w:t>
      </w:r>
      <w:bookmarkStart w:id="240" w:name="dabmen_c279c8466304496c84ad25dbbff13cb8"/>
      <w:bookmarkEnd w:id="239"/>
      <w:bookmarkEnd w:id="240"/>
      <w:r w:rsidRPr="00DB2E5F">
        <w:rPr>
          <w:rFonts w:ascii="Times New Roman" w:hAnsi="Times New Roman" w:cs="Times New Roman"/>
          <w:color w:val="000000" w:themeColor="text1"/>
          <w:sz w:val="26"/>
          <w:szCs w:val="26"/>
        </w:rPr>
        <w:t>. (Armana Dep. 046:132–34.) According to Armana, no other person can provide the information Seton told them, and the other individuals connected to Coastal are</w:t>
      </w:r>
      <w:r w:rsidR="00541897">
        <w:rPr>
          <w:rFonts w:ascii="Times New Roman" w:hAnsi="Times New Roman" w:cs="Times New Roman"/>
          <w:color w:val="000000" w:themeColor="text1"/>
          <w:sz w:val="26"/>
          <w:szCs w:val="26"/>
        </w:rPr>
        <w:t xml:space="preserve"> “</w:t>
      </w:r>
      <w:r w:rsidRPr="00DB2E5F">
        <w:rPr>
          <w:rFonts w:ascii="Times New Roman" w:hAnsi="Times New Roman" w:cs="Times New Roman"/>
          <w:color w:val="000000" w:themeColor="text1"/>
          <w:sz w:val="26"/>
          <w:szCs w:val="26"/>
        </w:rPr>
        <w:t>dead ends.</w:t>
      </w:r>
      <w:r w:rsidR="00541897">
        <w:rPr>
          <w:rFonts w:ascii="Times New Roman" w:hAnsi="Times New Roman" w:cs="Times New Roman"/>
          <w:color w:val="000000" w:themeColor="text1"/>
          <w:sz w:val="26"/>
          <w:szCs w:val="26"/>
        </w:rPr>
        <w:t>”</w:t>
      </w:r>
      <w:r w:rsidRPr="00DB2E5F">
        <w:rPr>
          <w:rFonts w:ascii="Times New Roman" w:hAnsi="Times New Roman" w:cs="Times New Roman"/>
          <w:color w:val="000000" w:themeColor="text1"/>
          <w:sz w:val="26"/>
          <w:szCs w:val="26"/>
        </w:rPr>
        <w:t xml:space="preserve"> (Id. 047:160–63.) Without testimony describing how Coastal actually functioned and who controlled it, the Government is left to infer knowledge and intent from financial records alone, proof that a prior review of this same evidence already found too thin to bring before a jury. (Sinclair Dep. 021:517–18, Nolan Dep. 027:155–60.</w:t>
      </w:r>
      <w:r w:rsidR="00592F3B">
        <w:rPr>
          <w:rFonts w:ascii="Times New Roman" w:hAnsi="Times New Roman" w:cs="Times New Roman"/>
          <w:color w:val="000000" w:themeColor="text1"/>
          <w:sz w:val="26"/>
          <w:szCs w:val="26"/>
        </w:rPr>
        <w:t>)</w:t>
      </w:r>
      <w:r w:rsidRPr="00DB2E5F">
        <w:rPr>
          <w:rFonts w:ascii="Times New Roman" w:hAnsi="Times New Roman" w:cs="Times New Roman"/>
          <w:color w:val="000000" w:themeColor="text1"/>
          <w:sz w:val="26"/>
          <w:szCs w:val="26"/>
        </w:rPr>
        <w:t xml:space="preserve"> As Armana stated, records only take you so far (Armana Dep. 045:88.) Knowledge and </w:t>
      </w:r>
      <w:r w:rsidRPr="00DB2E5F">
        <w:rPr>
          <w:rFonts w:ascii="Times New Roman" w:hAnsi="Times New Roman" w:cs="Times New Roman"/>
          <w:color w:val="000000" w:themeColor="text1"/>
          <w:sz w:val="26"/>
          <w:szCs w:val="26"/>
        </w:rPr>
        <w:lastRenderedPageBreak/>
        <w:t>concealment are state-of-mind elements that bank records alone cannot prove; only a person who understood how Coastal was actually run can speak to what those involved knew and intended.</w:t>
      </w:r>
      <w:bookmarkEnd w:id="238"/>
    </w:p>
    <w:p w14:paraId="49A803F6" w14:textId="332585D8" w:rsidR="00276094" w:rsidRPr="00DB2E5F" w:rsidRDefault="002D374B" w:rsidP="00D51215">
      <w:pPr>
        <w:pStyle w:val="Heading3"/>
        <w:numPr>
          <w:ilvl w:val="0"/>
          <w:numId w:val="26"/>
        </w:numPr>
        <w:spacing w:before="0" w:line="240" w:lineRule="auto"/>
        <w:jc w:val="both"/>
        <w:rPr>
          <w:rFonts w:ascii="Times New Roman" w:eastAsia="Times New Roman" w:hAnsi="Times New Roman" w:cs="Times New Roman"/>
          <w:b/>
          <w:bCs/>
          <w:color w:val="000000" w:themeColor="text1"/>
          <w:sz w:val="26"/>
          <w:szCs w:val="26"/>
        </w:rPr>
      </w:pPr>
      <w:bookmarkStart w:id="241" w:name="_Toc239113023"/>
      <w:bookmarkStart w:id="242" w:name="_Toc239149376"/>
      <w:bookmarkStart w:id="243" w:name="_Toc239155246"/>
      <w:bookmarkStart w:id="244" w:name="dabmch_107"/>
      <w:r w:rsidRPr="00DB2E5F">
        <w:rPr>
          <w:rFonts w:ascii="Times New Roman" w:eastAsia="Times New Roman" w:hAnsi="Times New Roman" w:cs="Times New Roman"/>
          <w:b/>
          <w:bCs/>
          <w:color w:val="000000" w:themeColor="text1"/>
          <w:sz w:val="26"/>
          <w:szCs w:val="26"/>
          <w:shd w:val="clear" w:color="auto" w:fill="FCFCFC"/>
        </w:rPr>
        <w:t xml:space="preserve">The Proper Remedy Is </w:t>
      </w:r>
      <w:r w:rsidR="004030BB">
        <w:rPr>
          <w:rFonts w:ascii="Times New Roman" w:eastAsia="Times New Roman" w:hAnsi="Times New Roman" w:cs="Times New Roman"/>
          <w:b/>
          <w:bCs/>
          <w:color w:val="000000" w:themeColor="text1"/>
          <w:sz w:val="26"/>
          <w:szCs w:val="26"/>
          <w:shd w:val="clear" w:color="auto" w:fill="FCFCFC"/>
        </w:rPr>
        <w:t xml:space="preserve">an </w:t>
      </w:r>
      <w:r w:rsidRPr="00DB2E5F">
        <w:rPr>
          <w:rFonts w:ascii="Times New Roman" w:eastAsia="Times New Roman" w:hAnsi="Times New Roman" w:cs="Times New Roman"/>
          <w:b/>
          <w:bCs/>
          <w:color w:val="000000" w:themeColor="text1"/>
          <w:sz w:val="26"/>
          <w:szCs w:val="26"/>
          <w:shd w:val="clear" w:color="auto" w:fill="FCFCFC"/>
        </w:rPr>
        <w:t>In Camera Review and Targeted Redaction, Not Quashing the Subpoena</w:t>
      </w:r>
      <w:bookmarkEnd w:id="241"/>
      <w:bookmarkEnd w:id="242"/>
      <w:bookmarkEnd w:id="243"/>
      <w:r w:rsidRPr="00DB2E5F">
        <w:rPr>
          <w:rFonts w:ascii="Times New Roman" w:eastAsia="Times New Roman" w:hAnsi="Times New Roman" w:cs="Times New Roman"/>
          <w:b/>
          <w:bCs/>
          <w:color w:val="000000" w:themeColor="text1"/>
          <w:sz w:val="26"/>
          <w:szCs w:val="26"/>
        </w:rPr>
        <w:t> </w:t>
      </w:r>
      <w:bookmarkEnd w:id="244"/>
    </w:p>
    <w:p w14:paraId="4DACC2D1" w14:textId="141A91F2" w:rsidR="00276094" w:rsidRPr="00276094" w:rsidRDefault="002D374B" w:rsidP="00541897">
      <w:pPr>
        <w:spacing w:before="12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45" w:name="dabmch_108"/>
      <w:r w:rsidRPr="00276094">
        <w:rPr>
          <w:rFonts w:ascii="Times New Roman" w:eastAsia="Times New Roman" w:hAnsi="Times New Roman" w:cs="Times New Roman"/>
          <w:color w:val="000000" w:themeColor="text1"/>
          <w:kern w:val="0"/>
          <w:sz w:val="26"/>
          <w:szCs w:val="26"/>
          <w14:ligatures w14:val="none"/>
        </w:rPr>
        <w:t xml:space="preserve">In ordering discovery of such materials when the required showing has been made, the court shall protect against disclosure of the mental impressions, conclusions, opinions or legal theories of an attorney or other representative of a party concerning the litigation. </w:t>
      </w:r>
      <w:bookmarkStart w:id="246" w:name="dabmci_d20e54587f5e4f168990746d92d9ac99"/>
      <w:r w:rsidRPr="00276094">
        <w:rPr>
          <w:rFonts w:ascii="Times New Roman" w:eastAsia="Times New Roman" w:hAnsi="Times New Roman" w:cs="Times New Roman"/>
          <w:i/>
          <w:iCs/>
          <w:color w:val="000000" w:themeColor="text1"/>
          <w:kern w:val="0"/>
          <w:sz w:val="26"/>
          <w:szCs w:val="26"/>
          <w14:ligatures w14:val="none"/>
        </w:rPr>
        <w:t>Upjohn Co. v. United States</w:t>
      </w:r>
      <w:r w:rsidRPr="00276094">
        <w:rPr>
          <w:rFonts w:ascii="Times New Roman" w:eastAsia="Times New Roman" w:hAnsi="Times New Roman" w:cs="Times New Roman"/>
          <w:color w:val="000000" w:themeColor="text1"/>
          <w:kern w:val="0"/>
          <w:sz w:val="26"/>
          <w:szCs w:val="26"/>
          <w14:ligatures w14:val="none"/>
        </w:rPr>
        <w:t>, 449 U.S. 383, 400 (1981)</w:t>
      </w:r>
      <w:bookmarkStart w:id="247" w:name="dabmen_d20e54587f5e4f168990746d92d9ac99"/>
      <w:bookmarkEnd w:id="246"/>
      <w:bookmarkEnd w:id="247"/>
      <w:r w:rsidRPr="00276094">
        <w:rPr>
          <w:rFonts w:ascii="Times New Roman" w:eastAsia="Times New Roman" w:hAnsi="Times New Roman" w:cs="Times New Roman"/>
          <w:color w:val="000000" w:themeColor="text1"/>
          <w:kern w:val="0"/>
          <w:sz w:val="26"/>
          <w:szCs w:val="26"/>
          <w14:ligatures w14:val="none"/>
        </w:rPr>
        <w:t xml:space="preserve"> (citing </w:t>
      </w:r>
      <w:bookmarkStart w:id="248" w:name="dabmci_cedaa0bab8f7419eb17bd98cc9f0bd80"/>
      <w:r w:rsidRPr="00276094">
        <w:rPr>
          <w:rFonts w:ascii="Times New Roman" w:eastAsia="Times New Roman" w:hAnsi="Times New Roman" w:cs="Times New Roman"/>
          <w:color w:val="000000" w:themeColor="text1"/>
          <w:kern w:val="0"/>
          <w:sz w:val="26"/>
          <w:szCs w:val="26"/>
          <w14:ligatures w14:val="none"/>
        </w:rPr>
        <w:t>Fed. R. Civ. P. 26</w:t>
      </w:r>
      <w:bookmarkStart w:id="249" w:name="dabmen_cedaa0bab8f7419eb17bd98cc9f0bd80"/>
      <w:bookmarkEnd w:id="248"/>
      <w:bookmarkEnd w:id="249"/>
      <w:r w:rsidRPr="00276094">
        <w:rPr>
          <w:rFonts w:ascii="Times New Roman" w:eastAsia="Times New Roman" w:hAnsi="Times New Roman" w:cs="Times New Roman"/>
          <w:color w:val="000000" w:themeColor="text1"/>
          <w:kern w:val="0"/>
          <w:sz w:val="26"/>
          <w:szCs w:val="26"/>
          <w14:ligatures w14:val="none"/>
        </w:rPr>
        <w:t>). Where a document contains both opinion and fact work product, the court must examine whether the factual matter may be disclosed without revealing the attorney</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s opinions. </w:t>
      </w:r>
      <w:bookmarkStart w:id="250" w:name="dabmci_6899e42fc7104ba994318b0f3c7819ed"/>
      <w:r w:rsidRPr="00276094">
        <w:rPr>
          <w:rFonts w:ascii="Times New Roman" w:eastAsia="Times New Roman" w:hAnsi="Times New Roman" w:cs="Times New Roman"/>
          <w:i/>
          <w:iCs/>
          <w:color w:val="000000" w:themeColor="text1"/>
          <w:kern w:val="0"/>
          <w:sz w:val="26"/>
          <w:szCs w:val="26"/>
          <w14:ligatures w14:val="none"/>
        </w:rPr>
        <w:t>F.T.C.,</w:t>
      </w:r>
      <w:r w:rsidRPr="00276094">
        <w:rPr>
          <w:rFonts w:ascii="Times New Roman" w:eastAsia="Times New Roman" w:hAnsi="Times New Roman" w:cs="Times New Roman"/>
          <w:color w:val="000000" w:themeColor="text1"/>
          <w:kern w:val="0"/>
          <w:sz w:val="26"/>
          <w:szCs w:val="26"/>
          <w14:ligatures w14:val="none"/>
        </w:rPr>
        <w:t xml:space="preserve"> 778 F.3d at 152</w:t>
      </w:r>
      <w:bookmarkStart w:id="251" w:name="dabmen_6899e42fc7104ba994318b0f3c7819ed"/>
      <w:bookmarkEnd w:id="250"/>
      <w:bookmarkEnd w:id="251"/>
      <w:r w:rsidRPr="00276094">
        <w:rPr>
          <w:rFonts w:ascii="Times New Roman" w:eastAsia="Times New Roman" w:hAnsi="Times New Roman" w:cs="Times New Roman"/>
          <w:color w:val="000000" w:themeColor="text1"/>
          <w:kern w:val="0"/>
          <w:sz w:val="26"/>
          <w:szCs w:val="26"/>
          <w14:ligatures w14:val="none"/>
        </w:rPr>
        <w:t xml:space="preserve">. The Court may order production of the factual content after redacting and logging any portions that include opinion work product, such as attorney notes or highlighting. </w:t>
      </w:r>
      <w:r w:rsidRPr="00276094">
        <w:rPr>
          <w:rFonts w:ascii="Times New Roman" w:eastAsia="Times New Roman" w:hAnsi="Times New Roman" w:cs="Times New Roman"/>
          <w:i/>
          <w:iCs/>
          <w:color w:val="000000" w:themeColor="text1"/>
          <w:kern w:val="0"/>
          <w:sz w:val="26"/>
          <w:szCs w:val="26"/>
          <w14:ligatures w14:val="none"/>
        </w:rPr>
        <w:t>See</w:t>
      </w:r>
      <w:r w:rsidRPr="00276094">
        <w:rPr>
          <w:rFonts w:ascii="Times New Roman" w:eastAsia="Times New Roman" w:hAnsi="Times New Roman" w:cs="Times New Roman"/>
          <w:color w:val="000000" w:themeColor="text1"/>
          <w:kern w:val="0"/>
          <w:sz w:val="26"/>
          <w:szCs w:val="26"/>
          <w14:ligatures w14:val="none"/>
        </w:rPr>
        <w:t xml:space="preserve"> </w:t>
      </w:r>
      <w:bookmarkStart w:id="252" w:name="dabmci_54fb830b874641faaf75457c2d37d362"/>
      <w:r w:rsidRPr="00276094">
        <w:rPr>
          <w:rFonts w:ascii="Times New Roman" w:eastAsia="Times New Roman" w:hAnsi="Times New Roman" w:cs="Times New Roman"/>
          <w:i/>
          <w:iCs/>
          <w:color w:val="000000" w:themeColor="text1"/>
          <w:kern w:val="0"/>
          <w:sz w:val="26"/>
          <w:szCs w:val="26"/>
          <w14:ligatures w14:val="none"/>
        </w:rPr>
        <w:t>F.T.C.</w:t>
      </w:r>
      <w:r w:rsidRPr="00276094">
        <w:rPr>
          <w:rFonts w:ascii="Times New Roman" w:eastAsia="Times New Roman" w:hAnsi="Times New Roman" w:cs="Times New Roman"/>
          <w:color w:val="000000" w:themeColor="text1"/>
          <w:kern w:val="0"/>
          <w:sz w:val="26"/>
          <w:szCs w:val="26"/>
          <w14:ligatures w14:val="none"/>
        </w:rPr>
        <w:t>, 778 F.3d at 158</w:t>
      </w:r>
      <w:bookmarkStart w:id="253" w:name="dabmen_54fb830b874641faaf75457c2d37d362"/>
      <w:bookmarkEnd w:id="252"/>
      <w:bookmarkEnd w:id="253"/>
      <w:r w:rsidRPr="00276094">
        <w:rPr>
          <w:rFonts w:ascii="Times New Roman" w:eastAsia="Times New Roman" w:hAnsi="Times New Roman" w:cs="Times New Roman"/>
          <w:color w:val="000000" w:themeColor="text1"/>
          <w:kern w:val="0"/>
          <w:sz w:val="26"/>
          <w:szCs w:val="26"/>
          <w14:ligatures w14:val="none"/>
        </w:rPr>
        <w:t xml:space="preserve"> (remanding for the district court to determine whether documents could be produced in full or in redacted form as fact work product). An in camera review ensures that the production of documents is no broader than necessary considering all the competing interests. </w:t>
      </w:r>
      <w:r w:rsidRPr="00276094">
        <w:rPr>
          <w:rFonts w:ascii="Times New Roman" w:eastAsia="Times New Roman" w:hAnsi="Times New Roman" w:cs="Times New Roman"/>
          <w:i/>
          <w:iCs/>
          <w:color w:val="000000" w:themeColor="text1"/>
          <w:kern w:val="0"/>
          <w:sz w:val="26"/>
          <w:szCs w:val="26"/>
          <w14:ligatures w14:val="none"/>
        </w:rPr>
        <w:t xml:space="preserve">See </w:t>
      </w:r>
      <w:bookmarkStart w:id="254" w:name="dabmci_6439da31ca0442ad8909b1f642b59076"/>
      <w:r w:rsidRPr="00276094">
        <w:rPr>
          <w:rFonts w:ascii="Times New Roman" w:eastAsia="Times New Roman" w:hAnsi="Times New Roman" w:cs="Times New Roman"/>
          <w:i/>
          <w:iCs/>
          <w:color w:val="000000" w:themeColor="text1"/>
          <w:kern w:val="0"/>
          <w:sz w:val="26"/>
          <w:szCs w:val="26"/>
          <w14:ligatures w14:val="none"/>
        </w:rPr>
        <w:t>R.K. v. Ramirez</w:t>
      </w:r>
      <w:r w:rsidRPr="00276094">
        <w:rPr>
          <w:rFonts w:ascii="Times New Roman" w:eastAsia="Times New Roman" w:hAnsi="Times New Roman" w:cs="Times New Roman"/>
          <w:color w:val="000000" w:themeColor="text1"/>
          <w:kern w:val="0"/>
          <w:sz w:val="26"/>
          <w:szCs w:val="26"/>
          <w14:ligatures w14:val="none"/>
        </w:rPr>
        <w:t>, 887 S.W.2d 836, 843 (Tex. 1994)</w:t>
      </w:r>
      <w:bookmarkStart w:id="255" w:name="dabmen_6439da31ca0442ad8909b1f642b59076"/>
      <w:bookmarkEnd w:id="254"/>
      <w:bookmarkEnd w:id="255"/>
      <w:r w:rsidRPr="00276094">
        <w:rPr>
          <w:rFonts w:ascii="Times New Roman" w:eastAsia="Times New Roman" w:hAnsi="Times New Roman" w:cs="Times New Roman"/>
          <w:color w:val="000000" w:themeColor="text1"/>
          <w:kern w:val="0"/>
          <w:sz w:val="26"/>
          <w:szCs w:val="26"/>
          <w14:ligatures w14:val="none"/>
        </w:rPr>
        <w:t>.</w:t>
      </w:r>
      <w:bookmarkEnd w:id="245"/>
    </w:p>
    <w:p w14:paraId="77BAAC95" w14:textId="77777777" w:rsidR="00276094" w:rsidRPr="00276094" w:rsidRDefault="002D374B" w:rsidP="00DB2E5F">
      <w:pPr>
        <w:spacing w:before="120"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56" w:name="dabmch_109"/>
      <w:r w:rsidRPr="00276094">
        <w:rPr>
          <w:rFonts w:ascii="Times New Roman" w:eastAsia="Times New Roman" w:hAnsi="Times New Roman" w:cs="Times New Roman"/>
          <w:color w:val="000000" w:themeColor="text1"/>
          <w:kern w:val="0"/>
          <w:sz w:val="26"/>
          <w:szCs w:val="26"/>
          <w14:ligatures w14:val="none"/>
        </w:rPr>
        <w:t xml:space="preserve">Here, </w:t>
      </w:r>
      <w:r w:rsidRPr="00276094">
        <w:rPr>
          <w:rFonts w:ascii="Times New Roman" w:eastAsia="Times New Roman" w:hAnsi="Times New Roman" w:cs="Times New Roman"/>
          <w:color w:val="000000" w:themeColor="text1"/>
          <w:kern w:val="0"/>
          <w:sz w:val="26"/>
          <w:szCs w:val="26"/>
          <w:shd w:val="clear" w:color="auto" w:fill="FCFCFC"/>
          <w14:ligatures w14:val="none"/>
        </w:rPr>
        <w:t xml:space="preserve">the record indicates factual and opinion content are readily separable as recorded, </w:t>
      </w:r>
      <w:r w:rsidRPr="00276094">
        <w:rPr>
          <w:rFonts w:ascii="Times New Roman" w:eastAsia="Times New Roman" w:hAnsi="Times New Roman" w:cs="Times New Roman"/>
          <w:color w:val="000000" w:themeColor="text1"/>
          <w:kern w:val="0"/>
          <w:sz w:val="26"/>
          <w:szCs w:val="26"/>
          <w14:ligatures w14:val="none"/>
        </w:rPr>
        <w:t xml:space="preserve">making Exhibit 21 well-suited to this severability analysis.  The body of the Exhibit records the factual account, while the red text annotations reflect Armana’s own thoughts, follow-ups, questions, and theories. (Armana Dep. 046:140–143.) The Exhibit is </w:t>
      </w:r>
      <w:r w:rsidRPr="00276094">
        <w:rPr>
          <w:rFonts w:ascii="Times New Roman" w:eastAsia="Times New Roman" w:hAnsi="Times New Roman" w:cs="Times New Roman"/>
          <w:color w:val="000000" w:themeColor="text1"/>
          <w:kern w:val="0"/>
          <w:sz w:val="26"/>
          <w:szCs w:val="26"/>
          <w14:ligatures w14:val="none"/>
        </w:rPr>
        <w:lastRenderedPageBreak/>
        <w:t>also already filed under seal, and the Government has not seen its contents. (Stip. 8.) Accordingly, the Court can review the Exhibit in camera, order production of the factual body, and redact the red-text annotations, thereby protecting Armana’s mental-impressions, without withholding otherwise severable factual material.</w:t>
      </w:r>
      <w:bookmarkEnd w:id="256"/>
    </w:p>
    <w:p w14:paraId="4F7BB61B" w14:textId="4B1689BB" w:rsidR="00276094" w:rsidRPr="00276094" w:rsidRDefault="002D374B" w:rsidP="004030BB">
      <w:pPr>
        <w:spacing w:after="0" w:line="480" w:lineRule="auto"/>
        <w:ind w:firstLine="720"/>
        <w:jc w:val="both"/>
        <w:rPr>
          <w:rFonts w:ascii="Times New Roman" w:eastAsia="Times New Roman" w:hAnsi="Times New Roman" w:cs="Times New Roman"/>
          <w:color w:val="000000" w:themeColor="text1"/>
          <w:kern w:val="0"/>
          <w:sz w:val="26"/>
          <w:szCs w:val="26"/>
          <w14:ligatures w14:val="none"/>
        </w:rPr>
      </w:pPr>
      <w:bookmarkStart w:id="257" w:name="dabmch_110"/>
      <w:r w:rsidRPr="00276094">
        <w:rPr>
          <w:rFonts w:ascii="Times New Roman" w:eastAsia="Times New Roman" w:hAnsi="Times New Roman" w:cs="Times New Roman"/>
          <w:color w:val="000000" w:themeColor="text1"/>
          <w:kern w:val="0"/>
          <w:sz w:val="26"/>
          <w:szCs w:val="26"/>
          <w14:ligatures w14:val="none"/>
        </w:rPr>
        <w:t>For these reasons, the Defendant</w:t>
      </w:r>
      <w:r w:rsidR="00541897">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 xml:space="preserve">s Motion to Quash the Subpoena Duces Tecum should be denied, and in the alternative, </w:t>
      </w:r>
      <w:r w:rsidR="00541897">
        <w:rPr>
          <w:rFonts w:ascii="Times New Roman" w:eastAsia="Times New Roman" w:hAnsi="Times New Roman" w:cs="Times New Roman"/>
          <w:color w:val="000000" w:themeColor="text1"/>
          <w:kern w:val="0"/>
          <w:sz w:val="26"/>
          <w:szCs w:val="26"/>
          <w14:ligatures w14:val="none"/>
        </w:rPr>
        <w:t xml:space="preserve">the </w:t>
      </w:r>
      <w:r w:rsidRPr="00276094">
        <w:rPr>
          <w:rFonts w:ascii="Times New Roman" w:eastAsia="Times New Roman" w:hAnsi="Times New Roman" w:cs="Times New Roman"/>
          <w:color w:val="000000" w:themeColor="text1"/>
          <w:kern w:val="0"/>
          <w:sz w:val="26"/>
          <w:szCs w:val="26"/>
          <w14:ligatures w14:val="none"/>
        </w:rPr>
        <w:t>Government respectfully requests that the Court order in camera review of Exhibit 21 with production of Sierra Seton</w:t>
      </w:r>
      <w:r w:rsidR="000564BD">
        <w:rPr>
          <w:rFonts w:ascii="Times New Roman" w:eastAsia="Times New Roman" w:hAnsi="Times New Roman" w:cs="Times New Roman"/>
          <w:color w:val="000000" w:themeColor="text1"/>
          <w:kern w:val="0"/>
          <w:sz w:val="26"/>
          <w:szCs w:val="26"/>
          <w14:ligatures w14:val="none"/>
        </w:rPr>
        <w:t>’</w:t>
      </w:r>
      <w:r w:rsidRPr="00276094">
        <w:rPr>
          <w:rFonts w:ascii="Times New Roman" w:eastAsia="Times New Roman" w:hAnsi="Times New Roman" w:cs="Times New Roman"/>
          <w:color w:val="000000" w:themeColor="text1"/>
          <w:kern w:val="0"/>
          <w:sz w:val="26"/>
          <w:szCs w:val="26"/>
          <w14:ligatures w14:val="none"/>
        </w:rPr>
        <w:t>s factual account.</w:t>
      </w:r>
      <w:bookmarkEnd w:id="257"/>
    </w:p>
    <w:p w14:paraId="58060BE3" w14:textId="6B620CCB" w:rsidR="004E3C49" w:rsidRPr="004E3C49" w:rsidRDefault="002D374B" w:rsidP="000564BD">
      <w:pPr>
        <w:pStyle w:val="Heading1"/>
        <w:spacing w:before="0"/>
        <w:jc w:val="center"/>
        <w:rPr>
          <w:rFonts w:ascii="Times New Roman" w:eastAsia="Times New Roman" w:hAnsi="Times New Roman" w:cs="Times New Roman"/>
          <w:b/>
          <w:bCs/>
          <w:color w:val="000000" w:themeColor="text1"/>
          <w:sz w:val="26"/>
          <w:szCs w:val="26"/>
        </w:rPr>
      </w:pPr>
      <w:bookmarkStart w:id="258" w:name="_Toc207634482"/>
      <w:bookmarkStart w:id="259" w:name="_Toc239113024"/>
      <w:bookmarkStart w:id="260" w:name="_Toc239149377"/>
      <w:bookmarkStart w:id="261" w:name="dabmch_111"/>
      <w:bookmarkStart w:id="262" w:name="_Toc239155247"/>
      <w:r w:rsidRPr="004E3C49">
        <w:rPr>
          <w:rFonts w:ascii="Times New Roman" w:eastAsia="Times New Roman" w:hAnsi="Times New Roman" w:cs="Times New Roman"/>
          <w:b/>
          <w:bCs/>
          <w:color w:val="000000" w:themeColor="text1"/>
          <w:sz w:val="26"/>
          <w:szCs w:val="26"/>
        </w:rPr>
        <w:t>C</w:t>
      </w:r>
      <w:bookmarkEnd w:id="258"/>
      <w:bookmarkEnd w:id="259"/>
      <w:bookmarkEnd w:id="260"/>
      <w:bookmarkEnd w:id="261"/>
      <w:r w:rsidR="000564BD">
        <w:rPr>
          <w:rFonts w:ascii="Times New Roman" w:eastAsia="Times New Roman" w:hAnsi="Times New Roman" w:cs="Times New Roman"/>
          <w:b/>
          <w:bCs/>
          <w:color w:val="000000" w:themeColor="text1"/>
          <w:sz w:val="26"/>
          <w:szCs w:val="26"/>
        </w:rPr>
        <w:t>ONCLUSION</w:t>
      </w:r>
      <w:bookmarkEnd w:id="262"/>
    </w:p>
    <w:p w14:paraId="7B02FABF" w14:textId="77777777" w:rsidR="004E3C49" w:rsidRPr="004E3C49" w:rsidRDefault="002D374B" w:rsidP="000564BD">
      <w:pPr>
        <w:spacing w:before="240" w:after="0" w:line="480" w:lineRule="auto"/>
        <w:jc w:val="both"/>
        <w:rPr>
          <w:rFonts w:ascii="Times New Roman" w:eastAsia="Times New Roman" w:hAnsi="Times New Roman" w:cs="Times New Roman"/>
          <w:color w:val="000000" w:themeColor="text1"/>
          <w:kern w:val="0"/>
          <w:sz w:val="26"/>
          <w:szCs w:val="26"/>
          <w14:ligatures w14:val="none"/>
        </w:rPr>
      </w:pPr>
      <w:bookmarkStart w:id="263" w:name="dabmch_112"/>
      <w:r w:rsidRPr="004E3C49">
        <w:rPr>
          <w:rFonts w:ascii="Times New Roman" w:eastAsia="Times New Roman" w:hAnsi="Times New Roman" w:cs="Times New Roman"/>
          <w:color w:val="000000" w:themeColor="text1"/>
          <w:kern w:val="0"/>
          <w:sz w:val="26"/>
          <w:szCs w:val="26"/>
          <w14:ligatures w14:val="none"/>
        </w:rPr>
        <w:tab/>
        <w:t>For the foregoing reasons, the United States respectfully requests that this Court deny Defendant’s Motion to Suppress and Motion to Quash the United States’ Subpoena.</w:t>
      </w:r>
      <w:bookmarkEnd w:id="263"/>
    </w:p>
    <w:p w14:paraId="3C5A782F" w14:textId="77777777" w:rsidR="004E3C49" w:rsidRPr="004E3C49" w:rsidRDefault="004E3C49" w:rsidP="004E3C49">
      <w:pPr>
        <w:spacing w:after="0" w:line="480" w:lineRule="auto"/>
        <w:jc w:val="both"/>
        <w:rPr>
          <w:rFonts w:ascii="Times New Roman" w:eastAsia="Times New Roman" w:hAnsi="Times New Roman" w:cs="Times New Roman"/>
          <w:color w:val="000000" w:themeColor="text1"/>
          <w:kern w:val="0"/>
          <w:sz w:val="26"/>
          <w:szCs w:val="26"/>
          <w14:ligatures w14:val="none"/>
        </w:rPr>
      </w:pPr>
    </w:p>
    <w:p w14:paraId="75C17438" w14:textId="77777777" w:rsidR="004E3C49" w:rsidRPr="004E3C49" w:rsidRDefault="002D374B" w:rsidP="004E3C49">
      <w:pPr>
        <w:spacing w:after="0" w:line="480" w:lineRule="auto"/>
        <w:jc w:val="both"/>
        <w:rPr>
          <w:rFonts w:ascii="Times New Roman" w:eastAsia="Times New Roman" w:hAnsi="Times New Roman" w:cs="Times New Roman"/>
          <w:color w:val="000000" w:themeColor="text1"/>
          <w:kern w:val="0"/>
          <w:sz w:val="26"/>
          <w:szCs w:val="26"/>
          <w14:ligatures w14:val="none"/>
        </w:rPr>
      </w:pPr>
      <w:bookmarkStart w:id="264" w:name="dabmch_113"/>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t>Respectfully Submitted,</w:t>
      </w:r>
      <w:bookmarkEnd w:id="264"/>
    </w:p>
    <w:p w14:paraId="0742BA3F" w14:textId="77777777" w:rsidR="004030BB" w:rsidRDefault="002D374B" w:rsidP="004030BB">
      <w:pPr>
        <w:spacing w:after="0" w:line="240" w:lineRule="auto"/>
        <w:jc w:val="both"/>
        <w:rPr>
          <w:rFonts w:ascii="Times New Roman" w:eastAsia="Times New Roman" w:hAnsi="Times New Roman" w:cs="Times New Roman"/>
          <w:color w:val="000000" w:themeColor="text1"/>
          <w:kern w:val="0"/>
          <w:sz w:val="26"/>
          <w:szCs w:val="26"/>
          <w14:ligatures w14:val="none"/>
        </w:rPr>
      </w:pPr>
      <w:bookmarkStart w:id="265" w:name="dabmch_114"/>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14:ligatures w14:val="none"/>
        </w:rPr>
        <w:tab/>
      </w:r>
      <w:r w:rsidRPr="004E3C49">
        <w:rPr>
          <w:rFonts w:ascii="Times New Roman" w:eastAsia="Times New Roman" w:hAnsi="Times New Roman" w:cs="Times New Roman"/>
          <w:color w:val="000000" w:themeColor="text1"/>
          <w:kern w:val="0"/>
          <w:sz w:val="26"/>
          <w:szCs w:val="26"/>
          <w:u w:val="single"/>
          <w14:ligatures w14:val="none"/>
        </w:rPr>
        <w:t>/s/ Team 314</w:t>
      </w:r>
      <w:r w:rsidRPr="004E3C49">
        <w:rPr>
          <w:rFonts w:ascii="Times New Roman" w:eastAsia="Times New Roman" w:hAnsi="Times New Roman" w:cs="Times New Roman"/>
          <w:color w:val="000000" w:themeColor="text1"/>
          <w:kern w:val="0"/>
          <w:sz w:val="26"/>
          <w:szCs w:val="26"/>
          <w:u w:val="single"/>
          <w14:ligatures w14:val="none"/>
        </w:rPr>
        <w:tab/>
      </w:r>
      <w:r w:rsidRPr="004E3C49">
        <w:rPr>
          <w:rFonts w:ascii="Times New Roman" w:eastAsia="Times New Roman" w:hAnsi="Times New Roman" w:cs="Times New Roman"/>
          <w:color w:val="000000" w:themeColor="text1"/>
          <w:kern w:val="0"/>
          <w:sz w:val="26"/>
          <w:szCs w:val="26"/>
          <w:u w:val="single"/>
          <w14:ligatures w14:val="none"/>
        </w:rPr>
        <w:tab/>
      </w:r>
      <w:r w:rsidRPr="004E3C49">
        <w:rPr>
          <w:rFonts w:ascii="Times New Roman" w:eastAsia="Times New Roman" w:hAnsi="Times New Roman" w:cs="Times New Roman"/>
          <w:color w:val="000000" w:themeColor="text1"/>
          <w:kern w:val="0"/>
          <w:sz w:val="26"/>
          <w:szCs w:val="26"/>
          <w:u w:val="single"/>
          <w14:ligatures w14:val="none"/>
        </w:rPr>
        <w:tab/>
      </w:r>
      <w:r w:rsidRPr="004E3C49">
        <w:rPr>
          <w:rFonts w:ascii="Times New Roman" w:eastAsia="Times New Roman" w:hAnsi="Times New Roman" w:cs="Times New Roman"/>
          <w:color w:val="000000" w:themeColor="text1"/>
          <w:kern w:val="0"/>
          <w:sz w:val="26"/>
          <w:szCs w:val="26"/>
          <w:u w:val="single"/>
          <w14:ligatures w14:val="none"/>
        </w:rPr>
        <w:tab/>
      </w:r>
      <w:bookmarkStart w:id="266" w:name="dabmch_115"/>
      <w:bookmarkEnd w:id="265"/>
    </w:p>
    <w:p w14:paraId="70A6676E" w14:textId="4DEC8F4F" w:rsidR="004E3C49" w:rsidRPr="004030BB" w:rsidRDefault="002D374B" w:rsidP="004030BB">
      <w:pPr>
        <w:spacing w:after="0" w:line="240" w:lineRule="auto"/>
        <w:ind w:left="5760"/>
        <w:jc w:val="both"/>
        <w:rPr>
          <w:rFonts w:ascii="Times New Roman" w:eastAsia="Times New Roman" w:hAnsi="Times New Roman" w:cs="Times New Roman"/>
          <w:color w:val="000000" w:themeColor="text1"/>
          <w:kern w:val="0"/>
          <w:sz w:val="26"/>
          <w:szCs w:val="26"/>
          <w14:ligatures w14:val="none"/>
        </w:rPr>
      </w:pPr>
      <w:r w:rsidRPr="000564BD">
        <w:rPr>
          <w:rFonts w:ascii="Times New Roman" w:eastAsia="Times New Roman" w:hAnsi="Times New Roman" w:cs="Times New Roman"/>
          <w:i/>
          <w:iCs/>
          <w:color w:val="000000" w:themeColor="text1"/>
          <w:kern w:val="0"/>
          <w:sz w:val="26"/>
          <w:szCs w:val="26"/>
          <w14:ligatures w14:val="none"/>
        </w:rPr>
        <w:t xml:space="preserve">Attorneys for the United States </w:t>
      </w:r>
      <w:bookmarkEnd w:id="266"/>
    </w:p>
    <w:p w14:paraId="3ADAE464" w14:textId="77777777" w:rsidR="00276094" w:rsidRPr="00276094" w:rsidRDefault="00276094" w:rsidP="00DB2E5F">
      <w:pPr>
        <w:spacing w:after="0" w:line="480" w:lineRule="auto"/>
        <w:jc w:val="both"/>
        <w:rPr>
          <w:rFonts w:ascii="Times New Roman" w:eastAsia="Times New Roman" w:hAnsi="Times New Roman" w:cs="Times New Roman"/>
          <w:color w:val="000000" w:themeColor="text1"/>
          <w:kern w:val="0"/>
          <w:sz w:val="26"/>
          <w:szCs w:val="26"/>
          <w14:ligatures w14:val="none"/>
        </w:rPr>
      </w:pPr>
    </w:p>
    <w:p w14:paraId="7A78ACDC" w14:textId="77777777" w:rsidR="00276094" w:rsidRPr="00DB2E5F" w:rsidRDefault="00276094" w:rsidP="00DB2E5F">
      <w:pPr>
        <w:spacing w:line="480" w:lineRule="auto"/>
        <w:jc w:val="both"/>
        <w:rPr>
          <w:rFonts w:ascii="Times New Roman" w:hAnsi="Times New Roman" w:cs="Times New Roman"/>
          <w:color w:val="000000" w:themeColor="text1"/>
          <w:sz w:val="26"/>
          <w:szCs w:val="26"/>
        </w:rPr>
      </w:pPr>
    </w:p>
    <w:sectPr w:rsidR="00276094" w:rsidRPr="00DB2E5F" w:rsidSect="00225F24">
      <w:foot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10350" w14:textId="77777777" w:rsidR="00CF24B1" w:rsidRDefault="00CF24B1">
      <w:pPr>
        <w:spacing w:after="0" w:line="240" w:lineRule="auto"/>
      </w:pPr>
      <w:r>
        <w:separator/>
      </w:r>
    </w:p>
  </w:endnote>
  <w:endnote w:type="continuationSeparator" w:id="0">
    <w:p w14:paraId="19E7AFF7" w14:textId="77777777" w:rsidR="00CF24B1" w:rsidRDefault="00CF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dabmch_0" w:displacedByCustomXml="next"/>
  <w:sdt>
    <w:sdtPr>
      <w:rPr>
        <w:rStyle w:val="PageNumber"/>
      </w:rPr>
      <w:id w:val="2134438629"/>
      <w:docPartObj>
        <w:docPartGallery w:val="Page Numbers (Bottom of Page)"/>
        <w:docPartUnique/>
      </w:docPartObj>
    </w:sdtPr>
    <w:sdtEndPr>
      <w:rPr>
        <w:rStyle w:val="PageNumber"/>
      </w:rPr>
    </w:sdtEndPr>
    <w:sdtContent>
      <w:p w14:paraId="244B109A" w14:textId="77777777" w:rsidR="00375296" w:rsidRDefault="002D374B" w:rsidP="0085585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bookmarkEnd w:id="9" w:displacedByCustomXml="next"/>
    </w:sdtContent>
  </w:sdt>
  <w:p w14:paraId="6EC8A488" w14:textId="77777777" w:rsidR="00375296" w:rsidRDefault="003752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2000147116"/>
      <w:docPartObj>
        <w:docPartGallery w:val="Page Numbers (Bottom of Page)"/>
        <w:docPartUnique/>
      </w:docPartObj>
    </w:sdtPr>
    <w:sdtEndPr>
      <w:rPr>
        <w:noProof/>
      </w:rPr>
    </w:sdtEndPr>
    <w:sdtContent>
      <w:p w14:paraId="0D38AE96" w14:textId="79AEA279" w:rsidR="00A52F4B" w:rsidRPr="00A52F4B" w:rsidRDefault="00A52F4B">
        <w:pPr>
          <w:pStyle w:val="Footer"/>
          <w:jc w:val="center"/>
          <w:rPr>
            <w:sz w:val="26"/>
            <w:szCs w:val="26"/>
          </w:rPr>
        </w:pPr>
        <w:r w:rsidRPr="00A52F4B">
          <w:rPr>
            <w:rFonts w:ascii="Times New Roman" w:hAnsi="Times New Roman" w:cs="Times New Roman"/>
            <w:sz w:val="26"/>
            <w:szCs w:val="26"/>
          </w:rPr>
          <w:fldChar w:fldCharType="begin"/>
        </w:r>
        <w:r w:rsidRPr="00A52F4B">
          <w:rPr>
            <w:rFonts w:ascii="Times New Roman" w:hAnsi="Times New Roman" w:cs="Times New Roman"/>
            <w:sz w:val="26"/>
            <w:szCs w:val="26"/>
          </w:rPr>
          <w:instrText xml:space="preserve"> PAGE   \* MERGEFORMAT </w:instrText>
        </w:r>
        <w:r w:rsidRPr="00A52F4B">
          <w:rPr>
            <w:rFonts w:ascii="Times New Roman" w:hAnsi="Times New Roman" w:cs="Times New Roman"/>
            <w:sz w:val="26"/>
            <w:szCs w:val="26"/>
          </w:rPr>
          <w:fldChar w:fldCharType="separate"/>
        </w:r>
        <w:r w:rsidRPr="00A52F4B">
          <w:rPr>
            <w:rFonts w:ascii="Times New Roman" w:hAnsi="Times New Roman" w:cs="Times New Roman"/>
            <w:noProof/>
            <w:sz w:val="26"/>
            <w:szCs w:val="26"/>
          </w:rPr>
          <w:t>2</w:t>
        </w:r>
        <w:r w:rsidRPr="00A52F4B">
          <w:rPr>
            <w:rFonts w:ascii="Times New Roman" w:hAnsi="Times New Roman" w:cs="Times New Roman"/>
            <w:noProof/>
            <w:sz w:val="26"/>
            <w:szCs w:val="26"/>
          </w:rPr>
          <w:fldChar w:fldCharType="end"/>
        </w:r>
      </w:p>
    </w:sdtContent>
  </w:sdt>
  <w:p w14:paraId="55964410" w14:textId="77777777" w:rsidR="00DB2E5F" w:rsidRDefault="00DB2E5F" w:rsidP="00DB2E5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dabmch_19" w:displacedByCustomXml="next"/>
  <w:sdt>
    <w:sdtPr>
      <w:rPr>
        <w:rStyle w:val="PageNumber"/>
      </w:rPr>
      <w:id w:val="-451099207"/>
      <w:docPartObj>
        <w:docPartGallery w:val="Page Numbers (Bottom of Page)"/>
        <w:docPartUnique/>
      </w:docPartObj>
    </w:sdtPr>
    <w:sdtEndPr>
      <w:rPr>
        <w:rStyle w:val="PageNumber"/>
      </w:rPr>
    </w:sdtEndPr>
    <w:sdtContent>
      <w:p w14:paraId="14DF80D2" w14:textId="77777777" w:rsidR="00E72FD9" w:rsidRDefault="002D374B" w:rsidP="00DF3B8E">
        <w:pPr>
          <w:pStyle w:val="Footer"/>
          <w:framePr w:wrap="none" w:vAnchor="text" w:hAnchor="margin" w:xAlign="center" w:y="1"/>
          <w:rPr>
            <w:rStyle w:val="PageNumber"/>
          </w:rPr>
        </w:pPr>
        <w:r w:rsidRPr="00E72FD9">
          <w:rPr>
            <w:rStyle w:val="PageNumber"/>
            <w:rFonts w:ascii="Times New Roman" w:hAnsi="Times New Roman" w:cs="Times New Roman"/>
            <w:sz w:val="26"/>
            <w:szCs w:val="26"/>
          </w:rPr>
          <w:fldChar w:fldCharType="begin"/>
        </w:r>
        <w:r w:rsidRPr="00E72FD9">
          <w:rPr>
            <w:rStyle w:val="PageNumber"/>
            <w:rFonts w:ascii="Times New Roman" w:hAnsi="Times New Roman" w:cs="Times New Roman"/>
            <w:sz w:val="26"/>
            <w:szCs w:val="26"/>
          </w:rPr>
          <w:instrText xml:space="preserve"> PAGE </w:instrText>
        </w:r>
        <w:r w:rsidRPr="00E72FD9">
          <w:rPr>
            <w:rStyle w:val="PageNumber"/>
            <w:rFonts w:ascii="Times New Roman" w:hAnsi="Times New Roman" w:cs="Times New Roman"/>
            <w:sz w:val="26"/>
            <w:szCs w:val="26"/>
          </w:rPr>
          <w:fldChar w:fldCharType="separate"/>
        </w:r>
        <w:r w:rsidRPr="00E72FD9">
          <w:rPr>
            <w:rStyle w:val="PageNumber"/>
            <w:rFonts w:ascii="Times New Roman" w:hAnsi="Times New Roman" w:cs="Times New Roman"/>
            <w:sz w:val="26"/>
            <w:szCs w:val="26"/>
          </w:rPr>
          <w:t>i</w:t>
        </w:r>
        <w:r w:rsidRPr="00E72FD9">
          <w:rPr>
            <w:rStyle w:val="PageNumber"/>
            <w:rFonts w:ascii="Times New Roman" w:hAnsi="Times New Roman" w:cs="Times New Roman"/>
            <w:sz w:val="26"/>
            <w:szCs w:val="26"/>
          </w:rPr>
          <w:fldChar w:fldCharType="end"/>
        </w:r>
      </w:p>
      <w:bookmarkEnd w:id="18" w:displacedByCustomXml="next"/>
    </w:sdtContent>
  </w:sdt>
  <w:p w14:paraId="5D5DC431" w14:textId="77777777" w:rsidR="00E72FD9" w:rsidRDefault="00E72FD9" w:rsidP="00225F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67" w:name="dabmch_37" w:displacedByCustomXml="next"/>
  <w:sdt>
    <w:sdtPr>
      <w:rPr>
        <w:rStyle w:val="PageNumber"/>
        <w:rFonts w:ascii="Times New Roman" w:hAnsi="Times New Roman" w:cs="Times New Roman"/>
        <w:sz w:val="26"/>
        <w:szCs w:val="26"/>
      </w:rPr>
      <w:id w:val="1926379714"/>
      <w:docPartObj>
        <w:docPartGallery w:val="Page Numbers (Bottom of Page)"/>
        <w:docPartUnique/>
      </w:docPartObj>
    </w:sdtPr>
    <w:sdtEndPr>
      <w:rPr>
        <w:rStyle w:val="PageNumber"/>
      </w:rPr>
    </w:sdtEndPr>
    <w:sdtContent>
      <w:p w14:paraId="36D0323C" w14:textId="77777777" w:rsidR="00225F24" w:rsidRPr="00A52F4B" w:rsidRDefault="002D374B" w:rsidP="00855858">
        <w:pPr>
          <w:pStyle w:val="Footer"/>
          <w:framePr w:wrap="none" w:vAnchor="text" w:hAnchor="margin" w:xAlign="center" w:y="1"/>
          <w:rPr>
            <w:rStyle w:val="PageNumber"/>
            <w:rFonts w:ascii="Times New Roman" w:hAnsi="Times New Roman" w:cs="Times New Roman"/>
            <w:sz w:val="26"/>
            <w:szCs w:val="26"/>
          </w:rPr>
        </w:pPr>
        <w:r w:rsidRPr="00A52F4B">
          <w:rPr>
            <w:rStyle w:val="PageNumber"/>
            <w:rFonts w:ascii="Times New Roman" w:hAnsi="Times New Roman" w:cs="Times New Roman"/>
            <w:sz w:val="26"/>
            <w:szCs w:val="26"/>
          </w:rPr>
          <w:fldChar w:fldCharType="begin"/>
        </w:r>
        <w:r w:rsidRPr="00A52F4B">
          <w:rPr>
            <w:rStyle w:val="PageNumber"/>
            <w:rFonts w:ascii="Times New Roman" w:hAnsi="Times New Roman" w:cs="Times New Roman"/>
            <w:sz w:val="26"/>
            <w:szCs w:val="26"/>
          </w:rPr>
          <w:instrText xml:space="preserve"> PAGE </w:instrText>
        </w:r>
        <w:r w:rsidRPr="00A52F4B">
          <w:rPr>
            <w:rStyle w:val="PageNumber"/>
            <w:rFonts w:ascii="Times New Roman" w:hAnsi="Times New Roman" w:cs="Times New Roman"/>
            <w:sz w:val="26"/>
            <w:szCs w:val="26"/>
          </w:rPr>
          <w:fldChar w:fldCharType="separate"/>
        </w:r>
        <w:r w:rsidRPr="00A52F4B">
          <w:rPr>
            <w:rStyle w:val="PageNumber"/>
            <w:rFonts w:ascii="Times New Roman" w:hAnsi="Times New Roman" w:cs="Times New Roman"/>
            <w:sz w:val="26"/>
            <w:szCs w:val="26"/>
          </w:rPr>
          <w:t>1</w:t>
        </w:r>
        <w:r w:rsidRPr="00A52F4B">
          <w:rPr>
            <w:rStyle w:val="PageNumber"/>
            <w:rFonts w:ascii="Times New Roman" w:hAnsi="Times New Roman" w:cs="Times New Roman"/>
            <w:sz w:val="26"/>
            <w:szCs w:val="26"/>
          </w:rPr>
          <w:fldChar w:fldCharType="end"/>
        </w:r>
      </w:p>
      <w:bookmarkEnd w:id="267" w:displacedByCustomXml="next"/>
    </w:sdtContent>
  </w:sdt>
  <w:p w14:paraId="6C23E6F6" w14:textId="77777777" w:rsidR="00225F24" w:rsidRDefault="00225F24" w:rsidP="00225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C1359" w14:textId="77777777" w:rsidR="00CF24B1" w:rsidRDefault="00CF24B1">
      <w:pPr>
        <w:spacing w:after="0" w:line="240" w:lineRule="auto"/>
      </w:pPr>
      <w:r>
        <w:separator/>
      </w:r>
    </w:p>
  </w:footnote>
  <w:footnote w:type="continuationSeparator" w:id="0">
    <w:p w14:paraId="5F3F6233" w14:textId="77777777" w:rsidR="00CF24B1" w:rsidRDefault="00CF2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D7F"/>
    <w:multiLevelType w:val="hybridMultilevel"/>
    <w:tmpl w:val="702A8D7C"/>
    <w:lvl w:ilvl="0" w:tplc="C3F8877A">
      <w:start w:val="1"/>
      <w:numFmt w:val="upperLetter"/>
      <w:lvlText w:val="%1."/>
      <w:lvlJc w:val="left"/>
      <w:pPr>
        <w:ind w:left="720" w:hanging="360"/>
      </w:pPr>
    </w:lvl>
    <w:lvl w:ilvl="1" w:tplc="F9586C3A" w:tentative="1">
      <w:start w:val="1"/>
      <w:numFmt w:val="lowerLetter"/>
      <w:lvlText w:val="%2."/>
      <w:lvlJc w:val="left"/>
      <w:pPr>
        <w:ind w:left="1440" w:hanging="360"/>
      </w:pPr>
    </w:lvl>
    <w:lvl w:ilvl="2" w:tplc="6F021258" w:tentative="1">
      <w:start w:val="1"/>
      <w:numFmt w:val="lowerRoman"/>
      <w:lvlText w:val="%3."/>
      <w:lvlJc w:val="right"/>
      <w:pPr>
        <w:ind w:left="2160" w:hanging="180"/>
      </w:pPr>
    </w:lvl>
    <w:lvl w:ilvl="3" w:tplc="3DEE50A6" w:tentative="1">
      <w:start w:val="1"/>
      <w:numFmt w:val="decimal"/>
      <w:lvlText w:val="%4."/>
      <w:lvlJc w:val="left"/>
      <w:pPr>
        <w:ind w:left="2880" w:hanging="360"/>
      </w:pPr>
    </w:lvl>
    <w:lvl w:ilvl="4" w:tplc="4C56CC9A" w:tentative="1">
      <w:start w:val="1"/>
      <w:numFmt w:val="lowerLetter"/>
      <w:lvlText w:val="%5."/>
      <w:lvlJc w:val="left"/>
      <w:pPr>
        <w:ind w:left="3600" w:hanging="360"/>
      </w:pPr>
    </w:lvl>
    <w:lvl w:ilvl="5" w:tplc="A9BC0E86" w:tentative="1">
      <w:start w:val="1"/>
      <w:numFmt w:val="lowerRoman"/>
      <w:lvlText w:val="%6."/>
      <w:lvlJc w:val="right"/>
      <w:pPr>
        <w:ind w:left="4320" w:hanging="180"/>
      </w:pPr>
    </w:lvl>
    <w:lvl w:ilvl="6" w:tplc="7326DDF2" w:tentative="1">
      <w:start w:val="1"/>
      <w:numFmt w:val="decimal"/>
      <w:lvlText w:val="%7."/>
      <w:lvlJc w:val="left"/>
      <w:pPr>
        <w:ind w:left="5040" w:hanging="360"/>
      </w:pPr>
    </w:lvl>
    <w:lvl w:ilvl="7" w:tplc="4878A7C8" w:tentative="1">
      <w:start w:val="1"/>
      <w:numFmt w:val="lowerLetter"/>
      <w:lvlText w:val="%8."/>
      <w:lvlJc w:val="left"/>
      <w:pPr>
        <w:ind w:left="5760" w:hanging="360"/>
      </w:pPr>
    </w:lvl>
    <w:lvl w:ilvl="8" w:tplc="32542098" w:tentative="1">
      <w:start w:val="1"/>
      <w:numFmt w:val="lowerRoman"/>
      <w:lvlText w:val="%9."/>
      <w:lvlJc w:val="right"/>
      <w:pPr>
        <w:ind w:left="6480" w:hanging="180"/>
      </w:pPr>
    </w:lvl>
  </w:abstractNum>
  <w:abstractNum w:abstractNumId="1" w15:restartNumberingAfterBreak="0">
    <w:nsid w:val="03E058A0"/>
    <w:multiLevelType w:val="hybridMultilevel"/>
    <w:tmpl w:val="C5025144"/>
    <w:lvl w:ilvl="0" w:tplc="41F4975E">
      <w:start w:val="1"/>
      <w:numFmt w:val="upperRoman"/>
      <w:lvlText w:val="%1."/>
      <w:lvlJc w:val="left"/>
      <w:pPr>
        <w:ind w:left="1080" w:hanging="720"/>
      </w:pPr>
      <w:rPr>
        <w:rFonts w:hint="default"/>
      </w:rPr>
    </w:lvl>
    <w:lvl w:ilvl="1" w:tplc="958488F0" w:tentative="1">
      <w:start w:val="1"/>
      <w:numFmt w:val="lowerLetter"/>
      <w:lvlText w:val="%2."/>
      <w:lvlJc w:val="left"/>
      <w:pPr>
        <w:ind w:left="1440" w:hanging="360"/>
      </w:pPr>
    </w:lvl>
    <w:lvl w:ilvl="2" w:tplc="F7B69F7E" w:tentative="1">
      <w:start w:val="1"/>
      <w:numFmt w:val="lowerRoman"/>
      <w:lvlText w:val="%3."/>
      <w:lvlJc w:val="right"/>
      <w:pPr>
        <w:ind w:left="2160" w:hanging="180"/>
      </w:pPr>
    </w:lvl>
    <w:lvl w:ilvl="3" w:tplc="0EE6FA04" w:tentative="1">
      <w:start w:val="1"/>
      <w:numFmt w:val="decimal"/>
      <w:lvlText w:val="%4."/>
      <w:lvlJc w:val="left"/>
      <w:pPr>
        <w:ind w:left="2880" w:hanging="360"/>
      </w:pPr>
    </w:lvl>
    <w:lvl w:ilvl="4" w:tplc="ED486A7E" w:tentative="1">
      <w:start w:val="1"/>
      <w:numFmt w:val="lowerLetter"/>
      <w:lvlText w:val="%5."/>
      <w:lvlJc w:val="left"/>
      <w:pPr>
        <w:ind w:left="3600" w:hanging="360"/>
      </w:pPr>
    </w:lvl>
    <w:lvl w:ilvl="5" w:tplc="BD668180" w:tentative="1">
      <w:start w:val="1"/>
      <w:numFmt w:val="lowerRoman"/>
      <w:lvlText w:val="%6."/>
      <w:lvlJc w:val="right"/>
      <w:pPr>
        <w:ind w:left="4320" w:hanging="180"/>
      </w:pPr>
    </w:lvl>
    <w:lvl w:ilvl="6" w:tplc="A1AA93FE" w:tentative="1">
      <w:start w:val="1"/>
      <w:numFmt w:val="decimal"/>
      <w:lvlText w:val="%7."/>
      <w:lvlJc w:val="left"/>
      <w:pPr>
        <w:ind w:left="5040" w:hanging="360"/>
      </w:pPr>
    </w:lvl>
    <w:lvl w:ilvl="7" w:tplc="F6966CB4" w:tentative="1">
      <w:start w:val="1"/>
      <w:numFmt w:val="lowerLetter"/>
      <w:lvlText w:val="%8."/>
      <w:lvlJc w:val="left"/>
      <w:pPr>
        <w:ind w:left="5760" w:hanging="360"/>
      </w:pPr>
    </w:lvl>
    <w:lvl w:ilvl="8" w:tplc="8D86EDD8" w:tentative="1">
      <w:start w:val="1"/>
      <w:numFmt w:val="lowerRoman"/>
      <w:lvlText w:val="%9."/>
      <w:lvlJc w:val="right"/>
      <w:pPr>
        <w:ind w:left="6480" w:hanging="180"/>
      </w:pPr>
    </w:lvl>
  </w:abstractNum>
  <w:abstractNum w:abstractNumId="2" w15:restartNumberingAfterBreak="0">
    <w:nsid w:val="04BF5330"/>
    <w:multiLevelType w:val="hybridMultilevel"/>
    <w:tmpl w:val="602E622C"/>
    <w:lvl w:ilvl="0" w:tplc="9A60D16A">
      <w:start w:val="2"/>
      <w:numFmt w:val="upperLetter"/>
      <w:lvlText w:val="%1."/>
      <w:lvlJc w:val="left"/>
      <w:pPr>
        <w:tabs>
          <w:tab w:val="num" w:pos="720"/>
        </w:tabs>
        <w:ind w:left="720" w:hanging="360"/>
      </w:pPr>
    </w:lvl>
    <w:lvl w:ilvl="1" w:tplc="79981CE4" w:tentative="1">
      <w:start w:val="1"/>
      <w:numFmt w:val="decimal"/>
      <w:lvlText w:val="%2."/>
      <w:lvlJc w:val="left"/>
      <w:pPr>
        <w:tabs>
          <w:tab w:val="num" w:pos="1440"/>
        </w:tabs>
        <w:ind w:left="1440" w:hanging="360"/>
      </w:pPr>
    </w:lvl>
    <w:lvl w:ilvl="2" w:tplc="C8AAB392" w:tentative="1">
      <w:start w:val="1"/>
      <w:numFmt w:val="decimal"/>
      <w:lvlText w:val="%3."/>
      <w:lvlJc w:val="left"/>
      <w:pPr>
        <w:tabs>
          <w:tab w:val="num" w:pos="2160"/>
        </w:tabs>
        <w:ind w:left="2160" w:hanging="360"/>
      </w:pPr>
    </w:lvl>
    <w:lvl w:ilvl="3" w:tplc="9814BCD2" w:tentative="1">
      <w:start w:val="1"/>
      <w:numFmt w:val="decimal"/>
      <w:lvlText w:val="%4."/>
      <w:lvlJc w:val="left"/>
      <w:pPr>
        <w:tabs>
          <w:tab w:val="num" w:pos="2880"/>
        </w:tabs>
        <w:ind w:left="2880" w:hanging="360"/>
      </w:pPr>
    </w:lvl>
    <w:lvl w:ilvl="4" w:tplc="599043D0" w:tentative="1">
      <w:start w:val="1"/>
      <w:numFmt w:val="decimal"/>
      <w:lvlText w:val="%5."/>
      <w:lvlJc w:val="left"/>
      <w:pPr>
        <w:tabs>
          <w:tab w:val="num" w:pos="3600"/>
        </w:tabs>
        <w:ind w:left="3600" w:hanging="360"/>
      </w:pPr>
    </w:lvl>
    <w:lvl w:ilvl="5" w:tplc="1630768E" w:tentative="1">
      <w:start w:val="1"/>
      <w:numFmt w:val="decimal"/>
      <w:lvlText w:val="%6."/>
      <w:lvlJc w:val="left"/>
      <w:pPr>
        <w:tabs>
          <w:tab w:val="num" w:pos="4320"/>
        </w:tabs>
        <w:ind w:left="4320" w:hanging="360"/>
      </w:pPr>
    </w:lvl>
    <w:lvl w:ilvl="6" w:tplc="88F48EC4" w:tentative="1">
      <w:start w:val="1"/>
      <w:numFmt w:val="decimal"/>
      <w:lvlText w:val="%7."/>
      <w:lvlJc w:val="left"/>
      <w:pPr>
        <w:tabs>
          <w:tab w:val="num" w:pos="5040"/>
        </w:tabs>
        <w:ind w:left="5040" w:hanging="360"/>
      </w:pPr>
    </w:lvl>
    <w:lvl w:ilvl="7" w:tplc="7AC44692" w:tentative="1">
      <w:start w:val="1"/>
      <w:numFmt w:val="decimal"/>
      <w:lvlText w:val="%8."/>
      <w:lvlJc w:val="left"/>
      <w:pPr>
        <w:tabs>
          <w:tab w:val="num" w:pos="5760"/>
        </w:tabs>
        <w:ind w:left="5760" w:hanging="360"/>
      </w:pPr>
    </w:lvl>
    <w:lvl w:ilvl="8" w:tplc="DB2A7176" w:tentative="1">
      <w:start w:val="1"/>
      <w:numFmt w:val="decimal"/>
      <w:lvlText w:val="%9."/>
      <w:lvlJc w:val="left"/>
      <w:pPr>
        <w:tabs>
          <w:tab w:val="num" w:pos="6480"/>
        </w:tabs>
        <w:ind w:left="6480" w:hanging="360"/>
      </w:pPr>
    </w:lvl>
  </w:abstractNum>
  <w:abstractNum w:abstractNumId="3" w15:restartNumberingAfterBreak="0">
    <w:nsid w:val="04CB1C96"/>
    <w:multiLevelType w:val="hybridMultilevel"/>
    <w:tmpl w:val="1CB4AE0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A1D7A"/>
    <w:multiLevelType w:val="hybridMultilevel"/>
    <w:tmpl w:val="194610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BE2E26"/>
    <w:multiLevelType w:val="hybridMultilevel"/>
    <w:tmpl w:val="21DC5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57956"/>
    <w:multiLevelType w:val="multilevel"/>
    <w:tmpl w:val="5D62D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F46527"/>
    <w:multiLevelType w:val="hybridMultilevel"/>
    <w:tmpl w:val="912846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21642"/>
    <w:multiLevelType w:val="hybridMultilevel"/>
    <w:tmpl w:val="1346AE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F375A"/>
    <w:multiLevelType w:val="multilevel"/>
    <w:tmpl w:val="4FDAD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996C7D"/>
    <w:multiLevelType w:val="hybridMultilevel"/>
    <w:tmpl w:val="8024894A"/>
    <w:lvl w:ilvl="0" w:tplc="87D2FDDC">
      <w:start w:val="1"/>
      <w:numFmt w:val="upperLetter"/>
      <w:lvlText w:val="%1."/>
      <w:lvlJc w:val="left"/>
      <w:pPr>
        <w:ind w:left="720" w:hanging="360"/>
      </w:pPr>
      <w:rPr>
        <w:rFonts w:hint="default"/>
      </w:rPr>
    </w:lvl>
    <w:lvl w:ilvl="1" w:tplc="795666D0" w:tentative="1">
      <w:start w:val="1"/>
      <w:numFmt w:val="lowerLetter"/>
      <w:lvlText w:val="%2."/>
      <w:lvlJc w:val="left"/>
      <w:pPr>
        <w:ind w:left="1440" w:hanging="360"/>
      </w:pPr>
    </w:lvl>
    <w:lvl w:ilvl="2" w:tplc="CB8EA626" w:tentative="1">
      <w:start w:val="1"/>
      <w:numFmt w:val="lowerRoman"/>
      <w:lvlText w:val="%3."/>
      <w:lvlJc w:val="right"/>
      <w:pPr>
        <w:ind w:left="2160" w:hanging="180"/>
      </w:pPr>
    </w:lvl>
    <w:lvl w:ilvl="3" w:tplc="6C429D60" w:tentative="1">
      <w:start w:val="1"/>
      <w:numFmt w:val="decimal"/>
      <w:lvlText w:val="%4."/>
      <w:lvlJc w:val="left"/>
      <w:pPr>
        <w:ind w:left="2880" w:hanging="360"/>
      </w:pPr>
    </w:lvl>
    <w:lvl w:ilvl="4" w:tplc="D2A6D9F8" w:tentative="1">
      <w:start w:val="1"/>
      <w:numFmt w:val="lowerLetter"/>
      <w:lvlText w:val="%5."/>
      <w:lvlJc w:val="left"/>
      <w:pPr>
        <w:ind w:left="3600" w:hanging="360"/>
      </w:pPr>
    </w:lvl>
    <w:lvl w:ilvl="5" w:tplc="85EE5C7C" w:tentative="1">
      <w:start w:val="1"/>
      <w:numFmt w:val="lowerRoman"/>
      <w:lvlText w:val="%6."/>
      <w:lvlJc w:val="right"/>
      <w:pPr>
        <w:ind w:left="4320" w:hanging="180"/>
      </w:pPr>
    </w:lvl>
    <w:lvl w:ilvl="6" w:tplc="8A822932" w:tentative="1">
      <w:start w:val="1"/>
      <w:numFmt w:val="decimal"/>
      <w:lvlText w:val="%7."/>
      <w:lvlJc w:val="left"/>
      <w:pPr>
        <w:ind w:left="5040" w:hanging="360"/>
      </w:pPr>
    </w:lvl>
    <w:lvl w:ilvl="7" w:tplc="E114589C" w:tentative="1">
      <w:start w:val="1"/>
      <w:numFmt w:val="lowerLetter"/>
      <w:lvlText w:val="%8."/>
      <w:lvlJc w:val="left"/>
      <w:pPr>
        <w:ind w:left="5760" w:hanging="360"/>
      </w:pPr>
    </w:lvl>
    <w:lvl w:ilvl="8" w:tplc="F57A01FE" w:tentative="1">
      <w:start w:val="1"/>
      <w:numFmt w:val="lowerRoman"/>
      <w:lvlText w:val="%9."/>
      <w:lvlJc w:val="right"/>
      <w:pPr>
        <w:ind w:left="6480" w:hanging="180"/>
      </w:pPr>
    </w:lvl>
  </w:abstractNum>
  <w:abstractNum w:abstractNumId="11" w15:restartNumberingAfterBreak="0">
    <w:nsid w:val="329A7D3E"/>
    <w:multiLevelType w:val="hybridMultilevel"/>
    <w:tmpl w:val="E8D24E9C"/>
    <w:lvl w:ilvl="0" w:tplc="80D4AF10">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050951"/>
    <w:multiLevelType w:val="hybridMultilevel"/>
    <w:tmpl w:val="2D28B32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B057D79"/>
    <w:multiLevelType w:val="multilevel"/>
    <w:tmpl w:val="D36ED1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1626F"/>
    <w:multiLevelType w:val="hybridMultilevel"/>
    <w:tmpl w:val="082282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CF3C5D"/>
    <w:multiLevelType w:val="hybridMultilevel"/>
    <w:tmpl w:val="3402832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05B3681"/>
    <w:multiLevelType w:val="multilevel"/>
    <w:tmpl w:val="3D9CE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A86C19"/>
    <w:multiLevelType w:val="hybridMultilevel"/>
    <w:tmpl w:val="7F3CC4D6"/>
    <w:lvl w:ilvl="0" w:tplc="C49052E6">
      <w:start w:val="1"/>
      <w:numFmt w:val="upperLetter"/>
      <w:lvlText w:val="%1."/>
      <w:lvlJc w:val="left"/>
      <w:pPr>
        <w:ind w:left="720" w:hanging="360"/>
      </w:pPr>
    </w:lvl>
    <w:lvl w:ilvl="1" w:tplc="BE5A2110" w:tentative="1">
      <w:start w:val="1"/>
      <w:numFmt w:val="lowerLetter"/>
      <w:lvlText w:val="%2."/>
      <w:lvlJc w:val="left"/>
      <w:pPr>
        <w:ind w:left="1440" w:hanging="360"/>
      </w:pPr>
    </w:lvl>
    <w:lvl w:ilvl="2" w:tplc="C7C200F0" w:tentative="1">
      <w:start w:val="1"/>
      <w:numFmt w:val="lowerRoman"/>
      <w:lvlText w:val="%3."/>
      <w:lvlJc w:val="right"/>
      <w:pPr>
        <w:ind w:left="2160" w:hanging="180"/>
      </w:pPr>
    </w:lvl>
    <w:lvl w:ilvl="3" w:tplc="63BED866" w:tentative="1">
      <w:start w:val="1"/>
      <w:numFmt w:val="decimal"/>
      <w:lvlText w:val="%4."/>
      <w:lvlJc w:val="left"/>
      <w:pPr>
        <w:ind w:left="2880" w:hanging="360"/>
      </w:pPr>
    </w:lvl>
    <w:lvl w:ilvl="4" w:tplc="773C9500" w:tentative="1">
      <w:start w:val="1"/>
      <w:numFmt w:val="lowerLetter"/>
      <w:lvlText w:val="%5."/>
      <w:lvlJc w:val="left"/>
      <w:pPr>
        <w:ind w:left="3600" w:hanging="360"/>
      </w:pPr>
    </w:lvl>
    <w:lvl w:ilvl="5" w:tplc="B5286DE8" w:tentative="1">
      <w:start w:val="1"/>
      <w:numFmt w:val="lowerRoman"/>
      <w:lvlText w:val="%6."/>
      <w:lvlJc w:val="right"/>
      <w:pPr>
        <w:ind w:left="4320" w:hanging="180"/>
      </w:pPr>
    </w:lvl>
    <w:lvl w:ilvl="6" w:tplc="E1FAE842" w:tentative="1">
      <w:start w:val="1"/>
      <w:numFmt w:val="decimal"/>
      <w:lvlText w:val="%7."/>
      <w:lvlJc w:val="left"/>
      <w:pPr>
        <w:ind w:left="5040" w:hanging="360"/>
      </w:pPr>
    </w:lvl>
    <w:lvl w:ilvl="7" w:tplc="CC2A0940" w:tentative="1">
      <w:start w:val="1"/>
      <w:numFmt w:val="lowerLetter"/>
      <w:lvlText w:val="%8."/>
      <w:lvlJc w:val="left"/>
      <w:pPr>
        <w:ind w:left="5760" w:hanging="360"/>
      </w:pPr>
    </w:lvl>
    <w:lvl w:ilvl="8" w:tplc="43E2A4FC" w:tentative="1">
      <w:start w:val="1"/>
      <w:numFmt w:val="lowerRoman"/>
      <w:lvlText w:val="%9."/>
      <w:lvlJc w:val="right"/>
      <w:pPr>
        <w:ind w:left="6480" w:hanging="180"/>
      </w:pPr>
    </w:lvl>
  </w:abstractNum>
  <w:abstractNum w:abstractNumId="18" w15:restartNumberingAfterBreak="0">
    <w:nsid w:val="48D85889"/>
    <w:multiLevelType w:val="hybridMultilevel"/>
    <w:tmpl w:val="941ECB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AE4970"/>
    <w:multiLevelType w:val="hybridMultilevel"/>
    <w:tmpl w:val="17A0A3BC"/>
    <w:lvl w:ilvl="0" w:tplc="254C20B4">
      <w:start w:val="1"/>
      <w:numFmt w:val="upperLetter"/>
      <w:lvlText w:val="%1."/>
      <w:lvlJc w:val="left"/>
      <w:pPr>
        <w:ind w:left="720" w:hanging="360"/>
      </w:pPr>
    </w:lvl>
    <w:lvl w:ilvl="1" w:tplc="FA80B0D8">
      <w:start w:val="1"/>
      <w:numFmt w:val="decimal"/>
      <w:lvlText w:val="%2."/>
      <w:lvlJc w:val="left"/>
      <w:pPr>
        <w:ind w:left="1440" w:hanging="360"/>
      </w:pPr>
      <w:rPr>
        <w:rFonts w:eastAsiaTheme="majorEastAsia" w:hint="default"/>
      </w:rPr>
    </w:lvl>
    <w:lvl w:ilvl="2" w:tplc="D1F2E1A4" w:tentative="1">
      <w:start w:val="1"/>
      <w:numFmt w:val="lowerRoman"/>
      <w:lvlText w:val="%3."/>
      <w:lvlJc w:val="right"/>
      <w:pPr>
        <w:ind w:left="2160" w:hanging="180"/>
      </w:pPr>
    </w:lvl>
    <w:lvl w:ilvl="3" w:tplc="DACEC36E" w:tentative="1">
      <w:start w:val="1"/>
      <w:numFmt w:val="decimal"/>
      <w:lvlText w:val="%4."/>
      <w:lvlJc w:val="left"/>
      <w:pPr>
        <w:ind w:left="2880" w:hanging="360"/>
      </w:pPr>
    </w:lvl>
    <w:lvl w:ilvl="4" w:tplc="FF949D5A" w:tentative="1">
      <w:start w:val="1"/>
      <w:numFmt w:val="lowerLetter"/>
      <w:lvlText w:val="%5."/>
      <w:lvlJc w:val="left"/>
      <w:pPr>
        <w:ind w:left="3600" w:hanging="360"/>
      </w:pPr>
    </w:lvl>
    <w:lvl w:ilvl="5" w:tplc="12628FCA" w:tentative="1">
      <w:start w:val="1"/>
      <w:numFmt w:val="lowerRoman"/>
      <w:lvlText w:val="%6."/>
      <w:lvlJc w:val="right"/>
      <w:pPr>
        <w:ind w:left="4320" w:hanging="180"/>
      </w:pPr>
    </w:lvl>
    <w:lvl w:ilvl="6" w:tplc="A306BE26" w:tentative="1">
      <w:start w:val="1"/>
      <w:numFmt w:val="decimal"/>
      <w:lvlText w:val="%7."/>
      <w:lvlJc w:val="left"/>
      <w:pPr>
        <w:ind w:left="5040" w:hanging="360"/>
      </w:pPr>
    </w:lvl>
    <w:lvl w:ilvl="7" w:tplc="6BBCA29E" w:tentative="1">
      <w:start w:val="1"/>
      <w:numFmt w:val="lowerLetter"/>
      <w:lvlText w:val="%8."/>
      <w:lvlJc w:val="left"/>
      <w:pPr>
        <w:ind w:left="5760" w:hanging="360"/>
      </w:pPr>
    </w:lvl>
    <w:lvl w:ilvl="8" w:tplc="0DB080C4" w:tentative="1">
      <w:start w:val="1"/>
      <w:numFmt w:val="lowerRoman"/>
      <w:lvlText w:val="%9."/>
      <w:lvlJc w:val="right"/>
      <w:pPr>
        <w:ind w:left="6480" w:hanging="180"/>
      </w:pPr>
    </w:lvl>
  </w:abstractNum>
  <w:abstractNum w:abstractNumId="20" w15:restartNumberingAfterBreak="0">
    <w:nsid w:val="503F459E"/>
    <w:multiLevelType w:val="hybridMultilevel"/>
    <w:tmpl w:val="34AAEF0E"/>
    <w:lvl w:ilvl="0" w:tplc="D0B08C92">
      <w:start w:val="1"/>
      <w:numFmt w:val="upperLetter"/>
      <w:lvlText w:val="%1."/>
      <w:lvlJc w:val="left"/>
      <w:pPr>
        <w:ind w:left="720" w:hanging="360"/>
      </w:pPr>
      <w:rPr>
        <w:rFonts w:hint="default"/>
      </w:rPr>
    </w:lvl>
    <w:lvl w:ilvl="1" w:tplc="4DBEE0AC" w:tentative="1">
      <w:start w:val="1"/>
      <w:numFmt w:val="lowerLetter"/>
      <w:lvlText w:val="%2."/>
      <w:lvlJc w:val="left"/>
      <w:pPr>
        <w:ind w:left="1440" w:hanging="360"/>
      </w:pPr>
    </w:lvl>
    <w:lvl w:ilvl="2" w:tplc="BA68DA66" w:tentative="1">
      <w:start w:val="1"/>
      <w:numFmt w:val="lowerRoman"/>
      <w:lvlText w:val="%3."/>
      <w:lvlJc w:val="right"/>
      <w:pPr>
        <w:ind w:left="2160" w:hanging="180"/>
      </w:pPr>
    </w:lvl>
    <w:lvl w:ilvl="3" w:tplc="17849DDA" w:tentative="1">
      <w:start w:val="1"/>
      <w:numFmt w:val="decimal"/>
      <w:lvlText w:val="%4."/>
      <w:lvlJc w:val="left"/>
      <w:pPr>
        <w:ind w:left="2880" w:hanging="360"/>
      </w:pPr>
    </w:lvl>
    <w:lvl w:ilvl="4" w:tplc="465EDAFE" w:tentative="1">
      <w:start w:val="1"/>
      <w:numFmt w:val="lowerLetter"/>
      <w:lvlText w:val="%5."/>
      <w:lvlJc w:val="left"/>
      <w:pPr>
        <w:ind w:left="3600" w:hanging="360"/>
      </w:pPr>
    </w:lvl>
    <w:lvl w:ilvl="5" w:tplc="F6ACEA72" w:tentative="1">
      <w:start w:val="1"/>
      <w:numFmt w:val="lowerRoman"/>
      <w:lvlText w:val="%6."/>
      <w:lvlJc w:val="right"/>
      <w:pPr>
        <w:ind w:left="4320" w:hanging="180"/>
      </w:pPr>
    </w:lvl>
    <w:lvl w:ilvl="6" w:tplc="B21C7B8E" w:tentative="1">
      <w:start w:val="1"/>
      <w:numFmt w:val="decimal"/>
      <w:lvlText w:val="%7."/>
      <w:lvlJc w:val="left"/>
      <w:pPr>
        <w:ind w:left="5040" w:hanging="360"/>
      </w:pPr>
    </w:lvl>
    <w:lvl w:ilvl="7" w:tplc="92A437E8" w:tentative="1">
      <w:start w:val="1"/>
      <w:numFmt w:val="lowerLetter"/>
      <w:lvlText w:val="%8."/>
      <w:lvlJc w:val="left"/>
      <w:pPr>
        <w:ind w:left="5760" w:hanging="360"/>
      </w:pPr>
    </w:lvl>
    <w:lvl w:ilvl="8" w:tplc="08201B62" w:tentative="1">
      <w:start w:val="1"/>
      <w:numFmt w:val="lowerRoman"/>
      <w:lvlText w:val="%9."/>
      <w:lvlJc w:val="right"/>
      <w:pPr>
        <w:ind w:left="6480" w:hanging="180"/>
      </w:pPr>
    </w:lvl>
  </w:abstractNum>
  <w:abstractNum w:abstractNumId="21" w15:restartNumberingAfterBreak="0">
    <w:nsid w:val="52415AAD"/>
    <w:multiLevelType w:val="multilevel"/>
    <w:tmpl w:val="B0623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C24346"/>
    <w:multiLevelType w:val="hybridMultilevel"/>
    <w:tmpl w:val="775474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C37182"/>
    <w:multiLevelType w:val="hybridMultilevel"/>
    <w:tmpl w:val="A0A2E7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A6F29A3"/>
    <w:multiLevelType w:val="hybridMultilevel"/>
    <w:tmpl w:val="A538D77E"/>
    <w:lvl w:ilvl="0" w:tplc="3F262594">
      <w:start w:val="1"/>
      <w:numFmt w:val="decimal"/>
      <w:lvlText w:val="%1."/>
      <w:lvlJc w:val="left"/>
      <w:pPr>
        <w:ind w:left="1080" w:hanging="360"/>
      </w:pPr>
      <w:rPr>
        <w:rFonts w:hint="default"/>
      </w:rPr>
    </w:lvl>
    <w:lvl w:ilvl="1" w:tplc="1B84DFFE" w:tentative="1">
      <w:start w:val="1"/>
      <w:numFmt w:val="lowerLetter"/>
      <w:lvlText w:val="%2."/>
      <w:lvlJc w:val="left"/>
      <w:pPr>
        <w:ind w:left="1800" w:hanging="360"/>
      </w:pPr>
    </w:lvl>
    <w:lvl w:ilvl="2" w:tplc="AA1EE9FC" w:tentative="1">
      <w:start w:val="1"/>
      <w:numFmt w:val="lowerRoman"/>
      <w:lvlText w:val="%3."/>
      <w:lvlJc w:val="right"/>
      <w:pPr>
        <w:ind w:left="2520" w:hanging="180"/>
      </w:pPr>
    </w:lvl>
    <w:lvl w:ilvl="3" w:tplc="ED64A310" w:tentative="1">
      <w:start w:val="1"/>
      <w:numFmt w:val="decimal"/>
      <w:lvlText w:val="%4."/>
      <w:lvlJc w:val="left"/>
      <w:pPr>
        <w:ind w:left="3240" w:hanging="360"/>
      </w:pPr>
    </w:lvl>
    <w:lvl w:ilvl="4" w:tplc="42F05598" w:tentative="1">
      <w:start w:val="1"/>
      <w:numFmt w:val="lowerLetter"/>
      <w:lvlText w:val="%5."/>
      <w:lvlJc w:val="left"/>
      <w:pPr>
        <w:ind w:left="3960" w:hanging="360"/>
      </w:pPr>
    </w:lvl>
    <w:lvl w:ilvl="5" w:tplc="2CE6F60E" w:tentative="1">
      <w:start w:val="1"/>
      <w:numFmt w:val="lowerRoman"/>
      <w:lvlText w:val="%6."/>
      <w:lvlJc w:val="right"/>
      <w:pPr>
        <w:ind w:left="4680" w:hanging="180"/>
      </w:pPr>
    </w:lvl>
    <w:lvl w:ilvl="6" w:tplc="004CA226" w:tentative="1">
      <w:start w:val="1"/>
      <w:numFmt w:val="decimal"/>
      <w:lvlText w:val="%7."/>
      <w:lvlJc w:val="left"/>
      <w:pPr>
        <w:ind w:left="5400" w:hanging="360"/>
      </w:pPr>
    </w:lvl>
    <w:lvl w:ilvl="7" w:tplc="247E6ACA" w:tentative="1">
      <w:start w:val="1"/>
      <w:numFmt w:val="lowerLetter"/>
      <w:lvlText w:val="%8."/>
      <w:lvlJc w:val="left"/>
      <w:pPr>
        <w:ind w:left="6120" w:hanging="360"/>
      </w:pPr>
    </w:lvl>
    <w:lvl w:ilvl="8" w:tplc="4D90F310" w:tentative="1">
      <w:start w:val="1"/>
      <w:numFmt w:val="lowerRoman"/>
      <w:lvlText w:val="%9."/>
      <w:lvlJc w:val="right"/>
      <w:pPr>
        <w:ind w:left="6840" w:hanging="180"/>
      </w:pPr>
    </w:lvl>
  </w:abstractNum>
  <w:abstractNum w:abstractNumId="25" w15:restartNumberingAfterBreak="0">
    <w:nsid w:val="5AAE1931"/>
    <w:multiLevelType w:val="hybridMultilevel"/>
    <w:tmpl w:val="510ED7F4"/>
    <w:lvl w:ilvl="0" w:tplc="962CAFA2">
      <w:start w:val="3"/>
      <w:numFmt w:val="upperLetter"/>
      <w:lvlText w:val="%1."/>
      <w:lvlJc w:val="left"/>
      <w:pPr>
        <w:tabs>
          <w:tab w:val="num" w:pos="720"/>
        </w:tabs>
        <w:ind w:left="720" w:hanging="360"/>
      </w:pPr>
    </w:lvl>
    <w:lvl w:ilvl="1" w:tplc="7EA2B54E" w:tentative="1">
      <w:start w:val="1"/>
      <w:numFmt w:val="decimal"/>
      <w:lvlText w:val="%2."/>
      <w:lvlJc w:val="left"/>
      <w:pPr>
        <w:tabs>
          <w:tab w:val="num" w:pos="1440"/>
        </w:tabs>
        <w:ind w:left="1440" w:hanging="360"/>
      </w:pPr>
    </w:lvl>
    <w:lvl w:ilvl="2" w:tplc="19BA493C" w:tentative="1">
      <w:start w:val="1"/>
      <w:numFmt w:val="decimal"/>
      <w:lvlText w:val="%3."/>
      <w:lvlJc w:val="left"/>
      <w:pPr>
        <w:tabs>
          <w:tab w:val="num" w:pos="2160"/>
        </w:tabs>
        <w:ind w:left="2160" w:hanging="360"/>
      </w:pPr>
    </w:lvl>
    <w:lvl w:ilvl="3" w:tplc="EFBA71AA" w:tentative="1">
      <w:start w:val="1"/>
      <w:numFmt w:val="decimal"/>
      <w:lvlText w:val="%4."/>
      <w:lvlJc w:val="left"/>
      <w:pPr>
        <w:tabs>
          <w:tab w:val="num" w:pos="2880"/>
        </w:tabs>
        <w:ind w:left="2880" w:hanging="360"/>
      </w:pPr>
    </w:lvl>
    <w:lvl w:ilvl="4" w:tplc="EC7E442A" w:tentative="1">
      <w:start w:val="1"/>
      <w:numFmt w:val="decimal"/>
      <w:lvlText w:val="%5."/>
      <w:lvlJc w:val="left"/>
      <w:pPr>
        <w:tabs>
          <w:tab w:val="num" w:pos="3600"/>
        </w:tabs>
        <w:ind w:left="3600" w:hanging="360"/>
      </w:pPr>
    </w:lvl>
    <w:lvl w:ilvl="5" w:tplc="576059B6" w:tentative="1">
      <w:start w:val="1"/>
      <w:numFmt w:val="decimal"/>
      <w:lvlText w:val="%6."/>
      <w:lvlJc w:val="left"/>
      <w:pPr>
        <w:tabs>
          <w:tab w:val="num" w:pos="4320"/>
        </w:tabs>
        <w:ind w:left="4320" w:hanging="360"/>
      </w:pPr>
    </w:lvl>
    <w:lvl w:ilvl="6" w:tplc="3370D046" w:tentative="1">
      <w:start w:val="1"/>
      <w:numFmt w:val="decimal"/>
      <w:lvlText w:val="%7."/>
      <w:lvlJc w:val="left"/>
      <w:pPr>
        <w:tabs>
          <w:tab w:val="num" w:pos="5040"/>
        </w:tabs>
        <w:ind w:left="5040" w:hanging="360"/>
      </w:pPr>
    </w:lvl>
    <w:lvl w:ilvl="7" w:tplc="8E4209A4" w:tentative="1">
      <w:start w:val="1"/>
      <w:numFmt w:val="decimal"/>
      <w:lvlText w:val="%8."/>
      <w:lvlJc w:val="left"/>
      <w:pPr>
        <w:tabs>
          <w:tab w:val="num" w:pos="5760"/>
        </w:tabs>
        <w:ind w:left="5760" w:hanging="360"/>
      </w:pPr>
    </w:lvl>
    <w:lvl w:ilvl="8" w:tplc="316C63E4" w:tentative="1">
      <w:start w:val="1"/>
      <w:numFmt w:val="decimal"/>
      <w:lvlText w:val="%9."/>
      <w:lvlJc w:val="left"/>
      <w:pPr>
        <w:tabs>
          <w:tab w:val="num" w:pos="6480"/>
        </w:tabs>
        <w:ind w:left="6480" w:hanging="360"/>
      </w:pPr>
    </w:lvl>
  </w:abstractNum>
  <w:abstractNum w:abstractNumId="26" w15:restartNumberingAfterBreak="0">
    <w:nsid w:val="63EC1599"/>
    <w:multiLevelType w:val="hybridMultilevel"/>
    <w:tmpl w:val="7BC22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300B24"/>
    <w:multiLevelType w:val="multilevel"/>
    <w:tmpl w:val="50564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F44609"/>
    <w:multiLevelType w:val="hybridMultilevel"/>
    <w:tmpl w:val="A5A40262"/>
    <w:lvl w:ilvl="0" w:tplc="B1628D26">
      <w:start w:val="1"/>
      <w:numFmt w:val="decimal"/>
      <w:lvlText w:val="%1."/>
      <w:lvlJc w:val="left"/>
      <w:pPr>
        <w:ind w:left="720" w:hanging="360"/>
      </w:pPr>
      <w:rPr>
        <w:rFonts w:hint="default"/>
      </w:rPr>
    </w:lvl>
    <w:lvl w:ilvl="1" w:tplc="6794329E" w:tentative="1">
      <w:start w:val="1"/>
      <w:numFmt w:val="lowerLetter"/>
      <w:lvlText w:val="%2."/>
      <w:lvlJc w:val="left"/>
      <w:pPr>
        <w:ind w:left="1440" w:hanging="360"/>
      </w:pPr>
    </w:lvl>
    <w:lvl w:ilvl="2" w:tplc="21DA0654" w:tentative="1">
      <w:start w:val="1"/>
      <w:numFmt w:val="lowerRoman"/>
      <w:lvlText w:val="%3."/>
      <w:lvlJc w:val="right"/>
      <w:pPr>
        <w:ind w:left="2160" w:hanging="180"/>
      </w:pPr>
    </w:lvl>
    <w:lvl w:ilvl="3" w:tplc="208E3B2E" w:tentative="1">
      <w:start w:val="1"/>
      <w:numFmt w:val="decimal"/>
      <w:lvlText w:val="%4."/>
      <w:lvlJc w:val="left"/>
      <w:pPr>
        <w:ind w:left="2880" w:hanging="360"/>
      </w:pPr>
    </w:lvl>
    <w:lvl w:ilvl="4" w:tplc="9E3A98D2" w:tentative="1">
      <w:start w:val="1"/>
      <w:numFmt w:val="lowerLetter"/>
      <w:lvlText w:val="%5."/>
      <w:lvlJc w:val="left"/>
      <w:pPr>
        <w:ind w:left="3600" w:hanging="360"/>
      </w:pPr>
    </w:lvl>
    <w:lvl w:ilvl="5" w:tplc="33E64C2E" w:tentative="1">
      <w:start w:val="1"/>
      <w:numFmt w:val="lowerRoman"/>
      <w:lvlText w:val="%6."/>
      <w:lvlJc w:val="right"/>
      <w:pPr>
        <w:ind w:left="4320" w:hanging="180"/>
      </w:pPr>
    </w:lvl>
    <w:lvl w:ilvl="6" w:tplc="D25C97DE" w:tentative="1">
      <w:start w:val="1"/>
      <w:numFmt w:val="decimal"/>
      <w:lvlText w:val="%7."/>
      <w:lvlJc w:val="left"/>
      <w:pPr>
        <w:ind w:left="5040" w:hanging="360"/>
      </w:pPr>
    </w:lvl>
    <w:lvl w:ilvl="7" w:tplc="8500D542" w:tentative="1">
      <w:start w:val="1"/>
      <w:numFmt w:val="lowerLetter"/>
      <w:lvlText w:val="%8."/>
      <w:lvlJc w:val="left"/>
      <w:pPr>
        <w:ind w:left="5760" w:hanging="360"/>
      </w:pPr>
    </w:lvl>
    <w:lvl w:ilvl="8" w:tplc="E73CAAB8" w:tentative="1">
      <w:start w:val="1"/>
      <w:numFmt w:val="lowerRoman"/>
      <w:lvlText w:val="%9."/>
      <w:lvlJc w:val="right"/>
      <w:pPr>
        <w:ind w:left="6480" w:hanging="180"/>
      </w:pPr>
    </w:lvl>
  </w:abstractNum>
  <w:abstractNum w:abstractNumId="29" w15:restartNumberingAfterBreak="0">
    <w:nsid w:val="74C21931"/>
    <w:multiLevelType w:val="hybridMultilevel"/>
    <w:tmpl w:val="59D82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D25444"/>
    <w:multiLevelType w:val="multilevel"/>
    <w:tmpl w:val="D422B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E10A69"/>
    <w:multiLevelType w:val="hybridMultilevel"/>
    <w:tmpl w:val="1BECB5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271CBA"/>
    <w:multiLevelType w:val="multilevel"/>
    <w:tmpl w:val="6AE42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7176866">
    <w:abstractNumId w:val="9"/>
    <w:lvlOverride w:ilvl="0">
      <w:lvl w:ilvl="0">
        <w:numFmt w:val="upperRoman"/>
        <w:lvlText w:val="%1."/>
        <w:lvlJc w:val="right"/>
      </w:lvl>
    </w:lvlOverride>
  </w:num>
  <w:num w:numId="2" w16cid:durableId="720784386">
    <w:abstractNumId w:val="30"/>
  </w:num>
  <w:num w:numId="3" w16cid:durableId="1782188164">
    <w:abstractNumId w:val="13"/>
    <w:lvlOverride w:ilvl="0">
      <w:lvl w:ilvl="0">
        <w:numFmt w:val="decimal"/>
        <w:lvlText w:val="%1."/>
        <w:lvlJc w:val="left"/>
      </w:lvl>
    </w:lvlOverride>
  </w:num>
  <w:num w:numId="4" w16cid:durableId="1176654560">
    <w:abstractNumId w:val="6"/>
    <w:lvlOverride w:ilvl="0">
      <w:lvl w:ilvl="0">
        <w:numFmt w:val="upperRoman"/>
        <w:lvlText w:val="%1."/>
        <w:lvlJc w:val="right"/>
      </w:lvl>
    </w:lvlOverride>
  </w:num>
  <w:num w:numId="5" w16cid:durableId="2039769218">
    <w:abstractNumId w:val="27"/>
    <w:lvlOverride w:ilvl="0">
      <w:lvl w:ilvl="0">
        <w:numFmt w:val="upperLetter"/>
        <w:lvlText w:val="%1."/>
        <w:lvlJc w:val="left"/>
      </w:lvl>
    </w:lvlOverride>
  </w:num>
  <w:num w:numId="6" w16cid:durableId="1420248502">
    <w:abstractNumId w:val="2"/>
  </w:num>
  <w:num w:numId="7" w16cid:durableId="923800565">
    <w:abstractNumId w:val="25"/>
  </w:num>
  <w:num w:numId="8" w16cid:durableId="1316641819">
    <w:abstractNumId w:val="16"/>
  </w:num>
  <w:num w:numId="9" w16cid:durableId="1315911424">
    <w:abstractNumId w:val="21"/>
    <w:lvlOverride w:ilvl="0">
      <w:lvl w:ilvl="0">
        <w:numFmt w:val="decimal"/>
        <w:lvlText w:val="%1."/>
        <w:lvlJc w:val="left"/>
      </w:lvl>
    </w:lvlOverride>
  </w:num>
  <w:num w:numId="10" w16cid:durableId="265508400">
    <w:abstractNumId w:val="32"/>
    <w:lvlOverride w:ilvl="0">
      <w:lvl w:ilvl="0">
        <w:numFmt w:val="decimal"/>
        <w:lvlText w:val="%1."/>
        <w:lvlJc w:val="left"/>
      </w:lvl>
    </w:lvlOverride>
  </w:num>
  <w:num w:numId="11" w16cid:durableId="1869370473">
    <w:abstractNumId w:val="1"/>
  </w:num>
  <w:num w:numId="12" w16cid:durableId="2100054683">
    <w:abstractNumId w:val="20"/>
  </w:num>
  <w:num w:numId="13" w16cid:durableId="1483351527">
    <w:abstractNumId w:val="24"/>
  </w:num>
  <w:num w:numId="14" w16cid:durableId="999313858">
    <w:abstractNumId w:val="19"/>
  </w:num>
  <w:num w:numId="15" w16cid:durableId="474954683">
    <w:abstractNumId w:val="10"/>
  </w:num>
  <w:num w:numId="16" w16cid:durableId="1487622968">
    <w:abstractNumId w:val="28"/>
  </w:num>
  <w:num w:numId="17" w16cid:durableId="616185075">
    <w:abstractNumId w:val="0"/>
  </w:num>
  <w:num w:numId="18" w16cid:durableId="614555255">
    <w:abstractNumId w:val="17"/>
  </w:num>
  <w:num w:numId="19" w16cid:durableId="1366639032">
    <w:abstractNumId w:val="3"/>
  </w:num>
  <w:num w:numId="20" w16cid:durableId="1206913145">
    <w:abstractNumId w:val="18"/>
  </w:num>
  <w:num w:numId="21" w16cid:durableId="102652298">
    <w:abstractNumId w:val="23"/>
  </w:num>
  <w:num w:numId="22" w16cid:durableId="346833320">
    <w:abstractNumId w:val="31"/>
  </w:num>
  <w:num w:numId="23" w16cid:durableId="2082095882">
    <w:abstractNumId w:val="7"/>
  </w:num>
  <w:num w:numId="24" w16cid:durableId="1260675179">
    <w:abstractNumId w:val="8"/>
  </w:num>
  <w:num w:numId="25" w16cid:durableId="1653370729">
    <w:abstractNumId w:val="26"/>
  </w:num>
  <w:num w:numId="26" w16cid:durableId="437337383">
    <w:abstractNumId w:val="14"/>
  </w:num>
  <w:num w:numId="27" w16cid:durableId="2035421254">
    <w:abstractNumId w:val="4"/>
  </w:num>
  <w:num w:numId="28" w16cid:durableId="1988043981">
    <w:abstractNumId w:val="29"/>
  </w:num>
  <w:num w:numId="29" w16cid:durableId="357396322">
    <w:abstractNumId w:val="22"/>
  </w:num>
  <w:num w:numId="30" w16cid:durableId="353268152">
    <w:abstractNumId w:val="12"/>
  </w:num>
  <w:num w:numId="31" w16cid:durableId="2147042382">
    <w:abstractNumId w:val="15"/>
  </w:num>
  <w:num w:numId="32" w16cid:durableId="745802018">
    <w:abstractNumId w:val="5"/>
  </w:num>
  <w:num w:numId="33" w16cid:durableId="1008560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94"/>
    <w:rsid w:val="000164DA"/>
    <w:rsid w:val="000564BD"/>
    <w:rsid w:val="000617BD"/>
    <w:rsid w:val="00071CC6"/>
    <w:rsid w:val="00155743"/>
    <w:rsid w:val="0015590E"/>
    <w:rsid w:val="00225F24"/>
    <w:rsid w:val="00276094"/>
    <w:rsid w:val="002927D3"/>
    <w:rsid w:val="00292E38"/>
    <w:rsid w:val="002A1098"/>
    <w:rsid w:val="002A4A0E"/>
    <w:rsid w:val="002D374B"/>
    <w:rsid w:val="00344981"/>
    <w:rsid w:val="0037446E"/>
    <w:rsid w:val="00375296"/>
    <w:rsid w:val="004030BB"/>
    <w:rsid w:val="004E3C49"/>
    <w:rsid w:val="005020CA"/>
    <w:rsid w:val="00541897"/>
    <w:rsid w:val="00592F3B"/>
    <w:rsid w:val="0069749B"/>
    <w:rsid w:val="006E3068"/>
    <w:rsid w:val="00813C7C"/>
    <w:rsid w:val="00855858"/>
    <w:rsid w:val="008A3282"/>
    <w:rsid w:val="008A5604"/>
    <w:rsid w:val="008D65B7"/>
    <w:rsid w:val="008E28AD"/>
    <w:rsid w:val="00961EEB"/>
    <w:rsid w:val="009943D2"/>
    <w:rsid w:val="009B24D5"/>
    <w:rsid w:val="00A0416C"/>
    <w:rsid w:val="00A52F4B"/>
    <w:rsid w:val="00A86FFF"/>
    <w:rsid w:val="00A91D96"/>
    <w:rsid w:val="00B2795C"/>
    <w:rsid w:val="00B42133"/>
    <w:rsid w:val="00C13CCF"/>
    <w:rsid w:val="00CA22A5"/>
    <w:rsid w:val="00CF24B1"/>
    <w:rsid w:val="00CF4882"/>
    <w:rsid w:val="00D45FFC"/>
    <w:rsid w:val="00D51215"/>
    <w:rsid w:val="00D9070E"/>
    <w:rsid w:val="00DB2E5F"/>
    <w:rsid w:val="00DD3574"/>
    <w:rsid w:val="00DE3FAE"/>
    <w:rsid w:val="00DF3B8E"/>
    <w:rsid w:val="00E31D46"/>
    <w:rsid w:val="00E72FD9"/>
    <w:rsid w:val="00EA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3F8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6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6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76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0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60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60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760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0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0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0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0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094"/>
    <w:rPr>
      <w:rFonts w:eastAsiaTheme="majorEastAsia" w:cstheme="majorBidi"/>
      <w:color w:val="272727" w:themeColor="text1" w:themeTint="D8"/>
    </w:rPr>
  </w:style>
  <w:style w:type="paragraph" w:styleId="Title">
    <w:name w:val="Title"/>
    <w:basedOn w:val="Normal"/>
    <w:next w:val="Normal"/>
    <w:link w:val="TitleChar"/>
    <w:uiPriority w:val="10"/>
    <w:qFormat/>
    <w:rsid w:val="00276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0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094"/>
    <w:pPr>
      <w:spacing w:before="160"/>
      <w:jc w:val="center"/>
    </w:pPr>
    <w:rPr>
      <w:i/>
      <w:iCs/>
      <w:color w:val="404040" w:themeColor="text1" w:themeTint="BF"/>
    </w:rPr>
  </w:style>
  <w:style w:type="character" w:customStyle="1" w:styleId="QuoteChar">
    <w:name w:val="Quote Char"/>
    <w:basedOn w:val="DefaultParagraphFont"/>
    <w:link w:val="Quote"/>
    <w:uiPriority w:val="29"/>
    <w:rsid w:val="00276094"/>
    <w:rPr>
      <w:i/>
      <w:iCs/>
      <w:color w:val="404040" w:themeColor="text1" w:themeTint="BF"/>
    </w:rPr>
  </w:style>
  <w:style w:type="paragraph" w:styleId="ListParagraph">
    <w:name w:val="List Paragraph"/>
    <w:basedOn w:val="Normal"/>
    <w:uiPriority w:val="34"/>
    <w:qFormat/>
    <w:rsid w:val="00276094"/>
    <w:pPr>
      <w:ind w:left="720"/>
      <w:contextualSpacing/>
    </w:pPr>
  </w:style>
  <w:style w:type="character" w:styleId="IntenseEmphasis">
    <w:name w:val="Intense Emphasis"/>
    <w:basedOn w:val="DefaultParagraphFont"/>
    <w:uiPriority w:val="21"/>
    <w:qFormat/>
    <w:rsid w:val="00276094"/>
    <w:rPr>
      <w:i/>
      <w:iCs/>
      <w:color w:val="0F4761" w:themeColor="accent1" w:themeShade="BF"/>
    </w:rPr>
  </w:style>
  <w:style w:type="paragraph" w:styleId="IntenseQuote">
    <w:name w:val="Intense Quote"/>
    <w:basedOn w:val="Normal"/>
    <w:next w:val="Normal"/>
    <w:link w:val="IntenseQuoteChar"/>
    <w:uiPriority w:val="30"/>
    <w:qFormat/>
    <w:rsid w:val="00276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094"/>
    <w:rPr>
      <w:i/>
      <w:iCs/>
      <w:color w:val="0F4761" w:themeColor="accent1" w:themeShade="BF"/>
    </w:rPr>
  </w:style>
  <w:style w:type="character" w:styleId="IntenseReference">
    <w:name w:val="Intense Reference"/>
    <w:basedOn w:val="DefaultParagraphFont"/>
    <w:uiPriority w:val="32"/>
    <w:qFormat/>
    <w:rsid w:val="00276094"/>
    <w:rPr>
      <w:b/>
      <w:bCs/>
      <w:smallCaps/>
      <w:color w:val="0F4761" w:themeColor="accent1" w:themeShade="BF"/>
      <w:spacing w:val="5"/>
    </w:rPr>
  </w:style>
  <w:style w:type="paragraph" w:styleId="NormalWeb">
    <w:name w:val="Normal (Web)"/>
    <w:basedOn w:val="Normal"/>
    <w:uiPriority w:val="99"/>
    <w:unhideWhenUsed/>
    <w:rsid w:val="0027609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071CC6"/>
  </w:style>
  <w:style w:type="paragraph" w:styleId="Header">
    <w:name w:val="header"/>
    <w:basedOn w:val="Normal"/>
    <w:link w:val="HeaderChar"/>
    <w:uiPriority w:val="99"/>
    <w:unhideWhenUsed/>
    <w:rsid w:val="00DB2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E5F"/>
  </w:style>
  <w:style w:type="paragraph" w:styleId="Footer">
    <w:name w:val="footer"/>
    <w:basedOn w:val="Normal"/>
    <w:link w:val="FooterChar"/>
    <w:uiPriority w:val="99"/>
    <w:unhideWhenUsed/>
    <w:rsid w:val="00DB2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E5F"/>
  </w:style>
  <w:style w:type="character" w:styleId="PageNumber">
    <w:name w:val="page number"/>
    <w:basedOn w:val="DefaultParagraphFont"/>
    <w:uiPriority w:val="99"/>
    <w:semiHidden/>
    <w:unhideWhenUsed/>
    <w:rsid w:val="00DB2E5F"/>
  </w:style>
  <w:style w:type="paragraph" w:styleId="TableofAuthorities">
    <w:name w:val="table of authorities"/>
    <w:basedOn w:val="Normal"/>
    <w:next w:val="Normal"/>
    <w:uiPriority w:val="99"/>
    <w:unhideWhenUsed/>
    <w:rsid w:val="00DB2E5F"/>
    <w:pPr>
      <w:spacing w:after="0"/>
      <w:ind w:left="240" w:hanging="240"/>
    </w:pPr>
    <w:rPr>
      <w:sz w:val="20"/>
      <w:szCs w:val="20"/>
    </w:rPr>
  </w:style>
  <w:style w:type="paragraph" w:styleId="TOAHeading">
    <w:name w:val="toa heading"/>
    <w:basedOn w:val="Normal"/>
    <w:next w:val="Normal"/>
    <w:uiPriority w:val="99"/>
    <w:unhideWhenUsed/>
    <w:rsid w:val="00DB2E5F"/>
    <w:pPr>
      <w:spacing w:before="240" w:after="120"/>
    </w:pPr>
    <w:rPr>
      <w:rFonts w:cs="Arial"/>
      <w:b/>
      <w:bCs/>
      <w:caps/>
      <w:sz w:val="20"/>
      <w:szCs w:val="20"/>
    </w:rPr>
  </w:style>
  <w:style w:type="paragraph" w:styleId="TOCHeading">
    <w:name w:val="TOC Heading"/>
    <w:basedOn w:val="Heading1"/>
    <w:next w:val="Normal"/>
    <w:uiPriority w:val="39"/>
    <w:unhideWhenUsed/>
    <w:qFormat/>
    <w:rsid w:val="00375296"/>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DF3B8E"/>
    <w:pPr>
      <w:tabs>
        <w:tab w:val="right" w:leader="dot" w:pos="9350"/>
      </w:tabs>
      <w:spacing w:before="120" w:after="0"/>
      <w:jc w:val="both"/>
    </w:pPr>
    <w:rPr>
      <w:rFonts w:ascii="Times New Roman" w:eastAsia="Times New Roman" w:hAnsi="Times New Roman" w:cs="Times New Roman"/>
      <w:bCs/>
      <w:iCs/>
      <w:noProof/>
      <w:sz w:val="26"/>
    </w:rPr>
  </w:style>
  <w:style w:type="paragraph" w:styleId="TOC2">
    <w:name w:val="toc 2"/>
    <w:basedOn w:val="Normal"/>
    <w:next w:val="Normal"/>
    <w:autoRedefine/>
    <w:uiPriority w:val="39"/>
    <w:unhideWhenUsed/>
    <w:rsid w:val="004030BB"/>
    <w:pPr>
      <w:tabs>
        <w:tab w:val="left" w:pos="720"/>
        <w:tab w:val="right" w:leader="dot" w:pos="9350"/>
      </w:tabs>
      <w:spacing w:before="120" w:after="240" w:line="240" w:lineRule="auto"/>
      <w:ind w:left="720" w:hanging="480"/>
    </w:pPr>
    <w:rPr>
      <w:rFonts w:ascii="Times New Roman" w:eastAsia="Times New Roman" w:hAnsi="Times New Roman" w:cs="Times New Roman"/>
      <w:bCs/>
      <w:noProof/>
      <w:sz w:val="26"/>
      <w:szCs w:val="26"/>
    </w:rPr>
  </w:style>
  <w:style w:type="paragraph" w:styleId="TOC3">
    <w:name w:val="toc 3"/>
    <w:basedOn w:val="Normal"/>
    <w:next w:val="Normal"/>
    <w:autoRedefine/>
    <w:uiPriority w:val="39"/>
    <w:unhideWhenUsed/>
    <w:rsid w:val="00D51215"/>
    <w:pPr>
      <w:tabs>
        <w:tab w:val="left" w:pos="960"/>
        <w:tab w:val="left" w:pos="1350"/>
        <w:tab w:val="right" w:leader="dot" w:pos="9350"/>
      </w:tabs>
      <w:spacing w:before="240" w:after="240" w:line="240" w:lineRule="auto"/>
      <w:ind w:left="990" w:hanging="510"/>
    </w:pPr>
    <w:rPr>
      <w:rFonts w:ascii="Times New Roman" w:eastAsia="Times New Roman" w:hAnsi="Times New Roman" w:cs="Times New Roman"/>
      <w:bCs/>
      <w:noProof/>
      <w:sz w:val="26"/>
      <w:szCs w:val="26"/>
    </w:rPr>
  </w:style>
  <w:style w:type="character" w:styleId="Hyperlink">
    <w:name w:val="Hyperlink"/>
    <w:basedOn w:val="DefaultParagraphFont"/>
    <w:uiPriority w:val="99"/>
    <w:unhideWhenUsed/>
    <w:rsid w:val="00375296"/>
    <w:rPr>
      <w:color w:val="467886" w:themeColor="hyperlink"/>
      <w:u w:val="single"/>
    </w:rPr>
  </w:style>
  <w:style w:type="paragraph" w:styleId="TOC4">
    <w:name w:val="toc 4"/>
    <w:basedOn w:val="Normal"/>
    <w:next w:val="Normal"/>
    <w:autoRedefine/>
    <w:uiPriority w:val="39"/>
    <w:semiHidden/>
    <w:unhideWhenUsed/>
    <w:rsid w:val="00375296"/>
    <w:pPr>
      <w:spacing w:after="0"/>
      <w:ind w:left="720"/>
    </w:pPr>
    <w:rPr>
      <w:rFonts w:ascii="Times New Roman" w:hAnsi="Times New Roman"/>
      <w:sz w:val="26"/>
      <w:szCs w:val="20"/>
    </w:rPr>
  </w:style>
  <w:style w:type="paragraph" w:styleId="TOC5">
    <w:name w:val="toc 5"/>
    <w:basedOn w:val="Normal"/>
    <w:next w:val="Normal"/>
    <w:autoRedefine/>
    <w:uiPriority w:val="39"/>
    <w:semiHidden/>
    <w:unhideWhenUsed/>
    <w:rsid w:val="00375296"/>
    <w:pPr>
      <w:spacing w:after="0"/>
      <w:ind w:left="960"/>
    </w:pPr>
    <w:rPr>
      <w:sz w:val="20"/>
      <w:szCs w:val="20"/>
    </w:rPr>
  </w:style>
  <w:style w:type="paragraph" w:styleId="TOC6">
    <w:name w:val="toc 6"/>
    <w:basedOn w:val="Normal"/>
    <w:next w:val="Normal"/>
    <w:autoRedefine/>
    <w:uiPriority w:val="39"/>
    <w:semiHidden/>
    <w:unhideWhenUsed/>
    <w:rsid w:val="00375296"/>
    <w:pPr>
      <w:spacing w:after="0"/>
      <w:ind w:left="1200"/>
    </w:pPr>
    <w:rPr>
      <w:sz w:val="20"/>
      <w:szCs w:val="20"/>
    </w:rPr>
  </w:style>
  <w:style w:type="paragraph" w:styleId="TOC7">
    <w:name w:val="toc 7"/>
    <w:basedOn w:val="Normal"/>
    <w:next w:val="Normal"/>
    <w:autoRedefine/>
    <w:uiPriority w:val="39"/>
    <w:semiHidden/>
    <w:unhideWhenUsed/>
    <w:rsid w:val="00375296"/>
    <w:pPr>
      <w:spacing w:after="0"/>
      <w:ind w:left="1440"/>
    </w:pPr>
    <w:rPr>
      <w:sz w:val="20"/>
      <w:szCs w:val="20"/>
    </w:rPr>
  </w:style>
  <w:style w:type="paragraph" w:styleId="TOC8">
    <w:name w:val="toc 8"/>
    <w:basedOn w:val="Normal"/>
    <w:next w:val="Normal"/>
    <w:autoRedefine/>
    <w:uiPriority w:val="39"/>
    <w:semiHidden/>
    <w:unhideWhenUsed/>
    <w:rsid w:val="00375296"/>
    <w:pPr>
      <w:spacing w:after="0"/>
      <w:ind w:left="1680"/>
    </w:pPr>
    <w:rPr>
      <w:sz w:val="20"/>
      <w:szCs w:val="20"/>
    </w:rPr>
  </w:style>
  <w:style w:type="paragraph" w:styleId="TOC9">
    <w:name w:val="toc 9"/>
    <w:basedOn w:val="Normal"/>
    <w:next w:val="Normal"/>
    <w:autoRedefine/>
    <w:uiPriority w:val="39"/>
    <w:semiHidden/>
    <w:unhideWhenUsed/>
    <w:rsid w:val="00375296"/>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E7EEE728-EFAC-49D7-9505-2FC5C85BDB29}"/>
</file>

<file path=customXml/itemProps2.xml><?xml version="1.0" encoding="utf-8"?>
<ds:datastoreItem xmlns:ds="http://schemas.openxmlformats.org/officeDocument/2006/customXml" ds:itemID="{3ED0A8CB-696D-48CA-AFB5-E69950E80D40}"/>
</file>

<file path=customXml/itemProps3.xml><?xml version="1.0" encoding="utf-8"?>
<ds:datastoreItem xmlns:ds="http://schemas.openxmlformats.org/officeDocument/2006/customXml" ds:itemID="{5A8F57B5-606C-456E-9E54-FEC550372B7C}"/>
</file>

<file path=docProps/app.xml><?xml version="1.0" encoding="utf-8"?>
<Properties xmlns="http://schemas.openxmlformats.org/officeDocument/2006/extended-properties" xmlns:vt="http://schemas.openxmlformats.org/officeDocument/2006/docPropsVTypes">
  <Template>Normal.dotm</Template>
  <TotalTime>0</TotalTime>
  <Pages>25</Pages>
  <Words>5386</Words>
  <Characters>30703</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2026-09-09T00:43:00Z</dcterms:created>
  <dcterms:modified xsi:type="dcterms:W3CDTF">2026-09-09T00:43:00Z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