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dabmch_14" w:displacedByCustomXml="next"/>
    <w:sdt>
      <w:sdtPr>
        <w:rPr>
          <w:color w:val="156082" w:themeColor="accent1"/>
        </w:rPr>
        <w:id w:val="-401987469"/>
        <w:docPartObj>
          <w:docPartGallery w:val="Cover Pages"/>
          <w:docPartUnique/>
        </w:docPartObj>
      </w:sdtPr>
      <w:sdtEndPr>
        <w:rPr>
          <w:caps/>
          <w:color w:val="auto"/>
          <w:sz w:val="26"/>
          <w:szCs w:val="26"/>
        </w:rPr>
      </w:sdtEndPr>
      <w:sdtContent>
        <w:bookmarkStart w:id="1" w:name="dabmch_1" w:displacedByCustomXml="prev"/>
        <w:p w14:paraId="3464843D" w14:textId="3983F777" w:rsidR="00E20FBD" w:rsidRDefault="00E20FBD" w:rsidP="005D373E">
          <w:pPr>
            <w:jc w:val="right"/>
            <w:rPr>
              <w:sz w:val="26"/>
              <w:szCs w:val="26"/>
            </w:rPr>
          </w:pPr>
          <w:r>
            <w:rPr>
              <w:sz w:val="26"/>
              <w:szCs w:val="26"/>
            </w:rPr>
            <w:t>Team No. 314</w:t>
          </w:r>
          <w:bookmarkEnd w:id="1"/>
        </w:p>
        <w:p w14:paraId="5E7550C2" w14:textId="77777777" w:rsidR="005D373E" w:rsidRDefault="005D373E" w:rsidP="005D373E">
          <w:pPr>
            <w:jc w:val="right"/>
            <w:rPr>
              <w:sz w:val="26"/>
              <w:szCs w:val="26"/>
            </w:rPr>
          </w:pPr>
        </w:p>
        <w:p w14:paraId="0F31E916" w14:textId="486DB3B0" w:rsidR="00E20FBD" w:rsidRDefault="00E20FBD" w:rsidP="00E20FBD">
          <w:pPr>
            <w:jc w:val="center"/>
            <w:rPr>
              <w:b/>
              <w:bCs/>
              <w:sz w:val="26"/>
              <w:szCs w:val="26"/>
            </w:rPr>
          </w:pPr>
          <w:bookmarkStart w:id="2" w:name="dabmch_2"/>
          <w:r w:rsidRPr="38A6BBE3">
            <w:rPr>
              <w:b/>
              <w:bCs/>
              <w:sz w:val="26"/>
              <w:szCs w:val="26"/>
            </w:rPr>
            <w:t>UNITED STATES DISTRICT COURT</w:t>
          </w:r>
          <w:bookmarkEnd w:id="2"/>
        </w:p>
        <w:p w14:paraId="14BDAD79" w14:textId="64A6A183" w:rsidR="00E20FBD" w:rsidRPr="00CF3330" w:rsidRDefault="00E20FBD" w:rsidP="00CF3330">
          <w:pPr>
            <w:spacing w:after="240"/>
            <w:jc w:val="center"/>
            <w:rPr>
              <w:b/>
              <w:bCs/>
              <w:sz w:val="26"/>
              <w:szCs w:val="26"/>
            </w:rPr>
          </w:pPr>
          <w:bookmarkStart w:id="3" w:name="_Int_SisK4Q9T"/>
          <w:bookmarkStart w:id="4" w:name="dabmch_3"/>
          <w:r w:rsidRPr="38A6BBE3">
            <w:rPr>
              <w:b/>
              <w:bCs/>
              <w:sz w:val="26"/>
              <w:szCs w:val="26"/>
            </w:rPr>
            <w:t>THE FOURTEENTH JUDICIAL DISTRICT</w:t>
          </w:r>
          <w:bookmarkEnd w:id="3"/>
          <w:bookmarkEnd w:id="4"/>
        </w:p>
        <w:p w14:paraId="70CAC502" w14:textId="6A5E57C2" w:rsidR="00E20FBD" w:rsidRDefault="00E20FBD" w:rsidP="00CF3330">
          <w:pPr>
            <w:spacing w:before="240" w:after="240"/>
            <w:rPr>
              <w:sz w:val="26"/>
              <w:szCs w:val="26"/>
            </w:rPr>
          </w:pPr>
          <w:bookmarkStart w:id="5" w:name="dabmch_4"/>
          <w:r w:rsidRPr="38A6BBE3">
            <w:rPr>
              <w:sz w:val="26"/>
              <w:szCs w:val="26"/>
            </w:rPr>
            <w:t>UNITED STATES OF AMERICA,</w:t>
          </w:r>
          <w:bookmarkEnd w:id="5"/>
        </w:p>
        <w:p w14:paraId="593A9C38" w14:textId="77777777" w:rsidR="00BE3105" w:rsidRPr="007F1FEC" w:rsidRDefault="00BE3105" w:rsidP="00BE3105">
          <w:pPr>
            <w:rPr>
              <w:sz w:val="26"/>
              <w:szCs w:val="26"/>
            </w:rPr>
          </w:pPr>
        </w:p>
        <w:p w14:paraId="7618DBB8" w14:textId="4CD11C27" w:rsidR="00E20FBD" w:rsidRDefault="007F1FEC" w:rsidP="007F1FEC">
          <w:pPr>
            <w:spacing w:before="240" w:line="480" w:lineRule="auto"/>
            <w:rPr>
              <w:sz w:val="26"/>
              <w:szCs w:val="26"/>
            </w:rPr>
          </w:pPr>
          <w:bookmarkStart w:id="6" w:name="dabmch_5"/>
          <w:r>
            <w:rPr>
              <w:sz w:val="26"/>
              <w:szCs w:val="26"/>
            </w:rPr>
            <w:t xml:space="preserve">v.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E20FBD">
            <w:rPr>
              <w:sz w:val="26"/>
              <w:szCs w:val="26"/>
            </w:rPr>
            <w:t>Case No. 2025-CF-00417</w:t>
          </w:r>
          <w:bookmarkEnd w:id="6"/>
        </w:p>
        <w:p w14:paraId="6AF84DF5" w14:textId="77777777" w:rsidR="00BE3105" w:rsidRPr="007F1FEC" w:rsidRDefault="00BE3105" w:rsidP="00BE3105"/>
        <w:p w14:paraId="76583D89" w14:textId="01295535" w:rsidR="00E20FBD" w:rsidRDefault="00E20FBD" w:rsidP="007F1FEC">
          <w:pPr>
            <w:spacing w:before="240"/>
            <w:rPr>
              <w:sz w:val="26"/>
              <w:szCs w:val="26"/>
            </w:rPr>
          </w:pPr>
          <w:bookmarkStart w:id="7" w:name="dabmch_7"/>
          <w:r w:rsidRPr="38A6BBE3">
            <w:rPr>
              <w:sz w:val="26"/>
              <w:szCs w:val="26"/>
            </w:rPr>
            <w:t>EMILY CALLOWAY,</w:t>
          </w:r>
          <w:bookmarkEnd w:id="7"/>
        </w:p>
        <w:p w14:paraId="323DA4C2" w14:textId="77777777" w:rsidR="00E20FBD" w:rsidRDefault="00E20FBD" w:rsidP="007F1FEC">
          <w:pPr>
            <w:spacing w:before="240"/>
            <w:ind w:left="1440"/>
            <w:rPr>
              <w:i/>
              <w:iCs/>
              <w:sz w:val="26"/>
              <w:szCs w:val="26"/>
            </w:rPr>
          </w:pPr>
          <w:bookmarkStart w:id="8" w:name="dabmch_8"/>
          <w:r w:rsidRPr="38A6BBE3">
            <w:rPr>
              <w:i/>
              <w:iCs/>
              <w:sz w:val="26"/>
              <w:szCs w:val="26"/>
            </w:rPr>
            <w:t>Defendant.</w:t>
          </w:r>
          <w:bookmarkEnd w:id="8"/>
        </w:p>
        <w:p w14:paraId="1E9A7F9A" w14:textId="4F026BCC" w:rsidR="0075398C" w:rsidRDefault="0075398C" w:rsidP="0075398C">
          <w:pPr>
            <w:rPr>
              <w:i/>
              <w:iCs/>
              <w:sz w:val="26"/>
              <w:szCs w:val="26"/>
            </w:rPr>
          </w:pPr>
          <w:r w:rsidRPr="00666CC3">
            <w:rPr>
              <w:b/>
              <w:bCs/>
              <w:i/>
              <w:iCs/>
              <w:sz w:val="26"/>
              <w:szCs w:val="26"/>
            </w:rPr>
            <w:t>_____________________________</w:t>
          </w:r>
          <w:r w:rsidR="007016F9" w:rsidRPr="00666CC3">
            <w:rPr>
              <w:b/>
              <w:bCs/>
              <w:i/>
              <w:iCs/>
              <w:sz w:val="26"/>
              <w:szCs w:val="26"/>
            </w:rPr>
            <w:t>____</w:t>
          </w:r>
          <w:r w:rsidR="007016F9">
            <w:rPr>
              <w:i/>
              <w:iCs/>
              <w:sz w:val="26"/>
              <w:szCs w:val="26"/>
            </w:rPr>
            <w:t>/</w:t>
          </w:r>
        </w:p>
        <w:p w14:paraId="1392D462" w14:textId="77777777" w:rsidR="007016F9" w:rsidRDefault="007016F9" w:rsidP="0075398C">
          <w:pPr>
            <w:rPr>
              <w:i/>
              <w:iCs/>
              <w:sz w:val="26"/>
              <w:szCs w:val="26"/>
            </w:rPr>
          </w:pPr>
        </w:p>
        <w:p w14:paraId="75BAB959" w14:textId="77777777" w:rsidR="007016F9" w:rsidRDefault="007016F9" w:rsidP="0075398C">
          <w:pPr>
            <w:rPr>
              <w:i/>
              <w:iCs/>
              <w:sz w:val="26"/>
              <w:szCs w:val="26"/>
            </w:rPr>
          </w:pPr>
        </w:p>
        <w:p w14:paraId="2CBB3A0D" w14:textId="77777777" w:rsidR="007016F9" w:rsidRDefault="007016F9" w:rsidP="0075398C">
          <w:pPr>
            <w:rPr>
              <w:i/>
              <w:iCs/>
              <w:sz w:val="26"/>
              <w:szCs w:val="26"/>
            </w:rPr>
          </w:pPr>
        </w:p>
        <w:p w14:paraId="116365DD" w14:textId="77777777" w:rsidR="00A40F8F" w:rsidRDefault="00A40F8F" w:rsidP="00E20FBD">
          <w:pPr>
            <w:pBdr>
              <w:bottom w:val="single" w:sz="6" w:space="1" w:color="000000"/>
            </w:pBdr>
            <w:spacing w:before="60" w:after="60"/>
            <w:rPr>
              <w:sz w:val="26"/>
              <w:szCs w:val="26"/>
            </w:rPr>
          </w:pPr>
        </w:p>
        <w:p w14:paraId="03DDE934" w14:textId="77777777" w:rsidR="00E20FBD" w:rsidRPr="00980EA5" w:rsidRDefault="00E20FBD" w:rsidP="00E20FBD">
          <w:pPr>
            <w:rPr>
              <w:sz w:val="26"/>
              <w:szCs w:val="26"/>
            </w:rPr>
          </w:pPr>
        </w:p>
        <w:p w14:paraId="73482769" w14:textId="77777777" w:rsidR="00E20FBD" w:rsidRDefault="00E20FBD" w:rsidP="00E20FBD">
          <w:pPr>
            <w:jc w:val="center"/>
            <w:rPr>
              <w:b/>
              <w:bCs/>
              <w:sz w:val="26"/>
              <w:szCs w:val="26"/>
            </w:rPr>
          </w:pPr>
          <w:bookmarkStart w:id="9" w:name="dabmch_9"/>
          <w:r w:rsidRPr="38A6BBE3">
            <w:rPr>
              <w:b/>
              <w:bCs/>
              <w:sz w:val="26"/>
              <w:szCs w:val="26"/>
            </w:rPr>
            <w:t>MEMORANDUM OF LAW IN SUPPORT OF DEFENDANT’S</w:t>
          </w:r>
          <w:bookmarkEnd w:id="9"/>
        </w:p>
        <w:p w14:paraId="1B032A23" w14:textId="64ADD4AD" w:rsidR="00E20FBD" w:rsidRDefault="00E20FBD" w:rsidP="00C07149">
          <w:pPr>
            <w:jc w:val="center"/>
            <w:rPr>
              <w:b/>
              <w:bCs/>
              <w:sz w:val="26"/>
              <w:szCs w:val="26"/>
            </w:rPr>
          </w:pPr>
          <w:bookmarkStart w:id="10" w:name="dabmch_10"/>
          <w:r w:rsidRPr="38A6BBE3">
            <w:rPr>
              <w:b/>
              <w:bCs/>
              <w:sz w:val="26"/>
              <w:szCs w:val="26"/>
            </w:rPr>
            <w:t xml:space="preserve">MOTION TO SUPPRESS EVIDENCE </w:t>
          </w:r>
          <w:r w:rsidR="00C07149">
            <w:rPr>
              <w:b/>
              <w:bCs/>
              <w:sz w:val="26"/>
              <w:szCs w:val="26"/>
            </w:rPr>
            <w:t xml:space="preserve">OBTAINED </w:t>
          </w:r>
          <w:r w:rsidRPr="38A6BBE3">
            <w:rPr>
              <w:b/>
              <w:bCs/>
              <w:sz w:val="26"/>
              <w:szCs w:val="26"/>
            </w:rPr>
            <w:t>IN VIOLATION OF COURT ORDER AND MOTION TO QUASH UNITED STATES SUBPOENA DUCES TECUM</w:t>
          </w:r>
          <w:bookmarkStart w:id="11" w:name="dabmch_11"/>
          <w:bookmarkEnd w:id="10"/>
          <w:r w:rsidR="00C07149">
            <w:rPr>
              <w:b/>
              <w:bCs/>
              <w:sz w:val="26"/>
              <w:szCs w:val="26"/>
            </w:rPr>
            <w:t xml:space="preserve"> </w:t>
          </w:r>
          <w:r w:rsidRPr="38A6BBE3">
            <w:rPr>
              <w:b/>
              <w:bCs/>
              <w:sz w:val="26"/>
              <w:szCs w:val="26"/>
            </w:rPr>
            <w:t>ON MADDOX ARMANA</w:t>
          </w:r>
          <w:bookmarkEnd w:id="11"/>
        </w:p>
        <w:p w14:paraId="63744280" w14:textId="77777777" w:rsidR="00E20FBD" w:rsidRDefault="00E20FBD" w:rsidP="00E20FBD">
          <w:pPr>
            <w:pBdr>
              <w:bottom w:val="single" w:sz="6" w:space="1" w:color="000000"/>
            </w:pBdr>
            <w:spacing w:before="60" w:after="60"/>
            <w:rPr>
              <w:sz w:val="26"/>
              <w:szCs w:val="26"/>
            </w:rPr>
          </w:pPr>
        </w:p>
        <w:p w14:paraId="7E2814C5" w14:textId="77777777" w:rsidR="00E20FBD" w:rsidRDefault="00E20FBD" w:rsidP="00E20FBD">
          <w:pPr>
            <w:spacing w:line="480" w:lineRule="auto"/>
            <w:rPr>
              <w:sz w:val="26"/>
              <w:szCs w:val="26"/>
            </w:rPr>
          </w:pPr>
        </w:p>
        <w:p w14:paraId="62B1B576" w14:textId="77777777" w:rsidR="00E20FBD" w:rsidRDefault="00E20FBD" w:rsidP="00E20FBD">
          <w:pPr>
            <w:spacing w:line="480" w:lineRule="auto"/>
          </w:pPr>
        </w:p>
        <w:p w14:paraId="14DFDABE" w14:textId="77777777" w:rsidR="0075398C" w:rsidRDefault="0075398C" w:rsidP="00E20FBD">
          <w:pPr>
            <w:spacing w:before="240" w:after="240" w:line="480" w:lineRule="auto"/>
            <w:jc w:val="right"/>
            <w:rPr>
              <w:sz w:val="26"/>
              <w:szCs w:val="26"/>
            </w:rPr>
          </w:pPr>
        </w:p>
        <w:p w14:paraId="5D4E2CAD" w14:textId="77777777" w:rsidR="005D373E" w:rsidRDefault="005D373E" w:rsidP="00E20FBD">
          <w:pPr>
            <w:spacing w:before="240" w:after="240" w:line="480" w:lineRule="auto"/>
            <w:jc w:val="right"/>
            <w:rPr>
              <w:sz w:val="26"/>
              <w:szCs w:val="26"/>
            </w:rPr>
          </w:pPr>
        </w:p>
        <w:p w14:paraId="122BE77A" w14:textId="77777777" w:rsidR="005D373E" w:rsidRDefault="005D373E" w:rsidP="00E20FBD">
          <w:pPr>
            <w:spacing w:before="240" w:after="240" w:line="480" w:lineRule="auto"/>
            <w:jc w:val="right"/>
            <w:rPr>
              <w:sz w:val="26"/>
              <w:szCs w:val="26"/>
            </w:rPr>
          </w:pPr>
        </w:p>
        <w:p w14:paraId="27E3DB52" w14:textId="01476849" w:rsidR="00E20FBD" w:rsidRPr="007016F9" w:rsidRDefault="00BF3C6D" w:rsidP="007016F9">
          <w:pPr>
            <w:spacing w:before="240" w:after="240" w:line="480" w:lineRule="auto"/>
            <w:jc w:val="right"/>
            <w:rPr>
              <w:i/>
              <w:iCs/>
              <w:sz w:val="26"/>
              <w:szCs w:val="26"/>
            </w:rPr>
          </w:pPr>
        </w:p>
      </w:sdtContent>
    </w:sdt>
    <w:p w14:paraId="11B9C6B4" w14:textId="79936DAF" w:rsidR="009B4532" w:rsidRPr="0021769E" w:rsidRDefault="00893525" w:rsidP="00E20FBD">
      <w:pPr>
        <w:pStyle w:val="Heading1"/>
        <w:jc w:val="center"/>
        <w:rPr>
          <w:caps/>
          <w:sz w:val="26"/>
          <w:szCs w:val="26"/>
        </w:rPr>
      </w:pPr>
      <w:bookmarkStart w:id="12" w:name="_Toc239116027"/>
      <w:r w:rsidRPr="0021769E">
        <w:rPr>
          <w:caps/>
          <w:sz w:val="26"/>
          <w:szCs w:val="26"/>
        </w:rPr>
        <w:lastRenderedPageBreak/>
        <w:t>Table of Contents</w:t>
      </w:r>
      <w:bookmarkEnd w:id="0"/>
      <w:bookmarkEnd w:id="12"/>
    </w:p>
    <w:sdt>
      <w:sdtPr>
        <w:rPr>
          <w:rFonts w:ascii="Times New Roman" w:eastAsia="Times New Roman" w:hAnsi="Times New Roman" w:cs="Times New Roman"/>
          <w:color w:val="auto"/>
          <w:sz w:val="24"/>
          <w:szCs w:val="24"/>
        </w:rPr>
        <w:id w:val="1581721099"/>
        <w:docPartObj>
          <w:docPartGallery w:val="Table of Contents"/>
          <w:docPartUnique/>
        </w:docPartObj>
      </w:sdtPr>
      <w:sdtEndPr>
        <w:rPr>
          <w:b/>
          <w:bCs/>
          <w:noProof/>
          <w:sz w:val="26"/>
          <w:szCs w:val="26"/>
        </w:rPr>
      </w:sdtEndPr>
      <w:sdtContent>
        <w:p w14:paraId="1F08A9A1" w14:textId="77777777" w:rsidR="0021769E" w:rsidRPr="0021769E" w:rsidRDefault="0021769E">
          <w:pPr>
            <w:pStyle w:val="TOCHeading"/>
            <w:rPr>
              <w:sz w:val="2"/>
              <w:szCs w:val="2"/>
            </w:rPr>
          </w:pPr>
        </w:p>
        <w:bookmarkStart w:id="13" w:name="dabmch_15"/>
        <w:p w14:paraId="2F685A9E" w14:textId="5BF971CD" w:rsidR="006636EC" w:rsidRPr="004A2213" w:rsidRDefault="00893525" w:rsidP="002D29B7">
          <w:pPr>
            <w:pStyle w:val="TOC1"/>
            <w:rPr>
              <w:rFonts w:asciiTheme="minorHAnsi" w:eastAsiaTheme="minorEastAsia" w:hAnsiTheme="minorHAnsi" w:cstheme="minorBidi"/>
              <w:noProof/>
              <w:kern w:val="2"/>
              <w14:ligatures w14:val="standardContextual"/>
            </w:rPr>
          </w:pPr>
          <w:r w:rsidRPr="004A2213">
            <w:fldChar w:fldCharType="begin"/>
          </w:r>
          <w:r w:rsidRPr="004A2213">
            <w:instrText xml:space="preserve"> TOC \o "1-3" \h \z \u </w:instrText>
          </w:r>
          <w:r w:rsidRPr="004A2213">
            <w:fldChar w:fldCharType="separate"/>
          </w:r>
          <w:bookmarkStart w:id="14" w:name="dabmch_35"/>
          <w:bookmarkEnd w:id="13"/>
          <w:r w:rsidR="006636EC" w:rsidRPr="004A2213">
            <w:rPr>
              <w:rStyle w:val="Hyperlink"/>
              <w:noProof/>
              <w:sz w:val="26"/>
              <w:szCs w:val="26"/>
            </w:rPr>
            <w:fldChar w:fldCharType="begin"/>
          </w:r>
          <w:r w:rsidR="006636EC" w:rsidRPr="004A2213">
            <w:rPr>
              <w:rStyle w:val="Hyperlink"/>
              <w:noProof/>
              <w:sz w:val="26"/>
              <w:szCs w:val="26"/>
            </w:rPr>
            <w:instrText xml:space="preserve"> </w:instrText>
          </w:r>
          <w:r w:rsidR="006636EC" w:rsidRPr="004A2213">
            <w:rPr>
              <w:noProof/>
            </w:rPr>
            <w:instrText>HYPERLINK \l "_Toc239116027"</w:instrText>
          </w:r>
          <w:r w:rsidR="006636EC" w:rsidRPr="004A2213">
            <w:rPr>
              <w:rStyle w:val="Hyperlink"/>
              <w:noProof/>
              <w:sz w:val="26"/>
              <w:szCs w:val="26"/>
            </w:rPr>
            <w:instrText xml:space="preserve"> </w:instrText>
          </w:r>
          <w:r w:rsidR="006636EC" w:rsidRPr="004A2213">
            <w:rPr>
              <w:rStyle w:val="Hyperlink"/>
              <w:noProof/>
              <w:sz w:val="26"/>
              <w:szCs w:val="26"/>
            </w:rPr>
          </w:r>
          <w:r w:rsidR="006636EC" w:rsidRPr="004A2213">
            <w:rPr>
              <w:rStyle w:val="Hyperlink"/>
              <w:noProof/>
              <w:sz w:val="26"/>
              <w:szCs w:val="26"/>
            </w:rPr>
            <w:fldChar w:fldCharType="separate"/>
          </w:r>
          <w:r w:rsidR="006636EC" w:rsidRPr="004A2213">
            <w:rPr>
              <w:rStyle w:val="Hyperlink"/>
              <w:caps/>
              <w:noProof/>
              <w:sz w:val="26"/>
              <w:szCs w:val="26"/>
            </w:rPr>
            <w:t>Table of Contents</w:t>
          </w:r>
          <w:r w:rsidR="006636EC" w:rsidRPr="004A2213">
            <w:rPr>
              <w:noProof/>
              <w:webHidden/>
            </w:rPr>
            <w:tab/>
          </w:r>
          <w:r w:rsidR="006636EC" w:rsidRPr="004A2213">
            <w:rPr>
              <w:noProof/>
              <w:webHidden/>
            </w:rPr>
            <w:fldChar w:fldCharType="begin"/>
          </w:r>
          <w:r w:rsidR="006636EC" w:rsidRPr="004A2213">
            <w:rPr>
              <w:noProof/>
              <w:webHidden/>
            </w:rPr>
            <w:instrText xml:space="preserve"> PAGEREF _Toc239116027 \h </w:instrText>
          </w:r>
          <w:r w:rsidR="006636EC" w:rsidRPr="004A2213">
            <w:rPr>
              <w:noProof/>
              <w:webHidden/>
            </w:rPr>
          </w:r>
          <w:r w:rsidR="006636EC" w:rsidRPr="004A2213">
            <w:rPr>
              <w:noProof/>
              <w:webHidden/>
            </w:rPr>
            <w:fldChar w:fldCharType="separate"/>
          </w:r>
          <w:r w:rsidR="006636EC" w:rsidRPr="004A2213">
            <w:rPr>
              <w:noProof/>
              <w:webHidden/>
            </w:rPr>
            <w:t>i</w:t>
          </w:r>
          <w:r w:rsidR="006636EC" w:rsidRPr="004A2213">
            <w:rPr>
              <w:noProof/>
              <w:webHidden/>
            </w:rPr>
            <w:fldChar w:fldCharType="end"/>
          </w:r>
          <w:r w:rsidR="006636EC" w:rsidRPr="004A2213">
            <w:rPr>
              <w:rStyle w:val="Hyperlink"/>
              <w:noProof/>
              <w:sz w:val="26"/>
              <w:szCs w:val="26"/>
            </w:rPr>
            <w:fldChar w:fldCharType="end"/>
          </w:r>
        </w:p>
        <w:p w14:paraId="51691B31" w14:textId="23F5E2A9" w:rsidR="006636EC" w:rsidRPr="004A2213" w:rsidRDefault="006636EC" w:rsidP="002D29B7">
          <w:pPr>
            <w:pStyle w:val="TOC1"/>
            <w:rPr>
              <w:rFonts w:asciiTheme="minorHAnsi" w:eastAsiaTheme="minorEastAsia" w:hAnsiTheme="minorHAnsi" w:cstheme="minorBidi"/>
              <w:noProof/>
              <w:kern w:val="2"/>
              <w14:ligatures w14:val="standardContextual"/>
            </w:rPr>
          </w:pPr>
          <w:hyperlink w:anchor="_Toc239116028" w:history="1">
            <w:r w:rsidRPr="004A2213">
              <w:rPr>
                <w:rStyle w:val="Hyperlink"/>
                <w:caps/>
                <w:noProof/>
                <w:sz w:val="26"/>
                <w:szCs w:val="26"/>
              </w:rPr>
              <w:t>Table of Authorities</w:t>
            </w:r>
            <w:r w:rsidRPr="004A2213">
              <w:rPr>
                <w:noProof/>
                <w:webHidden/>
              </w:rPr>
              <w:tab/>
            </w:r>
            <w:r w:rsidRPr="004A2213">
              <w:rPr>
                <w:noProof/>
                <w:webHidden/>
              </w:rPr>
              <w:fldChar w:fldCharType="begin"/>
            </w:r>
            <w:r w:rsidRPr="004A2213">
              <w:rPr>
                <w:noProof/>
                <w:webHidden/>
              </w:rPr>
              <w:instrText xml:space="preserve"> PAGEREF _Toc239116028 \h </w:instrText>
            </w:r>
            <w:r w:rsidRPr="004A2213">
              <w:rPr>
                <w:noProof/>
                <w:webHidden/>
              </w:rPr>
            </w:r>
            <w:r w:rsidRPr="004A2213">
              <w:rPr>
                <w:noProof/>
                <w:webHidden/>
              </w:rPr>
              <w:fldChar w:fldCharType="separate"/>
            </w:r>
            <w:r w:rsidRPr="004A2213">
              <w:rPr>
                <w:noProof/>
                <w:webHidden/>
              </w:rPr>
              <w:t>iii</w:t>
            </w:r>
            <w:r w:rsidRPr="004A2213">
              <w:rPr>
                <w:noProof/>
                <w:webHidden/>
              </w:rPr>
              <w:fldChar w:fldCharType="end"/>
            </w:r>
          </w:hyperlink>
        </w:p>
        <w:p w14:paraId="4844FEB1" w14:textId="03E3E1F9" w:rsidR="006636EC" w:rsidRPr="004A2213" w:rsidRDefault="006636EC" w:rsidP="002D29B7">
          <w:pPr>
            <w:pStyle w:val="TOC1"/>
            <w:rPr>
              <w:rFonts w:asciiTheme="minorHAnsi" w:eastAsiaTheme="minorEastAsia" w:hAnsiTheme="minorHAnsi" w:cstheme="minorBidi"/>
              <w:noProof/>
              <w:kern w:val="2"/>
              <w14:ligatures w14:val="standardContextual"/>
            </w:rPr>
          </w:pPr>
          <w:hyperlink w:anchor="_Toc239116029" w:history="1">
            <w:r w:rsidRPr="004A2213">
              <w:rPr>
                <w:rStyle w:val="Hyperlink"/>
                <w:caps/>
                <w:noProof/>
                <w:sz w:val="26"/>
                <w:szCs w:val="26"/>
              </w:rPr>
              <w:t>Introduction</w:t>
            </w:r>
            <w:r w:rsidRPr="004A2213">
              <w:rPr>
                <w:noProof/>
                <w:webHidden/>
              </w:rPr>
              <w:tab/>
            </w:r>
            <w:r w:rsidRPr="004A2213">
              <w:rPr>
                <w:noProof/>
                <w:webHidden/>
              </w:rPr>
              <w:fldChar w:fldCharType="begin"/>
            </w:r>
            <w:r w:rsidRPr="004A2213">
              <w:rPr>
                <w:noProof/>
                <w:webHidden/>
              </w:rPr>
              <w:instrText xml:space="preserve"> PAGEREF _Toc239116029 \h </w:instrText>
            </w:r>
            <w:r w:rsidRPr="004A2213">
              <w:rPr>
                <w:noProof/>
                <w:webHidden/>
              </w:rPr>
            </w:r>
            <w:r w:rsidRPr="004A2213">
              <w:rPr>
                <w:noProof/>
                <w:webHidden/>
              </w:rPr>
              <w:fldChar w:fldCharType="separate"/>
            </w:r>
            <w:r w:rsidRPr="004A2213">
              <w:rPr>
                <w:noProof/>
                <w:webHidden/>
              </w:rPr>
              <w:t>1</w:t>
            </w:r>
            <w:r w:rsidRPr="004A2213">
              <w:rPr>
                <w:noProof/>
                <w:webHidden/>
              </w:rPr>
              <w:fldChar w:fldCharType="end"/>
            </w:r>
          </w:hyperlink>
        </w:p>
        <w:p w14:paraId="19EBA89D" w14:textId="14185404" w:rsidR="006636EC" w:rsidRPr="004A2213" w:rsidRDefault="006636EC" w:rsidP="002D29B7">
          <w:pPr>
            <w:pStyle w:val="TOC1"/>
            <w:rPr>
              <w:rFonts w:asciiTheme="minorHAnsi" w:eastAsiaTheme="minorEastAsia" w:hAnsiTheme="minorHAnsi" w:cstheme="minorBidi"/>
              <w:noProof/>
              <w:kern w:val="2"/>
              <w14:ligatures w14:val="standardContextual"/>
            </w:rPr>
          </w:pPr>
          <w:hyperlink w:anchor="_Toc239116030" w:history="1">
            <w:r w:rsidRPr="004A2213">
              <w:rPr>
                <w:rStyle w:val="Hyperlink"/>
                <w:caps/>
                <w:noProof/>
                <w:sz w:val="26"/>
                <w:szCs w:val="26"/>
              </w:rPr>
              <w:t>Statement of Facts</w:t>
            </w:r>
            <w:r w:rsidRPr="004A2213">
              <w:rPr>
                <w:noProof/>
                <w:webHidden/>
              </w:rPr>
              <w:tab/>
            </w:r>
            <w:r w:rsidRPr="004A2213">
              <w:rPr>
                <w:noProof/>
                <w:webHidden/>
              </w:rPr>
              <w:fldChar w:fldCharType="begin"/>
            </w:r>
            <w:r w:rsidRPr="004A2213">
              <w:rPr>
                <w:noProof/>
                <w:webHidden/>
              </w:rPr>
              <w:instrText xml:space="preserve"> PAGEREF _Toc239116030 \h </w:instrText>
            </w:r>
            <w:r w:rsidRPr="004A2213">
              <w:rPr>
                <w:noProof/>
                <w:webHidden/>
              </w:rPr>
            </w:r>
            <w:r w:rsidRPr="004A2213">
              <w:rPr>
                <w:noProof/>
                <w:webHidden/>
              </w:rPr>
              <w:fldChar w:fldCharType="separate"/>
            </w:r>
            <w:r w:rsidRPr="004A2213">
              <w:rPr>
                <w:noProof/>
                <w:webHidden/>
              </w:rPr>
              <w:t>1</w:t>
            </w:r>
            <w:r w:rsidRPr="004A2213">
              <w:rPr>
                <w:noProof/>
                <w:webHidden/>
              </w:rPr>
              <w:fldChar w:fldCharType="end"/>
            </w:r>
          </w:hyperlink>
        </w:p>
        <w:p w14:paraId="00B0607D" w14:textId="512BCEFA" w:rsidR="006636EC" w:rsidRPr="004A2213" w:rsidRDefault="006636EC" w:rsidP="002D29B7">
          <w:pPr>
            <w:pStyle w:val="TOC1"/>
            <w:rPr>
              <w:rFonts w:asciiTheme="minorHAnsi" w:eastAsiaTheme="minorEastAsia" w:hAnsiTheme="minorHAnsi" w:cstheme="minorBidi"/>
              <w:noProof/>
              <w:kern w:val="2"/>
              <w14:ligatures w14:val="standardContextual"/>
            </w:rPr>
          </w:pPr>
          <w:hyperlink w:anchor="_Toc239116031" w:history="1">
            <w:r w:rsidRPr="004A2213">
              <w:rPr>
                <w:rStyle w:val="Hyperlink"/>
                <w:noProof/>
                <w:sz w:val="26"/>
                <w:szCs w:val="26"/>
              </w:rPr>
              <w:t>I.</w:t>
            </w:r>
            <w:r w:rsidRPr="004A2213">
              <w:rPr>
                <w:rFonts w:asciiTheme="minorHAnsi" w:eastAsiaTheme="minorEastAsia" w:hAnsiTheme="minorHAnsi" w:cstheme="minorBidi"/>
                <w:noProof/>
                <w:kern w:val="2"/>
                <w14:ligatures w14:val="standardContextual"/>
              </w:rPr>
              <w:tab/>
            </w:r>
            <w:r w:rsidRPr="004A2213">
              <w:rPr>
                <w:rStyle w:val="Hyperlink"/>
                <w:noProof/>
                <w:sz w:val="26"/>
                <w:szCs w:val="26"/>
              </w:rPr>
              <w:t>This Court Should Grant Defendant’s Motion to Suppress Because the Government Cannot Prove Parker’s Testimony and Exhibit 19 Were Derived from Sources Wholly Independent of Calloway’s Compelled Testimony.</w:t>
            </w:r>
            <w:r w:rsidRPr="004A2213">
              <w:rPr>
                <w:noProof/>
                <w:webHidden/>
              </w:rPr>
              <w:tab/>
            </w:r>
            <w:r w:rsidRPr="004A2213">
              <w:rPr>
                <w:noProof/>
                <w:webHidden/>
              </w:rPr>
              <w:fldChar w:fldCharType="begin"/>
            </w:r>
            <w:r w:rsidRPr="004A2213">
              <w:rPr>
                <w:noProof/>
                <w:webHidden/>
              </w:rPr>
              <w:instrText xml:space="preserve"> PAGEREF _Toc239116031 \h </w:instrText>
            </w:r>
            <w:r w:rsidRPr="004A2213">
              <w:rPr>
                <w:noProof/>
                <w:webHidden/>
              </w:rPr>
            </w:r>
            <w:r w:rsidRPr="004A2213">
              <w:rPr>
                <w:noProof/>
                <w:webHidden/>
              </w:rPr>
              <w:fldChar w:fldCharType="separate"/>
            </w:r>
            <w:r w:rsidRPr="004A2213">
              <w:rPr>
                <w:noProof/>
                <w:webHidden/>
              </w:rPr>
              <w:t>5</w:t>
            </w:r>
            <w:r w:rsidRPr="004A2213">
              <w:rPr>
                <w:noProof/>
                <w:webHidden/>
              </w:rPr>
              <w:fldChar w:fldCharType="end"/>
            </w:r>
          </w:hyperlink>
        </w:p>
        <w:p w14:paraId="09723989" w14:textId="3ACD5BCA" w:rsidR="006636EC" w:rsidRPr="004A2213" w:rsidRDefault="006636EC" w:rsidP="004A2213">
          <w:pPr>
            <w:pStyle w:val="TOC2"/>
            <w:rPr>
              <w:rFonts w:asciiTheme="minorHAnsi" w:eastAsiaTheme="minorEastAsia" w:hAnsiTheme="minorHAnsi" w:cstheme="minorBidi"/>
              <w:kern w:val="2"/>
              <w:sz w:val="26"/>
              <w:szCs w:val="26"/>
              <w14:ligatures w14:val="standardContextual"/>
            </w:rPr>
          </w:pPr>
          <w:hyperlink w:anchor="_Toc239116032" w:history="1">
            <w:r w:rsidRPr="004A2213">
              <w:rPr>
                <w:rStyle w:val="Hyperlink"/>
                <w:sz w:val="26"/>
                <w:szCs w:val="26"/>
              </w:rPr>
              <w:t>A.</w:t>
            </w:r>
            <w:r w:rsidRPr="004A2213">
              <w:rPr>
                <w:rFonts w:asciiTheme="minorHAnsi" w:eastAsiaTheme="minorEastAsia" w:hAnsiTheme="minorHAnsi" w:cstheme="minorBidi"/>
                <w:kern w:val="2"/>
                <w:sz w:val="26"/>
                <w:szCs w:val="26"/>
                <w14:ligatures w14:val="standardContextual"/>
              </w:rPr>
              <w:tab/>
            </w:r>
            <w:r w:rsidRPr="004A2213">
              <w:rPr>
                <w:rStyle w:val="Hyperlink"/>
                <w:sz w:val="26"/>
                <w:szCs w:val="26"/>
              </w:rPr>
              <w:t>The Government Cannot Prove the Investigative Chain that Led to Parker’s Interview, and Nolan’s Questioning of Parker Was Wholly Independent of Calloway’s Immunized Testimony.</w:t>
            </w:r>
            <w:r w:rsidRPr="004A2213">
              <w:rPr>
                <w:webHidden/>
                <w:sz w:val="26"/>
                <w:szCs w:val="26"/>
              </w:rPr>
              <w:tab/>
            </w:r>
            <w:r w:rsidRPr="004A2213">
              <w:rPr>
                <w:webHidden/>
                <w:sz w:val="26"/>
                <w:szCs w:val="26"/>
              </w:rPr>
              <w:fldChar w:fldCharType="begin"/>
            </w:r>
            <w:r w:rsidRPr="004A2213">
              <w:rPr>
                <w:webHidden/>
                <w:sz w:val="26"/>
                <w:szCs w:val="26"/>
              </w:rPr>
              <w:instrText xml:space="preserve"> PAGEREF _Toc239116032 \h </w:instrText>
            </w:r>
            <w:r w:rsidRPr="004A2213">
              <w:rPr>
                <w:webHidden/>
                <w:sz w:val="26"/>
                <w:szCs w:val="26"/>
              </w:rPr>
            </w:r>
            <w:r w:rsidRPr="004A2213">
              <w:rPr>
                <w:webHidden/>
                <w:sz w:val="26"/>
                <w:szCs w:val="26"/>
              </w:rPr>
              <w:fldChar w:fldCharType="separate"/>
            </w:r>
            <w:r w:rsidRPr="004A2213">
              <w:rPr>
                <w:webHidden/>
                <w:sz w:val="26"/>
                <w:szCs w:val="26"/>
              </w:rPr>
              <w:t>6</w:t>
            </w:r>
            <w:r w:rsidRPr="004A2213">
              <w:rPr>
                <w:webHidden/>
                <w:sz w:val="26"/>
                <w:szCs w:val="26"/>
              </w:rPr>
              <w:fldChar w:fldCharType="end"/>
            </w:r>
          </w:hyperlink>
        </w:p>
        <w:p w14:paraId="7E15F0FE" w14:textId="3F51C7A1" w:rsidR="006636EC" w:rsidRPr="004A2213" w:rsidRDefault="006636EC" w:rsidP="004A2213">
          <w:pPr>
            <w:pStyle w:val="TOC2"/>
            <w:ind w:left="1200" w:hanging="840"/>
            <w:rPr>
              <w:rFonts w:asciiTheme="minorHAnsi" w:eastAsiaTheme="minorEastAsia" w:hAnsiTheme="minorHAnsi" w:cstheme="minorBidi"/>
              <w:kern w:val="2"/>
              <w:sz w:val="26"/>
              <w:szCs w:val="26"/>
              <w14:ligatures w14:val="standardContextual"/>
            </w:rPr>
          </w:pPr>
          <w:r w:rsidRPr="004A2213">
            <w:rPr>
              <w:rStyle w:val="Hyperlink"/>
              <w:sz w:val="26"/>
              <w:szCs w:val="26"/>
              <w:u w:val="none"/>
            </w:rPr>
            <w:tab/>
          </w:r>
          <w:hyperlink w:anchor="_Toc239116033" w:history="1">
            <w:r w:rsidRPr="004A2213">
              <w:rPr>
                <w:rStyle w:val="Hyperlink"/>
                <w:sz w:val="26"/>
                <w:szCs w:val="26"/>
              </w:rPr>
              <w:t>a.</w:t>
            </w:r>
            <w:r w:rsidRPr="004A2213">
              <w:rPr>
                <w:rFonts w:asciiTheme="minorHAnsi" w:eastAsiaTheme="minorEastAsia" w:hAnsiTheme="minorHAnsi" w:cstheme="minorBidi"/>
                <w:kern w:val="2"/>
                <w:sz w:val="26"/>
                <w:szCs w:val="26"/>
                <w14:ligatures w14:val="standardContextual"/>
              </w:rPr>
              <w:tab/>
            </w:r>
            <w:r w:rsidRPr="004A2213">
              <w:rPr>
                <w:rStyle w:val="Hyperlink"/>
                <w:sz w:val="26"/>
                <w:szCs w:val="26"/>
              </w:rPr>
              <w:t>The Government’s Prior Knowledge that Parker Merely Existed Does Not, on its Own, Establish that Parker’s Testimony was Derived from a Source Wholly Independent of Calloway’s Compelled Testimony.</w:t>
            </w:r>
            <w:r w:rsidRPr="004A2213">
              <w:rPr>
                <w:webHidden/>
                <w:sz w:val="26"/>
                <w:szCs w:val="26"/>
              </w:rPr>
              <w:tab/>
            </w:r>
            <w:r w:rsidRPr="004A2213">
              <w:rPr>
                <w:webHidden/>
                <w:sz w:val="26"/>
                <w:szCs w:val="26"/>
              </w:rPr>
              <w:fldChar w:fldCharType="begin"/>
            </w:r>
            <w:r w:rsidRPr="004A2213">
              <w:rPr>
                <w:webHidden/>
                <w:sz w:val="26"/>
                <w:szCs w:val="26"/>
              </w:rPr>
              <w:instrText xml:space="preserve"> PAGEREF _Toc239116033 \h </w:instrText>
            </w:r>
            <w:r w:rsidRPr="004A2213">
              <w:rPr>
                <w:webHidden/>
                <w:sz w:val="26"/>
                <w:szCs w:val="26"/>
              </w:rPr>
            </w:r>
            <w:r w:rsidRPr="004A2213">
              <w:rPr>
                <w:webHidden/>
                <w:sz w:val="26"/>
                <w:szCs w:val="26"/>
              </w:rPr>
              <w:fldChar w:fldCharType="separate"/>
            </w:r>
            <w:r w:rsidRPr="004A2213">
              <w:rPr>
                <w:webHidden/>
                <w:sz w:val="26"/>
                <w:szCs w:val="26"/>
              </w:rPr>
              <w:t>6</w:t>
            </w:r>
            <w:r w:rsidRPr="004A2213">
              <w:rPr>
                <w:webHidden/>
                <w:sz w:val="26"/>
                <w:szCs w:val="26"/>
              </w:rPr>
              <w:fldChar w:fldCharType="end"/>
            </w:r>
          </w:hyperlink>
        </w:p>
        <w:p w14:paraId="2ACB3CC5" w14:textId="3F644F25" w:rsidR="006636EC" w:rsidRPr="004A2213" w:rsidRDefault="006636EC" w:rsidP="004A2213">
          <w:pPr>
            <w:pStyle w:val="TOC2"/>
            <w:ind w:left="1200" w:hanging="840"/>
            <w:rPr>
              <w:rFonts w:asciiTheme="minorHAnsi" w:eastAsiaTheme="minorEastAsia" w:hAnsiTheme="minorHAnsi" w:cstheme="minorBidi"/>
              <w:kern w:val="2"/>
              <w:sz w:val="26"/>
              <w:szCs w:val="26"/>
              <w14:ligatures w14:val="standardContextual"/>
            </w:rPr>
          </w:pPr>
          <w:r w:rsidRPr="004A2213">
            <w:rPr>
              <w:rStyle w:val="Hyperlink"/>
              <w:sz w:val="26"/>
              <w:szCs w:val="26"/>
              <w:u w:val="none"/>
            </w:rPr>
            <w:tab/>
          </w:r>
          <w:hyperlink w:anchor="_Toc239116034" w:history="1">
            <w:r w:rsidRPr="004A2213">
              <w:rPr>
                <w:rStyle w:val="Hyperlink"/>
                <w:sz w:val="26"/>
                <w:szCs w:val="26"/>
              </w:rPr>
              <w:t>b.</w:t>
            </w:r>
            <w:r w:rsidRPr="004A2213">
              <w:rPr>
                <w:rFonts w:asciiTheme="minorHAnsi" w:eastAsiaTheme="minorEastAsia" w:hAnsiTheme="minorHAnsi" w:cstheme="minorBidi"/>
                <w:kern w:val="2"/>
                <w:sz w:val="26"/>
                <w:szCs w:val="26"/>
                <w14:ligatures w14:val="standardContextual"/>
              </w:rPr>
              <w:tab/>
            </w:r>
            <w:r w:rsidRPr="004A2213">
              <w:rPr>
                <w:rStyle w:val="Hyperlink"/>
                <w:sz w:val="26"/>
                <w:szCs w:val="26"/>
              </w:rPr>
              <w:t>The Government’s Recordkeeping Fails to Establish that Calloway’s Immunized Testimony Did Not Shape Nolan’s Questioning of Parker.</w:t>
            </w:r>
            <w:r w:rsidRPr="004A2213">
              <w:rPr>
                <w:webHidden/>
                <w:sz w:val="26"/>
                <w:szCs w:val="26"/>
              </w:rPr>
              <w:tab/>
            </w:r>
            <w:r w:rsidRPr="004A2213">
              <w:rPr>
                <w:webHidden/>
                <w:sz w:val="26"/>
                <w:szCs w:val="26"/>
              </w:rPr>
              <w:fldChar w:fldCharType="begin"/>
            </w:r>
            <w:r w:rsidRPr="004A2213">
              <w:rPr>
                <w:webHidden/>
                <w:sz w:val="26"/>
                <w:szCs w:val="26"/>
              </w:rPr>
              <w:instrText xml:space="preserve"> PAGEREF _Toc239116034 \h </w:instrText>
            </w:r>
            <w:r w:rsidRPr="004A2213">
              <w:rPr>
                <w:webHidden/>
                <w:sz w:val="26"/>
                <w:szCs w:val="26"/>
              </w:rPr>
            </w:r>
            <w:r w:rsidRPr="004A2213">
              <w:rPr>
                <w:webHidden/>
                <w:sz w:val="26"/>
                <w:szCs w:val="26"/>
              </w:rPr>
              <w:fldChar w:fldCharType="separate"/>
            </w:r>
            <w:r w:rsidRPr="004A2213">
              <w:rPr>
                <w:webHidden/>
                <w:sz w:val="26"/>
                <w:szCs w:val="26"/>
              </w:rPr>
              <w:t>9</w:t>
            </w:r>
            <w:r w:rsidRPr="004A2213">
              <w:rPr>
                <w:webHidden/>
                <w:sz w:val="26"/>
                <w:szCs w:val="26"/>
              </w:rPr>
              <w:fldChar w:fldCharType="end"/>
            </w:r>
          </w:hyperlink>
        </w:p>
        <w:p w14:paraId="51E7106E" w14:textId="68D7166D" w:rsidR="006636EC" w:rsidRPr="004A2213" w:rsidRDefault="006636EC" w:rsidP="004A2213">
          <w:pPr>
            <w:pStyle w:val="TOC2"/>
            <w:rPr>
              <w:rFonts w:asciiTheme="minorHAnsi" w:eastAsiaTheme="minorEastAsia" w:hAnsiTheme="minorHAnsi" w:cstheme="minorBidi"/>
              <w:kern w:val="2"/>
              <w:sz w:val="26"/>
              <w:szCs w:val="26"/>
              <w14:ligatures w14:val="standardContextual"/>
            </w:rPr>
          </w:pPr>
          <w:hyperlink w:anchor="_Toc239116035" w:history="1">
            <w:r w:rsidRPr="004A2213">
              <w:rPr>
                <w:rStyle w:val="Hyperlink"/>
                <w:sz w:val="26"/>
                <w:szCs w:val="26"/>
              </w:rPr>
              <w:t>B.</w:t>
            </w:r>
            <w:r w:rsidRPr="004A2213">
              <w:rPr>
                <w:rFonts w:asciiTheme="minorHAnsi" w:eastAsiaTheme="minorEastAsia" w:hAnsiTheme="minorHAnsi" w:cstheme="minorBidi"/>
                <w:kern w:val="2"/>
                <w:sz w:val="26"/>
                <w:szCs w:val="26"/>
                <w14:ligatures w14:val="standardContextual"/>
              </w:rPr>
              <w:tab/>
            </w:r>
            <w:r w:rsidRPr="004A2213">
              <w:rPr>
                <w:rStyle w:val="Hyperlink"/>
                <w:sz w:val="26"/>
                <w:szCs w:val="26"/>
              </w:rPr>
              <w:t>Exhibit 19 Must Also be Suppressed Because Parker Supplied the Government’s First and Only Lead to the Storage Unit Where the Evidence was Discovered.</w:t>
            </w:r>
            <w:r w:rsidRPr="004A2213">
              <w:rPr>
                <w:webHidden/>
                <w:sz w:val="26"/>
                <w:szCs w:val="26"/>
              </w:rPr>
              <w:tab/>
            </w:r>
            <w:r w:rsidRPr="004A2213">
              <w:rPr>
                <w:webHidden/>
                <w:sz w:val="26"/>
                <w:szCs w:val="26"/>
              </w:rPr>
              <w:fldChar w:fldCharType="begin"/>
            </w:r>
            <w:r w:rsidRPr="004A2213">
              <w:rPr>
                <w:webHidden/>
                <w:sz w:val="26"/>
                <w:szCs w:val="26"/>
              </w:rPr>
              <w:instrText xml:space="preserve"> PAGEREF _Toc239116035 \h </w:instrText>
            </w:r>
            <w:r w:rsidRPr="004A2213">
              <w:rPr>
                <w:webHidden/>
                <w:sz w:val="26"/>
                <w:szCs w:val="26"/>
              </w:rPr>
            </w:r>
            <w:r w:rsidRPr="004A2213">
              <w:rPr>
                <w:webHidden/>
                <w:sz w:val="26"/>
                <w:szCs w:val="26"/>
              </w:rPr>
              <w:fldChar w:fldCharType="separate"/>
            </w:r>
            <w:r w:rsidRPr="004A2213">
              <w:rPr>
                <w:webHidden/>
                <w:sz w:val="26"/>
                <w:szCs w:val="26"/>
              </w:rPr>
              <w:t>10</w:t>
            </w:r>
            <w:r w:rsidRPr="004A2213">
              <w:rPr>
                <w:webHidden/>
                <w:sz w:val="26"/>
                <w:szCs w:val="26"/>
              </w:rPr>
              <w:fldChar w:fldCharType="end"/>
            </w:r>
          </w:hyperlink>
        </w:p>
        <w:p w14:paraId="286E3503" w14:textId="52A45E3C" w:rsidR="006636EC" w:rsidRPr="004A2213" w:rsidRDefault="006636EC" w:rsidP="004A2213">
          <w:pPr>
            <w:pStyle w:val="TOC2"/>
            <w:rPr>
              <w:rFonts w:asciiTheme="minorHAnsi" w:eastAsiaTheme="minorEastAsia" w:hAnsiTheme="minorHAnsi" w:cstheme="minorBidi"/>
              <w:kern w:val="2"/>
              <w:sz w:val="26"/>
              <w:szCs w:val="26"/>
              <w14:ligatures w14:val="standardContextual"/>
            </w:rPr>
          </w:pPr>
          <w:hyperlink w:anchor="_Toc239116036" w:history="1">
            <w:r w:rsidRPr="004A2213">
              <w:rPr>
                <w:rStyle w:val="Hyperlink"/>
                <w:sz w:val="26"/>
                <w:szCs w:val="26"/>
              </w:rPr>
              <w:t>C.</w:t>
            </w:r>
            <w:r w:rsidRPr="004A2213">
              <w:rPr>
                <w:rFonts w:asciiTheme="minorHAnsi" w:eastAsiaTheme="minorEastAsia" w:hAnsiTheme="minorHAnsi" w:cstheme="minorBidi"/>
                <w:kern w:val="2"/>
                <w:sz w:val="26"/>
                <w:szCs w:val="26"/>
                <w14:ligatures w14:val="standardContextual"/>
              </w:rPr>
              <w:tab/>
            </w:r>
            <w:r w:rsidRPr="004A2213">
              <w:rPr>
                <w:rStyle w:val="Hyperlink"/>
                <w:sz w:val="26"/>
                <w:szCs w:val="26"/>
              </w:rPr>
              <w:t>The Government’s Affirmative Duty is Not Dispelled by Any Inferences Drawn from Nolan’s Alleged Lack of Access to Calloway’s Immunized Testimony.</w:t>
            </w:r>
            <w:r w:rsidRPr="004A2213">
              <w:rPr>
                <w:webHidden/>
                <w:sz w:val="26"/>
                <w:szCs w:val="26"/>
              </w:rPr>
              <w:tab/>
            </w:r>
            <w:r w:rsidRPr="004A2213">
              <w:rPr>
                <w:webHidden/>
                <w:sz w:val="26"/>
                <w:szCs w:val="26"/>
              </w:rPr>
              <w:fldChar w:fldCharType="begin"/>
            </w:r>
            <w:r w:rsidRPr="004A2213">
              <w:rPr>
                <w:webHidden/>
                <w:sz w:val="26"/>
                <w:szCs w:val="26"/>
              </w:rPr>
              <w:instrText xml:space="preserve"> PAGEREF _Toc239116036 \h </w:instrText>
            </w:r>
            <w:r w:rsidRPr="004A2213">
              <w:rPr>
                <w:webHidden/>
                <w:sz w:val="26"/>
                <w:szCs w:val="26"/>
              </w:rPr>
            </w:r>
            <w:r w:rsidRPr="004A2213">
              <w:rPr>
                <w:webHidden/>
                <w:sz w:val="26"/>
                <w:szCs w:val="26"/>
              </w:rPr>
              <w:fldChar w:fldCharType="separate"/>
            </w:r>
            <w:r w:rsidRPr="004A2213">
              <w:rPr>
                <w:webHidden/>
                <w:sz w:val="26"/>
                <w:szCs w:val="26"/>
              </w:rPr>
              <w:t>11</w:t>
            </w:r>
            <w:r w:rsidRPr="004A2213">
              <w:rPr>
                <w:webHidden/>
                <w:sz w:val="26"/>
                <w:szCs w:val="26"/>
              </w:rPr>
              <w:fldChar w:fldCharType="end"/>
            </w:r>
          </w:hyperlink>
        </w:p>
        <w:p w14:paraId="26F480E5" w14:textId="0CC5DB29" w:rsidR="006636EC" w:rsidRPr="004A2213" w:rsidRDefault="006636EC" w:rsidP="002D29B7">
          <w:pPr>
            <w:pStyle w:val="TOC1"/>
            <w:rPr>
              <w:rFonts w:asciiTheme="minorHAnsi" w:eastAsiaTheme="minorEastAsia" w:hAnsiTheme="minorHAnsi" w:cstheme="minorBidi"/>
              <w:noProof/>
              <w:kern w:val="2"/>
              <w14:ligatures w14:val="standardContextual"/>
            </w:rPr>
          </w:pPr>
          <w:hyperlink w:anchor="_Toc239116037" w:history="1">
            <w:r w:rsidRPr="004A2213">
              <w:rPr>
                <w:rStyle w:val="Hyperlink"/>
                <w:noProof/>
                <w:sz w:val="26"/>
                <w:szCs w:val="26"/>
              </w:rPr>
              <w:t>II.</w:t>
            </w:r>
            <w:r w:rsidRPr="004A2213">
              <w:rPr>
                <w:rFonts w:asciiTheme="minorHAnsi" w:eastAsiaTheme="minorEastAsia" w:hAnsiTheme="minorHAnsi" w:cstheme="minorBidi"/>
                <w:noProof/>
                <w:kern w:val="2"/>
                <w14:ligatures w14:val="standardContextual"/>
              </w:rPr>
              <w:tab/>
            </w:r>
            <w:r w:rsidRPr="004A2213">
              <w:rPr>
                <w:rStyle w:val="Hyperlink"/>
                <w:noProof/>
                <w:sz w:val="26"/>
                <w:szCs w:val="26"/>
              </w:rPr>
              <w:t>This Court Should Grant Defendant’s Motion to Quash the Government’s Subpoena Because It Seeks to Discover Work Product Protected by Federal Rule of Criminal Procedure 16(b)(2).</w:t>
            </w:r>
            <w:r w:rsidRPr="004A2213">
              <w:rPr>
                <w:noProof/>
                <w:webHidden/>
              </w:rPr>
              <w:tab/>
            </w:r>
            <w:r w:rsidRPr="004A2213">
              <w:rPr>
                <w:noProof/>
                <w:webHidden/>
              </w:rPr>
              <w:fldChar w:fldCharType="begin"/>
            </w:r>
            <w:r w:rsidRPr="004A2213">
              <w:rPr>
                <w:noProof/>
                <w:webHidden/>
              </w:rPr>
              <w:instrText xml:space="preserve"> PAGEREF _Toc239116037 \h </w:instrText>
            </w:r>
            <w:r w:rsidRPr="004A2213">
              <w:rPr>
                <w:noProof/>
                <w:webHidden/>
              </w:rPr>
            </w:r>
            <w:r w:rsidRPr="004A2213">
              <w:rPr>
                <w:noProof/>
                <w:webHidden/>
              </w:rPr>
              <w:fldChar w:fldCharType="separate"/>
            </w:r>
            <w:r w:rsidRPr="004A2213">
              <w:rPr>
                <w:noProof/>
                <w:webHidden/>
              </w:rPr>
              <w:t>12</w:t>
            </w:r>
            <w:r w:rsidRPr="004A2213">
              <w:rPr>
                <w:noProof/>
                <w:webHidden/>
              </w:rPr>
              <w:fldChar w:fldCharType="end"/>
            </w:r>
          </w:hyperlink>
        </w:p>
        <w:p w14:paraId="0D018BA4" w14:textId="2D9540CE" w:rsidR="006636EC" w:rsidRPr="004A2213" w:rsidRDefault="006636EC" w:rsidP="004A2213">
          <w:pPr>
            <w:pStyle w:val="TOC2"/>
            <w:rPr>
              <w:rFonts w:asciiTheme="minorHAnsi" w:eastAsiaTheme="minorEastAsia" w:hAnsiTheme="minorHAnsi" w:cstheme="minorBidi"/>
              <w:kern w:val="2"/>
              <w:sz w:val="26"/>
              <w:szCs w:val="26"/>
              <w14:ligatures w14:val="standardContextual"/>
            </w:rPr>
          </w:pPr>
          <w:hyperlink w:anchor="_Toc239116038" w:history="1">
            <w:r w:rsidRPr="004A2213">
              <w:rPr>
                <w:rStyle w:val="Hyperlink"/>
                <w:sz w:val="26"/>
                <w:szCs w:val="26"/>
              </w:rPr>
              <w:t>A.</w:t>
            </w:r>
            <w:r w:rsidRPr="004A2213">
              <w:rPr>
                <w:rFonts w:asciiTheme="minorHAnsi" w:eastAsiaTheme="minorEastAsia" w:hAnsiTheme="minorHAnsi" w:cstheme="minorBidi"/>
                <w:kern w:val="2"/>
                <w:sz w:val="26"/>
                <w:szCs w:val="26"/>
                <w14:ligatures w14:val="standardContextual"/>
              </w:rPr>
              <w:tab/>
            </w:r>
            <w:r w:rsidRPr="004A2213">
              <w:rPr>
                <w:rStyle w:val="Hyperlink"/>
                <w:sz w:val="26"/>
                <w:szCs w:val="26"/>
              </w:rPr>
              <w:t>Federal Rule of Criminal Procedure 16(b)(2) Protects Armana’s Interview Records from Disclosure Because Armana Created Them as Counsel’s Agent in Preparation for Calloway’s Defense.</w:t>
            </w:r>
            <w:r w:rsidRPr="004A2213">
              <w:rPr>
                <w:webHidden/>
                <w:sz w:val="26"/>
                <w:szCs w:val="26"/>
              </w:rPr>
              <w:tab/>
            </w:r>
            <w:r w:rsidRPr="004A2213">
              <w:rPr>
                <w:webHidden/>
                <w:sz w:val="26"/>
                <w:szCs w:val="26"/>
              </w:rPr>
              <w:fldChar w:fldCharType="begin"/>
            </w:r>
            <w:r w:rsidRPr="004A2213">
              <w:rPr>
                <w:webHidden/>
                <w:sz w:val="26"/>
                <w:szCs w:val="26"/>
              </w:rPr>
              <w:instrText xml:space="preserve"> PAGEREF _Toc239116038 \h </w:instrText>
            </w:r>
            <w:r w:rsidRPr="004A2213">
              <w:rPr>
                <w:webHidden/>
                <w:sz w:val="26"/>
                <w:szCs w:val="26"/>
              </w:rPr>
            </w:r>
            <w:r w:rsidRPr="004A2213">
              <w:rPr>
                <w:webHidden/>
                <w:sz w:val="26"/>
                <w:szCs w:val="26"/>
              </w:rPr>
              <w:fldChar w:fldCharType="separate"/>
            </w:r>
            <w:r w:rsidRPr="004A2213">
              <w:rPr>
                <w:webHidden/>
                <w:sz w:val="26"/>
                <w:szCs w:val="26"/>
              </w:rPr>
              <w:t>13</w:t>
            </w:r>
            <w:r w:rsidRPr="004A2213">
              <w:rPr>
                <w:webHidden/>
                <w:sz w:val="26"/>
                <w:szCs w:val="26"/>
              </w:rPr>
              <w:fldChar w:fldCharType="end"/>
            </w:r>
          </w:hyperlink>
        </w:p>
        <w:p w14:paraId="0F56B9C5" w14:textId="2FD523F6" w:rsidR="006636EC" w:rsidRPr="004A2213" w:rsidRDefault="006636EC" w:rsidP="004A2213">
          <w:pPr>
            <w:pStyle w:val="TOC3"/>
            <w:rPr>
              <w:rFonts w:asciiTheme="minorHAnsi" w:eastAsiaTheme="minorEastAsia" w:hAnsiTheme="minorHAnsi" w:cstheme="minorBidi"/>
              <w:noProof/>
              <w:kern w:val="2"/>
              <w:sz w:val="26"/>
              <w:szCs w:val="26"/>
              <w14:ligatures w14:val="standardContextual"/>
            </w:rPr>
          </w:pPr>
          <w:r w:rsidRPr="004A2213">
            <w:rPr>
              <w:rStyle w:val="Hyperlink"/>
              <w:noProof/>
              <w:sz w:val="26"/>
              <w:szCs w:val="26"/>
              <w:u w:val="none"/>
            </w:rPr>
            <w:tab/>
          </w:r>
          <w:hyperlink w:anchor="_Toc239116039" w:history="1">
            <w:r w:rsidRPr="004A2213">
              <w:rPr>
                <w:rStyle w:val="Hyperlink"/>
                <w:noProof/>
                <w:sz w:val="26"/>
                <w:szCs w:val="26"/>
              </w:rPr>
              <w:t>a.</w:t>
            </w:r>
            <w:r w:rsidRPr="004A2213">
              <w:rPr>
                <w:rFonts w:asciiTheme="minorHAnsi" w:eastAsiaTheme="minorEastAsia" w:hAnsiTheme="minorHAnsi" w:cstheme="minorBidi"/>
                <w:noProof/>
                <w:kern w:val="2"/>
                <w:sz w:val="26"/>
                <w:szCs w:val="26"/>
                <w14:ligatures w14:val="standardContextual"/>
              </w:rPr>
              <w:tab/>
            </w:r>
            <w:r w:rsidRPr="004A2213">
              <w:rPr>
                <w:rFonts w:asciiTheme="minorHAnsi" w:eastAsiaTheme="minorEastAsia" w:hAnsiTheme="minorHAnsi" w:cstheme="minorBidi"/>
                <w:noProof/>
                <w:kern w:val="2"/>
                <w:sz w:val="26"/>
                <w:szCs w:val="26"/>
                <w14:ligatures w14:val="standardContextual"/>
              </w:rPr>
              <w:tab/>
            </w:r>
            <w:r w:rsidRPr="004A2213">
              <w:rPr>
                <w:rFonts w:asciiTheme="minorHAnsi" w:eastAsiaTheme="minorEastAsia" w:hAnsiTheme="minorHAnsi" w:cstheme="minorBidi"/>
                <w:noProof/>
                <w:kern w:val="2"/>
                <w:sz w:val="26"/>
                <w:szCs w:val="26"/>
                <w14:ligatures w14:val="standardContextual"/>
              </w:rPr>
              <w:tab/>
            </w:r>
            <w:r w:rsidRPr="004A2213">
              <w:rPr>
                <w:rStyle w:val="Hyperlink"/>
                <w:noProof/>
                <w:sz w:val="26"/>
                <w:szCs w:val="26"/>
              </w:rPr>
              <w:t>Armana Acted as Defense Counsel’s Agent During Seton’s Interview on February 15, 2024.</w:t>
            </w:r>
            <w:r w:rsidRPr="004A2213">
              <w:rPr>
                <w:noProof/>
                <w:webHidden/>
                <w:sz w:val="26"/>
                <w:szCs w:val="26"/>
              </w:rPr>
              <w:tab/>
            </w:r>
            <w:r w:rsidRPr="004A2213">
              <w:rPr>
                <w:noProof/>
                <w:webHidden/>
                <w:sz w:val="26"/>
                <w:szCs w:val="26"/>
              </w:rPr>
              <w:fldChar w:fldCharType="begin"/>
            </w:r>
            <w:r w:rsidRPr="004A2213">
              <w:rPr>
                <w:noProof/>
                <w:webHidden/>
                <w:sz w:val="26"/>
                <w:szCs w:val="26"/>
              </w:rPr>
              <w:instrText xml:space="preserve"> PAGEREF _Toc239116039 \h </w:instrText>
            </w:r>
            <w:r w:rsidRPr="004A2213">
              <w:rPr>
                <w:noProof/>
                <w:webHidden/>
                <w:sz w:val="26"/>
                <w:szCs w:val="26"/>
              </w:rPr>
            </w:r>
            <w:r w:rsidRPr="004A2213">
              <w:rPr>
                <w:noProof/>
                <w:webHidden/>
                <w:sz w:val="26"/>
                <w:szCs w:val="26"/>
              </w:rPr>
              <w:fldChar w:fldCharType="separate"/>
            </w:r>
            <w:r w:rsidRPr="004A2213">
              <w:rPr>
                <w:noProof/>
                <w:webHidden/>
                <w:sz w:val="26"/>
                <w:szCs w:val="26"/>
              </w:rPr>
              <w:t>13</w:t>
            </w:r>
            <w:r w:rsidRPr="004A2213">
              <w:rPr>
                <w:noProof/>
                <w:webHidden/>
                <w:sz w:val="26"/>
                <w:szCs w:val="26"/>
              </w:rPr>
              <w:fldChar w:fldCharType="end"/>
            </w:r>
          </w:hyperlink>
        </w:p>
        <w:p w14:paraId="0D216DF8" w14:textId="3DEAF5F8" w:rsidR="006636EC" w:rsidRPr="004A2213" w:rsidRDefault="006636EC" w:rsidP="004A2213">
          <w:pPr>
            <w:pStyle w:val="TOC3"/>
            <w:rPr>
              <w:rFonts w:asciiTheme="minorHAnsi" w:eastAsiaTheme="minorEastAsia" w:hAnsiTheme="minorHAnsi" w:cstheme="minorBidi"/>
              <w:noProof/>
              <w:kern w:val="2"/>
              <w:sz w:val="26"/>
              <w:szCs w:val="26"/>
              <w14:ligatures w14:val="standardContextual"/>
            </w:rPr>
          </w:pPr>
          <w:r w:rsidRPr="004A2213">
            <w:rPr>
              <w:rStyle w:val="Hyperlink"/>
              <w:noProof/>
              <w:sz w:val="26"/>
              <w:szCs w:val="26"/>
              <w:u w:val="none"/>
            </w:rPr>
            <w:tab/>
          </w:r>
          <w:hyperlink w:anchor="_Toc239116040" w:history="1">
            <w:r w:rsidRPr="004A2213">
              <w:rPr>
                <w:rStyle w:val="Hyperlink"/>
                <w:noProof/>
                <w:sz w:val="26"/>
                <w:szCs w:val="26"/>
              </w:rPr>
              <w:t>b.</w:t>
            </w:r>
            <w:r w:rsidRPr="004A2213">
              <w:rPr>
                <w:rFonts w:asciiTheme="minorHAnsi" w:eastAsiaTheme="minorEastAsia" w:hAnsiTheme="minorHAnsi" w:cstheme="minorBidi"/>
                <w:noProof/>
                <w:kern w:val="2"/>
                <w:sz w:val="26"/>
                <w:szCs w:val="26"/>
                <w14:ligatures w14:val="standardContextual"/>
              </w:rPr>
              <w:tab/>
            </w:r>
            <w:r w:rsidRPr="004A2213">
              <w:rPr>
                <w:rFonts w:asciiTheme="minorHAnsi" w:eastAsiaTheme="minorEastAsia" w:hAnsiTheme="minorHAnsi" w:cstheme="minorBidi"/>
                <w:noProof/>
                <w:kern w:val="2"/>
                <w:sz w:val="26"/>
                <w:szCs w:val="26"/>
                <w14:ligatures w14:val="standardContextual"/>
              </w:rPr>
              <w:tab/>
            </w:r>
            <w:r w:rsidRPr="004A2213">
              <w:rPr>
                <w:rStyle w:val="Hyperlink"/>
                <w:noProof/>
                <w:sz w:val="26"/>
                <w:szCs w:val="26"/>
              </w:rPr>
              <w:t>As Counsel’s Agent, Armana Prepared the Interview Materials for Calloway’s Defense.</w:t>
            </w:r>
            <w:r w:rsidRPr="004A2213">
              <w:rPr>
                <w:noProof/>
                <w:webHidden/>
                <w:sz w:val="26"/>
                <w:szCs w:val="26"/>
              </w:rPr>
              <w:tab/>
            </w:r>
            <w:r w:rsidRPr="004A2213">
              <w:rPr>
                <w:noProof/>
                <w:webHidden/>
                <w:sz w:val="26"/>
                <w:szCs w:val="26"/>
              </w:rPr>
              <w:fldChar w:fldCharType="begin"/>
            </w:r>
            <w:r w:rsidRPr="004A2213">
              <w:rPr>
                <w:noProof/>
                <w:webHidden/>
                <w:sz w:val="26"/>
                <w:szCs w:val="26"/>
              </w:rPr>
              <w:instrText xml:space="preserve"> PAGEREF _Toc239116040 \h </w:instrText>
            </w:r>
            <w:r w:rsidRPr="004A2213">
              <w:rPr>
                <w:noProof/>
                <w:webHidden/>
                <w:sz w:val="26"/>
                <w:szCs w:val="26"/>
              </w:rPr>
            </w:r>
            <w:r w:rsidRPr="004A2213">
              <w:rPr>
                <w:noProof/>
                <w:webHidden/>
                <w:sz w:val="26"/>
                <w:szCs w:val="26"/>
              </w:rPr>
              <w:fldChar w:fldCharType="separate"/>
            </w:r>
            <w:r w:rsidRPr="004A2213">
              <w:rPr>
                <w:noProof/>
                <w:webHidden/>
                <w:sz w:val="26"/>
                <w:szCs w:val="26"/>
              </w:rPr>
              <w:t>14</w:t>
            </w:r>
            <w:r w:rsidRPr="004A2213">
              <w:rPr>
                <w:noProof/>
                <w:webHidden/>
                <w:sz w:val="26"/>
                <w:szCs w:val="26"/>
              </w:rPr>
              <w:fldChar w:fldCharType="end"/>
            </w:r>
          </w:hyperlink>
        </w:p>
        <w:p w14:paraId="56848DCC" w14:textId="04C8F26F" w:rsidR="006636EC" w:rsidRPr="004A2213" w:rsidRDefault="006636EC" w:rsidP="004A2213">
          <w:pPr>
            <w:pStyle w:val="TOC2"/>
            <w:rPr>
              <w:rFonts w:asciiTheme="minorHAnsi" w:eastAsiaTheme="minorEastAsia" w:hAnsiTheme="minorHAnsi" w:cstheme="minorBidi"/>
              <w:kern w:val="2"/>
              <w:sz w:val="26"/>
              <w:szCs w:val="26"/>
              <w14:ligatures w14:val="standardContextual"/>
            </w:rPr>
          </w:pPr>
          <w:hyperlink w:anchor="_Toc239116041" w:history="1">
            <w:r w:rsidRPr="004A2213">
              <w:rPr>
                <w:rStyle w:val="Hyperlink"/>
                <w:sz w:val="26"/>
                <w:szCs w:val="26"/>
              </w:rPr>
              <w:t>B.</w:t>
            </w:r>
            <w:r w:rsidRPr="004A2213">
              <w:rPr>
                <w:rFonts w:asciiTheme="minorHAnsi" w:eastAsiaTheme="minorEastAsia" w:hAnsiTheme="minorHAnsi" w:cstheme="minorBidi"/>
                <w:kern w:val="2"/>
                <w:sz w:val="26"/>
                <w:szCs w:val="26"/>
                <w14:ligatures w14:val="standardContextual"/>
              </w:rPr>
              <w:tab/>
            </w:r>
            <w:r w:rsidRPr="004A2213">
              <w:rPr>
                <w:rStyle w:val="Hyperlink"/>
                <w:sz w:val="26"/>
                <w:szCs w:val="26"/>
              </w:rPr>
              <w:t>Armana’s Interview Materials Constitute Opinion Work Product Not Discoverable Under Federal Rule of Criminal Procedure 16(b)(2).</w:t>
            </w:r>
            <w:r w:rsidRPr="004A2213">
              <w:rPr>
                <w:webHidden/>
                <w:sz w:val="26"/>
                <w:szCs w:val="26"/>
              </w:rPr>
              <w:tab/>
            </w:r>
            <w:r w:rsidRPr="004A2213">
              <w:rPr>
                <w:webHidden/>
                <w:sz w:val="26"/>
                <w:szCs w:val="26"/>
              </w:rPr>
              <w:fldChar w:fldCharType="begin"/>
            </w:r>
            <w:r w:rsidRPr="004A2213">
              <w:rPr>
                <w:webHidden/>
                <w:sz w:val="26"/>
                <w:szCs w:val="26"/>
              </w:rPr>
              <w:instrText xml:space="preserve"> PAGEREF _Toc239116041 \h </w:instrText>
            </w:r>
            <w:r w:rsidRPr="004A2213">
              <w:rPr>
                <w:webHidden/>
                <w:sz w:val="26"/>
                <w:szCs w:val="26"/>
              </w:rPr>
            </w:r>
            <w:r w:rsidRPr="004A2213">
              <w:rPr>
                <w:webHidden/>
                <w:sz w:val="26"/>
                <w:szCs w:val="26"/>
              </w:rPr>
              <w:fldChar w:fldCharType="separate"/>
            </w:r>
            <w:r w:rsidRPr="004A2213">
              <w:rPr>
                <w:webHidden/>
                <w:sz w:val="26"/>
                <w:szCs w:val="26"/>
              </w:rPr>
              <w:t>15</w:t>
            </w:r>
            <w:r w:rsidRPr="004A2213">
              <w:rPr>
                <w:webHidden/>
                <w:sz w:val="26"/>
                <w:szCs w:val="26"/>
              </w:rPr>
              <w:fldChar w:fldCharType="end"/>
            </w:r>
          </w:hyperlink>
        </w:p>
        <w:p w14:paraId="3640A89F" w14:textId="04FD38C8" w:rsidR="006636EC" w:rsidRPr="004A2213" w:rsidRDefault="006636EC" w:rsidP="004A2213">
          <w:pPr>
            <w:pStyle w:val="TOC3"/>
            <w:rPr>
              <w:rFonts w:asciiTheme="minorHAnsi" w:eastAsiaTheme="minorEastAsia" w:hAnsiTheme="minorHAnsi" w:cstheme="minorBidi"/>
              <w:noProof/>
              <w:kern w:val="2"/>
              <w:sz w:val="26"/>
              <w:szCs w:val="26"/>
              <w14:ligatures w14:val="standardContextual"/>
            </w:rPr>
          </w:pPr>
          <w:r w:rsidRPr="004A2213">
            <w:rPr>
              <w:rStyle w:val="Hyperlink"/>
              <w:noProof/>
              <w:sz w:val="26"/>
              <w:szCs w:val="26"/>
              <w:u w:val="none"/>
            </w:rPr>
            <w:tab/>
          </w:r>
          <w:hyperlink w:anchor="_Toc239116042" w:history="1">
            <w:r w:rsidRPr="004A2213">
              <w:rPr>
                <w:rStyle w:val="Hyperlink"/>
                <w:noProof/>
                <w:sz w:val="26"/>
                <w:szCs w:val="26"/>
              </w:rPr>
              <w:t>a.</w:t>
            </w:r>
            <w:r w:rsidRPr="004A2213">
              <w:rPr>
                <w:rFonts w:asciiTheme="minorHAnsi" w:eastAsiaTheme="minorEastAsia" w:hAnsiTheme="minorHAnsi" w:cstheme="minorBidi"/>
                <w:noProof/>
                <w:kern w:val="2"/>
                <w:sz w:val="26"/>
                <w:szCs w:val="26"/>
                <w14:ligatures w14:val="standardContextual"/>
              </w:rPr>
              <w:tab/>
            </w:r>
            <w:r w:rsidRPr="004A2213">
              <w:rPr>
                <w:rFonts w:asciiTheme="minorHAnsi" w:eastAsiaTheme="minorEastAsia" w:hAnsiTheme="minorHAnsi" w:cstheme="minorBidi"/>
                <w:noProof/>
                <w:kern w:val="2"/>
                <w:sz w:val="26"/>
                <w:szCs w:val="26"/>
                <w14:ligatures w14:val="standardContextual"/>
              </w:rPr>
              <w:tab/>
            </w:r>
            <w:r w:rsidRPr="004A2213">
              <w:rPr>
                <w:rFonts w:asciiTheme="minorHAnsi" w:eastAsiaTheme="minorEastAsia" w:hAnsiTheme="minorHAnsi" w:cstheme="minorBidi"/>
                <w:noProof/>
                <w:kern w:val="2"/>
                <w:sz w:val="26"/>
                <w:szCs w:val="26"/>
                <w14:ligatures w14:val="standardContextual"/>
              </w:rPr>
              <w:tab/>
            </w:r>
            <w:r w:rsidRPr="004A2213">
              <w:rPr>
                <w:rStyle w:val="Hyperlink"/>
                <w:noProof/>
                <w:sz w:val="26"/>
                <w:szCs w:val="26"/>
              </w:rPr>
              <w:t>Armana’s Interview Materials Are Protected from Disclosure as Opinion Work Product Because They Reveal Defense Counsel’s Mental Impressions, Investigative Leads, and Theories of the Case.</w:t>
            </w:r>
            <w:r w:rsidRPr="004A2213">
              <w:rPr>
                <w:noProof/>
                <w:webHidden/>
                <w:sz w:val="26"/>
                <w:szCs w:val="26"/>
              </w:rPr>
              <w:tab/>
            </w:r>
            <w:r w:rsidRPr="004A2213">
              <w:rPr>
                <w:noProof/>
                <w:webHidden/>
                <w:sz w:val="26"/>
                <w:szCs w:val="26"/>
              </w:rPr>
              <w:fldChar w:fldCharType="begin"/>
            </w:r>
            <w:r w:rsidRPr="004A2213">
              <w:rPr>
                <w:noProof/>
                <w:webHidden/>
                <w:sz w:val="26"/>
                <w:szCs w:val="26"/>
              </w:rPr>
              <w:instrText xml:space="preserve"> PAGEREF _Toc239116042 \h </w:instrText>
            </w:r>
            <w:r w:rsidRPr="004A2213">
              <w:rPr>
                <w:noProof/>
                <w:webHidden/>
                <w:sz w:val="26"/>
                <w:szCs w:val="26"/>
              </w:rPr>
            </w:r>
            <w:r w:rsidRPr="004A2213">
              <w:rPr>
                <w:noProof/>
                <w:webHidden/>
                <w:sz w:val="26"/>
                <w:szCs w:val="26"/>
              </w:rPr>
              <w:fldChar w:fldCharType="separate"/>
            </w:r>
            <w:r w:rsidRPr="004A2213">
              <w:rPr>
                <w:noProof/>
                <w:webHidden/>
                <w:sz w:val="26"/>
                <w:szCs w:val="26"/>
              </w:rPr>
              <w:t>16</w:t>
            </w:r>
            <w:r w:rsidRPr="004A2213">
              <w:rPr>
                <w:noProof/>
                <w:webHidden/>
                <w:sz w:val="26"/>
                <w:szCs w:val="26"/>
              </w:rPr>
              <w:fldChar w:fldCharType="end"/>
            </w:r>
          </w:hyperlink>
        </w:p>
        <w:p w14:paraId="6991A99C" w14:textId="40F935ED" w:rsidR="006636EC" w:rsidRPr="004A2213" w:rsidRDefault="006636EC" w:rsidP="004A2213">
          <w:pPr>
            <w:pStyle w:val="TOC2"/>
            <w:ind w:left="1350" w:hanging="990"/>
            <w:rPr>
              <w:rFonts w:asciiTheme="minorHAnsi" w:eastAsiaTheme="minorEastAsia" w:hAnsiTheme="minorHAnsi" w:cstheme="minorBidi"/>
              <w:kern w:val="2"/>
              <w:sz w:val="26"/>
              <w:szCs w:val="26"/>
              <w14:ligatures w14:val="standardContextual"/>
            </w:rPr>
          </w:pPr>
          <w:r w:rsidRPr="004A2213">
            <w:rPr>
              <w:rStyle w:val="Hyperlink"/>
              <w:sz w:val="26"/>
              <w:szCs w:val="26"/>
              <w:u w:val="none"/>
            </w:rPr>
            <w:tab/>
            <w:t xml:space="preserve">  </w:t>
          </w:r>
          <w:hyperlink w:anchor="_Toc239116043" w:history="1">
            <w:r w:rsidRPr="004A2213">
              <w:rPr>
                <w:rStyle w:val="Hyperlink"/>
                <w:sz w:val="26"/>
                <w:szCs w:val="26"/>
              </w:rPr>
              <w:t>b.</w:t>
            </w:r>
            <w:r w:rsidRPr="004A2213">
              <w:rPr>
                <w:rFonts w:asciiTheme="minorHAnsi" w:eastAsiaTheme="minorEastAsia" w:hAnsiTheme="minorHAnsi" w:cstheme="minorBidi"/>
                <w:kern w:val="2"/>
                <w:sz w:val="26"/>
                <w:szCs w:val="26"/>
                <w14:ligatures w14:val="standardContextual"/>
              </w:rPr>
              <w:tab/>
            </w:r>
            <w:r w:rsidRPr="004A2213">
              <w:rPr>
                <w:rFonts w:asciiTheme="minorHAnsi" w:eastAsiaTheme="minorEastAsia" w:hAnsiTheme="minorHAnsi" w:cstheme="minorBidi"/>
                <w:kern w:val="2"/>
                <w:sz w:val="26"/>
                <w:szCs w:val="26"/>
                <w14:ligatures w14:val="standardContextual"/>
              </w:rPr>
              <w:tab/>
            </w:r>
            <w:r w:rsidRPr="004A2213">
              <w:rPr>
                <w:rStyle w:val="Hyperlink"/>
                <w:sz w:val="26"/>
                <w:szCs w:val="26"/>
              </w:rPr>
              <w:t>Any Factual Portions of Armana’s Interview Records are Protected From Disclosure Because the Government Fails to Prove Substantial Need and Undue Hardship.</w:t>
            </w:r>
            <w:r w:rsidRPr="004A2213">
              <w:rPr>
                <w:webHidden/>
                <w:sz w:val="26"/>
                <w:szCs w:val="26"/>
              </w:rPr>
              <w:tab/>
            </w:r>
            <w:r w:rsidRPr="004A2213">
              <w:rPr>
                <w:webHidden/>
                <w:sz w:val="26"/>
                <w:szCs w:val="26"/>
              </w:rPr>
              <w:fldChar w:fldCharType="begin"/>
            </w:r>
            <w:r w:rsidRPr="004A2213">
              <w:rPr>
                <w:webHidden/>
                <w:sz w:val="26"/>
                <w:szCs w:val="26"/>
              </w:rPr>
              <w:instrText xml:space="preserve"> PAGEREF _Toc239116043 \h </w:instrText>
            </w:r>
            <w:r w:rsidRPr="004A2213">
              <w:rPr>
                <w:webHidden/>
                <w:sz w:val="26"/>
                <w:szCs w:val="26"/>
              </w:rPr>
            </w:r>
            <w:r w:rsidRPr="004A2213">
              <w:rPr>
                <w:webHidden/>
                <w:sz w:val="26"/>
                <w:szCs w:val="26"/>
              </w:rPr>
              <w:fldChar w:fldCharType="separate"/>
            </w:r>
            <w:r w:rsidRPr="004A2213">
              <w:rPr>
                <w:webHidden/>
                <w:sz w:val="26"/>
                <w:szCs w:val="26"/>
              </w:rPr>
              <w:t>17</w:t>
            </w:r>
            <w:r w:rsidRPr="004A2213">
              <w:rPr>
                <w:webHidden/>
                <w:sz w:val="26"/>
                <w:szCs w:val="26"/>
              </w:rPr>
              <w:fldChar w:fldCharType="end"/>
            </w:r>
          </w:hyperlink>
        </w:p>
        <w:p w14:paraId="1424BB50" w14:textId="3965107D" w:rsidR="006636EC" w:rsidRPr="004A2213" w:rsidRDefault="006636EC" w:rsidP="004A2213">
          <w:pPr>
            <w:pStyle w:val="TOC3"/>
            <w:ind w:left="1830" w:hanging="930"/>
            <w:rPr>
              <w:rFonts w:asciiTheme="minorHAnsi" w:eastAsiaTheme="minorEastAsia" w:hAnsiTheme="minorHAnsi" w:cstheme="minorBidi"/>
              <w:noProof/>
              <w:kern w:val="2"/>
              <w:sz w:val="26"/>
              <w:szCs w:val="26"/>
              <w14:ligatures w14:val="standardContextual"/>
            </w:rPr>
          </w:pPr>
          <w:r w:rsidRPr="004A2213">
            <w:rPr>
              <w:rStyle w:val="Hyperlink"/>
              <w:noProof/>
              <w:sz w:val="26"/>
              <w:szCs w:val="26"/>
              <w:u w:val="none"/>
            </w:rPr>
            <w:tab/>
          </w:r>
          <w:r w:rsidRPr="004A2213">
            <w:rPr>
              <w:rStyle w:val="Hyperlink"/>
              <w:noProof/>
              <w:sz w:val="26"/>
              <w:szCs w:val="26"/>
              <w:u w:val="none"/>
            </w:rPr>
            <w:tab/>
          </w:r>
          <w:r w:rsidRPr="004A2213">
            <w:rPr>
              <w:rStyle w:val="Hyperlink"/>
              <w:noProof/>
              <w:sz w:val="26"/>
              <w:szCs w:val="26"/>
              <w:u w:val="none"/>
            </w:rPr>
            <w:tab/>
          </w:r>
          <w:r w:rsidRPr="004A2213">
            <w:rPr>
              <w:rStyle w:val="Hyperlink"/>
              <w:noProof/>
              <w:sz w:val="26"/>
              <w:szCs w:val="26"/>
              <w:u w:val="none"/>
            </w:rPr>
            <w:tab/>
          </w:r>
          <w:hyperlink w:anchor="_Toc239116044" w:history="1">
            <w:r w:rsidRPr="004A2213">
              <w:rPr>
                <w:rStyle w:val="Hyperlink"/>
                <w:noProof/>
                <w:sz w:val="26"/>
                <w:szCs w:val="26"/>
              </w:rPr>
              <w:t>i.</w:t>
            </w:r>
            <w:r w:rsidRPr="004A2213">
              <w:rPr>
                <w:rFonts w:asciiTheme="minorHAnsi" w:eastAsiaTheme="minorEastAsia" w:hAnsiTheme="minorHAnsi" w:cstheme="minorBidi"/>
                <w:noProof/>
                <w:kern w:val="2"/>
                <w:sz w:val="26"/>
                <w:szCs w:val="26"/>
                <w14:ligatures w14:val="standardContextual"/>
              </w:rPr>
              <w:tab/>
            </w:r>
            <w:r w:rsidRPr="004A2213">
              <w:rPr>
                <w:rStyle w:val="Hyperlink"/>
                <w:noProof/>
                <w:sz w:val="26"/>
                <w:szCs w:val="26"/>
              </w:rPr>
              <w:t>The Government Fails to Establish a Substantial Need for Armana’s    Interview Records Because It Already Possesses the Information It Now Seeks.</w:t>
            </w:r>
            <w:r w:rsidRPr="004A2213">
              <w:rPr>
                <w:noProof/>
                <w:webHidden/>
                <w:sz w:val="26"/>
                <w:szCs w:val="26"/>
              </w:rPr>
              <w:tab/>
            </w:r>
            <w:r w:rsidRPr="004A2213">
              <w:rPr>
                <w:noProof/>
                <w:webHidden/>
                <w:sz w:val="26"/>
                <w:szCs w:val="26"/>
              </w:rPr>
              <w:fldChar w:fldCharType="begin"/>
            </w:r>
            <w:r w:rsidRPr="004A2213">
              <w:rPr>
                <w:noProof/>
                <w:webHidden/>
                <w:sz w:val="26"/>
                <w:szCs w:val="26"/>
              </w:rPr>
              <w:instrText xml:space="preserve"> PAGEREF _Toc239116044 \h </w:instrText>
            </w:r>
            <w:r w:rsidRPr="004A2213">
              <w:rPr>
                <w:noProof/>
                <w:webHidden/>
                <w:sz w:val="26"/>
                <w:szCs w:val="26"/>
              </w:rPr>
            </w:r>
            <w:r w:rsidRPr="004A2213">
              <w:rPr>
                <w:noProof/>
                <w:webHidden/>
                <w:sz w:val="26"/>
                <w:szCs w:val="26"/>
              </w:rPr>
              <w:fldChar w:fldCharType="separate"/>
            </w:r>
            <w:r w:rsidRPr="004A2213">
              <w:rPr>
                <w:noProof/>
                <w:webHidden/>
                <w:sz w:val="26"/>
                <w:szCs w:val="26"/>
              </w:rPr>
              <w:t>18</w:t>
            </w:r>
            <w:r w:rsidRPr="004A2213">
              <w:rPr>
                <w:noProof/>
                <w:webHidden/>
                <w:sz w:val="26"/>
                <w:szCs w:val="26"/>
              </w:rPr>
              <w:fldChar w:fldCharType="end"/>
            </w:r>
          </w:hyperlink>
        </w:p>
        <w:p w14:paraId="6032A648" w14:textId="6AC94F32" w:rsidR="006636EC" w:rsidRPr="004A2213" w:rsidRDefault="006636EC" w:rsidP="004A2213">
          <w:pPr>
            <w:pStyle w:val="TOC3"/>
            <w:ind w:left="1830" w:hanging="850"/>
            <w:rPr>
              <w:rFonts w:asciiTheme="minorHAnsi" w:eastAsiaTheme="minorEastAsia" w:hAnsiTheme="minorHAnsi" w:cstheme="minorBidi"/>
              <w:noProof/>
              <w:kern w:val="2"/>
              <w:sz w:val="26"/>
              <w:szCs w:val="26"/>
              <w14:ligatures w14:val="standardContextual"/>
            </w:rPr>
          </w:pPr>
          <w:r w:rsidRPr="004A2213">
            <w:rPr>
              <w:rStyle w:val="Hyperlink"/>
              <w:noProof/>
              <w:sz w:val="26"/>
              <w:szCs w:val="26"/>
              <w:u w:val="none"/>
            </w:rPr>
            <w:tab/>
          </w:r>
          <w:r w:rsidRPr="004A2213">
            <w:rPr>
              <w:rStyle w:val="Hyperlink"/>
              <w:noProof/>
              <w:sz w:val="26"/>
              <w:szCs w:val="26"/>
              <w:u w:val="none"/>
            </w:rPr>
            <w:tab/>
          </w:r>
          <w:r w:rsidRPr="004A2213">
            <w:rPr>
              <w:rStyle w:val="Hyperlink"/>
              <w:noProof/>
              <w:sz w:val="26"/>
              <w:szCs w:val="26"/>
              <w:u w:val="none"/>
            </w:rPr>
            <w:tab/>
          </w:r>
          <w:r w:rsidRPr="004A2213">
            <w:rPr>
              <w:rStyle w:val="Hyperlink"/>
              <w:noProof/>
              <w:sz w:val="26"/>
              <w:szCs w:val="26"/>
              <w:u w:val="none"/>
            </w:rPr>
            <w:tab/>
          </w:r>
          <w:hyperlink w:anchor="_Toc239116045" w:history="1">
            <w:r w:rsidRPr="004A2213">
              <w:rPr>
                <w:rStyle w:val="Hyperlink"/>
                <w:noProof/>
                <w:sz w:val="26"/>
                <w:szCs w:val="26"/>
              </w:rPr>
              <w:t>ii.</w:t>
            </w:r>
            <w:r w:rsidRPr="004A2213">
              <w:rPr>
                <w:rFonts w:asciiTheme="minorHAnsi" w:eastAsiaTheme="minorEastAsia" w:hAnsiTheme="minorHAnsi" w:cstheme="minorBidi"/>
                <w:noProof/>
                <w:kern w:val="2"/>
                <w:sz w:val="26"/>
                <w:szCs w:val="26"/>
                <w14:ligatures w14:val="standardContextual"/>
              </w:rPr>
              <w:t xml:space="preserve">    </w:t>
            </w:r>
            <w:r w:rsidRPr="004A2213">
              <w:rPr>
                <w:rFonts w:asciiTheme="minorHAnsi" w:eastAsiaTheme="minorEastAsia" w:hAnsiTheme="minorHAnsi" w:cstheme="minorBidi"/>
                <w:noProof/>
                <w:kern w:val="2"/>
                <w:sz w:val="26"/>
                <w:szCs w:val="26"/>
                <w14:ligatures w14:val="standardContextual"/>
              </w:rPr>
              <w:tab/>
            </w:r>
            <w:r w:rsidRPr="004A2213">
              <w:rPr>
                <w:rStyle w:val="Hyperlink"/>
                <w:noProof/>
                <w:sz w:val="26"/>
                <w:szCs w:val="26"/>
              </w:rPr>
              <w:t>The Government Cannot Establish Undue Hardship by Relying on Its Own       Failure to Pursue Available Means of Locating Seton.</w:t>
            </w:r>
            <w:r w:rsidRPr="004A2213">
              <w:rPr>
                <w:noProof/>
                <w:webHidden/>
                <w:sz w:val="26"/>
                <w:szCs w:val="26"/>
              </w:rPr>
              <w:tab/>
            </w:r>
            <w:r w:rsidRPr="004A2213">
              <w:rPr>
                <w:noProof/>
                <w:webHidden/>
                <w:sz w:val="26"/>
                <w:szCs w:val="26"/>
              </w:rPr>
              <w:fldChar w:fldCharType="begin"/>
            </w:r>
            <w:r w:rsidRPr="004A2213">
              <w:rPr>
                <w:noProof/>
                <w:webHidden/>
                <w:sz w:val="26"/>
                <w:szCs w:val="26"/>
              </w:rPr>
              <w:instrText xml:space="preserve"> PAGEREF _Toc239116045 \h </w:instrText>
            </w:r>
            <w:r w:rsidRPr="004A2213">
              <w:rPr>
                <w:noProof/>
                <w:webHidden/>
                <w:sz w:val="26"/>
                <w:szCs w:val="26"/>
              </w:rPr>
            </w:r>
            <w:r w:rsidRPr="004A2213">
              <w:rPr>
                <w:noProof/>
                <w:webHidden/>
                <w:sz w:val="26"/>
                <w:szCs w:val="26"/>
              </w:rPr>
              <w:fldChar w:fldCharType="separate"/>
            </w:r>
            <w:r w:rsidRPr="004A2213">
              <w:rPr>
                <w:noProof/>
                <w:webHidden/>
                <w:sz w:val="26"/>
                <w:szCs w:val="26"/>
              </w:rPr>
              <w:t>18</w:t>
            </w:r>
            <w:r w:rsidRPr="004A2213">
              <w:rPr>
                <w:noProof/>
                <w:webHidden/>
                <w:sz w:val="26"/>
                <w:szCs w:val="26"/>
              </w:rPr>
              <w:fldChar w:fldCharType="end"/>
            </w:r>
          </w:hyperlink>
        </w:p>
        <w:p w14:paraId="1221F72B" w14:textId="170E2340" w:rsidR="006636EC" w:rsidRPr="004A2213" w:rsidRDefault="006636EC" w:rsidP="002D29B7">
          <w:pPr>
            <w:pStyle w:val="TOC1"/>
            <w:rPr>
              <w:rFonts w:asciiTheme="minorHAnsi" w:eastAsiaTheme="minorEastAsia" w:hAnsiTheme="minorHAnsi" w:cstheme="minorBidi"/>
              <w:noProof/>
              <w:kern w:val="2"/>
              <w14:ligatures w14:val="standardContextual"/>
            </w:rPr>
          </w:pPr>
          <w:hyperlink w:anchor="_Toc239116046" w:history="1">
            <w:r w:rsidRPr="004A2213">
              <w:rPr>
                <w:rStyle w:val="Hyperlink"/>
                <w:noProof/>
                <w:sz w:val="26"/>
                <w:szCs w:val="26"/>
              </w:rPr>
              <w:t>CONCLUSION</w:t>
            </w:r>
            <w:r w:rsidRPr="004A2213">
              <w:rPr>
                <w:noProof/>
                <w:webHidden/>
              </w:rPr>
              <w:tab/>
            </w:r>
            <w:r w:rsidRPr="004A2213">
              <w:rPr>
                <w:noProof/>
                <w:webHidden/>
              </w:rPr>
              <w:fldChar w:fldCharType="begin"/>
            </w:r>
            <w:r w:rsidRPr="004A2213">
              <w:rPr>
                <w:noProof/>
                <w:webHidden/>
              </w:rPr>
              <w:instrText xml:space="preserve"> PAGEREF _Toc239116046 \h </w:instrText>
            </w:r>
            <w:r w:rsidRPr="004A2213">
              <w:rPr>
                <w:noProof/>
                <w:webHidden/>
              </w:rPr>
            </w:r>
            <w:r w:rsidRPr="004A2213">
              <w:rPr>
                <w:noProof/>
                <w:webHidden/>
              </w:rPr>
              <w:fldChar w:fldCharType="separate"/>
            </w:r>
            <w:r w:rsidRPr="004A2213">
              <w:rPr>
                <w:noProof/>
                <w:webHidden/>
              </w:rPr>
              <w:t>19</w:t>
            </w:r>
            <w:r w:rsidRPr="004A2213">
              <w:rPr>
                <w:noProof/>
                <w:webHidden/>
              </w:rPr>
              <w:fldChar w:fldCharType="end"/>
            </w:r>
          </w:hyperlink>
        </w:p>
        <w:p w14:paraId="3EA44B54" w14:textId="3C13EC63" w:rsidR="0021769E" w:rsidRPr="004A2213" w:rsidRDefault="00893525" w:rsidP="004A2213">
          <w:pPr>
            <w:rPr>
              <w:sz w:val="26"/>
              <w:szCs w:val="26"/>
            </w:rPr>
          </w:pPr>
          <w:r w:rsidRPr="004A2213">
            <w:rPr>
              <w:b/>
              <w:bCs/>
              <w:noProof/>
              <w:sz w:val="26"/>
              <w:szCs w:val="26"/>
            </w:rPr>
            <w:fldChar w:fldCharType="end"/>
          </w:r>
        </w:p>
        <w:bookmarkEnd w:id="14" w:displacedByCustomXml="next"/>
      </w:sdtContent>
    </w:sdt>
    <w:p w14:paraId="3FEAAFA8" w14:textId="77777777" w:rsidR="009B4532" w:rsidRPr="006636EC" w:rsidRDefault="009B4532" w:rsidP="006636EC"/>
    <w:p w14:paraId="29618737" w14:textId="77777777" w:rsidR="009B4532" w:rsidRPr="006636EC" w:rsidRDefault="009B4532" w:rsidP="006636EC"/>
    <w:p w14:paraId="1D8D11E3" w14:textId="77777777" w:rsidR="009B4532" w:rsidRPr="006636EC" w:rsidRDefault="009B4532" w:rsidP="006636EC"/>
    <w:p w14:paraId="47F40130" w14:textId="77777777" w:rsidR="009B4532" w:rsidRPr="006636EC" w:rsidRDefault="009B4532" w:rsidP="006636EC"/>
    <w:p w14:paraId="76DE7277" w14:textId="77777777" w:rsidR="009B4532" w:rsidRPr="006636EC" w:rsidRDefault="009B4532" w:rsidP="006636EC"/>
    <w:p w14:paraId="4EDA2BE0" w14:textId="77777777" w:rsidR="009B4532" w:rsidRPr="006636EC" w:rsidRDefault="00893525" w:rsidP="006636EC">
      <w:bookmarkStart w:id="15" w:name="dabmch_36"/>
      <w:r w:rsidRPr="006636EC">
        <w:tab/>
      </w:r>
      <w:bookmarkEnd w:id="15"/>
    </w:p>
    <w:p w14:paraId="22D218E7" w14:textId="77777777" w:rsidR="009B4532" w:rsidRPr="006636EC" w:rsidRDefault="009B4532" w:rsidP="006636EC"/>
    <w:p w14:paraId="7112184D" w14:textId="77777777" w:rsidR="009B4532" w:rsidRPr="006636EC" w:rsidRDefault="009B4532" w:rsidP="006636EC"/>
    <w:p w14:paraId="5E3B3FA0" w14:textId="77777777" w:rsidR="009B4532" w:rsidRPr="006636EC" w:rsidRDefault="009B4532" w:rsidP="006636EC"/>
    <w:p w14:paraId="2204CE7E" w14:textId="77777777" w:rsidR="009B4532" w:rsidRPr="006636EC" w:rsidRDefault="009B4532" w:rsidP="006636EC"/>
    <w:p w14:paraId="2D728ACC" w14:textId="77777777" w:rsidR="009B4532" w:rsidRPr="006636EC" w:rsidRDefault="009B4532" w:rsidP="006636EC"/>
    <w:p w14:paraId="1E43717A" w14:textId="77777777" w:rsidR="009B4532" w:rsidRPr="006636EC" w:rsidRDefault="009B4532" w:rsidP="006636EC"/>
    <w:p w14:paraId="1C652618" w14:textId="77777777" w:rsidR="009B4532" w:rsidRPr="006636EC" w:rsidRDefault="009B4532" w:rsidP="006636EC"/>
    <w:p w14:paraId="6F733936" w14:textId="77777777" w:rsidR="009B4532" w:rsidRPr="006636EC" w:rsidRDefault="009B4532" w:rsidP="006636EC"/>
    <w:p w14:paraId="3266CC4C" w14:textId="77777777" w:rsidR="009B4532" w:rsidRPr="006636EC" w:rsidRDefault="009B4532" w:rsidP="006636EC"/>
    <w:p w14:paraId="2CB846DE" w14:textId="77777777" w:rsidR="009B4532" w:rsidRPr="006636EC" w:rsidRDefault="009B4532" w:rsidP="006636EC"/>
    <w:p w14:paraId="20E01A76" w14:textId="77777777" w:rsidR="00B23E73" w:rsidRPr="006636EC" w:rsidRDefault="00B23E73" w:rsidP="006636EC"/>
    <w:p w14:paraId="55FA7BE9" w14:textId="77777777" w:rsidR="009B4532" w:rsidRDefault="009B4532" w:rsidP="006636EC"/>
    <w:p w14:paraId="4506038F" w14:textId="77777777" w:rsidR="004A2213" w:rsidRPr="006636EC" w:rsidRDefault="004A2213" w:rsidP="006636EC"/>
    <w:p w14:paraId="057086E5" w14:textId="77777777" w:rsidR="009B4532" w:rsidRPr="006636EC" w:rsidRDefault="009B4532" w:rsidP="006636EC"/>
    <w:p w14:paraId="48F3AC39" w14:textId="77777777" w:rsidR="009B4532" w:rsidRPr="006636EC" w:rsidRDefault="009B4532" w:rsidP="006636EC"/>
    <w:p w14:paraId="4722E6EA" w14:textId="77777777" w:rsidR="009B4532" w:rsidRPr="006636EC" w:rsidRDefault="009B4532" w:rsidP="006636EC"/>
    <w:p w14:paraId="2101818A" w14:textId="77777777" w:rsidR="009B4532" w:rsidRPr="006636EC" w:rsidRDefault="009B4532" w:rsidP="006636EC"/>
    <w:p w14:paraId="51D35F80" w14:textId="77777777" w:rsidR="009B4532" w:rsidRPr="006636EC" w:rsidRDefault="009B4532" w:rsidP="006636EC"/>
    <w:p w14:paraId="114C375B" w14:textId="77777777" w:rsidR="009B4532" w:rsidRPr="006636EC" w:rsidRDefault="009B4532" w:rsidP="006636EC"/>
    <w:p w14:paraId="1042D5C9" w14:textId="0546AE5C" w:rsidR="00044FB7" w:rsidRPr="00280F0C" w:rsidRDefault="00893525" w:rsidP="00280F0C">
      <w:pPr>
        <w:pStyle w:val="Heading1"/>
        <w:jc w:val="center"/>
        <w:rPr>
          <w:caps/>
          <w:sz w:val="26"/>
          <w:szCs w:val="26"/>
        </w:rPr>
      </w:pPr>
      <w:bookmarkStart w:id="16" w:name="dabmch_37"/>
      <w:bookmarkStart w:id="17" w:name="_Toc239116028"/>
      <w:r w:rsidRPr="00280F0C">
        <w:rPr>
          <w:caps/>
          <w:sz w:val="26"/>
          <w:szCs w:val="26"/>
        </w:rPr>
        <w:lastRenderedPageBreak/>
        <w:t>Table of Authorities</w:t>
      </w:r>
      <w:bookmarkEnd w:id="16"/>
      <w:bookmarkEnd w:id="17"/>
    </w:p>
    <w:p w14:paraId="74DB3103" w14:textId="77777777" w:rsidR="00BA2CD3" w:rsidRDefault="00BA2CD3" w:rsidP="00BA2CD3">
      <w:pPr>
        <w:contextualSpacing/>
        <w:rPr>
          <w:b/>
          <w:bCs/>
          <w:color w:val="000000"/>
          <w:sz w:val="26"/>
          <w:szCs w:val="26"/>
        </w:rPr>
      </w:pPr>
      <w:bookmarkStart w:id="18" w:name="dabmtoa_"/>
    </w:p>
    <w:p w14:paraId="5A63AE84" w14:textId="2605B90B" w:rsidR="007F40E2" w:rsidRPr="00280F0C" w:rsidRDefault="00BA2CD3" w:rsidP="00BA2CD3">
      <w:pPr>
        <w:contextualSpacing/>
        <w:rPr>
          <w:b/>
          <w:bCs/>
          <w:sz w:val="26"/>
          <w:szCs w:val="26"/>
        </w:rPr>
      </w:pPr>
      <w:r>
        <w:rPr>
          <w:b/>
          <w:bCs/>
          <w:color w:val="000000"/>
          <w:sz w:val="26"/>
          <w:szCs w:val="26"/>
        </w:rPr>
        <w:t xml:space="preserve">Cases </w:t>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sidR="00B23E73">
        <w:rPr>
          <w:b/>
          <w:bCs/>
          <w:color w:val="000000"/>
          <w:sz w:val="26"/>
          <w:szCs w:val="26"/>
        </w:rPr>
        <w:t xml:space="preserve">         </w:t>
      </w:r>
      <w:r>
        <w:rPr>
          <w:b/>
          <w:bCs/>
          <w:color w:val="000000"/>
          <w:sz w:val="26"/>
          <w:szCs w:val="26"/>
        </w:rPr>
        <w:t>Page(s)</w:t>
      </w:r>
    </w:p>
    <w:p w14:paraId="3D2AE62E" w14:textId="77777777" w:rsidR="007F40E2" w:rsidRPr="00F13D80" w:rsidRDefault="007F40E2" w:rsidP="009B4532">
      <w:pPr>
        <w:contextualSpacing/>
      </w:pPr>
    </w:p>
    <w:p w14:paraId="31CD3F97" w14:textId="77250BC6" w:rsidR="007F40E2" w:rsidRPr="00280F0C" w:rsidRDefault="00893525" w:rsidP="00280F0C">
      <w:pPr>
        <w:tabs>
          <w:tab w:val="right" w:leader="dot" w:pos="9340"/>
        </w:tabs>
        <w:ind w:left="200" w:hanging="200"/>
        <w:contextualSpacing/>
        <w:rPr>
          <w:sz w:val="26"/>
          <w:szCs w:val="26"/>
        </w:rPr>
      </w:pPr>
      <w:r w:rsidRPr="00280F0C">
        <w:rPr>
          <w:i/>
          <w:color w:val="000000"/>
          <w:sz w:val="26"/>
          <w:szCs w:val="26"/>
        </w:rPr>
        <w:t>Bowman Dairy Co. v. United States</w:t>
      </w:r>
      <w:r w:rsidRPr="00280F0C">
        <w:rPr>
          <w:color w:val="000000"/>
          <w:sz w:val="26"/>
          <w:szCs w:val="26"/>
        </w:rPr>
        <w:t>,</w:t>
      </w:r>
      <w:r w:rsidRPr="00280F0C">
        <w:rPr>
          <w:color w:val="000000"/>
          <w:sz w:val="26"/>
          <w:szCs w:val="26"/>
        </w:rPr>
        <w:br/>
        <w:t>341 U.S. 214 (1951)</w:t>
      </w:r>
      <w:r w:rsidRPr="00280F0C">
        <w:rPr>
          <w:color w:val="000000"/>
          <w:sz w:val="26"/>
          <w:szCs w:val="26"/>
        </w:rPr>
        <w:tab/>
        <w:t>1</w:t>
      </w:r>
      <w:r w:rsidR="00942ECF">
        <w:rPr>
          <w:color w:val="000000"/>
          <w:sz w:val="26"/>
          <w:szCs w:val="26"/>
        </w:rPr>
        <w:t>2</w:t>
      </w:r>
      <w:r w:rsidR="0098379A">
        <w:rPr>
          <w:color w:val="000000"/>
          <w:sz w:val="26"/>
          <w:szCs w:val="26"/>
        </w:rPr>
        <w:t>, 13</w:t>
      </w:r>
    </w:p>
    <w:p w14:paraId="6AC7E05C" w14:textId="77777777" w:rsidR="00280F0C" w:rsidRPr="00280F0C" w:rsidRDefault="00280F0C" w:rsidP="00280F0C">
      <w:pPr>
        <w:tabs>
          <w:tab w:val="right" w:leader="dot" w:pos="9340"/>
        </w:tabs>
        <w:ind w:left="200" w:hanging="200"/>
        <w:contextualSpacing/>
        <w:rPr>
          <w:i/>
          <w:color w:val="000000"/>
          <w:sz w:val="26"/>
          <w:szCs w:val="26"/>
        </w:rPr>
      </w:pPr>
    </w:p>
    <w:p w14:paraId="2A0D4545" w14:textId="5180620D"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Bristol</w:t>
      </w:r>
      <w:r w:rsidRPr="00280F0C">
        <w:rPr>
          <w:color w:val="000000"/>
          <w:sz w:val="26"/>
          <w:szCs w:val="26"/>
        </w:rPr>
        <w:t>–</w:t>
      </w:r>
      <w:r w:rsidRPr="00280F0C">
        <w:rPr>
          <w:i/>
          <w:color w:val="000000"/>
          <w:sz w:val="26"/>
          <w:szCs w:val="26"/>
        </w:rPr>
        <w:t>Meyers Co. v. FTC</w:t>
      </w:r>
      <w:r w:rsidRPr="00280F0C">
        <w:rPr>
          <w:color w:val="000000"/>
          <w:sz w:val="26"/>
          <w:szCs w:val="26"/>
        </w:rPr>
        <w:t>,</w:t>
      </w:r>
      <w:r w:rsidRPr="00280F0C">
        <w:rPr>
          <w:color w:val="000000"/>
          <w:sz w:val="26"/>
          <w:szCs w:val="26"/>
        </w:rPr>
        <w:br/>
        <w:t>598 F.2d 18 (D.C. Cir. 1978)</w:t>
      </w:r>
      <w:r w:rsidRPr="00280F0C">
        <w:rPr>
          <w:color w:val="000000"/>
          <w:sz w:val="26"/>
          <w:szCs w:val="26"/>
        </w:rPr>
        <w:tab/>
      </w:r>
      <w:r w:rsidR="00942ECF">
        <w:rPr>
          <w:color w:val="000000"/>
          <w:sz w:val="26"/>
          <w:szCs w:val="26"/>
        </w:rPr>
        <w:t>16</w:t>
      </w:r>
    </w:p>
    <w:p w14:paraId="73F39D14" w14:textId="77777777" w:rsidR="00280F0C" w:rsidRPr="00280F0C" w:rsidRDefault="00280F0C" w:rsidP="00280F0C">
      <w:pPr>
        <w:tabs>
          <w:tab w:val="right" w:leader="dot" w:pos="9340"/>
        </w:tabs>
        <w:ind w:left="200" w:hanging="200"/>
        <w:contextualSpacing/>
        <w:rPr>
          <w:i/>
          <w:color w:val="000000"/>
          <w:sz w:val="26"/>
          <w:szCs w:val="26"/>
        </w:rPr>
      </w:pPr>
    </w:p>
    <w:p w14:paraId="5A27317F" w14:textId="10F72282"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Hickman v. Taylor</w:t>
      </w:r>
      <w:r w:rsidRPr="00280F0C">
        <w:rPr>
          <w:color w:val="000000"/>
          <w:sz w:val="26"/>
          <w:szCs w:val="26"/>
        </w:rPr>
        <w:t>,</w:t>
      </w:r>
      <w:r w:rsidRPr="00280F0C">
        <w:rPr>
          <w:color w:val="000000"/>
          <w:sz w:val="26"/>
          <w:szCs w:val="26"/>
        </w:rPr>
        <w:br/>
        <w:t>329 U.S. 495 (1947)</w:t>
      </w:r>
      <w:r w:rsidRPr="00280F0C">
        <w:rPr>
          <w:color w:val="000000"/>
          <w:sz w:val="26"/>
          <w:szCs w:val="26"/>
        </w:rPr>
        <w:tab/>
        <w:t>12, 13</w:t>
      </w:r>
    </w:p>
    <w:p w14:paraId="5914489C" w14:textId="77777777" w:rsidR="00280F0C" w:rsidRPr="00280F0C" w:rsidRDefault="00280F0C" w:rsidP="00280F0C">
      <w:pPr>
        <w:tabs>
          <w:tab w:val="right" w:leader="dot" w:pos="9340"/>
        </w:tabs>
        <w:ind w:left="200" w:hanging="200"/>
        <w:contextualSpacing/>
        <w:rPr>
          <w:i/>
          <w:color w:val="000000"/>
          <w:sz w:val="26"/>
          <w:szCs w:val="26"/>
        </w:rPr>
      </w:pPr>
    </w:p>
    <w:p w14:paraId="2CA2AF47" w14:textId="63DE0FE2"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In re Grand Jury Proceedings</w:t>
      </w:r>
      <w:r w:rsidRPr="00280F0C">
        <w:rPr>
          <w:color w:val="000000"/>
          <w:sz w:val="26"/>
          <w:szCs w:val="26"/>
        </w:rPr>
        <w:t>,</w:t>
      </w:r>
      <w:r w:rsidRPr="00280F0C">
        <w:rPr>
          <w:color w:val="000000"/>
          <w:sz w:val="26"/>
          <w:szCs w:val="26"/>
        </w:rPr>
        <w:br/>
        <w:t>43 F.3d 966 (5th Cir. 1994)</w:t>
      </w:r>
      <w:r w:rsidRPr="00280F0C">
        <w:rPr>
          <w:color w:val="000000"/>
          <w:sz w:val="26"/>
          <w:szCs w:val="26"/>
        </w:rPr>
        <w:tab/>
        <w:t>17</w:t>
      </w:r>
    </w:p>
    <w:p w14:paraId="7E18FDCC" w14:textId="77777777" w:rsidR="00280F0C" w:rsidRPr="00280F0C" w:rsidRDefault="00280F0C" w:rsidP="00280F0C">
      <w:pPr>
        <w:tabs>
          <w:tab w:val="right" w:leader="dot" w:pos="9340"/>
        </w:tabs>
        <w:ind w:left="200" w:hanging="200"/>
        <w:contextualSpacing/>
        <w:rPr>
          <w:i/>
          <w:color w:val="000000"/>
          <w:sz w:val="26"/>
          <w:szCs w:val="26"/>
        </w:rPr>
      </w:pPr>
    </w:p>
    <w:p w14:paraId="782AFDF9" w14:textId="7A327E02"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In re Grand Jury Proceedings</w:t>
      </w:r>
      <w:r w:rsidRPr="00280F0C">
        <w:rPr>
          <w:color w:val="000000"/>
          <w:sz w:val="26"/>
          <w:szCs w:val="26"/>
        </w:rPr>
        <w:t>,</w:t>
      </w:r>
      <w:r w:rsidRPr="00280F0C">
        <w:rPr>
          <w:i/>
          <w:color w:val="000000"/>
          <w:sz w:val="26"/>
          <w:szCs w:val="26"/>
        </w:rPr>
        <w:t xml:space="preserve"> G.S., F.S.</w:t>
      </w:r>
      <w:r w:rsidRPr="00280F0C">
        <w:rPr>
          <w:color w:val="000000"/>
          <w:sz w:val="26"/>
          <w:szCs w:val="26"/>
        </w:rPr>
        <w:t>,</w:t>
      </w:r>
      <w:r w:rsidRPr="00280F0C">
        <w:rPr>
          <w:color w:val="000000"/>
          <w:sz w:val="26"/>
          <w:szCs w:val="26"/>
        </w:rPr>
        <w:br/>
        <w:t>609 F.3d 909 (8th Cir. 2010)</w:t>
      </w:r>
      <w:r w:rsidRPr="00280F0C">
        <w:rPr>
          <w:color w:val="000000"/>
          <w:sz w:val="26"/>
          <w:szCs w:val="26"/>
        </w:rPr>
        <w:tab/>
        <w:t>17</w:t>
      </w:r>
    </w:p>
    <w:p w14:paraId="26825A86" w14:textId="77777777" w:rsidR="00280F0C" w:rsidRPr="00280F0C" w:rsidRDefault="00280F0C" w:rsidP="00280F0C">
      <w:pPr>
        <w:tabs>
          <w:tab w:val="right" w:leader="dot" w:pos="9340"/>
        </w:tabs>
        <w:ind w:left="200" w:hanging="200"/>
        <w:contextualSpacing/>
        <w:rPr>
          <w:i/>
          <w:color w:val="000000"/>
          <w:sz w:val="26"/>
          <w:szCs w:val="26"/>
        </w:rPr>
      </w:pPr>
    </w:p>
    <w:p w14:paraId="245E28BA" w14:textId="1FCD6AAE"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In re Grand Jury Subpoena</w:t>
      </w:r>
      <w:r w:rsidRPr="00280F0C">
        <w:rPr>
          <w:color w:val="000000"/>
          <w:sz w:val="26"/>
          <w:szCs w:val="26"/>
        </w:rPr>
        <w:t>,</w:t>
      </w:r>
      <w:r w:rsidRPr="00280F0C">
        <w:rPr>
          <w:color w:val="000000"/>
          <w:sz w:val="26"/>
          <w:szCs w:val="26"/>
        </w:rPr>
        <w:br/>
        <w:t>870 F.3d 312 (4th Cir. 2017)</w:t>
      </w:r>
      <w:r w:rsidRPr="00280F0C">
        <w:rPr>
          <w:color w:val="000000"/>
          <w:sz w:val="26"/>
          <w:szCs w:val="26"/>
        </w:rPr>
        <w:tab/>
        <w:t>15</w:t>
      </w:r>
    </w:p>
    <w:p w14:paraId="72900109" w14:textId="77777777" w:rsidR="00280F0C" w:rsidRPr="00280F0C" w:rsidRDefault="00280F0C" w:rsidP="00280F0C">
      <w:pPr>
        <w:tabs>
          <w:tab w:val="right" w:leader="dot" w:pos="9340"/>
        </w:tabs>
        <w:ind w:left="200" w:hanging="200"/>
        <w:contextualSpacing/>
        <w:rPr>
          <w:i/>
          <w:color w:val="000000"/>
          <w:sz w:val="26"/>
          <w:szCs w:val="26"/>
        </w:rPr>
      </w:pPr>
    </w:p>
    <w:p w14:paraId="4B4D375E" w14:textId="71D77AD4"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In re John Doe</w:t>
      </w:r>
      <w:r w:rsidRPr="00280F0C">
        <w:rPr>
          <w:color w:val="000000"/>
          <w:sz w:val="26"/>
          <w:szCs w:val="26"/>
        </w:rPr>
        <w:t>,</w:t>
      </w:r>
      <w:r w:rsidRPr="00280F0C">
        <w:rPr>
          <w:color w:val="000000"/>
          <w:sz w:val="26"/>
          <w:szCs w:val="26"/>
        </w:rPr>
        <w:br/>
        <w:t>662 F.2d 1073 (4th Cir. 1981)</w:t>
      </w:r>
      <w:r w:rsidRPr="00280F0C">
        <w:rPr>
          <w:color w:val="000000"/>
          <w:sz w:val="26"/>
          <w:szCs w:val="26"/>
        </w:rPr>
        <w:tab/>
        <w:t>15</w:t>
      </w:r>
    </w:p>
    <w:p w14:paraId="137B9028" w14:textId="77777777" w:rsidR="00280F0C" w:rsidRPr="00280F0C" w:rsidRDefault="00280F0C" w:rsidP="00280F0C">
      <w:pPr>
        <w:tabs>
          <w:tab w:val="right" w:leader="dot" w:pos="9340"/>
        </w:tabs>
        <w:ind w:left="200" w:hanging="200"/>
        <w:contextualSpacing/>
        <w:rPr>
          <w:i/>
          <w:color w:val="000000"/>
          <w:sz w:val="26"/>
          <w:szCs w:val="26"/>
        </w:rPr>
      </w:pPr>
    </w:p>
    <w:p w14:paraId="6C51FC25" w14:textId="1984B760"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In re Murphy</w:t>
      </w:r>
      <w:r w:rsidRPr="00280F0C">
        <w:rPr>
          <w:color w:val="000000"/>
          <w:sz w:val="26"/>
          <w:szCs w:val="26"/>
        </w:rPr>
        <w:t>,</w:t>
      </w:r>
      <w:r w:rsidRPr="00280F0C">
        <w:rPr>
          <w:color w:val="000000"/>
          <w:sz w:val="26"/>
          <w:szCs w:val="26"/>
        </w:rPr>
        <w:br/>
        <w:t>560 F.2d 326 (8th Cir. 1977)</w:t>
      </w:r>
      <w:r w:rsidRPr="00280F0C">
        <w:rPr>
          <w:color w:val="000000"/>
          <w:sz w:val="26"/>
          <w:szCs w:val="26"/>
        </w:rPr>
        <w:tab/>
        <w:t>17</w:t>
      </w:r>
    </w:p>
    <w:p w14:paraId="2BE8804A" w14:textId="77777777" w:rsidR="00280F0C" w:rsidRPr="00280F0C" w:rsidRDefault="00280F0C" w:rsidP="00280F0C">
      <w:pPr>
        <w:tabs>
          <w:tab w:val="right" w:leader="dot" w:pos="9340"/>
        </w:tabs>
        <w:ind w:left="200" w:hanging="200"/>
        <w:contextualSpacing/>
        <w:rPr>
          <w:i/>
          <w:color w:val="000000"/>
          <w:sz w:val="26"/>
          <w:szCs w:val="26"/>
        </w:rPr>
      </w:pPr>
    </w:p>
    <w:p w14:paraId="2042FFF8" w14:textId="091574CF"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Kastigar v. United States</w:t>
      </w:r>
      <w:r w:rsidRPr="00280F0C">
        <w:rPr>
          <w:color w:val="000000"/>
          <w:sz w:val="26"/>
          <w:szCs w:val="26"/>
        </w:rPr>
        <w:t>,</w:t>
      </w:r>
      <w:r w:rsidRPr="00280F0C">
        <w:rPr>
          <w:color w:val="000000"/>
          <w:sz w:val="26"/>
          <w:szCs w:val="26"/>
        </w:rPr>
        <w:br/>
        <w:t>406 U.S. 441 (1972)</w:t>
      </w:r>
      <w:r w:rsidRPr="00280F0C">
        <w:rPr>
          <w:color w:val="000000"/>
          <w:sz w:val="26"/>
          <w:szCs w:val="26"/>
        </w:rPr>
        <w:tab/>
        <w:t xml:space="preserve">5, </w:t>
      </w:r>
      <w:r w:rsidR="00942ECF">
        <w:rPr>
          <w:color w:val="000000"/>
          <w:sz w:val="26"/>
          <w:szCs w:val="26"/>
        </w:rPr>
        <w:t>9</w:t>
      </w:r>
      <w:r w:rsidRPr="00280F0C">
        <w:rPr>
          <w:color w:val="000000"/>
          <w:sz w:val="26"/>
          <w:szCs w:val="26"/>
        </w:rPr>
        <w:t>, 1</w:t>
      </w:r>
      <w:r w:rsidR="00942ECF">
        <w:rPr>
          <w:color w:val="000000"/>
          <w:sz w:val="26"/>
          <w:szCs w:val="26"/>
        </w:rPr>
        <w:t>0</w:t>
      </w:r>
    </w:p>
    <w:p w14:paraId="1DE3B946" w14:textId="77777777" w:rsidR="00280F0C" w:rsidRPr="00280F0C" w:rsidRDefault="00280F0C" w:rsidP="00280F0C">
      <w:pPr>
        <w:tabs>
          <w:tab w:val="right" w:leader="dot" w:pos="9340"/>
        </w:tabs>
        <w:ind w:left="200" w:hanging="200"/>
        <w:contextualSpacing/>
        <w:rPr>
          <w:i/>
          <w:color w:val="000000"/>
          <w:sz w:val="26"/>
          <w:szCs w:val="26"/>
        </w:rPr>
      </w:pPr>
    </w:p>
    <w:p w14:paraId="45628F8E" w14:textId="6AADD45F"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Nix v. Williams</w:t>
      </w:r>
      <w:r w:rsidRPr="00280F0C">
        <w:rPr>
          <w:color w:val="000000"/>
          <w:sz w:val="26"/>
          <w:szCs w:val="26"/>
        </w:rPr>
        <w:t>,</w:t>
      </w:r>
      <w:r w:rsidRPr="00280F0C">
        <w:rPr>
          <w:color w:val="000000"/>
          <w:sz w:val="26"/>
          <w:szCs w:val="26"/>
        </w:rPr>
        <w:br/>
        <w:t>467 U.S. 431 (1984)</w:t>
      </w:r>
      <w:r w:rsidRPr="00280F0C">
        <w:rPr>
          <w:color w:val="000000"/>
          <w:sz w:val="26"/>
          <w:szCs w:val="26"/>
        </w:rPr>
        <w:tab/>
        <w:t>1</w:t>
      </w:r>
      <w:r w:rsidR="0098379A">
        <w:rPr>
          <w:color w:val="000000"/>
          <w:sz w:val="26"/>
          <w:szCs w:val="26"/>
        </w:rPr>
        <w:t>1</w:t>
      </w:r>
    </w:p>
    <w:p w14:paraId="03735791" w14:textId="77777777" w:rsidR="00280F0C" w:rsidRPr="00280F0C" w:rsidRDefault="00280F0C" w:rsidP="00280F0C">
      <w:pPr>
        <w:tabs>
          <w:tab w:val="right" w:leader="dot" w:pos="9340"/>
        </w:tabs>
        <w:ind w:left="200" w:hanging="200"/>
        <w:contextualSpacing/>
        <w:rPr>
          <w:i/>
          <w:color w:val="000000"/>
          <w:sz w:val="26"/>
          <w:szCs w:val="26"/>
        </w:rPr>
      </w:pPr>
    </w:p>
    <w:p w14:paraId="712A18D8" w14:textId="44476ED2"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Clemens</w:t>
      </w:r>
      <w:r w:rsidRPr="00280F0C">
        <w:rPr>
          <w:color w:val="000000"/>
          <w:sz w:val="26"/>
          <w:szCs w:val="26"/>
        </w:rPr>
        <w:t>,</w:t>
      </w:r>
      <w:r w:rsidRPr="00280F0C">
        <w:rPr>
          <w:color w:val="000000"/>
          <w:sz w:val="26"/>
          <w:szCs w:val="26"/>
        </w:rPr>
        <w:br/>
        <w:t>793 F. Supp. 2d 236 (D.D.C. 2011)</w:t>
      </w:r>
      <w:r w:rsidRPr="00280F0C">
        <w:rPr>
          <w:color w:val="000000"/>
          <w:sz w:val="26"/>
          <w:szCs w:val="26"/>
        </w:rPr>
        <w:tab/>
        <w:t>15, 17</w:t>
      </w:r>
    </w:p>
    <w:p w14:paraId="59E0C142" w14:textId="77777777" w:rsidR="00280F0C" w:rsidRPr="00280F0C" w:rsidRDefault="00280F0C" w:rsidP="00280F0C">
      <w:pPr>
        <w:tabs>
          <w:tab w:val="right" w:leader="dot" w:pos="9340"/>
        </w:tabs>
        <w:ind w:left="200" w:hanging="200"/>
        <w:contextualSpacing/>
        <w:rPr>
          <w:i/>
          <w:color w:val="000000"/>
          <w:sz w:val="26"/>
          <w:szCs w:val="26"/>
        </w:rPr>
      </w:pPr>
    </w:p>
    <w:p w14:paraId="770803A3" w14:textId="3F1EB9ED"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Edwards</w:t>
      </w:r>
      <w:r w:rsidRPr="00280F0C">
        <w:rPr>
          <w:color w:val="000000"/>
          <w:sz w:val="26"/>
          <w:szCs w:val="26"/>
        </w:rPr>
        <w:t>,</w:t>
      </w:r>
      <w:r w:rsidRPr="00280F0C">
        <w:rPr>
          <w:color w:val="000000"/>
          <w:sz w:val="26"/>
          <w:szCs w:val="26"/>
        </w:rPr>
        <w:br/>
        <w:t>191 F. Supp. 2d 88 (D.C. 2002)</w:t>
      </w:r>
      <w:r w:rsidRPr="00280F0C">
        <w:rPr>
          <w:color w:val="000000"/>
          <w:sz w:val="26"/>
          <w:szCs w:val="26"/>
        </w:rPr>
        <w:tab/>
        <w:t>1</w:t>
      </w:r>
      <w:r w:rsidR="00942ECF">
        <w:rPr>
          <w:color w:val="000000"/>
          <w:sz w:val="26"/>
          <w:szCs w:val="26"/>
        </w:rPr>
        <w:t>2</w:t>
      </w:r>
    </w:p>
    <w:p w14:paraId="5587A686" w14:textId="77777777" w:rsidR="00280F0C" w:rsidRPr="00280F0C" w:rsidRDefault="00280F0C" w:rsidP="00280F0C">
      <w:pPr>
        <w:tabs>
          <w:tab w:val="right" w:leader="dot" w:pos="9340"/>
        </w:tabs>
        <w:ind w:left="200" w:hanging="200"/>
        <w:contextualSpacing/>
        <w:rPr>
          <w:i/>
          <w:color w:val="000000"/>
          <w:sz w:val="26"/>
          <w:szCs w:val="26"/>
        </w:rPr>
      </w:pPr>
    </w:p>
    <w:p w14:paraId="09807715" w14:textId="68429419"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Hampton</w:t>
      </w:r>
      <w:r w:rsidRPr="00280F0C">
        <w:rPr>
          <w:color w:val="000000"/>
          <w:sz w:val="26"/>
          <w:szCs w:val="26"/>
        </w:rPr>
        <w:t>,</w:t>
      </w:r>
      <w:r w:rsidRPr="00280F0C">
        <w:rPr>
          <w:color w:val="000000"/>
          <w:sz w:val="26"/>
          <w:szCs w:val="26"/>
        </w:rPr>
        <w:br/>
        <w:t>775 F.2d 1479 (11th Cir. 1985)</w:t>
      </w:r>
      <w:r w:rsidRPr="00280F0C">
        <w:rPr>
          <w:color w:val="000000"/>
          <w:sz w:val="26"/>
          <w:szCs w:val="26"/>
        </w:rPr>
        <w:tab/>
        <w:t xml:space="preserve">5, 6, 7, </w:t>
      </w:r>
      <w:r w:rsidR="00942ECF">
        <w:rPr>
          <w:color w:val="000000"/>
          <w:sz w:val="26"/>
          <w:szCs w:val="26"/>
        </w:rPr>
        <w:t>9</w:t>
      </w:r>
    </w:p>
    <w:p w14:paraId="7FD3D37C" w14:textId="77777777" w:rsidR="00280F0C" w:rsidRPr="00280F0C" w:rsidRDefault="00280F0C" w:rsidP="00280F0C">
      <w:pPr>
        <w:tabs>
          <w:tab w:val="right" w:leader="dot" w:pos="9340"/>
        </w:tabs>
        <w:ind w:left="200" w:hanging="200"/>
        <w:contextualSpacing/>
        <w:rPr>
          <w:i/>
          <w:color w:val="000000"/>
          <w:sz w:val="26"/>
          <w:szCs w:val="26"/>
        </w:rPr>
      </w:pPr>
    </w:p>
    <w:p w14:paraId="206525A4" w14:textId="1E6F1861"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lastRenderedPageBreak/>
        <w:t>United States v. Harris</w:t>
      </w:r>
      <w:r w:rsidRPr="00280F0C">
        <w:rPr>
          <w:color w:val="000000"/>
          <w:sz w:val="26"/>
          <w:szCs w:val="26"/>
        </w:rPr>
        <w:t>,</w:t>
      </w:r>
      <w:r w:rsidRPr="00280F0C">
        <w:rPr>
          <w:color w:val="000000"/>
          <w:sz w:val="26"/>
          <w:szCs w:val="26"/>
        </w:rPr>
        <w:br/>
        <w:t>973 F.2d 333 (4th Cir. 1992)</w:t>
      </w:r>
      <w:r w:rsidRPr="00280F0C">
        <w:rPr>
          <w:color w:val="000000"/>
          <w:sz w:val="26"/>
          <w:szCs w:val="26"/>
        </w:rPr>
        <w:tab/>
      </w:r>
      <w:r w:rsidR="00942ECF">
        <w:rPr>
          <w:color w:val="000000"/>
          <w:sz w:val="26"/>
          <w:szCs w:val="26"/>
        </w:rPr>
        <w:t xml:space="preserve">6, </w:t>
      </w:r>
      <w:r w:rsidRPr="00280F0C">
        <w:rPr>
          <w:color w:val="000000"/>
          <w:sz w:val="26"/>
          <w:szCs w:val="26"/>
        </w:rPr>
        <w:t>7</w:t>
      </w:r>
    </w:p>
    <w:p w14:paraId="3FC36848" w14:textId="77777777" w:rsidR="00F13D80" w:rsidRDefault="00F13D80" w:rsidP="00280F0C">
      <w:pPr>
        <w:tabs>
          <w:tab w:val="right" w:leader="dot" w:pos="9340"/>
        </w:tabs>
        <w:ind w:left="200" w:hanging="200"/>
        <w:contextualSpacing/>
        <w:rPr>
          <w:i/>
          <w:color w:val="000000"/>
          <w:sz w:val="26"/>
          <w:szCs w:val="26"/>
        </w:rPr>
      </w:pPr>
    </w:p>
    <w:p w14:paraId="6361C337" w14:textId="375129F5"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Hsia</w:t>
      </w:r>
      <w:r w:rsidRPr="00280F0C">
        <w:rPr>
          <w:color w:val="000000"/>
          <w:sz w:val="26"/>
          <w:szCs w:val="26"/>
        </w:rPr>
        <w:t>,</w:t>
      </w:r>
      <w:r w:rsidRPr="00280F0C">
        <w:rPr>
          <w:color w:val="000000"/>
          <w:sz w:val="26"/>
          <w:szCs w:val="26"/>
        </w:rPr>
        <w:br/>
        <w:t>131 F. Supp. 2d 195 (D.D.C. 2001)</w:t>
      </w:r>
      <w:r w:rsidRPr="00280F0C">
        <w:rPr>
          <w:color w:val="000000"/>
          <w:sz w:val="26"/>
          <w:szCs w:val="26"/>
        </w:rPr>
        <w:tab/>
        <w:t>7</w:t>
      </w:r>
    </w:p>
    <w:p w14:paraId="54072683" w14:textId="77777777" w:rsidR="00280F0C" w:rsidRPr="00280F0C" w:rsidRDefault="00280F0C" w:rsidP="00280F0C">
      <w:pPr>
        <w:tabs>
          <w:tab w:val="right" w:leader="dot" w:pos="9340"/>
        </w:tabs>
        <w:ind w:left="200" w:hanging="200"/>
        <w:contextualSpacing/>
        <w:rPr>
          <w:i/>
          <w:color w:val="000000"/>
          <w:sz w:val="26"/>
          <w:szCs w:val="26"/>
        </w:rPr>
      </w:pPr>
    </w:p>
    <w:p w14:paraId="388B0F7D" w14:textId="7C6544A3"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McGrady</w:t>
      </w:r>
      <w:r w:rsidRPr="00280F0C">
        <w:rPr>
          <w:color w:val="000000"/>
          <w:sz w:val="26"/>
          <w:szCs w:val="26"/>
        </w:rPr>
        <w:t>,</w:t>
      </w:r>
      <w:r w:rsidRPr="00280F0C">
        <w:rPr>
          <w:color w:val="000000"/>
          <w:sz w:val="26"/>
          <w:szCs w:val="26"/>
        </w:rPr>
        <w:br/>
        <w:t>508 F.2d 13 (8th Cir. 1974)</w:t>
      </w:r>
      <w:r w:rsidRPr="00280F0C">
        <w:rPr>
          <w:color w:val="000000"/>
          <w:sz w:val="26"/>
          <w:szCs w:val="26"/>
        </w:rPr>
        <w:tab/>
        <w:t>13</w:t>
      </w:r>
    </w:p>
    <w:p w14:paraId="63A5C952" w14:textId="77777777" w:rsidR="00280F0C" w:rsidRPr="00280F0C" w:rsidRDefault="00280F0C" w:rsidP="00280F0C">
      <w:pPr>
        <w:tabs>
          <w:tab w:val="right" w:leader="dot" w:pos="9340"/>
        </w:tabs>
        <w:ind w:left="200" w:hanging="200"/>
        <w:contextualSpacing/>
        <w:rPr>
          <w:i/>
          <w:color w:val="000000"/>
          <w:sz w:val="26"/>
          <w:szCs w:val="26"/>
        </w:rPr>
      </w:pPr>
    </w:p>
    <w:p w14:paraId="49DE0793" w14:textId="36B307CD"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Nemes</w:t>
      </w:r>
      <w:r w:rsidRPr="00280F0C">
        <w:rPr>
          <w:color w:val="000000"/>
          <w:sz w:val="26"/>
          <w:szCs w:val="26"/>
        </w:rPr>
        <w:t>,</w:t>
      </w:r>
      <w:r w:rsidRPr="00280F0C">
        <w:rPr>
          <w:color w:val="000000"/>
          <w:sz w:val="26"/>
          <w:szCs w:val="26"/>
        </w:rPr>
        <w:br/>
        <w:t>555 F.2d 51 (2d Cir. 1977)</w:t>
      </w:r>
      <w:r w:rsidRPr="00280F0C">
        <w:rPr>
          <w:color w:val="000000"/>
          <w:sz w:val="26"/>
          <w:szCs w:val="26"/>
        </w:rPr>
        <w:tab/>
        <w:t xml:space="preserve">6, </w:t>
      </w:r>
      <w:r w:rsidR="00942ECF">
        <w:rPr>
          <w:color w:val="000000"/>
          <w:sz w:val="26"/>
          <w:szCs w:val="26"/>
        </w:rPr>
        <w:t>11, 12</w:t>
      </w:r>
    </w:p>
    <w:p w14:paraId="497E2959" w14:textId="77777777" w:rsidR="00280F0C" w:rsidRPr="00280F0C" w:rsidRDefault="00280F0C" w:rsidP="00280F0C">
      <w:pPr>
        <w:tabs>
          <w:tab w:val="right" w:leader="dot" w:pos="9340"/>
        </w:tabs>
        <w:ind w:left="200" w:hanging="200"/>
        <w:contextualSpacing/>
        <w:rPr>
          <w:i/>
          <w:color w:val="000000"/>
          <w:sz w:val="26"/>
          <w:szCs w:val="26"/>
        </w:rPr>
      </w:pPr>
    </w:p>
    <w:p w14:paraId="65D57215" w14:textId="2032A942"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Nixon</w:t>
      </w:r>
      <w:r w:rsidRPr="00280F0C">
        <w:rPr>
          <w:color w:val="000000"/>
          <w:sz w:val="26"/>
          <w:szCs w:val="26"/>
        </w:rPr>
        <w:t>,</w:t>
      </w:r>
      <w:r w:rsidRPr="00280F0C">
        <w:rPr>
          <w:color w:val="000000"/>
          <w:sz w:val="26"/>
          <w:szCs w:val="26"/>
        </w:rPr>
        <w:br/>
        <w:t>418 U.S. 683 (1974)</w:t>
      </w:r>
      <w:r w:rsidRPr="00280F0C">
        <w:rPr>
          <w:color w:val="000000"/>
          <w:sz w:val="26"/>
          <w:szCs w:val="26"/>
        </w:rPr>
        <w:tab/>
        <w:t>1</w:t>
      </w:r>
      <w:r w:rsidR="0098379A">
        <w:rPr>
          <w:color w:val="000000"/>
          <w:sz w:val="26"/>
          <w:szCs w:val="26"/>
        </w:rPr>
        <w:t>3</w:t>
      </w:r>
    </w:p>
    <w:p w14:paraId="462C891B" w14:textId="77777777" w:rsidR="00280F0C" w:rsidRPr="00280F0C" w:rsidRDefault="00280F0C" w:rsidP="00280F0C">
      <w:pPr>
        <w:tabs>
          <w:tab w:val="right" w:leader="dot" w:pos="9340"/>
        </w:tabs>
        <w:ind w:left="200" w:hanging="200"/>
        <w:contextualSpacing/>
        <w:rPr>
          <w:i/>
          <w:color w:val="000000"/>
          <w:sz w:val="26"/>
          <w:szCs w:val="26"/>
        </w:rPr>
      </w:pPr>
    </w:p>
    <w:p w14:paraId="48868E1C" w14:textId="08051613"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Nobles</w:t>
      </w:r>
      <w:r w:rsidRPr="00280F0C">
        <w:rPr>
          <w:color w:val="000000"/>
          <w:sz w:val="26"/>
          <w:szCs w:val="26"/>
        </w:rPr>
        <w:t>,</w:t>
      </w:r>
      <w:r w:rsidRPr="00280F0C">
        <w:rPr>
          <w:color w:val="000000"/>
          <w:sz w:val="26"/>
          <w:szCs w:val="26"/>
        </w:rPr>
        <w:br/>
        <w:t>422 U.S. 225 (1975)</w:t>
      </w:r>
      <w:r w:rsidRPr="00280F0C">
        <w:rPr>
          <w:color w:val="000000"/>
          <w:sz w:val="26"/>
          <w:szCs w:val="26"/>
        </w:rPr>
        <w:tab/>
        <w:t>13</w:t>
      </w:r>
    </w:p>
    <w:p w14:paraId="21A8C7E5" w14:textId="77777777" w:rsidR="00280F0C" w:rsidRPr="00280F0C" w:rsidRDefault="00280F0C" w:rsidP="00280F0C">
      <w:pPr>
        <w:tabs>
          <w:tab w:val="right" w:leader="dot" w:pos="9340"/>
        </w:tabs>
        <w:ind w:left="200" w:hanging="200"/>
        <w:contextualSpacing/>
        <w:rPr>
          <w:i/>
          <w:color w:val="000000"/>
          <w:sz w:val="26"/>
          <w:szCs w:val="26"/>
        </w:rPr>
      </w:pPr>
    </w:p>
    <w:p w14:paraId="6D069306" w14:textId="35949F1C"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North</w:t>
      </w:r>
      <w:r w:rsidRPr="00280F0C">
        <w:rPr>
          <w:color w:val="000000"/>
          <w:sz w:val="26"/>
          <w:szCs w:val="26"/>
        </w:rPr>
        <w:t>,</w:t>
      </w:r>
      <w:r w:rsidRPr="00280F0C">
        <w:rPr>
          <w:color w:val="000000"/>
          <w:sz w:val="26"/>
          <w:szCs w:val="26"/>
        </w:rPr>
        <w:br/>
        <w:t>910 F.2d 843 (D.C. Cir. 1990)</w:t>
      </w:r>
      <w:r w:rsidRPr="00280F0C">
        <w:rPr>
          <w:color w:val="000000"/>
          <w:sz w:val="26"/>
          <w:szCs w:val="26"/>
        </w:rPr>
        <w:tab/>
        <w:t>5</w:t>
      </w:r>
    </w:p>
    <w:p w14:paraId="7A50019D" w14:textId="77777777" w:rsidR="00280F0C" w:rsidRPr="00280F0C" w:rsidRDefault="00280F0C" w:rsidP="00280F0C">
      <w:pPr>
        <w:tabs>
          <w:tab w:val="right" w:leader="dot" w:pos="9340"/>
        </w:tabs>
        <w:ind w:left="200" w:hanging="200"/>
        <w:contextualSpacing/>
        <w:rPr>
          <w:i/>
          <w:color w:val="000000"/>
          <w:sz w:val="26"/>
          <w:szCs w:val="26"/>
        </w:rPr>
      </w:pPr>
    </w:p>
    <w:p w14:paraId="304338A1" w14:textId="6309640C"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Nosal</w:t>
      </w:r>
      <w:r w:rsidRPr="00280F0C">
        <w:rPr>
          <w:color w:val="000000"/>
          <w:sz w:val="26"/>
          <w:szCs w:val="26"/>
        </w:rPr>
        <w:t>,</w:t>
      </w:r>
      <w:r w:rsidRPr="00280F0C">
        <w:rPr>
          <w:color w:val="000000"/>
          <w:sz w:val="26"/>
          <w:szCs w:val="26"/>
        </w:rPr>
        <w:br/>
        <w:t>No. CR-08-0237 EMC, 2013 WL 1402336 (N.D. Cal. Apr. 5, 2013)</w:t>
      </w:r>
      <w:r w:rsidRPr="00280F0C">
        <w:rPr>
          <w:color w:val="000000"/>
          <w:sz w:val="26"/>
          <w:szCs w:val="26"/>
        </w:rPr>
        <w:tab/>
        <w:t>17</w:t>
      </w:r>
    </w:p>
    <w:p w14:paraId="3A9F992B" w14:textId="77777777" w:rsidR="00280F0C" w:rsidRPr="00280F0C" w:rsidRDefault="00280F0C" w:rsidP="00280F0C">
      <w:pPr>
        <w:tabs>
          <w:tab w:val="right" w:leader="dot" w:pos="9340"/>
        </w:tabs>
        <w:ind w:left="200" w:hanging="200"/>
        <w:contextualSpacing/>
        <w:rPr>
          <w:i/>
          <w:color w:val="000000"/>
          <w:sz w:val="26"/>
          <w:szCs w:val="26"/>
        </w:rPr>
      </w:pPr>
    </w:p>
    <w:p w14:paraId="1DE03E40" w14:textId="6A5ADB65"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Paxson</w:t>
      </w:r>
      <w:r w:rsidRPr="00280F0C">
        <w:rPr>
          <w:color w:val="000000"/>
          <w:sz w:val="26"/>
          <w:szCs w:val="26"/>
        </w:rPr>
        <w:t>,</w:t>
      </w:r>
      <w:r w:rsidRPr="00280F0C">
        <w:rPr>
          <w:color w:val="000000"/>
          <w:sz w:val="26"/>
          <w:szCs w:val="26"/>
        </w:rPr>
        <w:br/>
        <w:t>861 F.2d 730 (D.C. Cir. 1988)</w:t>
      </w:r>
      <w:r w:rsidRPr="00280F0C">
        <w:rPr>
          <w:color w:val="000000"/>
          <w:sz w:val="26"/>
          <w:szCs w:val="26"/>
        </w:rPr>
        <w:tab/>
        <w:t>15</w:t>
      </w:r>
    </w:p>
    <w:p w14:paraId="4FA3CAC1" w14:textId="77777777" w:rsidR="00280F0C" w:rsidRPr="00280F0C" w:rsidRDefault="00280F0C" w:rsidP="00280F0C">
      <w:pPr>
        <w:tabs>
          <w:tab w:val="right" w:leader="dot" w:pos="9340"/>
        </w:tabs>
        <w:ind w:left="200" w:hanging="200"/>
        <w:contextualSpacing/>
        <w:rPr>
          <w:i/>
          <w:color w:val="000000"/>
          <w:sz w:val="26"/>
          <w:szCs w:val="26"/>
        </w:rPr>
      </w:pPr>
    </w:p>
    <w:p w14:paraId="3EC0D4D9" w14:textId="798A8428"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United States v. Schmidgall</w:t>
      </w:r>
      <w:r w:rsidRPr="00280F0C">
        <w:rPr>
          <w:color w:val="000000"/>
          <w:sz w:val="26"/>
          <w:szCs w:val="26"/>
        </w:rPr>
        <w:t>,</w:t>
      </w:r>
      <w:r w:rsidRPr="00280F0C">
        <w:rPr>
          <w:color w:val="000000"/>
          <w:sz w:val="26"/>
          <w:szCs w:val="26"/>
        </w:rPr>
        <w:br/>
        <w:t>25 F.3d 1523 (11th Cir. 1994)</w:t>
      </w:r>
      <w:r w:rsidRPr="00280F0C">
        <w:rPr>
          <w:color w:val="000000"/>
          <w:sz w:val="26"/>
          <w:szCs w:val="26"/>
        </w:rPr>
        <w:tab/>
      </w:r>
      <w:r w:rsidR="00F13D80">
        <w:rPr>
          <w:color w:val="000000"/>
          <w:sz w:val="26"/>
          <w:szCs w:val="26"/>
        </w:rPr>
        <w:t xml:space="preserve">5, 6, </w:t>
      </w:r>
      <w:r w:rsidR="00942ECF">
        <w:rPr>
          <w:color w:val="000000"/>
          <w:sz w:val="26"/>
          <w:szCs w:val="26"/>
        </w:rPr>
        <w:t>8</w:t>
      </w:r>
      <w:r w:rsidR="00F13D80">
        <w:rPr>
          <w:color w:val="000000"/>
          <w:sz w:val="26"/>
          <w:szCs w:val="26"/>
        </w:rPr>
        <w:t xml:space="preserve">, </w:t>
      </w:r>
      <w:r w:rsidR="00942ECF">
        <w:rPr>
          <w:color w:val="000000"/>
          <w:sz w:val="26"/>
          <w:szCs w:val="26"/>
        </w:rPr>
        <w:t>9</w:t>
      </w:r>
      <w:r w:rsidR="00F13D80">
        <w:rPr>
          <w:color w:val="000000"/>
          <w:sz w:val="26"/>
          <w:szCs w:val="26"/>
        </w:rPr>
        <w:t>, 1</w:t>
      </w:r>
      <w:r w:rsidR="00942ECF">
        <w:rPr>
          <w:color w:val="000000"/>
          <w:sz w:val="26"/>
          <w:szCs w:val="26"/>
        </w:rPr>
        <w:t>0</w:t>
      </w:r>
    </w:p>
    <w:p w14:paraId="59120DE3" w14:textId="77777777" w:rsidR="00280F0C" w:rsidRPr="00280F0C" w:rsidRDefault="00280F0C" w:rsidP="00280F0C">
      <w:pPr>
        <w:tabs>
          <w:tab w:val="right" w:leader="dot" w:pos="9340"/>
        </w:tabs>
        <w:ind w:left="200" w:hanging="200"/>
        <w:contextualSpacing/>
        <w:rPr>
          <w:i/>
          <w:color w:val="000000"/>
          <w:sz w:val="26"/>
          <w:szCs w:val="26"/>
        </w:rPr>
      </w:pPr>
    </w:p>
    <w:p w14:paraId="06B25A22" w14:textId="59A63A29"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Upjohn Co. v. United States</w:t>
      </w:r>
      <w:r w:rsidRPr="00280F0C">
        <w:rPr>
          <w:color w:val="000000"/>
          <w:sz w:val="26"/>
          <w:szCs w:val="26"/>
        </w:rPr>
        <w:t>,</w:t>
      </w:r>
      <w:r w:rsidRPr="00280F0C">
        <w:rPr>
          <w:color w:val="000000"/>
          <w:sz w:val="26"/>
          <w:szCs w:val="26"/>
        </w:rPr>
        <w:br/>
        <w:t>449 U.S. 383 (1981)</w:t>
      </w:r>
      <w:r w:rsidRPr="00280F0C">
        <w:rPr>
          <w:color w:val="000000"/>
          <w:sz w:val="26"/>
          <w:szCs w:val="26"/>
        </w:rPr>
        <w:tab/>
        <w:t>17</w:t>
      </w:r>
    </w:p>
    <w:p w14:paraId="652EC4A3" w14:textId="77777777" w:rsidR="00280F0C" w:rsidRPr="00280F0C" w:rsidRDefault="00280F0C" w:rsidP="00280F0C">
      <w:pPr>
        <w:tabs>
          <w:tab w:val="right" w:leader="dot" w:pos="9340"/>
        </w:tabs>
        <w:ind w:left="200" w:hanging="200"/>
        <w:contextualSpacing/>
        <w:rPr>
          <w:i/>
          <w:color w:val="000000"/>
          <w:sz w:val="26"/>
          <w:szCs w:val="26"/>
        </w:rPr>
      </w:pPr>
    </w:p>
    <w:p w14:paraId="033880E7" w14:textId="24AB92E3" w:rsidR="007F40E2" w:rsidRPr="00280F0C" w:rsidRDefault="00893525" w:rsidP="00280F0C">
      <w:pPr>
        <w:tabs>
          <w:tab w:val="right" w:leader="dot" w:pos="9340"/>
        </w:tabs>
        <w:ind w:left="200" w:hanging="200"/>
        <w:contextualSpacing/>
        <w:rPr>
          <w:color w:val="000000"/>
          <w:sz w:val="26"/>
          <w:szCs w:val="26"/>
        </w:rPr>
      </w:pPr>
      <w:r w:rsidRPr="00280F0C">
        <w:rPr>
          <w:i/>
          <w:color w:val="000000"/>
          <w:sz w:val="26"/>
          <w:szCs w:val="26"/>
        </w:rPr>
        <w:t>Williamson v. Moore</w:t>
      </w:r>
      <w:r w:rsidRPr="00280F0C">
        <w:rPr>
          <w:color w:val="000000"/>
          <w:sz w:val="26"/>
          <w:szCs w:val="26"/>
        </w:rPr>
        <w:t>,</w:t>
      </w:r>
      <w:r w:rsidRPr="00280F0C">
        <w:rPr>
          <w:color w:val="000000"/>
          <w:sz w:val="26"/>
          <w:szCs w:val="26"/>
        </w:rPr>
        <w:br/>
        <w:t>221 F.3d 1177 (11th Cir. 2000)</w:t>
      </w:r>
      <w:r w:rsidRPr="00280F0C">
        <w:rPr>
          <w:color w:val="000000"/>
          <w:sz w:val="26"/>
          <w:szCs w:val="26"/>
        </w:rPr>
        <w:tab/>
        <w:t>15</w:t>
      </w:r>
    </w:p>
    <w:p w14:paraId="29B5DA63" w14:textId="77777777" w:rsidR="007F40E2" w:rsidRPr="00280F0C" w:rsidRDefault="007F40E2" w:rsidP="00280F0C">
      <w:pPr>
        <w:tabs>
          <w:tab w:val="right" w:leader="dot" w:pos="9340"/>
        </w:tabs>
        <w:ind w:left="200" w:hanging="200"/>
        <w:contextualSpacing/>
        <w:rPr>
          <w:color w:val="000000"/>
          <w:sz w:val="26"/>
          <w:szCs w:val="26"/>
        </w:rPr>
      </w:pPr>
    </w:p>
    <w:p w14:paraId="4087D1D9" w14:textId="77777777" w:rsidR="007F40E2" w:rsidRPr="00280F0C" w:rsidRDefault="00893525" w:rsidP="00280F0C">
      <w:pPr>
        <w:tabs>
          <w:tab w:val="right" w:leader="dot" w:pos="9340"/>
        </w:tabs>
        <w:contextualSpacing/>
        <w:rPr>
          <w:b/>
          <w:bCs/>
          <w:color w:val="000000"/>
          <w:sz w:val="26"/>
          <w:szCs w:val="26"/>
        </w:rPr>
      </w:pPr>
      <w:r w:rsidRPr="00280F0C">
        <w:rPr>
          <w:b/>
          <w:bCs/>
          <w:color w:val="000000"/>
          <w:sz w:val="26"/>
          <w:szCs w:val="26"/>
        </w:rPr>
        <w:t>Statutes</w:t>
      </w:r>
    </w:p>
    <w:p w14:paraId="358A400F" w14:textId="77777777" w:rsidR="007F40E2" w:rsidRPr="00280F0C" w:rsidRDefault="007F40E2" w:rsidP="00280F0C">
      <w:pPr>
        <w:tabs>
          <w:tab w:val="right" w:leader="dot" w:pos="9340"/>
        </w:tabs>
        <w:contextualSpacing/>
        <w:rPr>
          <w:color w:val="000000"/>
          <w:sz w:val="26"/>
          <w:szCs w:val="26"/>
        </w:rPr>
      </w:pPr>
    </w:p>
    <w:p w14:paraId="327F13AA" w14:textId="324CF552" w:rsidR="00F13D80" w:rsidRDefault="00893525" w:rsidP="00280F0C">
      <w:pPr>
        <w:tabs>
          <w:tab w:val="right" w:leader="dot" w:pos="9340"/>
        </w:tabs>
        <w:ind w:left="200" w:hanging="200"/>
        <w:contextualSpacing/>
        <w:rPr>
          <w:color w:val="000000"/>
          <w:sz w:val="26"/>
          <w:szCs w:val="26"/>
        </w:rPr>
      </w:pPr>
      <w:r w:rsidRPr="00280F0C">
        <w:rPr>
          <w:color w:val="000000"/>
          <w:sz w:val="26"/>
          <w:szCs w:val="26"/>
        </w:rPr>
        <w:t xml:space="preserve">18 U.S.C. </w:t>
      </w:r>
      <w:r w:rsidR="00F13D80" w:rsidRPr="00280F0C">
        <w:rPr>
          <w:color w:val="000000"/>
          <w:sz w:val="26"/>
          <w:szCs w:val="26"/>
        </w:rPr>
        <w:t>§</w:t>
      </w:r>
      <w:r w:rsidRPr="00280F0C">
        <w:rPr>
          <w:color w:val="000000"/>
          <w:sz w:val="26"/>
          <w:szCs w:val="26"/>
        </w:rPr>
        <w:t xml:space="preserve"> 6002</w:t>
      </w:r>
      <w:r w:rsidR="00F13D80" w:rsidRPr="00280F0C">
        <w:rPr>
          <w:color w:val="000000"/>
          <w:sz w:val="26"/>
          <w:szCs w:val="26"/>
        </w:rPr>
        <w:tab/>
      </w:r>
      <w:r w:rsidR="00F13D80">
        <w:rPr>
          <w:color w:val="000000"/>
          <w:sz w:val="26"/>
          <w:szCs w:val="26"/>
        </w:rPr>
        <w:t>1</w:t>
      </w:r>
      <w:r w:rsidR="00D04574">
        <w:rPr>
          <w:color w:val="000000"/>
          <w:sz w:val="26"/>
          <w:szCs w:val="26"/>
        </w:rPr>
        <w:t>, 1</w:t>
      </w:r>
      <w:r w:rsidR="00942ECF">
        <w:rPr>
          <w:color w:val="000000"/>
          <w:sz w:val="26"/>
          <w:szCs w:val="26"/>
        </w:rPr>
        <w:t>0</w:t>
      </w:r>
    </w:p>
    <w:p w14:paraId="4A89773A" w14:textId="77777777" w:rsidR="00B23E73" w:rsidRDefault="00B23E73" w:rsidP="00280F0C">
      <w:pPr>
        <w:tabs>
          <w:tab w:val="right" w:leader="dot" w:pos="9340"/>
        </w:tabs>
        <w:ind w:left="200" w:hanging="200"/>
        <w:contextualSpacing/>
        <w:rPr>
          <w:color w:val="000000"/>
          <w:sz w:val="26"/>
          <w:szCs w:val="26"/>
        </w:rPr>
      </w:pPr>
    </w:p>
    <w:p w14:paraId="13C84B34" w14:textId="14A99D18" w:rsidR="007F40E2" w:rsidRPr="00280F0C" w:rsidRDefault="00F13D80" w:rsidP="00280F0C">
      <w:pPr>
        <w:tabs>
          <w:tab w:val="right" w:leader="dot" w:pos="9340"/>
        </w:tabs>
        <w:ind w:left="200" w:hanging="200"/>
        <w:contextualSpacing/>
        <w:rPr>
          <w:color w:val="000000"/>
          <w:sz w:val="26"/>
          <w:szCs w:val="26"/>
        </w:rPr>
      </w:pPr>
      <w:r>
        <w:rPr>
          <w:color w:val="000000"/>
          <w:sz w:val="26"/>
          <w:szCs w:val="26"/>
        </w:rPr>
        <w:t>18 U.S.C.</w:t>
      </w:r>
      <w:r w:rsidR="00893525" w:rsidRPr="00280F0C">
        <w:rPr>
          <w:color w:val="000000"/>
          <w:sz w:val="26"/>
          <w:szCs w:val="26"/>
        </w:rPr>
        <w:t xml:space="preserve"> </w:t>
      </w:r>
      <w:r w:rsidRPr="00280F0C">
        <w:rPr>
          <w:color w:val="000000"/>
          <w:sz w:val="26"/>
          <w:szCs w:val="26"/>
        </w:rPr>
        <w:t>§</w:t>
      </w:r>
      <w:r>
        <w:rPr>
          <w:color w:val="000000"/>
          <w:sz w:val="26"/>
          <w:szCs w:val="26"/>
        </w:rPr>
        <w:t xml:space="preserve"> </w:t>
      </w:r>
      <w:r w:rsidR="00893525" w:rsidRPr="00280F0C">
        <w:rPr>
          <w:color w:val="000000"/>
          <w:sz w:val="26"/>
          <w:szCs w:val="26"/>
        </w:rPr>
        <w:t>6003</w:t>
      </w:r>
      <w:r w:rsidR="00893525" w:rsidRPr="00280F0C">
        <w:rPr>
          <w:color w:val="000000"/>
          <w:sz w:val="26"/>
          <w:szCs w:val="26"/>
        </w:rPr>
        <w:tab/>
        <w:t>1</w:t>
      </w:r>
    </w:p>
    <w:p w14:paraId="2E9E9812" w14:textId="77777777" w:rsidR="00F13D80" w:rsidRDefault="00F13D80" w:rsidP="00280F0C">
      <w:pPr>
        <w:tabs>
          <w:tab w:val="right" w:leader="dot" w:pos="9340"/>
        </w:tabs>
        <w:contextualSpacing/>
        <w:rPr>
          <w:b/>
          <w:bCs/>
          <w:color w:val="000000"/>
          <w:sz w:val="26"/>
          <w:szCs w:val="26"/>
        </w:rPr>
      </w:pPr>
    </w:p>
    <w:p w14:paraId="3A1050EE" w14:textId="77777777" w:rsidR="006636EC" w:rsidRDefault="006636EC" w:rsidP="00280F0C">
      <w:pPr>
        <w:tabs>
          <w:tab w:val="right" w:leader="dot" w:pos="9340"/>
        </w:tabs>
        <w:contextualSpacing/>
        <w:rPr>
          <w:b/>
          <w:bCs/>
          <w:color w:val="000000"/>
          <w:sz w:val="26"/>
          <w:szCs w:val="26"/>
        </w:rPr>
      </w:pPr>
    </w:p>
    <w:p w14:paraId="5C8E8688" w14:textId="79151D41" w:rsidR="007F40E2" w:rsidRPr="00280F0C" w:rsidRDefault="00893525" w:rsidP="00280F0C">
      <w:pPr>
        <w:tabs>
          <w:tab w:val="right" w:leader="dot" w:pos="9340"/>
        </w:tabs>
        <w:contextualSpacing/>
        <w:rPr>
          <w:b/>
          <w:bCs/>
          <w:color w:val="000000"/>
          <w:sz w:val="26"/>
          <w:szCs w:val="26"/>
        </w:rPr>
      </w:pPr>
      <w:r w:rsidRPr="00280F0C">
        <w:rPr>
          <w:b/>
          <w:bCs/>
          <w:color w:val="000000"/>
          <w:sz w:val="26"/>
          <w:szCs w:val="26"/>
        </w:rPr>
        <w:lastRenderedPageBreak/>
        <w:t>Rules</w:t>
      </w:r>
    </w:p>
    <w:p w14:paraId="62CBE3EC" w14:textId="77777777" w:rsidR="007F40E2" w:rsidRPr="00280F0C" w:rsidRDefault="007F40E2" w:rsidP="00280F0C">
      <w:pPr>
        <w:tabs>
          <w:tab w:val="right" w:leader="dot" w:pos="9340"/>
        </w:tabs>
        <w:contextualSpacing/>
        <w:rPr>
          <w:color w:val="000000"/>
          <w:sz w:val="26"/>
          <w:szCs w:val="26"/>
        </w:rPr>
      </w:pPr>
    </w:p>
    <w:p w14:paraId="5B24C36F" w14:textId="7A6F522B" w:rsidR="007F40E2" w:rsidRDefault="00893525" w:rsidP="00280F0C">
      <w:pPr>
        <w:tabs>
          <w:tab w:val="right" w:leader="dot" w:pos="9340"/>
        </w:tabs>
        <w:ind w:left="200" w:hanging="200"/>
        <w:contextualSpacing/>
        <w:rPr>
          <w:color w:val="000000"/>
          <w:sz w:val="26"/>
          <w:szCs w:val="26"/>
        </w:rPr>
      </w:pPr>
      <w:r w:rsidRPr="00280F0C">
        <w:rPr>
          <w:color w:val="000000"/>
          <w:sz w:val="26"/>
          <w:szCs w:val="26"/>
        </w:rPr>
        <w:t>Fed. R. Crim. P. 1</w:t>
      </w:r>
      <w:r w:rsidR="00280F0C" w:rsidRPr="00280F0C">
        <w:rPr>
          <w:color w:val="000000"/>
          <w:sz w:val="26"/>
          <w:szCs w:val="26"/>
        </w:rPr>
        <w:t>6(b)(2)</w:t>
      </w:r>
      <w:r w:rsidRPr="00280F0C">
        <w:rPr>
          <w:color w:val="000000"/>
          <w:sz w:val="26"/>
          <w:szCs w:val="26"/>
        </w:rPr>
        <w:tab/>
        <w:t>1</w:t>
      </w:r>
      <w:r w:rsidR="00280F0C" w:rsidRPr="00280F0C">
        <w:rPr>
          <w:color w:val="000000"/>
          <w:sz w:val="26"/>
          <w:szCs w:val="26"/>
        </w:rPr>
        <w:t>2</w:t>
      </w:r>
      <w:r w:rsidR="00942ECF">
        <w:rPr>
          <w:color w:val="000000"/>
          <w:sz w:val="26"/>
          <w:szCs w:val="26"/>
        </w:rPr>
        <w:t>, 16</w:t>
      </w:r>
    </w:p>
    <w:p w14:paraId="7261D521" w14:textId="77777777" w:rsidR="00B23E73" w:rsidRPr="00280F0C" w:rsidRDefault="00B23E73" w:rsidP="00280F0C">
      <w:pPr>
        <w:tabs>
          <w:tab w:val="right" w:leader="dot" w:pos="9340"/>
        </w:tabs>
        <w:ind w:left="200" w:hanging="200"/>
        <w:contextualSpacing/>
        <w:rPr>
          <w:color w:val="000000"/>
          <w:sz w:val="26"/>
          <w:szCs w:val="26"/>
        </w:rPr>
      </w:pPr>
    </w:p>
    <w:p w14:paraId="35CC7685" w14:textId="153CABCE" w:rsidR="00280F0C" w:rsidRPr="00280F0C" w:rsidRDefault="00280F0C" w:rsidP="00280F0C">
      <w:pPr>
        <w:tabs>
          <w:tab w:val="right" w:leader="dot" w:pos="9340"/>
        </w:tabs>
        <w:ind w:left="200" w:hanging="200"/>
        <w:contextualSpacing/>
        <w:rPr>
          <w:color w:val="000000"/>
          <w:sz w:val="26"/>
          <w:szCs w:val="26"/>
        </w:rPr>
      </w:pPr>
      <w:r w:rsidRPr="00280F0C">
        <w:rPr>
          <w:color w:val="000000"/>
          <w:sz w:val="26"/>
          <w:szCs w:val="26"/>
        </w:rPr>
        <w:t>Fed. R. Crim</w:t>
      </w:r>
      <w:r w:rsidR="00F13D80">
        <w:rPr>
          <w:color w:val="000000"/>
          <w:sz w:val="26"/>
          <w:szCs w:val="26"/>
        </w:rPr>
        <w:t>.</w:t>
      </w:r>
      <w:r w:rsidRPr="00280F0C">
        <w:rPr>
          <w:color w:val="000000"/>
          <w:sz w:val="26"/>
          <w:szCs w:val="26"/>
        </w:rPr>
        <w:t xml:space="preserve"> P. 17(c)(2) </w:t>
      </w:r>
      <w:r w:rsidRPr="00280F0C">
        <w:rPr>
          <w:color w:val="000000"/>
          <w:sz w:val="26"/>
          <w:szCs w:val="26"/>
        </w:rPr>
        <w:tab/>
        <w:t>13</w:t>
      </w:r>
      <w:bookmarkEnd w:id="18"/>
    </w:p>
    <w:p w14:paraId="46CBCB09" w14:textId="4E1ABFC6" w:rsidR="00280F0C" w:rsidRPr="00280F0C" w:rsidRDefault="00280F0C" w:rsidP="00280F0C">
      <w:pPr>
        <w:tabs>
          <w:tab w:val="left" w:pos="3680"/>
        </w:tabs>
        <w:sectPr w:rsidR="00280F0C" w:rsidRPr="00280F0C" w:rsidSect="00E20FBD">
          <w:footerReference w:type="default" r:id="rId7"/>
          <w:pgSz w:w="12240" w:h="15840"/>
          <w:pgMar w:top="1440" w:right="1440" w:bottom="1440" w:left="1440" w:header="708" w:footer="708" w:gutter="0"/>
          <w:pgNumType w:fmt="lowerRoman" w:start="0"/>
          <w:cols w:space="720"/>
          <w:titlePg/>
          <w:docGrid w:linePitch="360"/>
        </w:sectPr>
      </w:pPr>
    </w:p>
    <w:p w14:paraId="1338E167" w14:textId="77777777" w:rsidR="00044FB7" w:rsidRPr="00D102C6" w:rsidRDefault="00893525" w:rsidP="00065D3C">
      <w:pPr>
        <w:pStyle w:val="Heading1"/>
        <w:spacing w:line="480" w:lineRule="auto"/>
        <w:jc w:val="center"/>
        <w:rPr>
          <w:caps/>
          <w:sz w:val="26"/>
          <w:szCs w:val="26"/>
        </w:rPr>
      </w:pPr>
      <w:bookmarkStart w:id="20" w:name="dabmch_39"/>
      <w:bookmarkStart w:id="21" w:name="_Toc239116029"/>
      <w:r w:rsidRPr="00D102C6">
        <w:rPr>
          <w:caps/>
          <w:sz w:val="26"/>
          <w:szCs w:val="26"/>
        </w:rPr>
        <w:lastRenderedPageBreak/>
        <w:t>Introduction</w:t>
      </w:r>
      <w:bookmarkEnd w:id="20"/>
      <w:bookmarkEnd w:id="21"/>
    </w:p>
    <w:p w14:paraId="082BEAB0" w14:textId="7F59B6C7" w:rsidR="08C491A7" w:rsidRPr="004F0F5E" w:rsidRDefault="00C851CA" w:rsidP="00065D3C">
      <w:pPr>
        <w:spacing w:line="480" w:lineRule="auto"/>
        <w:ind w:firstLine="720"/>
        <w:jc w:val="both"/>
        <w:rPr>
          <w:b/>
          <w:bCs/>
          <w:color w:val="000000" w:themeColor="text1"/>
          <w:sz w:val="26"/>
          <w:szCs w:val="26"/>
        </w:rPr>
      </w:pPr>
      <w:bookmarkStart w:id="22" w:name="dabmch_40"/>
      <w:r w:rsidRPr="004F0F5E">
        <w:rPr>
          <w:sz w:val="26"/>
          <w:szCs w:val="26"/>
        </w:rPr>
        <w:t xml:space="preserve">Defendant’s Motion to Suppress Evidence Obtained in Violation of Court Order (the </w:t>
      </w:r>
      <w:r w:rsidR="15EED3ED" w:rsidRPr="009B4532">
        <w:rPr>
          <w:b/>
          <w:bCs/>
          <w:sz w:val="26"/>
          <w:szCs w:val="26"/>
        </w:rPr>
        <w:t>“Motion to Suppress”</w:t>
      </w:r>
      <w:r w:rsidR="5E47614A" w:rsidRPr="004F0F5E">
        <w:rPr>
          <w:sz w:val="26"/>
          <w:szCs w:val="26"/>
        </w:rPr>
        <w:t>) must be granted. Defendant Emily Calloway (</w:t>
      </w:r>
      <w:r w:rsidR="5E47614A" w:rsidRPr="009B4532">
        <w:rPr>
          <w:b/>
          <w:bCs/>
          <w:sz w:val="26"/>
          <w:szCs w:val="26"/>
        </w:rPr>
        <w:t>“Calloway”</w:t>
      </w:r>
      <w:r w:rsidR="415DED9C" w:rsidRPr="004F0F5E">
        <w:rPr>
          <w:sz w:val="26"/>
          <w:szCs w:val="26"/>
        </w:rPr>
        <w:t xml:space="preserve">) was compelled to testify under an order granting immunity pursuant to </w:t>
      </w:r>
      <w:bookmarkStart w:id="23" w:name="dabmci_1be293db95994cbd8b392b3503f26d98"/>
      <w:r w:rsidR="415DED9C" w:rsidRPr="004F0F5E">
        <w:rPr>
          <w:sz w:val="26"/>
          <w:szCs w:val="26"/>
        </w:rPr>
        <w:t xml:space="preserve">18 U.S.C. </w:t>
      </w:r>
      <w:r w:rsidR="65D3DE9D" w:rsidRPr="004F0F5E">
        <w:rPr>
          <w:color w:val="000000" w:themeColor="text1"/>
          <w:sz w:val="26"/>
          <w:szCs w:val="26"/>
        </w:rPr>
        <w:t>§§ 6002, 6003</w:t>
      </w:r>
      <w:bookmarkStart w:id="24" w:name="dabmen_1be293db95994cbd8b392b3503f26d98"/>
      <w:bookmarkEnd w:id="23"/>
      <w:bookmarkEnd w:id="24"/>
      <w:r w:rsidR="65D3DE9D" w:rsidRPr="004F0F5E">
        <w:rPr>
          <w:color w:val="000000" w:themeColor="text1"/>
          <w:sz w:val="26"/>
          <w:szCs w:val="26"/>
        </w:rPr>
        <w:t>. The Government now seeks to introduce Kennedy Parker’s (</w:t>
      </w:r>
      <w:r w:rsidR="65D3DE9D" w:rsidRPr="009B4532">
        <w:rPr>
          <w:b/>
          <w:bCs/>
          <w:color w:val="000000" w:themeColor="text1"/>
          <w:sz w:val="26"/>
          <w:szCs w:val="26"/>
        </w:rPr>
        <w:t>“Parker”</w:t>
      </w:r>
      <w:r w:rsidR="6F665970" w:rsidRPr="004F0F5E">
        <w:rPr>
          <w:color w:val="000000" w:themeColor="text1"/>
          <w:sz w:val="26"/>
          <w:szCs w:val="26"/>
        </w:rPr>
        <w:t>) testimony and Exhibit 19 despite its inability to prove that either was derived from a source wholly independent of Calloway’s compelled testimony. The Government bears the heavy burden of documenting every step of its investigative chain, yet its record reveals inconsistencies, unexplained decisions, and uncorroborated denials.</w:t>
      </w:r>
      <w:bookmarkEnd w:id="22"/>
    </w:p>
    <w:p w14:paraId="17D7133E" w14:textId="372DE98E" w:rsidR="38A6BBE3" w:rsidRPr="00D102C6" w:rsidRDefault="2C0A009D" w:rsidP="009B4532">
      <w:pPr>
        <w:spacing w:line="480" w:lineRule="auto"/>
        <w:ind w:firstLine="720"/>
        <w:jc w:val="both"/>
        <w:rPr>
          <w:caps/>
          <w:sz w:val="26"/>
          <w:szCs w:val="26"/>
        </w:rPr>
      </w:pPr>
      <w:bookmarkStart w:id="25" w:name="dabmch_41"/>
      <w:r w:rsidRPr="004F0F5E">
        <w:rPr>
          <w:sz w:val="26"/>
          <w:szCs w:val="26"/>
        </w:rPr>
        <w:t xml:space="preserve">Defendant’s Motion to Quash United States Subpoena Duces Tecum (the </w:t>
      </w:r>
      <w:r w:rsidRPr="009B4532">
        <w:rPr>
          <w:b/>
          <w:bCs/>
          <w:sz w:val="26"/>
          <w:szCs w:val="26"/>
        </w:rPr>
        <w:t>“Subpoena”</w:t>
      </w:r>
      <w:r w:rsidR="191DE4D0" w:rsidRPr="004F0F5E">
        <w:rPr>
          <w:sz w:val="26"/>
          <w:szCs w:val="26"/>
        </w:rPr>
        <w:t>) on Maddox Armana (</w:t>
      </w:r>
      <w:r w:rsidR="191DE4D0" w:rsidRPr="009B4532">
        <w:rPr>
          <w:b/>
          <w:bCs/>
          <w:sz w:val="26"/>
          <w:szCs w:val="26"/>
        </w:rPr>
        <w:t>“Armana”</w:t>
      </w:r>
      <w:r w:rsidR="53DD7164" w:rsidRPr="004F0F5E">
        <w:rPr>
          <w:sz w:val="26"/>
          <w:szCs w:val="26"/>
        </w:rPr>
        <w:t>) for the production of any and all records of Armana’s interview of Sierra Seton (</w:t>
      </w:r>
      <w:r w:rsidR="53DD7164" w:rsidRPr="009B4532">
        <w:rPr>
          <w:b/>
          <w:bCs/>
          <w:sz w:val="26"/>
          <w:szCs w:val="26"/>
        </w:rPr>
        <w:t>“Seton”</w:t>
      </w:r>
      <w:r w:rsidR="7176C5F9" w:rsidRPr="004F0F5E">
        <w:rPr>
          <w:sz w:val="26"/>
          <w:szCs w:val="26"/>
        </w:rPr>
        <w:t>) on February 15, 2024 (the “</w:t>
      </w:r>
      <w:r w:rsidR="05E0E6C6" w:rsidRPr="009B4532">
        <w:rPr>
          <w:b/>
          <w:bCs/>
          <w:sz w:val="26"/>
          <w:szCs w:val="26"/>
        </w:rPr>
        <w:t>Motion to Quash</w:t>
      </w:r>
      <w:r w:rsidR="7176C5F9" w:rsidRPr="004F0F5E">
        <w:rPr>
          <w:sz w:val="26"/>
          <w:szCs w:val="26"/>
        </w:rPr>
        <w:t>”) must be granted.</w:t>
      </w:r>
      <w:bookmarkEnd w:id="25"/>
      <w:r>
        <w:rPr>
          <w:rStyle w:val="FootnoteReference"/>
          <w:sz w:val="26"/>
          <w:szCs w:val="26"/>
        </w:rPr>
        <w:footnoteReference w:id="1"/>
      </w:r>
      <w:bookmarkStart w:id="27" w:name="dabmch_43"/>
      <w:r w:rsidR="32089925" w:rsidRPr="004F0F5E">
        <w:rPr>
          <w:sz w:val="26"/>
          <w:szCs w:val="26"/>
        </w:rPr>
        <w:t xml:space="preserve"> The Subpoena is nothing more than an attempt to have defense counsel’s private investigator do the Government’s work for it. Instead of doing its own investigative work, the Government seeks to invade defense counsel’s protected work product. That it cannot do.</w:t>
      </w:r>
      <w:bookmarkEnd w:id="27"/>
    </w:p>
    <w:p w14:paraId="3109F8EE" w14:textId="77777777" w:rsidR="009B4532" w:rsidRPr="00D102C6" w:rsidRDefault="00893525" w:rsidP="00065D3C">
      <w:pPr>
        <w:pStyle w:val="Heading1"/>
        <w:spacing w:line="480" w:lineRule="auto"/>
        <w:jc w:val="center"/>
        <w:rPr>
          <w:caps/>
          <w:sz w:val="26"/>
          <w:szCs w:val="26"/>
        </w:rPr>
      </w:pPr>
      <w:bookmarkStart w:id="28" w:name="dabmch_44"/>
      <w:bookmarkStart w:id="29" w:name="_Toc239116030"/>
      <w:r w:rsidRPr="00D102C6">
        <w:rPr>
          <w:caps/>
          <w:sz w:val="26"/>
          <w:szCs w:val="26"/>
        </w:rPr>
        <w:t>Statement of Facts</w:t>
      </w:r>
      <w:bookmarkEnd w:id="28"/>
      <w:bookmarkEnd w:id="29"/>
    </w:p>
    <w:p w14:paraId="669FA045" w14:textId="77777777" w:rsidR="68179644" w:rsidRPr="009B4532" w:rsidRDefault="00893525" w:rsidP="00065D3C">
      <w:pPr>
        <w:spacing w:line="480" w:lineRule="auto"/>
        <w:jc w:val="both"/>
        <w:rPr>
          <w:b/>
          <w:bCs/>
          <w:sz w:val="26"/>
          <w:szCs w:val="26"/>
        </w:rPr>
      </w:pPr>
      <w:bookmarkStart w:id="30" w:name="dabmch_45"/>
      <w:r w:rsidRPr="009B4532">
        <w:rPr>
          <w:b/>
          <w:bCs/>
          <w:sz w:val="26"/>
          <w:szCs w:val="26"/>
        </w:rPr>
        <w:t>Silver Palms and the Town of Gulf Haven</w:t>
      </w:r>
      <w:bookmarkEnd w:id="30"/>
    </w:p>
    <w:p w14:paraId="14D460CB" w14:textId="77777777" w:rsidR="2C49D238" w:rsidRPr="004F0F5E" w:rsidRDefault="00893525" w:rsidP="009B4532">
      <w:pPr>
        <w:spacing w:line="480" w:lineRule="auto"/>
        <w:ind w:firstLine="720"/>
        <w:jc w:val="both"/>
        <w:rPr>
          <w:sz w:val="26"/>
          <w:szCs w:val="26"/>
        </w:rPr>
      </w:pPr>
      <w:bookmarkStart w:id="31" w:name="dabmch_46"/>
      <w:r w:rsidRPr="004F0F5E">
        <w:rPr>
          <w:sz w:val="26"/>
          <w:szCs w:val="26"/>
        </w:rPr>
        <w:t>Silver Palms Hospitality, LLC (</w:t>
      </w:r>
      <w:r w:rsidRPr="009B4532">
        <w:rPr>
          <w:b/>
          <w:bCs/>
          <w:sz w:val="26"/>
          <w:szCs w:val="26"/>
        </w:rPr>
        <w:t>“Silver Palms”</w:t>
      </w:r>
      <w:r w:rsidR="00B10456">
        <w:rPr>
          <w:sz w:val="26"/>
          <w:szCs w:val="26"/>
        </w:rPr>
        <w:t>) is a resort in Gulf Haven, Florida, originally owned by Calloway.</w:t>
      </w:r>
      <w:r w:rsidR="5743DCAE" w:rsidRPr="004F0F5E">
        <w:rPr>
          <w:color w:val="000000" w:themeColor="text1"/>
          <w:sz w:val="26"/>
          <w:szCs w:val="26"/>
        </w:rPr>
        <w:t xml:space="preserve"> (</w:t>
      </w:r>
      <w:r w:rsidR="41BF90F8" w:rsidRPr="004F0F5E">
        <w:rPr>
          <w:sz w:val="26"/>
          <w:szCs w:val="26"/>
        </w:rPr>
        <w:t>Sinclair Dep. 31</w:t>
      </w:r>
      <w:r w:rsidR="7B88501D" w:rsidRPr="004F0F5E">
        <w:rPr>
          <w:color w:val="000000" w:themeColor="text1"/>
          <w:sz w:val="26"/>
          <w:szCs w:val="26"/>
        </w:rPr>
        <w:t xml:space="preserve">–40.) In 2018, Saint Donovan </w:t>
      </w:r>
      <w:r w:rsidR="7B88501D" w:rsidRPr="004F0F5E">
        <w:rPr>
          <w:color w:val="000000" w:themeColor="text1"/>
          <w:sz w:val="26"/>
          <w:szCs w:val="26"/>
        </w:rPr>
        <w:lastRenderedPageBreak/>
        <w:t>(</w:t>
      </w:r>
      <w:r w:rsidR="7B88501D" w:rsidRPr="009B4532">
        <w:rPr>
          <w:b/>
          <w:bCs/>
          <w:color w:val="000000" w:themeColor="text1"/>
          <w:sz w:val="26"/>
          <w:szCs w:val="26"/>
        </w:rPr>
        <w:t>“Donovan”</w:t>
      </w:r>
      <w:r w:rsidR="0F9A6ECB" w:rsidRPr="004F0F5E">
        <w:rPr>
          <w:color w:val="000000" w:themeColor="text1"/>
          <w:sz w:val="26"/>
          <w:szCs w:val="26"/>
        </w:rPr>
        <w:t>) became Calloway’s equal partner in Silver Palms, with Donovan overseeing the finances and Calloway overseeing resort operations. (</w:t>
      </w:r>
      <w:r w:rsidR="4EF1CF23" w:rsidRPr="004F0F5E">
        <w:rPr>
          <w:sz w:val="26"/>
          <w:szCs w:val="26"/>
        </w:rPr>
        <w:t>Sinclair Dep. 68</w:t>
      </w:r>
      <w:r w:rsidR="4EF1CF23" w:rsidRPr="004F0F5E">
        <w:rPr>
          <w:color w:val="000000" w:themeColor="text1"/>
          <w:sz w:val="26"/>
          <w:szCs w:val="26"/>
        </w:rPr>
        <w:t>–78.)</w:t>
      </w:r>
      <w:bookmarkEnd w:id="31"/>
    </w:p>
    <w:p w14:paraId="32920A8A" w14:textId="208E32B1" w:rsidR="6CE4075B" w:rsidRPr="009B4532" w:rsidRDefault="0046784D" w:rsidP="009B4532">
      <w:pPr>
        <w:spacing w:line="480" w:lineRule="auto"/>
        <w:jc w:val="both"/>
        <w:rPr>
          <w:b/>
          <w:bCs/>
          <w:sz w:val="26"/>
          <w:szCs w:val="26"/>
        </w:rPr>
      </w:pPr>
      <w:bookmarkStart w:id="32" w:name="dabmch_47"/>
      <w:r>
        <w:rPr>
          <w:b/>
          <w:bCs/>
          <w:sz w:val="26"/>
          <w:szCs w:val="26"/>
        </w:rPr>
        <w:t xml:space="preserve">The </w:t>
      </w:r>
      <w:r w:rsidR="53BECA84" w:rsidRPr="009B4532">
        <w:rPr>
          <w:b/>
          <w:bCs/>
          <w:sz w:val="26"/>
          <w:szCs w:val="26"/>
        </w:rPr>
        <w:t xml:space="preserve">Government Investigates Coastal Event Solutions </w:t>
      </w:r>
      <w:bookmarkEnd w:id="32"/>
    </w:p>
    <w:p w14:paraId="27AB0BDA" w14:textId="0544A199" w:rsidR="44F66733" w:rsidRPr="004F0F5E" w:rsidRDefault="00893525" w:rsidP="009B4532">
      <w:pPr>
        <w:spacing w:line="480" w:lineRule="auto"/>
        <w:ind w:firstLine="720"/>
        <w:jc w:val="both"/>
        <w:rPr>
          <w:sz w:val="26"/>
          <w:szCs w:val="26"/>
        </w:rPr>
      </w:pPr>
      <w:bookmarkStart w:id="33" w:name="dabmch_48"/>
      <w:r w:rsidRPr="004F0F5E">
        <w:rPr>
          <w:sz w:val="26"/>
          <w:szCs w:val="26"/>
        </w:rPr>
        <w:t xml:space="preserve">On </w:t>
      </w:r>
      <w:r w:rsidR="04398A64" w:rsidRPr="004F0F5E">
        <w:rPr>
          <w:color w:val="000000" w:themeColor="text1"/>
          <w:sz w:val="26"/>
          <w:szCs w:val="26"/>
        </w:rPr>
        <w:t>October 9, 2023</w:t>
      </w:r>
      <w:r w:rsidR="38D3AE8F" w:rsidRPr="004F0F5E">
        <w:rPr>
          <w:sz w:val="26"/>
          <w:szCs w:val="26"/>
        </w:rPr>
        <w:t xml:space="preserve">, Silver </w:t>
      </w:r>
      <w:bookmarkStart w:id="34" w:name="_Int_WTb3xGTZ"/>
      <w:r w:rsidR="38D3AE8F" w:rsidRPr="004F0F5E">
        <w:rPr>
          <w:sz w:val="26"/>
          <w:szCs w:val="26"/>
        </w:rPr>
        <w:t>Palms’</w:t>
      </w:r>
      <w:bookmarkEnd w:id="34"/>
      <w:r w:rsidR="7475AEF9" w:rsidRPr="004F0F5E">
        <w:rPr>
          <w:sz w:val="26"/>
          <w:szCs w:val="26"/>
        </w:rPr>
        <w:t xml:space="preserve"> accountant, Daniel Blake (</w:t>
      </w:r>
      <w:r w:rsidR="7475AEF9" w:rsidRPr="009B4532">
        <w:rPr>
          <w:b/>
          <w:bCs/>
          <w:sz w:val="26"/>
          <w:szCs w:val="26"/>
        </w:rPr>
        <w:t>“Blake”</w:t>
      </w:r>
      <w:r w:rsidR="62C23761" w:rsidRPr="004F0F5E">
        <w:rPr>
          <w:sz w:val="26"/>
          <w:szCs w:val="26"/>
        </w:rPr>
        <w:t>), approached Government agent Tatum Sinclair (</w:t>
      </w:r>
      <w:r w:rsidR="4E027A15" w:rsidRPr="009B4532">
        <w:rPr>
          <w:b/>
          <w:bCs/>
          <w:sz w:val="26"/>
          <w:szCs w:val="26"/>
        </w:rPr>
        <w:t>“Sinclair”</w:t>
      </w:r>
      <w:r w:rsidR="429E1ED6" w:rsidRPr="004F0F5E">
        <w:rPr>
          <w:sz w:val="26"/>
          <w:szCs w:val="26"/>
        </w:rPr>
        <w:t>) regarding suspicious charges from Coastal Event Solutions, LLC (</w:t>
      </w:r>
      <w:r w:rsidR="429E1ED6" w:rsidRPr="009B4532">
        <w:rPr>
          <w:b/>
          <w:bCs/>
          <w:sz w:val="26"/>
          <w:szCs w:val="26"/>
        </w:rPr>
        <w:t>“Coastal”</w:t>
      </w:r>
      <w:r w:rsidR="4E027A15" w:rsidRPr="004F0F5E">
        <w:rPr>
          <w:sz w:val="26"/>
          <w:szCs w:val="26"/>
        </w:rPr>
        <w:t>)</w:t>
      </w:r>
      <w:r w:rsidR="0046784D">
        <w:rPr>
          <w:sz w:val="26"/>
          <w:szCs w:val="26"/>
        </w:rPr>
        <w:t>, a Silver Palms vendor.</w:t>
      </w:r>
      <w:r w:rsidR="4E027A15" w:rsidRPr="004F0F5E">
        <w:rPr>
          <w:sz w:val="26"/>
          <w:szCs w:val="26"/>
        </w:rPr>
        <w:t xml:space="preserve"> (Sinclair Dep. 91</w:t>
      </w:r>
      <w:r w:rsidR="48F2B9AC" w:rsidRPr="004F0F5E">
        <w:rPr>
          <w:color w:val="000000" w:themeColor="text1"/>
          <w:sz w:val="26"/>
          <w:szCs w:val="26"/>
        </w:rPr>
        <w:t xml:space="preserve">–123.) That same day, the Government launched an investigation into Coastal. (Sinclair Dep. </w:t>
      </w:r>
      <w:r w:rsidR="48F2B9AC" w:rsidRPr="004F0F5E">
        <w:rPr>
          <w:sz w:val="26"/>
          <w:szCs w:val="26"/>
        </w:rPr>
        <w:t>154</w:t>
      </w:r>
      <w:r w:rsidR="48F2B9AC" w:rsidRPr="004F0F5E">
        <w:rPr>
          <w:color w:val="000000" w:themeColor="text1"/>
          <w:sz w:val="26"/>
          <w:szCs w:val="26"/>
        </w:rPr>
        <w:t>–60.</w:t>
      </w:r>
      <w:r w:rsidR="3C865924" w:rsidRPr="004F0F5E">
        <w:rPr>
          <w:sz w:val="26"/>
          <w:szCs w:val="26"/>
        </w:rPr>
        <w:t xml:space="preserve">) On December 12, 2023, Blake was killed in his office at Silver Palms. (Sinclair Dep. 216.) </w:t>
      </w:r>
      <w:bookmarkEnd w:id="33"/>
    </w:p>
    <w:p w14:paraId="67F27B1E" w14:textId="49FC52B9" w:rsidR="2D7713B6" w:rsidRPr="004F0F5E" w:rsidRDefault="42FB0C1B" w:rsidP="009B4532">
      <w:pPr>
        <w:spacing w:line="480" w:lineRule="auto"/>
        <w:ind w:firstLine="720"/>
        <w:jc w:val="both"/>
        <w:rPr>
          <w:b/>
          <w:bCs/>
          <w:color w:val="000000" w:themeColor="text1"/>
          <w:sz w:val="26"/>
          <w:szCs w:val="26"/>
        </w:rPr>
      </w:pPr>
      <w:bookmarkStart w:id="35" w:name="dabmch_49"/>
      <w:r w:rsidRPr="004F0F5E">
        <w:rPr>
          <w:sz w:val="26"/>
          <w:szCs w:val="26"/>
        </w:rPr>
        <w:t>The Government’s ensuing investigation, led by Sinclair and agent Bryce Nolan (</w:t>
      </w:r>
      <w:r w:rsidRPr="00D04574">
        <w:rPr>
          <w:b/>
          <w:bCs/>
          <w:sz w:val="26"/>
          <w:szCs w:val="26"/>
        </w:rPr>
        <w:t>“Nolan”</w:t>
      </w:r>
      <w:r w:rsidRPr="004F0F5E">
        <w:rPr>
          <w:sz w:val="26"/>
          <w:szCs w:val="26"/>
        </w:rPr>
        <w:t xml:space="preserve">), tied Blake’s murder and vendor scheme to Donovan, who was </w:t>
      </w:r>
      <w:r w:rsidR="6BFB514A" w:rsidRPr="004F0F5E">
        <w:rPr>
          <w:color w:val="000000" w:themeColor="text1"/>
          <w:sz w:val="26"/>
          <w:szCs w:val="26"/>
        </w:rPr>
        <w:t>arrested on January 26, 2024. (Sinclair Dep. 271–77.) Between October 9, 2023, and August 23, 2024, the Government obtained</w:t>
      </w:r>
      <w:r w:rsidR="00D04574">
        <w:rPr>
          <w:color w:val="000000" w:themeColor="text1"/>
          <w:sz w:val="26"/>
          <w:szCs w:val="26"/>
        </w:rPr>
        <w:t>:</w:t>
      </w:r>
      <w:r w:rsidR="6BFB514A" w:rsidRPr="004F0F5E">
        <w:rPr>
          <w:color w:val="000000" w:themeColor="text1"/>
          <w:sz w:val="26"/>
          <w:szCs w:val="26"/>
        </w:rPr>
        <w:t xml:space="preserve"> Silver Palms financial and staffing records (Ex. 1; Ex. 5); Secretary of State registration records of Coastal’s ownership (Ex. 2); Donovan’s phone records (Ex. 7); Coastal’s bank records (Ex. 9); Silver Palms employee roster (Ex. 10); and several interviews of Silver Palms employees. (Ex. 11.) </w:t>
      </w:r>
      <w:bookmarkEnd w:id="35"/>
    </w:p>
    <w:p w14:paraId="5C6A0E54" w14:textId="77777777" w:rsidR="54DCD8A5" w:rsidRPr="009B4532" w:rsidRDefault="00893525" w:rsidP="009B4532">
      <w:pPr>
        <w:spacing w:line="480" w:lineRule="auto"/>
        <w:jc w:val="both"/>
        <w:rPr>
          <w:b/>
          <w:bCs/>
          <w:sz w:val="26"/>
          <w:szCs w:val="26"/>
        </w:rPr>
      </w:pPr>
      <w:bookmarkStart w:id="36" w:name="dabmch_50"/>
      <w:r w:rsidRPr="009B4532">
        <w:rPr>
          <w:b/>
          <w:bCs/>
          <w:sz w:val="26"/>
          <w:szCs w:val="26"/>
        </w:rPr>
        <w:t>Defense Counsel Hires Maddox Armana</w:t>
      </w:r>
      <w:bookmarkEnd w:id="36"/>
    </w:p>
    <w:p w14:paraId="6BB4A3F3" w14:textId="1BD9125C" w:rsidR="54DCD8A5" w:rsidRPr="004F0F5E" w:rsidRDefault="35BF6C79" w:rsidP="009B4532">
      <w:pPr>
        <w:spacing w:line="480" w:lineRule="auto"/>
        <w:ind w:firstLine="720"/>
        <w:jc w:val="both"/>
        <w:rPr>
          <w:sz w:val="26"/>
          <w:szCs w:val="26"/>
        </w:rPr>
      </w:pPr>
      <w:bookmarkStart w:id="37" w:name="dabmch_51"/>
      <w:r w:rsidRPr="004F0F5E">
        <w:rPr>
          <w:sz w:val="26"/>
          <w:szCs w:val="26"/>
        </w:rPr>
        <w:t xml:space="preserve">Shortly after Donovan’s arrest, Calloway’s counsel hired Armana, a private investigator, to prepare for the possibility that the Government would pursue Calloway. (Armana Dep. 37–38.) Armana investigated the companies, money movement, and individual roles within Coastal’s operations to prepare Calloway’s defense. (Armana Dep. 41–43.) </w:t>
      </w:r>
      <w:proofErr w:type="gramStart"/>
      <w:r w:rsidRPr="004F0F5E">
        <w:rPr>
          <w:sz w:val="26"/>
          <w:szCs w:val="26"/>
        </w:rPr>
        <w:t>All of</w:t>
      </w:r>
      <w:proofErr w:type="gramEnd"/>
      <w:r w:rsidRPr="004F0F5E">
        <w:rPr>
          <w:sz w:val="26"/>
          <w:szCs w:val="26"/>
        </w:rPr>
        <w:t xml:space="preserve"> Armana’s notes and reports went “into the lawyer’s case file.” (Armana Dep. </w:t>
      </w:r>
      <w:r w:rsidR="00C07149">
        <w:rPr>
          <w:sz w:val="26"/>
          <w:szCs w:val="26"/>
        </w:rPr>
        <w:t>30</w:t>
      </w:r>
      <w:r w:rsidRPr="004F0F5E">
        <w:rPr>
          <w:sz w:val="26"/>
          <w:szCs w:val="26"/>
        </w:rPr>
        <w:t>–</w:t>
      </w:r>
      <w:r w:rsidR="00C07149">
        <w:rPr>
          <w:sz w:val="26"/>
          <w:szCs w:val="26"/>
        </w:rPr>
        <w:t>31</w:t>
      </w:r>
      <w:r w:rsidRPr="004F0F5E">
        <w:rPr>
          <w:sz w:val="26"/>
          <w:szCs w:val="26"/>
        </w:rPr>
        <w:t>.)</w:t>
      </w:r>
      <w:bookmarkEnd w:id="37"/>
    </w:p>
    <w:p w14:paraId="0C028FA6" w14:textId="6C290DD6" w:rsidR="30CF8B4B" w:rsidRPr="0046784D" w:rsidRDefault="5701DE8A" w:rsidP="0046784D">
      <w:pPr>
        <w:spacing w:line="480" w:lineRule="auto"/>
        <w:ind w:firstLine="720"/>
        <w:jc w:val="both"/>
        <w:rPr>
          <w:sz w:val="26"/>
          <w:szCs w:val="26"/>
        </w:rPr>
      </w:pPr>
      <w:bookmarkStart w:id="38" w:name="dabmch_52"/>
      <w:r w:rsidRPr="004F0F5E">
        <w:rPr>
          <w:sz w:val="26"/>
          <w:szCs w:val="26"/>
        </w:rPr>
        <w:lastRenderedPageBreak/>
        <w:t>Armana reviewed outside vendors implicated in the Donovan investigation and focused on individuals who had worked inside those companies. (Armana Dep. 51–58.) That led Armana to Seton, a former operations manager at Coastal. (Armana Dep. 57–58.) Armana spent considerable effort locating Seton</w:t>
      </w:r>
      <w:r w:rsidR="0046784D">
        <w:rPr>
          <w:sz w:val="26"/>
          <w:szCs w:val="26"/>
        </w:rPr>
        <w:t xml:space="preserve">, including </w:t>
      </w:r>
      <w:r w:rsidRPr="004F0F5E">
        <w:rPr>
          <w:sz w:val="26"/>
          <w:szCs w:val="26"/>
        </w:rPr>
        <w:t xml:space="preserve">reviewing old records, tracing former addresses, and speaking with people who knew her. (Armana Dep. 72–79.) Eventually, Armana located Seton in a town several hours from Gulf Haven. (Armana Dep. 80–82.) </w:t>
      </w:r>
      <w:r w:rsidRPr="004F0F5E">
        <w:rPr>
          <w:color w:val="000000" w:themeColor="text1"/>
          <w:sz w:val="26"/>
          <w:szCs w:val="26"/>
        </w:rPr>
        <w:t>No Government agent described any effort to locate Seton until Nolan received Seton’s name in the spring of 2024. (Nolan Dep. 16–26.)</w:t>
      </w:r>
      <w:bookmarkEnd w:id="38"/>
    </w:p>
    <w:p w14:paraId="594D9C35" w14:textId="77777777" w:rsidR="7E036413" w:rsidRPr="009B4532" w:rsidRDefault="00893525" w:rsidP="009B4532">
      <w:pPr>
        <w:spacing w:line="480" w:lineRule="auto"/>
        <w:jc w:val="both"/>
        <w:rPr>
          <w:b/>
          <w:bCs/>
          <w:sz w:val="26"/>
          <w:szCs w:val="26"/>
        </w:rPr>
      </w:pPr>
      <w:bookmarkStart w:id="39" w:name="dabmch_53"/>
      <w:r w:rsidRPr="009B4532">
        <w:rPr>
          <w:b/>
          <w:bCs/>
          <w:sz w:val="26"/>
          <w:szCs w:val="26"/>
        </w:rPr>
        <w:t>Armana Interviews Seton</w:t>
      </w:r>
      <w:bookmarkEnd w:id="39"/>
    </w:p>
    <w:p w14:paraId="116E9358" w14:textId="4A0DA2F2" w:rsidR="7AF67CE7" w:rsidRPr="004F0F5E" w:rsidRDefault="1499D694" w:rsidP="009B4532">
      <w:pPr>
        <w:spacing w:line="480" w:lineRule="auto"/>
        <w:ind w:firstLine="720"/>
        <w:jc w:val="both"/>
        <w:rPr>
          <w:b/>
          <w:bCs/>
          <w:sz w:val="26"/>
          <w:szCs w:val="26"/>
        </w:rPr>
      </w:pPr>
      <w:bookmarkStart w:id="40" w:name="dabmch_54"/>
      <w:r w:rsidRPr="004F0F5E">
        <w:rPr>
          <w:sz w:val="26"/>
          <w:szCs w:val="26"/>
        </w:rPr>
        <w:t xml:space="preserve">On February 15, 2024, Armana interviewed Seton. (Stip. 8.) During the interview, Armana wrote down Seton’s oral statements as well as Armana’s own developing thoughts, follow-up questions, and investigative theories. (Armana Dep. 124, 141–43.) The Government has never seen the notes because </w:t>
      </w:r>
      <w:r w:rsidR="0046784D">
        <w:rPr>
          <w:sz w:val="26"/>
          <w:szCs w:val="26"/>
        </w:rPr>
        <w:t>defense counsel</w:t>
      </w:r>
      <w:r w:rsidRPr="004F0F5E">
        <w:rPr>
          <w:sz w:val="26"/>
          <w:szCs w:val="26"/>
        </w:rPr>
        <w:t xml:space="preserve"> subsequently filed </w:t>
      </w:r>
      <w:r w:rsidR="0046784D">
        <w:rPr>
          <w:sz w:val="26"/>
          <w:szCs w:val="26"/>
        </w:rPr>
        <w:t xml:space="preserve">them </w:t>
      </w:r>
      <w:r w:rsidRPr="004F0F5E">
        <w:rPr>
          <w:sz w:val="26"/>
          <w:szCs w:val="26"/>
        </w:rPr>
        <w:t xml:space="preserve">under seal. (Stip. 8.) </w:t>
      </w:r>
      <w:r w:rsidR="0046784D">
        <w:rPr>
          <w:sz w:val="26"/>
          <w:szCs w:val="26"/>
        </w:rPr>
        <w:t xml:space="preserve">In response, the Government filed its subpoena duces tecum seeking disclosure of the interview notes. (Notice of Hearing.) </w:t>
      </w:r>
      <w:r w:rsidRPr="004F0F5E">
        <w:rPr>
          <w:sz w:val="26"/>
          <w:szCs w:val="26"/>
        </w:rPr>
        <w:t xml:space="preserve">Shortly after the interview, Seton left the country with Ky Chandler, </w:t>
      </w:r>
      <w:proofErr w:type="spellStart"/>
      <w:r w:rsidRPr="004F0F5E">
        <w:rPr>
          <w:sz w:val="26"/>
          <w:szCs w:val="26"/>
        </w:rPr>
        <w:t>Coastal’s</w:t>
      </w:r>
      <w:proofErr w:type="spellEnd"/>
      <w:r w:rsidRPr="004F0F5E">
        <w:rPr>
          <w:sz w:val="26"/>
          <w:szCs w:val="26"/>
        </w:rPr>
        <w:t xml:space="preserve"> registered agent. (Armana Dep. 146–48.) Armana has not located </w:t>
      </w:r>
      <w:r w:rsidR="004B7AD5">
        <w:rPr>
          <w:sz w:val="26"/>
          <w:szCs w:val="26"/>
        </w:rPr>
        <w:t>Seton</w:t>
      </w:r>
      <w:r w:rsidRPr="004F0F5E">
        <w:rPr>
          <w:sz w:val="26"/>
          <w:szCs w:val="26"/>
        </w:rPr>
        <w:t xml:space="preserve"> since the interview. (Armana Dep. 146–48.)</w:t>
      </w:r>
      <w:bookmarkEnd w:id="40"/>
      <w:r w:rsidR="00B16433">
        <w:rPr>
          <w:sz w:val="26"/>
          <w:szCs w:val="26"/>
        </w:rPr>
        <w:t xml:space="preserve"> </w:t>
      </w:r>
      <w:r w:rsidR="00AE0D1D">
        <w:rPr>
          <w:sz w:val="26"/>
          <w:szCs w:val="26"/>
        </w:rPr>
        <w:t xml:space="preserve">To Armana’s knowledge, those notes are the only account of </w:t>
      </w:r>
      <w:r w:rsidR="00BC4E1E">
        <w:rPr>
          <w:sz w:val="26"/>
          <w:szCs w:val="26"/>
        </w:rPr>
        <w:t>Seton’s interview. (Armana Dep. 167</w:t>
      </w:r>
      <w:r w:rsidR="00BC4E1E" w:rsidRPr="004F0F5E">
        <w:rPr>
          <w:sz w:val="26"/>
          <w:szCs w:val="26"/>
        </w:rPr>
        <w:t>–</w:t>
      </w:r>
      <w:r w:rsidR="00BC4E1E">
        <w:rPr>
          <w:sz w:val="26"/>
          <w:szCs w:val="26"/>
        </w:rPr>
        <w:t>68.)</w:t>
      </w:r>
    </w:p>
    <w:p w14:paraId="5A1754A2" w14:textId="0FE30978" w:rsidR="6A3424F9" w:rsidRPr="009B4532" w:rsidRDefault="0046784D" w:rsidP="009B4532">
      <w:pPr>
        <w:spacing w:line="480" w:lineRule="auto"/>
        <w:jc w:val="both"/>
        <w:rPr>
          <w:b/>
          <w:bCs/>
          <w:sz w:val="26"/>
          <w:szCs w:val="26"/>
        </w:rPr>
      </w:pPr>
      <w:bookmarkStart w:id="41" w:name="dabmch_55"/>
      <w:r>
        <w:rPr>
          <w:b/>
          <w:bCs/>
          <w:color w:val="000000" w:themeColor="text1"/>
          <w:sz w:val="26"/>
          <w:szCs w:val="26"/>
        </w:rPr>
        <w:t xml:space="preserve">The </w:t>
      </w:r>
      <w:r w:rsidR="00893525" w:rsidRPr="009B4532">
        <w:rPr>
          <w:b/>
          <w:bCs/>
          <w:color w:val="000000" w:themeColor="text1"/>
          <w:sz w:val="26"/>
          <w:szCs w:val="26"/>
        </w:rPr>
        <w:t>Government Splits into Team Donovan/Team Calloway</w:t>
      </w:r>
      <w:bookmarkEnd w:id="41"/>
    </w:p>
    <w:p w14:paraId="4C16B77F" w14:textId="77777777" w:rsidR="701217CC" w:rsidRPr="004F0F5E" w:rsidRDefault="00893525" w:rsidP="009B4532">
      <w:pPr>
        <w:spacing w:line="480" w:lineRule="auto"/>
        <w:ind w:firstLine="720"/>
        <w:jc w:val="both"/>
        <w:rPr>
          <w:sz w:val="26"/>
          <w:szCs w:val="26"/>
        </w:rPr>
      </w:pPr>
      <w:bookmarkStart w:id="42" w:name="dabmch_56"/>
      <w:r w:rsidRPr="004F0F5E">
        <w:rPr>
          <w:sz w:val="26"/>
          <w:szCs w:val="26"/>
        </w:rPr>
        <w:t xml:space="preserve">Still lacking a witness to explain the vendor structure to a jury before Donovan’s trial, Sinclair and Nolan sought to compel Calloway’s testimony against Donovan. </w:t>
      </w:r>
      <w:r w:rsidR="79DC3C6E" w:rsidRPr="004F0F5E">
        <w:rPr>
          <w:color w:val="000000" w:themeColor="text1"/>
          <w:sz w:val="26"/>
          <w:szCs w:val="26"/>
        </w:rPr>
        <w:t>(Sinclair Dep. 527–34.) In anticipation of that testimony, on</w:t>
      </w:r>
      <w:r w:rsidR="7A1C374A" w:rsidRPr="004F0F5E">
        <w:rPr>
          <w:sz w:val="26"/>
          <w:szCs w:val="26"/>
        </w:rPr>
        <w:t xml:space="preserve"> August 22, 2024, they divided their </w:t>
      </w:r>
      <w:r w:rsidR="7A1C374A" w:rsidRPr="004F0F5E">
        <w:rPr>
          <w:sz w:val="26"/>
          <w:szCs w:val="26"/>
        </w:rPr>
        <w:lastRenderedPageBreak/>
        <w:t xml:space="preserve">investigative team, and Nolan documented the resulting “wall” procedures the following day. (Ex. 15.) </w:t>
      </w:r>
      <w:r w:rsidR="10643945" w:rsidRPr="004F0F5E">
        <w:rPr>
          <w:color w:val="000000" w:themeColor="text1"/>
          <w:sz w:val="26"/>
          <w:szCs w:val="26"/>
        </w:rPr>
        <w:t>Team Calloway would be “walled off” from the compelled testimony and all new “evidence, notes, and work product” would be marked as Team Donovan or Team Calloway. (Ex. 15.)</w:t>
      </w:r>
      <w:r w:rsidR="7A1C374A" w:rsidRPr="004F0F5E">
        <w:rPr>
          <w:sz w:val="26"/>
          <w:szCs w:val="26"/>
        </w:rPr>
        <w:t xml:space="preserve"> Sinclair led </w:t>
      </w:r>
      <w:r w:rsidR="7E4CED9F" w:rsidRPr="004F0F5E">
        <w:rPr>
          <w:color w:val="000000" w:themeColor="text1"/>
          <w:sz w:val="26"/>
          <w:szCs w:val="26"/>
        </w:rPr>
        <w:t xml:space="preserve">Team Donovan and Nolan led Team Calloway. (Nolan Dep. 203–04.) </w:t>
      </w:r>
      <w:bookmarkEnd w:id="42"/>
    </w:p>
    <w:p w14:paraId="1E8A6B84" w14:textId="77777777" w:rsidR="0F5BE370" w:rsidRPr="009B4532" w:rsidRDefault="0DB1FEDB" w:rsidP="009B4532">
      <w:pPr>
        <w:spacing w:line="480" w:lineRule="auto"/>
        <w:jc w:val="both"/>
        <w:rPr>
          <w:b/>
          <w:bCs/>
          <w:color w:val="000000" w:themeColor="text1"/>
          <w:sz w:val="26"/>
          <w:szCs w:val="26"/>
        </w:rPr>
      </w:pPr>
      <w:bookmarkStart w:id="43" w:name="dabmch_57"/>
      <w:r w:rsidRPr="009B4532">
        <w:rPr>
          <w:b/>
          <w:bCs/>
          <w:color w:val="000000" w:themeColor="text1"/>
          <w:sz w:val="26"/>
          <w:szCs w:val="26"/>
        </w:rPr>
        <w:t xml:space="preserve">Calloway is Granted Immunity </w:t>
      </w:r>
      <w:bookmarkEnd w:id="43"/>
    </w:p>
    <w:p w14:paraId="3F4B5B67" w14:textId="0E482CA8" w:rsidR="48727948" w:rsidRPr="004F0F5E" w:rsidRDefault="5659D9C7" w:rsidP="009B4532">
      <w:pPr>
        <w:spacing w:line="480" w:lineRule="auto"/>
        <w:ind w:firstLine="720"/>
        <w:jc w:val="both"/>
        <w:rPr>
          <w:sz w:val="26"/>
          <w:szCs w:val="26"/>
        </w:rPr>
      </w:pPr>
      <w:bookmarkStart w:id="44" w:name="dabmch_58"/>
      <w:r w:rsidRPr="004F0F5E">
        <w:rPr>
          <w:color w:val="000000" w:themeColor="text1"/>
          <w:sz w:val="26"/>
          <w:szCs w:val="26"/>
        </w:rPr>
        <w:t>On August 23, 2024, the Court entered an order compelling Calloway’s testimony and conferring use and derivative use immunity.</w:t>
      </w:r>
      <w:r w:rsidR="2A75A163" w:rsidRPr="004F0F5E">
        <w:rPr>
          <w:color w:val="FF0000"/>
          <w:sz w:val="26"/>
          <w:szCs w:val="26"/>
        </w:rPr>
        <w:t xml:space="preserve"> </w:t>
      </w:r>
      <w:r w:rsidRPr="004F0F5E">
        <w:rPr>
          <w:sz w:val="26"/>
          <w:szCs w:val="26"/>
        </w:rPr>
        <w:t>(E</w:t>
      </w:r>
      <w:r w:rsidR="176BB486" w:rsidRPr="004F0F5E">
        <w:rPr>
          <w:color w:val="000000" w:themeColor="text1"/>
          <w:sz w:val="26"/>
          <w:szCs w:val="26"/>
        </w:rPr>
        <w:t xml:space="preserve">x. 12.) Between August 23 and August 31, Nolan prepared a Team Calloway investigative to-do list identifying Silver Palms employees for potential interviews. (Ex. 16.) </w:t>
      </w:r>
      <w:r w:rsidR="0098379A">
        <w:rPr>
          <w:color w:val="000000" w:themeColor="text1"/>
          <w:sz w:val="26"/>
          <w:szCs w:val="26"/>
        </w:rPr>
        <w:t xml:space="preserve">Then he made another </w:t>
      </w:r>
      <w:r w:rsidR="176BB486" w:rsidRPr="004F0F5E">
        <w:rPr>
          <w:color w:val="000000" w:themeColor="text1"/>
          <w:sz w:val="26"/>
          <w:szCs w:val="26"/>
        </w:rPr>
        <w:t>list</w:t>
      </w:r>
      <w:r w:rsidR="0098379A">
        <w:rPr>
          <w:color w:val="000000" w:themeColor="text1"/>
          <w:sz w:val="26"/>
          <w:szCs w:val="26"/>
        </w:rPr>
        <w:t>, which</w:t>
      </w:r>
      <w:r w:rsidR="176BB486" w:rsidRPr="004F0F5E">
        <w:rPr>
          <w:color w:val="000000" w:themeColor="text1"/>
          <w:sz w:val="26"/>
          <w:szCs w:val="26"/>
        </w:rPr>
        <w:t xml:space="preserve"> consisted of ten employees, ranked by the “frequency of shifts worked during 2023.” (Ex. 17.) On unknown days in October 2024, Nolan conducted interviews of four employees from this list. (Nolan Dep. 303–10.) </w:t>
      </w:r>
      <w:bookmarkEnd w:id="44"/>
    </w:p>
    <w:p w14:paraId="48FE5DF4" w14:textId="77777777" w:rsidR="276D4C62" w:rsidRPr="009B4532" w:rsidRDefault="00DD14BB" w:rsidP="009B4532">
      <w:pPr>
        <w:spacing w:line="480" w:lineRule="auto"/>
        <w:jc w:val="both"/>
        <w:rPr>
          <w:b/>
          <w:bCs/>
          <w:color w:val="000000" w:themeColor="text1"/>
          <w:sz w:val="26"/>
          <w:szCs w:val="26"/>
        </w:rPr>
      </w:pPr>
      <w:bookmarkStart w:id="45" w:name="dabmch_59"/>
      <w:r w:rsidRPr="009B4532">
        <w:rPr>
          <w:b/>
          <w:bCs/>
          <w:color w:val="000000" w:themeColor="text1"/>
          <w:sz w:val="26"/>
          <w:szCs w:val="26"/>
        </w:rPr>
        <w:t>The Government’s Investigative Chain to Parker and the Storage Unit</w:t>
      </w:r>
      <w:bookmarkEnd w:id="45"/>
    </w:p>
    <w:p w14:paraId="616723D1" w14:textId="77777777" w:rsidR="00F979AA" w:rsidRDefault="5058F6B2" w:rsidP="009B4532">
      <w:pPr>
        <w:spacing w:line="480" w:lineRule="auto"/>
        <w:ind w:firstLine="720"/>
        <w:jc w:val="both"/>
        <w:rPr>
          <w:b/>
          <w:bCs/>
          <w:color w:val="000000" w:themeColor="text1"/>
          <w:sz w:val="26"/>
          <w:szCs w:val="26"/>
        </w:rPr>
      </w:pPr>
      <w:bookmarkStart w:id="46" w:name="dabmch_60"/>
      <w:r w:rsidRPr="004F0F5E">
        <w:rPr>
          <w:color w:val="000000" w:themeColor="text1"/>
          <w:sz w:val="26"/>
          <w:szCs w:val="26"/>
        </w:rPr>
        <w:t xml:space="preserve">Calloway testified under compulsion in </w:t>
      </w:r>
      <w:r w:rsidRPr="00F979AA">
        <w:rPr>
          <w:i/>
          <w:iCs/>
          <w:color w:val="000000" w:themeColor="text1"/>
          <w:sz w:val="26"/>
          <w:szCs w:val="26"/>
        </w:rPr>
        <w:t>United States v. Donovan</w:t>
      </w:r>
      <w:r>
        <w:rPr>
          <w:color w:val="000000" w:themeColor="text1"/>
          <w:sz w:val="26"/>
          <w:szCs w:val="26"/>
        </w:rPr>
        <w:t xml:space="preserve"> on October 10, 2024 (Stip. 6.) Her testimony was open to the public, broadcast by local media, and was on the “front-page for weeks.” (Sinclair Dep. 592–99; Ex. 14.) Her testimony focused on two matters. (Ex. 14.) First, a confrontation she had with Blake that she testified only Parker, a Silver Palms employee, witnessed. (Ex. 14.) Second, that she had Parker run errands for her on occasion. (Ex. 14.)</w:t>
      </w:r>
      <w:bookmarkEnd w:id="46"/>
    </w:p>
    <w:p w14:paraId="4CD60262" w14:textId="43691990" w:rsidR="655183EB" w:rsidRDefault="00893525" w:rsidP="009B4532">
      <w:pPr>
        <w:spacing w:line="480" w:lineRule="auto"/>
        <w:ind w:firstLine="720"/>
        <w:jc w:val="both"/>
        <w:rPr>
          <w:color w:val="000000" w:themeColor="text1"/>
          <w:sz w:val="26"/>
          <w:szCs w:val="26"/>
        </w:rPr>
      </w:pPr>
      <w:bookmarkStart w:id="47" w:name="dabmch_61"/>
      <w:r w:rsidRPr="004F0F5E">
        <w:rPr>
          <w:color w:val="000000" w:themeColor="text1"/>
          <w:sz w:val="26"/>
          <w:szCs w:val="26"/>
        </w:rPr>
        <w:t xml:space="preserve">Three weeks later, on October 31, Nolan interviewed Parker for the first time. (Nolan Dep. 327–28.) </w:t>
      </w:r>
      <w:r w:rsidR="00BE1F9A">
        <w:rPr>
          <w:color w:val="000000" w:themeColor="text1"/>
          <w:sz w:val="26"/>
          <w:szCs w:val="26"/>
        </w:rPr>
        <w:t>Nolan did not record the interview; however,</w:t>
      </w:r>
      <w:r w:rsidRPr="004F0F5E">
        <w:rPr>
          <w:color w:val="000000" w:themeColor="text1"/>
          <w:sz w:val="26"/>
          <w:szCs w:val="26"/>
        </w:rPr>
        <w:t xml:space="preserve"> Parker filled out a </w:t>
      </w:r>
      <w:r w:rsidRPr="004F0F5E">
        <w:rPr>
          <w:color w:val="000000" w:themeColor="text1"/>
          <w:sz w:val="26"/>
          <w:szCs w:val="26"/>
        </w:rPr>
        <w:lastRenderedPageBreak/>
        <w:t xml:space="preserve">witness statement. (Nolan Dep. 343–45; Ex. 18.) Parker told Nolan that Parker had witnessed the December 10, 2023, confrontation between Blake and Calloway and that, in December 2023, Calloway asked Parker to move a box marked “Coastal” to an off-site storage unit. (Nolan Dep. 334–45; Ex. 18.) Nolan confirmed the unit, obtained a warrant, and searched it on November 5, 2024. (Nolan Dep. 346–65.) The search produced Coastal financial and ownership records. (Ex. 19.) </w:t>
      </w:r>
      <w:bookmarkEnd w:id="47"/>
    </w:p>
    <w:p w14:paraId="4926544D" w14:textId="77777777" w:rsidR="009B4532" w:rsidRPr="00D102C6" w:rsidRDefault="00893525" w:rsidP="009B4532">
      <w:pPr>
        <w:spacing w:line="480" w:lineRule="auto"/>
        <w:jc w:val="center"/>
        <w:rPr>
          <w:b/>
          <w:bCs/>
          <w:caps/>
          <w:color w:val="000000" w:themeColor="text1"/>
          <w:sz w:val="26"/>
          <w:szCs w:val="26"/>
        </w:rPr>
      </w:pPr>
      <w:bookmarkStart w:id="48" w:name="dabmch_62"/>
      <w:r w:rsidRPr="00D102C6">
        <w:rPr>
          <w:b/>
          <w:bCs/>
          <w:caps/>
          <w:color w:val="000000" w:themeColor="text1"/>
          <w:sz w:val="26"/>
          <w:szCs w:val="26"/>
        </w:rPr>
        <w:t>Argument</w:t>
      </w:r>
      <w:bookmarkEnd w:id="48"/>
    </w:p>
    <w:p w14:paraId="76DBFEFE" w14:textId="775B8907" w:rsidR="00D102C6" w:rsidRPr="00065D3C" w:rsidRDefault="00893525" w:rsidP="00065D3C">
      <w:pPr>
        <w:pStyle w:val="Heading1"/>
        <w:numPr>
          <w:ilvl w:val="0"/>
          <w:numId w:val="29"/>
        </w:numPr>
        <w:spacing w:after="240"/>
        <w:jc w:val="both"/>
        <w:rPr>
          <w:color w:val="000000" w:themeColor="text1"/>
          <w:sz w:val="26"/>
          <w:szCs w:val="26"/>
        </w:rPr>
      </w:pPr>
      <w:bookmarkStart w:id="49" w:name="dabmch_63"/>
      <w:bookmarkStart w:id="50" w:name="_Toc239116031"/>
      <w:r w:rsidRPr="004F0F5E">
        <w:rPr>
          <w:color w:val="000000" w:themeColor="text1"/>
          <w:sz w:val="26"/>
          <w:szCs w:val="26"/>
        </w:rPr>
        <w:t>This Court Should Grant Defendant’s Motion to Suppress Because the Government Cannot Prove Parker’s Testimony and Exhibit 19 Were Derived from Sources Wholly Independent of Calloway’s Compelled Testimony.</w:t>
      </w:r>
      <w:bookmarkEnd w:id="49"/>
      <w:bookmarkEnd w:id="50"/>
    </w:p>
    <w:p w14:paraId="70D2526D" w14:textId="77777777" w:rsidR="044A16CF" w:rsidRPr="004F0F5E" w:rsidRDefault="00893525" w:rsidP="38A6BBE3">
      <w:pPr>
        <w:spacing w:line="480" w:lineRule="auto"/>
        <w:ind w:firstLine="720"/>
        <w:jc w:val="both"/>
        <w:rPr>
          <w:color w:val="000000" w:themeColor="text1"/>
          <w:sz w:val="26"/>
          <w:szCs w:val="26"/>
        </w:rPr>
      </w:pPr>
      <w:bookmarkStart w:id="51" w:name="dabmch_64"/>
      <w:r w:rsidRPr="004F0F5E">
        <w:rPr>
          <w:color w:val="000000" w:themeColor="text1"/>
          <w:sz w:val="26"/>
          <w:szCs w:val="26"/>
        </w:rPr>
        <w:t xml:space="preserve">When the Government seeks to compel testimony under a grant of immunity, it assumes the “affirmative duty to prove that the evidence it proposes to use is derived from a legitimate source </w:t>
      </w:r>
      <w:r w:rsidRPr="004F0F5E">
        <w:rPr>
          <w:i/>
          <w:iCs/>
          <w:color w:val="000000" w:themeColor="text1"/>
          <w:sz w:val="26"/>
          <w:szCs w:val="26"/>
        </w:rPr>
        <w:t xml:space="preserve">wholly </w:t>
      </w:r>
      <w:r w:rsidRPr="004F0F5E">
        <w:rPr>
          <w:color w:val="000000" w:themeColor="text1"/>
          <w:sz w:val="26"/>
          <w:szCs w:val="26"/>
        </w:rPr>
        <w:t xml:space="preserve">independent of the compelled testimony.” </w:t>
      </w:r>
      <w:bookmarkStart w:id="52" w:name="dabmci_19db8244febf42c2982812f2869dad93"/>
      <w:r w:rsidRPr="004F0F5E">
        <w:rPr>
          <w:i/>
          <w:iCs/>
          <w:color w:val="000000" w:themeColor="text1"/>
          <w:sz w:val="26"/>
          <w:szCs w:val="26"/>
        </w:rPr>
        <w:t>Kastigar v. United States</w:t>
      </w:r>
      <w:r w:rsidRPr="004F0F5E">
        <w:rPr>
          <w:color w:val="000000" w:themeColor="text1"/>
          <w:sz w:val="26"/>
          <w:szCs w:val="26"/>
        </w:rPr>
        <w:t>, 406 U.S. 441, 460 (1972)</w:t>
      </w:r>
      <w:bookmarkStart w:id="53" w:name="dabmen_19db8244febf42c2982812f2869dad93"/>
      <w:bookmarkEnd w:id="52"/>
      <w:bookmarkEnd w:id="53"/>
      <w:r w:rsidRPr="004F0F5E">
        <w:rPr>
          <w:color w:val="000000" w:themeColor="text1"/>
          <w:sz w:val="26"/>
          <w:szCs w:val="26"/>
        </w:rPr>
        <w:t xml:space="preserve"> (emphasis added). To establish that wholly independent source, “[e]ach step of the investigative chain by which the evidence presented was obtained must be documented or accounted for.” </w:t>
      </w:r>
      <w:bookmarkStart w:id="54" w:name="dabmci_537e990cbc54482bac007707752724ad"/>
      <w:r w:rsidRPr="004F0F5E">
        <w:rPr>
          <w:i/>
          <w:iCs/>
          <w:color w:val="000000" w:themeColor="text1"/>
          <w:sz w:val="26"/>
          <w:szCs w:val="26"/>
        </w:rPr>
        <w:t>United States v. Hampton</w:t>
      </w:r>
      <w:r w:rsidRPr="004F0F5E">
        <w:rPr>
          <w:color w:val="000000" w:themeColor="text1"/>
          <w:sz w:val="26"/>
          <w:szCs w:val="26"/>
        </w:rPr>
        <w:t>, 775 F.2d 1479, 1490 (11th Cir. 1985)</w:t>
      </w:r>
      <w:bookmarkStart w:id="55" w:name="dabmen_537e990cbc54482bac007707752724ad"/>
      <w:bookmarkEnd w:id="54"/>
      <w:bookmarkEnd w:id="55"/>
      <w:r w:rsidRPr="004F0F5E">
        <w:rPr>
          <w:color w:val="000000" w:themeColor="text1"/>
          <w:sz w:val="26"/>
          <w:szCs w:val="26"/>
        </w:rPr>
        <w:t xml:space="preserve">. The Government must satisfy its burden by a preponderance of the evidence. </w:t>
      </w:r>
      <w:bookmarkStart w:id="56" w:name="dabmci_eca4daf72fa147998b254cfacb6b7868"/>
      <w:r w:rsidRPr="004F0F5E">
        <w:rPr>
          <w:i/>
          <w:iCs/>
          <w:color w:val="000000" w:themeColor="text1"/>
          <w:sz w:val="26"/>
          <w:szCs w:val="26"/>
        </w:rPr>
        <w:t>Id</w:t>
      </w:r>
      <w:r w:rsidRPr="004F0F5E">
        <w:rPr>
          <w:color w:val="000000" w:themeColor="text1"/>
          <w:sz w:val="26"/>
          <w:szCs w:val="26"/>
        </w:rPr>
        <w:t>. at 1485</w:t>
      </w:r>
      <w:bookmarkStart w:id="57" w:name="dabmen_eca4daf72fa147998b254cfacb6b7868"/>
      <w:bookmarkEnd w:id="56"/>
      <w:bookmarkEnd w:id="57"/>
      <w:r w:rsidRPr="004F0F5E">
        <w:rPr>
          <w:color w:val="000000" w:themeColor="text1"/>
          <w:sz w:val="26"/>
          <w:szCs w:val="26"/>
        </w:rPr>
        <w:t xml:space="preserve"> (citation modified). Good-faith denials are insufficient. </w:t>
      </w:r>
      <w:bookmarkStart w:id="58" w:name="dabmci_d8322aa145ee497f8a96dae826fa8ff2"/>
      <w:r w:rsidRPr="004F0F5E">
        <w:rPr>
          <w:i/>
          <w:iCs/>
          <w:color w:val="000000" w:themeColor="text1"/>
          <w:sz w:val="26"/>
          <w:szCs w:val="26"/>
        </w:rPr>
        <w:t>United States v. Schmidgall</w:t>
      </w:r>
      <w:r w:rsidRPr="004F0F5E">
        <w:rPr>
          <w:color w:val="000000" w:themeColor="text1"/>
          <w:sz w:val="26"/>
          <w:szCs w:val="26"/>
        </w:rPr>
        <w:t>, 25 F.3d 1523, 1528 (11th Cir. 1994)</w:t>
      </w:r>
      <w:bookmarkStart w:id="59" w:name="dabmen_d8322aa145ee497f8a96dae826fa8ff2"/>
      <w:bookmarkEnd w:id="58"/>
      <w:bookmarkEnd w:id="59"/>
      <w:r w:rsidRPr="004F0F5E">
        <w:rPr>
          <w:color w:val="000000" w:themeColor="text1"/>
          <w:sz w:val="26"/>
          <w:szCs w:val="26"/>
        </w:rPr>
        <w:t>. Moreover, the Government’s burden is a “heavy” one as “</w:t>
      </w:r>
      <w:r w:rsidRPr="004F0F5E">
        <w:rPr>
          <w:i/>
          <w:iCs/>
          <w:color w:val="000000" w:themeColor="text1"/>
          <w:sz w:val="26"/>
          <w:szCs w:val="26"/>
        </w:rPr>
        <w:t>any</w:t>
      </w:r>
      <w:r w:rsidRPr="004F0F5E">
        <w:rPr>
          <w:color w:val="000000" w:themeColor="text1"/>
          <w:sz w:val="26"/>
          <w:szCs w:val="26"/>
        </w:rPr>
        <w:t xml:space="preserve"> failure to meet that standard must result in exclusion of the testimony.” </w:t>
      </w:r>
      <w:bookmarkStart w:id="60" w:name="dabmci_3b87d5ad000d49b9a749c01d205fa980"/>
      <w:r w:rsidRPr="004F0F5E">
        <w:rPr>
          <w:i/>
          <w:iCs/>
          <w:color w:val="000000" w:themeColor="text1"/>
          <w:sz w:val="26"/>
          <w:szCs w:val="26"/>
        </w:rPr>
        <w:t>United States v. North</w:t>
      </w:r>
      <w:r w:rsidRPr="004F0F5E">
        <w:rPr>
          <w:color w:val="000000" w:themeColor="text1"/>
          <w:sz w:val="26"/>
          <w:szCs w:val="26"/>
        </w:rPr>
        <w:t>, 910 F.2d 843, 873 (D.C. Cir. 1990)</w:t>
      </w:r>
      <w:bookmarkStart w:id="61" w:name="dabmen_3b87d5ad000d49b9a749c01d205fa980"/>
      <w:bookmarkEnd w:id="60"/>
      <w:bookmarkEnd w:id="61"/>
      <w:r w:rsidRPr="004F0F5E">
        <w:rPr>
          <w:color w:val="000000" w:themeColor="text1"/>
          <w:sz w:val="26"/>
          <w:szCs w:val="26"/>
        </w:rPr>
        <w:t xml:space="preserve"> (citation modified). </w:t>
      </w:r>
      <w:bookmarkEnd w:id="51"/>
    </w:p>
    <w:p w14:paraId="4FB11F0D" w14:textId="2EE0954D" w:rsidR="044A16CF" w:rsidRPr="004F0F5E" w:rsidRDefault="00893525" w:rsidP="38A6BBE3">
      <w:pPr>
        <w:spacing w:line="480" w:lineRule="auto"/>
        <w:ind w:firstLine="720"/>
        <w:jc w:val="both"/>
        <w:rPr>
          <w:color w:val="000000" w:themeColor="text1"/>
          <w:sz w:val="26"/>
          <w:szCs w:val="26"/>
        </w:rPr>
      </w:pPr>
      <w:bookmarkStart w:id="62" w:name="dabmch_65"/>
      <w:r w:rsidRPr="004F0F5E">
        <w:rPr>
          <w:color w:val="000000" w:themeColor="text1"/>
          <w:sz w:val="26"/>
          <w:szCs w:val="26"/>
        </w:rPr>
        <w:t xml:space="preserve">This Court has already found Calloway was compelled to testify under court order, her testimony relates to the charges now brought against her, and she is entitled to a </w:t>
      </w:r>
      <w:r w:rsidRPr="004F0F5E">
        <w:rPr>
          <w:i/>
          <w:iCs/>
          <w:color w:val="000000" w:themeColor="text1"/>
          <w:sz w:val="26"/>
          <w:szCs w:val="26"/>
        </w:rPr>
        <w:lastRenderedPageBreak/>
        <w:t>Kastigar</w:t>
      </w:r>
      <w:r w:rsidRPr="004F0F5E">
        <w:rPr>
          <w:color w:val="000000" w:themeColor="text1"/>
          <w:sz w:val="26"/>
          <w:szCs w:val="26"/>
        </w:rPr>
        <w:t xml:space="preserve"> hearing as it relates to Parker’s testimony and Exhibit 19. (Notice of Hearing.) The Government now bears the burden of establishing</w:t>
      </w:r>
      <w:r w:rsidR="00C07149">
        <w:rPr>
          <w:color w:val="000000" w:themeColor="text1"/>
          <w:sz w:val="26"/>
          <w:szCs w:val="26"/>
        </w:rPr>
        <w:t xml:space="preserve"> that</w:t>
      </w:r>
      <w:r w:rsidRPr="004F0F5E">
        <w:rPr>
          <w:color w:val="000000" w:themeColor="text1"/>
          <w:sz w:val="26"/>
          <w:szCs w:val="26"/>
        </w:rPr>
        <w:t xml:space="preserve"> both the investigative chain and its ultimate results were developed independently of Calloway’s compelled testimony. </w:t>
      </w:r>
      <w:r w:rsidRPr="004F0F5E">
        <w:rPr>
          <w:i/>
          <w:iCs/>
          <w:color w:val="000000" w:themeColor="text1"/>
          <w:sz w:val="26"/>
          <w:szCs w:val="26"/>
        </w:rPr>
        <w:t xml:space="preserve">See </w:t>
      </w:r>
      <w:bookmarkStart w:id="63" w:name="dabmci_4403692ac903427188f55b0af50fab4b"/>
      <w:r w:rsidRPr="004F0F5E">
        <w:rPr>
          <w:i/>
          <w:iCs/>
          <w:color w:val="000000" w:themeColor="text1"/>
          <w:sz w:val="26"/>
          <w:szCs w:val="26"/>
        </w:rPr>
        <w:t>Hampton</w:t>
      </w:r>
      <w:r w:rsidR="00241CA3">
        <w:rPr>
          <w:color w:val="000000" w:themeColor="text1"/>
          <w:sz w:val="26"/>
          <w:szCs w:val="26"/>
        </w:rPr>
        <w:t>, 775 F.2d at 1490</w:t>
      </w:r>
      <w:bookmarkStart w:id="64" w:name="dabmen_4403692ac903427188f55b0af50fab4b"/>
      <w:bookmarkEnd w:id="63"/>
      <w:bookmarkEnd w:id="64"/>
      <w:r w:rsidR="00241CA3">
        <w:rPr>
          <w:color w:val="000000" w:themeColor="text1"/>
          <w:sz w:val="26"/>
          <w:szCs w:val="26"/>
        </w:rPr>
        <w:t>. The Government cannot make that showing for either Parker’s testimony or Exhibit 19.</w:t>
      </w:r>
      <w:bookmarkEnd w:id="62"/>
    </w:p>
    <w:p w14:paraId="59010E83" w14:textId="77777777" w:rsidR="00D102C6" w:rsidRDefault="00893525" w:rsidP="00D102C6">
      <w:pPr>
        <w:pStyle w:val="ListParagraph"/>
        <w:numPr>
          <w:ilvl w:val="0"/>
          <w:numId w:val="30"/>
        </w:numPr>
        <w:spacing w:after="240"/>
        <w:jc w:val="both"/>
        <w:outlineLvl w:val="1"/>
        <w:rPr>
          <w:b/>
          <w:bCs/>
          <w:color w:val="000000" w:themeColor="text1"/>
          <w:sz w:val="26"/>
          <w:szCs w:val="26"/>
        </w:rPr>
      </w:pPr>
      <w:bookmarkStart w:id="65" w:name="dabmch_66"/>
      <w:bookmarkStart w:id="66" w:name="_Toc239116032"/>
      <w:r w:rsidRPr="00D102C6">
        <w:rPr>
          <w:b/>
          <w:bCs/>
          <w:color w:val="000000" w:themeColor="text1"/>
          <w:sz w:val="26"/>
          <w:szCs w:val="26"/>
        </w:rPr>
        <w:t>The Government Cannot Prove the Investigative Chain that Led to Parker’s Interview, and Nolan’s Questioning of Parker Was Wholly Independent of Calloway’s Immunized Testimony.</w:t>
      </w:r>
      <w:bookmarkEnd w:id="65"/>
      <w:bookmarkEnd w:id="66"/>
    </w:p>
    <w:p w14:paraId="18969ACC" w14:textId="77777777" w:rsidR="044A16CF" w:rsidRPr="004F0F5E" w:rsidRDefault="00893525" w:rsidP="38A6BBE3">
      <w:pPr>
        <w:spacing w:line="480" w:lineRule="auto"/>
        <w:ind w:firstLine="720"/>
        <w:jc w:val="both"/>
        <w:rPr>
          <w:color w:val="000000" w:themeColor="text1"/>
          <w:sz w:val="26"/>
          <w:szCs w:val="26"/>
        </w:rPr>
      </w:pPr>
      <w:bookmarkStart w:id="67" w:name="dabmch_67"/>
      <w:r w:rsidRPr="004F0F5E">
        <w:rPr>
          <w:color w:val="000000" w:themeColor="text1"/>
          <w:sz w:val="26"/>
          <w:szCs w:val="26"/>
        </w:rPr>
        <w:t xml:space="preserve">The Government must affirmatively demonstrate that Parker’s testimony resulted from investigative steps wholly independent of Calloway’s testimony. </w:t>
      </w:r>
      <w:r w:rsidRPr="004F0F5E">
        <w:rPr>
          <w:i/>
          <w:iCs/>
          <w:color w:val="000000" w:themeColor="text1"/>
          <w:sz w:val="26"/>
          <w:szCs w:val="26"/>
        </w:rPr>
        <w:t xml:space="preserve">See </w:t>
      </w:r>
      <w:bookmarkStart w:id="68" w:name="dabmci_4320502d2bda48d6bc7d45aca8148f5b"/>
      <w:r w:rsidRPr="004F0F5E">
        <w:rPr>
          <w:i/>
          <w:iCs/>
          <w:color w:val="000000" w:themeColor="text1"/>
          <w:sz w:val="26"/>
          <w:szCs w:val="26"/>
        </w:rPr>
        <w:t>Hampton</w:t>
      </w:r>
      <w:r w:rsidRPr="004F0F5E">
        <w:rPr>
          <w:color w:val="000000" w:themeColor="text1"/>
          <w:sz w:val="26"/>
          <w:szCs w:val="26"/>
        </w:rPr>
        <w:t>, 775 F.2d at 1490</w:t>
      </w:r>
      <w:bookmarkStart w:id="69" w:name="dabmen_4320502d2bda48d6bc7d45aca8148f5b"/>
      <w:bookmarkEnd w:id="68"/>
      <w:bookmarkEnd w:id="69"/>
      <w:r w:rsidRPr="004F0F5E">
        <w:rPr>
          <w:color w:val="000000" w:themeColor="text1"/>
          <w:sz w:val="26"/>
          <w:szCs w:val="26"/>
        </w:rPr>
        <w:t xml:space="preserve">. That affirmative duty exists even if Nolan did not have direct or indirect access to Calloway’s immunized testimony. </w:t>
      </w:r>
      <w:r w:rsidRPr="004F0F5E">
        <w:rPr>
          <w:i/>
          <w:iCs/>
          <w:color w:val="000000" w:themeColor="text1"/>
          <w:sz w:val="26"/>
          <w:szCs w:val="26"/>
        </w:rPr>
        <w:t xml:space="preserve">See </w:t>
      </w:r>
      <w:bookmarkStart w:id="70" w:name="dabmci_04a4581c74614b1e837c608d3de1832a"/>
      <w:r w:rsidRPr="004F0F5E">
        <w:rPr>
          <w:i/>
          <w:iCs/>
          <w:color w:val="000000" w:themeColor="text1"/>
          <w:sz w:val="26"/>
          <w:szCs w:val="26"/>
        </w:rPr>
        <w:t>United States v. Nemes</w:t>
      </w:r>
      <w:r w:rsidR="002A17BE">
        <w:rPr>
          <w:color w:val="000000" w:themeColor="text1"/>
          <w:sz w:val="26"/>
          <w:szCs w:val="26"/>
        </w:rPr>
        <w:t>, 555 F.2d 51, 55 (2d Cir. 1977)</w:t>
      </w:r>
      <w:bookmarkStart w:id="71" w:name="dabmen_04a4581c74614b1e837c608d3de1832a"/>
      <w:bookmarkEnd w:id="70"/>
      <w:bookmarkEnd w:id="71"/>
      <w:r w:rsidR="002A17BE">
        <w:rPr>
          <w:color w:val="000000" w:themeColor="text1"/>
          <w:sz w:val="26"/>
          <w:szCs w:val="26"/>
        </w:rPr>
        <w:t xml:space="preserve">. In addition, immunized testimony may not be used to “shape the questioning of other witnesses </w:t>
      </w:r>
      <w:proofErr w:type="gramStart"/>
      <w:r w:rsidR="002A17BE">
        <w:rPr>
          <w:color w:val="000000" w:themeColor="text1"/>
          <w:sz w:val="26"/>
          <w:szCs w:val="26"/>
        </w:rPr>
        <w:t>. . . .</w:t>
      </w:r>
      <w:proofErr w:type="gramEnd"/>
      <w:r w:rsidR="002A17BE">
        <w:rPr>
          <w:color w:val="000000" w:themeColor="text1"/>
          <w:sz w:val="26"/>
          <w:szCs w:val="26"/>
        </w:rPr>
        <w:t xml:space="preserve">” </w:t>
      </w:r>
      <w:bookmarkStart w:id="72" w:name="dabmci_b7a5842c0d0d4391853ab21f29d0ad0b"/>
      <w:r w:rsidRPr="004F0F5E">
        <w:rPr>
          <w:i/>
          <w:iCs/>
          <w:color w:val="000000" w:themeColor="text1"/>
          <w:sz w:val="26"/>
          <w:szCs w:val="26"/>
        </w:rPr>
        <w:t>Schmidgall</w:t>
      </w:r>
      <w:r w:rsidR="3F358AB5" w:rsidRPr="004F0F5E">
        <w:rPr>
          <w:color w:val="000000" w:themeColor="text1"/>
          <w:sz w:val="26"/>
          <w:szCs w:val="26"/>
        </w:rPr>
        <w:t>, 25 F.3d at 1529</w:t>
      </w:r>
      <w:bookmarkStart w:id="73" w:name="dabmen_b7a5842c0d0d4391853ab21f29d0ad0b"/>
      <w:bookmarkEnd w:id="72"/>
      <w:bookmarkEnd w:id="73"/>
      <w:r w:rsidR="3F358AB5" w:rsidRPr="004F0F5E">
        <w:rPr>
          <w:color w:val="000000" w:themeColor="text1"/>
          <w:sz w:val="26"/>
          <w:szCs w:val="26"/>
        </w:rPr>
        <w:t>. Here, Nolan’s investigative record fails to establish an independent source for each link to Parker’s interview.</w:t>
      </w:r>
      <w:bookmarkEnd w:id="67"/>
    </w:p>
    <w:p w14:paraId="390D74A1" w14:textId="04DF234B" w:rsidR="044A16CF" w:rsidRDefault="00065D3C" w:rsidP="00065D3C">
      <w:pPr>
        <w:pStyle w:val="ListParagraph"/>
        <w:numPr>
          <w:ilvl w:val="1"/>
          <w:numId w:val="30"/>
        </w:numPr>
        <w:spacing w:after="240"/>
        <w:jc w:val="both"/>
        <w:outlineLvl w:val="1"/>
        <w:rPr>
          <w:b/>
          <w:bCs/>
          <w:color w:val="000000" w:themeColor="text1"/>
          <w:sz w:val="26"/>
          <w:szCs w:val="26"/>
        </w:rPr>
      </w:pPr>
      <w:bookmarkStart w:id="74" w:name="dabmch_71"/>
      <w:bookmarkStart w:id="75" w:name="_Toc239116033"/>
      <w:r w:rsidRPr="00BB6764">
        <w:rPr>
          <w:b/>
          <w:bCs/>
          <w:color w:val="000000" w:themeColor="text1"/>
          <w:sz w:val="26"/>
          <w:szCs w:val="26"/>
        </w:rPr>
        <w:t xml:space="preserve">The Government’s Prior Knowledge that Parker Merely Existed Does Not, </w:t>
      </w:r>
      <w:r w:rsidR="0098379A">
        <w:rPr>
          <w:b/>
          <w:bCs/>
          <w:color w:val="000000" w:themeColor="text1"/>
          <w:sz w:val="26"/>
          <w:szCs w:val="26"/>
        </w:rPr>
        <w:t>o</w:t>
      </w:r>
      <w:r w:rsidRPr="00BB6764">
        <w:rPr>
          <w:b/>
          <w:bCs/>
          <w:color w:val="000000" w:themeColor="text1"/>
          <w:sz w:val="26"/>
          <w:szCs w:val="26"/>
        </w:rPr>
        <w:t>n its Own, Establish that Parker’s Testimony was Derived from a Source Wholly Independent of Calloway’s Compelled Testimony.</w:t>
      </w:r>
      <w:bookmarkEnd w:id="74"/>
      <w:bookmarkEnd w:id="75"/>
    </w:p>
    <w:p w14:paraId="54400B25" w14:textId="77777777" w:rsidR="61548414" w:rsidRPr="004F0F5E" w:rsidRDefault="00893525" w:rsidP="002A17BE">
      <w:pPr>
        <w:spacing w:line="480" w:lineRule="auto"/>
        <w:ind w:firstLine="720"/>
        <w:jc w:val="both"/>
        <w:rPr>
          <w:color w:val="000000" w:themeColor="text1"/>
          <w:sz w:val="26"/>
          <w:szCs w:val="26"/>
        </w:rPr>
      </w:pPr>
      <w:bookmarkStart w:id="76" w:name="dabmch_72"/>
      <w:r w:rsidRPr="004F0F5E">
        <w:rPr>
          <w:color w:val="000000" w:themeColor="text1"/>
          <w:sz w:val="26"/>
          <w:szCs w:val="26"/>
        </w:rPr>
        <w:t xml:space="preserve">The Government’s prior knowledge, or even possession, of a potential source does not, by itself, establish that evidence developed from that potential source was wholly independent of compelled testimony. </w:t>
      </w:r>
      <w:bookmarkStart w:id="77" w:name="dabmci_be6818dcbff04729b02da96b78f9d881"/>
      <w:r w:rsidRPr="004F0F5E">
        <w:rPr>
          <w:i/>
          <w:iCs/>
          <w:color w:val="000000" w:themeColor="text1"/>
          <w:sz w:val="26"/>
          <w:szCs w:val="26"/>
        </w:rPr>
        <w:t>United States v. Harris</w:t>
      </w:r>
      <w:r w:rsidR="42583B41" w:rsidRPr="004F0F5E">
        <w:rPr>
          <w:color w:val="000000" w:themeColor="text1"/>
          <w:sz w:val="26"/>
          <w:szCs w:val="26"/>
        </w:rPr>
        <w:t>, 973 F.2d 333, 336–38 (4th Cir. 1992)</w:t>
      </w:r>
      <w:bookmarkStart w:id="78" w:name="dabmen_be6818dcbff04729b02da96b78f9d881"/>
      <w:bookmarkEnd w:id="77"/>
      <w:bookmarkEnd w:id="78"/>
      <w:r w:rsidR="42583B41" w:rsidRPr="004F0F5E">
        <w:rPr>
          <w:color w:val="000000" w:themeColor="text1"/>
          <w:sz w:val="26"/>
          <w:szCs w:val="26"/>
        </w:rPr>
        <w:t xml:space="preserve"> (</w:t>
      </w:r>
      <w:r w:rsidR="42583B41" w:rsidRPr="004F0F5E">
        <w:rPr>
          <w:sz w:val="26"/>
          <w:szCs w:val="26"/>
        </w:rPr>
        <w:t xml:space="preserve">holding that the Government’s preexisting possession of incriminating </w:t>
      </w:r>
      <w:r w:rsidR="42583B41" w:rsidRPr="004F0F5E">
        <w:rPr>
          <w:sz w:val="26"/>
          <w:szCs w:val="26"/>
        </w:rPr>
        <w:lastRenderedPageBreak/>
        <w:t>documents did not establish an independent source where the defendant’s immunized testimony identified the documents and explained their significance).</w:t>
      </w:r>
      <w:r w:rsidR="7F126B85" w:rsidRPr="004F0F5E">
        <w:rPr>
          <w:color w:val="000000" w:themeColor="text1"/>
          <w:sz w:val="26"/>
          <w:szCs w:val="26"/>
        </w:rPr>
        <w:t xml:space="preserve"> Rather, the Government must account for every step in the chain. </w:t>
      </w:r>
      <w:bookmarkStart w:id="79" w:name="dabmci_e396e6cbfb3c46e6823b2599a3bf2664"/>
      <w:r w:rsidR="7F126B85" w:rsidRPr="004F0F5E">
        <w:rPr>
          <w:i/>
          <w:iCs/>
          <w:color w:val="000000" w:themeColor="text1"/>
          <w:sz w:val="26"/>
          <w:szCs w:val="26"/>
        </w:rPr>
        <w:t>Hampton</w:t>
      </w:r>
      <w:r w:rsidR="044A16CF" w:rsidRPr="004F0F5E">
        <w:rPr>
          <w:color w:val="000000" w:themeColor="text1"/>
          <w:sz w:val="26"/>
          <w:szCs w:val="26"/>
        </w:rPr>
        <w:t>, 775 F.2d at 1490</w:t>
      </w:r>
      <w:bookmarkStart w:id="80" w:name="dabmen_e396e6cbfb3c46e6823b2599a3bf2664"/>
      <w:bookmarkEnd w:id="79"/>
      <w:bookmarkEnd w:id="80"/>
      <w:r w:rsidR="044A16CF" w:rsidRPr="004F0F5E">
        <w:rPr>
          <w:color w:val="000000" w:themeColor="text1"/>
          <w:sz w:val="26"/>
          <w:szCs w:val="26"/>
        </w:rPr>
        <w:t xml:space="preserve">. As such, “unless every ‘i’ is dotted and every ‘t’ is crossed, the [G]overnment has an almost insurmountable burden </w:t>
      </w:r>
      <w:proofErr w:type="gramStart"/>
      <w:r w:rsidR="044A16CF" w:rsidRPr="004F0F5E">
        <w:rPr>
          <w:color w:val="000000" w:themeColor="text1"/>
          <w:sz w:val="26"/>
          <w:szCs w:val="26"/>
        </w:rPr>
        <w:t>. . . .</w:t>
      </w:r>
      <w:proofErr w:type="gramEnd"/>
      <w:r w:rsidR="044A16CF" w:rsidRPr="004F0F5E">
        <w:rPr>
          <w:color w:val="000000" w:themeColor="text1"/>
          <w:sz w:val="26"/>
          <w:szCs w:val="26"/>
        </w:rPr>
        <w:t xml:space="preserve">” </w:t>
      </w:r>
      <w:bookmarkStart w:id="81" w:name="dabmci_cb2f0dbc5ca645188baf1bebea81ffa8"/>
      <w:r w:rsidR="044A16CF" w:rsidRPr="004F0F5E">
        <w:rPr>
          <w:i/>
          <w:iCs/>
          <w:color w:val="000000" w:themeColor="text1"/>
          <w:sz w:val="26"/>
          <w:szCs w:val="26"/>
        </w:rPr>
        <w:t>United States v. Hsia</w:t>
      </w:r>
      <w:r w:rsidR="044A16CF" w:rsidRPr="004F0F5E">
        <w:rPr>
          <w:color w:val="000000" w:themeColor="text1"/>
          <w:sz w:val="26"/>
          <w:szCs w:val="26"/>
        </w:rPr>
        <w:t>, 131 F. Supp. 2d 195, 201 (D.D.C. 2001)</w:t>
      </w:r>
      <w:bookmarkStart w:id="82" w:name="dabmen_cb2f0dbc5ca645188baf1bebea81ffa8"/>
      <w:bookmarkEnd w:id="81"/>
      <w:bookmarkEnd w:id="82"/>
      <w:r w:rsidR="044A16CF" w:rsidRPr="004F0F5E">
        <w:rPr>
          <w:color w:val="000000" w:themeColor="text1"/>
          <w:sz w:val="26"/>
          <w:szCs w:val="26"/>
        </w:rPr>
        <w:t>.</w:t>
      </w:r>
      <w:bookmarkEnd w:id="76"/>
    </w:p>
    <w:p w14:paraId="37F86F4C" w14:textId="7BA1900D" w:rsidR="1CDD9DB6" w:rsidRPr="004E2C76" w:rsidRDefault="00FB76B8" w:rsidP="004E2C76">
      <w:pPr>
        <w:spacing w:line="480" w:lineRule="auto"/>
        <w:ind w:firstLine="720"/>
        <w:jc w:val="both"/>
        <w:rPr>
          <w:color w:val="000000" w:themeColor="text1"/>
          <w:sz w:val="26"/>
          <w:szCs w:val="26"/>
        </w:rPr>
      </w:pPr>
      <w:bookmarkStart w:id="83" w:name="dabmch_73"/>
      <w:r w:rsidRPr="00FB76B8">
        <w:rPr>
          <w:i/>
          <w:iCs/>
          <w:color w:val="000000" w:themeColor="text1"/>
          <w:sz w:val="26"/>
          <w:szCs w:val="26"/>
        </w:rPr>
        <w:t>Harris</w:t>
      </w:r>
      <w:r w:rsidRPr="00FB76B8">
        <w:rPr>
          <w:color w:val="000000" w:themeColor="text1"/>
          <w:sz w:val="26"/>
          <w:szCs w:val="26"/>
        </w:rPr>
        <w:t xml:space="preserve"> confirms that possessing a</w:t>
      </w:r>
      <w:r>
        <w:rPr>
          <w:color w:val="000000" w:themeColor="text1"/>
          <w:sz w:val="26"/>
          <w:szCs w:val="26"/>
        </w:rPr>
        <w:t xml:space="preserve"> prior</w:t>
      </w:r>
      <w:r w:rsidRPr="00FB76B8">
        <w:rPr>
          <w:color w:val="000000" w:themeColor="text1"/>
          <w:sz w:val="26"/>
          <w:szCs w:val="26"/>
        </w:rPr>
        <w:t xml:space="preserve"> potential source does not </w:t>
      </w:r>
      <w:proofErr w:type="gramStart"/>
      <w:r w:rsidRPr="00FB76B8">
        <w:rPr>
          <w:color w:val="000000" w:themeColor="text1"/>
          <w:sz w:val="26"/>
          <w:szCs w:val="26"/>
        </w:rPr>
        <w:t xml:space="preserve">establish </w:t>
      </w:r>
      <w:r>
        <w:rPr>
          <w:color w:val="000000" w:themeColor="text1"/>
          <w:sz w:val="26"/>
          <w:szCs w:val="26"/>
        </w:rPr>
        <w:t xml:space="preserve"> an</w:t>
      </w:r>
      <w:proofErr w:type="gramEnd"/>
      <w:r>
        <w:rPr>
          <w:color w:val="000000" w:themeColor="text1"/>
          <w:sz w:val="26"/>
          <w:szCs w:val="26"/>
        </w:rPr>
        <w:t xml:space="preserve"> </w:t>
      </w:r>
      <w:r w:rsidRPr="00855ABE">
        <w:rPr>
          <w:i/>
          <w:iCs/>
          <w:color w:val="000000" w:themeColor="text1"/>
          <w:sz w:val="26"/>
          <w:szCs w:val="26"/>
        </w:rPr>
        <w:t xml:space="preserve">independent </w:t>
      </w:r>
      <w:r>
        <w:rPr>
          <w:color w:val="000000" w:themeColor="text1"/>
          <w:sz w:val="26"/>
          <w:szCs w:val="26"/>
        </w:rPr>
        <w:t>source</w:t>
      </w:r>
      <w:r w:rsidR="00855ABE">
        <w:rPr>
          <w:color w:val="000000" w:themeColor="text1"/>
          <w:sz w:val="26"/>
          <w:szCs w:val="26"/>
        </w:rPr>
        <w:t xml:space="preserve"> </w:t>
      </w:r>
      <w:r>
        <w:rPr>
          <w:color w:val="000000" w:themeColor="text1"/>
          <w:sz w:val="26"/>
          <w:szCs w:val="26"/>
        </w:rPr>
        <w:t>where the</w:t>
      </w:r>
      <w:r w:rsidRPr="00FB76B8">
        <w:rPr>
          <w:color w:val="000000" w:themeColor="text1"/>
          <w:sz w:val="26"/>
          <w:szCs w:val="26"/>
        </w:rPr>
        <w:t xml:space="preserve"> immunized testimony provides the investigative direction that makes th</w:t>
      </w:r>
      <w:r>
        <w:rPr>
          <w:color w:val="000000" w:themeColor="text1"/>
          <w:sz w:val="26"/>
          <w:szCs w:val="26"/>
        </w:rPr>
        <w:t>at</w:t>
      </w:r>
      <w:r w:rsidRPr="00FB76B8">
        <w:rPr>
          <w:color w:val="000000" w:themeColor="text1"/>
          <w:sz w:val="26"/>
          <w:szCs w:val="26"/>
        </w:rPr>
        <w:t xml:space="preserve"> source significant.</w:t>
      </w:r>
      <w:r w:rsidR="004E2C76">
        <w:rPr>
          <w:color w:val="000000" w:themeColor="text1"/>
          <w:sz w:val="26"/>
          <w:szCs w:val="26"/>
        </w:rPr>
        <w:t xml:space="preserve"> </w:t>
      </w:r>
      <w:r w:rsidR="002A17BE">
        <w:rPr>
          <w:i/>
          <w:iCs/>
          <w:color w:val="000000" w:themeColor="text1"/>
          <w:sz w:val="26"/>
          <w:szCs w:val="26"/>
        </w:rPr>
        <w:t>See</w:t>
      </w:r>
      <w:r w:rsidR="00893525" w:rsidRPr="004F0F5E">
        <w:rPr>
          <w:color w:val="000000" w:themeColor="text1"/>
          <w:sz w:val="26"/>
          <w:szCs w:val="26"/>
        </w:rPr>
        <w:t xml:space="preserve"> </w:t>
      </w:r>
      <w:bookmarkStart w:id="84" w:name="dabmci_ec9a344c517147c19755277af31aa2aa"/>
      <w:r w:rsidR="00893525" w:rsidRPr="004F0F5E">
        <w:rPr>
          <w:color w:val="000000" w:themeColor="text1"/>
          <w:sz w:val="26"/>
          <w:szCs w:val="26"/>
        </w:rPr>
        <w:t>973 F.2d at 335–38</w:t>
      </w:r>
      <w:bookmarkStart w:id="85" w:name="dabmen_ec9a344c517147c19755277af31aa2aa"/>
      <w:bookmarkEnd w:id="84"/>
      <w:bookmarkEnd w:id="85"/>
      <w:r w:rsidR="00893525" w:rsidRPr="004F0F5E">
        <w:rPr>
          <w:color w:val="000000" w:themeColor="text1"/>
          <w:sz w:val="26"/>
          <w:szCs w:val="26"/>
        </w:rPr>
        <w:t xml:space="preserve">. Because the Government there failed to prove that its use of the documents was independent of compelled testimony, the court affirmed dismissal of the indictment. </w:t>
      </w:r>
      <w:bookmarkStart w:id="86" w:name="dabmci_698bd47e9ac44bf287ff7623b618f68d"/>
      <w:r w:rsidR="00893525" w:rsidRPr="004F0F5E">
        <w:rPr>
          <w:i/>
          <w:iCs/>
          <w:color w:val="000000" w:themeColor="text1"/>
          <w:sz w:val="26"/>
          <w:szCs w:val="26"/>
        </w:rPr>
        <w:t>Id</w:t>
      </w:r>
      <w:r w:rsidR="6BA244FB" w:rsidRPr="004F0F5E">
        <w:rPr>
          <w:color w:val="000000" w:themeColor="text1"/>
          <w:sz w:val="26"/>
          <w:szCs w:val="26"/>
        </w:rPr>
        <w:t>. at 337–38</w:t>
      </w:r>
      <w:bookmarkStart w:id="87" w:name="dabmen_698bd47e9ac44bf287ff7623b618f68d"/>
      <w:bookmarkEnd w:id="86"/>
      <w:bookmarkEnd w:id="87"/>
      <w:r w:rsidR="6BA244FB" w:rsidRPr="004F0F5E">
        <w:rPr>
          <w:color w:val="000000" w:themeColor="text1"/>
          <w:sz w:val="26"/>
          <w:szCs w:val="26"/>
        </w:rPr>
        <w:t>. Similarly, here, the Government’s prior knowledge of Parker establishes only possession of a potential source, not independent development.</w:t>
      </w:r>
      <w:bookmarkEnd w:id="83"/>
    </w:p>
    <w:p w14:paraId="50D27CD1" w14:textId="41FDFE2E" w:rsidR="3F94E35E" w:rsidRPr="004F0F5E" w:rsidRDefault="00D04574" w:rsidP="00C851CA">
      <w:pPr>
        <w:spacing w:line="480" w:lineRule="auto"/>
        <w:ind w:firstLine="720"/>
        <w:jc w:val="both"/>
        <w:rPr>
          <w:color w:val="000000" w:themeColor="text1"/>
          <w:sz w:val="26"/>
          <w:szCs w:val="26"/>
        </w:rPr>
      </w:pPr>
      <w:bookmarkStart w:id="88" w:name="dabmch_74"/>
      <w:r w:rsidRPr="00147E33">
        <w:rPr>
          <w:color w:val="000000"/>
          <w:sz w:val="26"/>
          <w:szCs w:val="26"/>
        </w:rPr>
        <w:t>The Government’s evidence confirms Parker had no known significance before Calloway testified. (Sinclair Dep. 570–76; Nolan Dep. 293–97.)</w:t>
      </w:r>
      <w:r w:rsidR="55AB9304" w:rsidRPr="004F0F5E">
        <w:rPr>
          <w:color w:val="000000" w:themeColor="text1"/>
          <w:sz w:val="26"/>
          <w:szCs w:val="26"/>
        </w:rPr>
        <w:t xml:space="preserve"> </w:t>
      </w:r>
      <w:r w:rsidRPr="00147E33">
        <w:rPr>
          <w:color w:val="000000"/>
          <w:sz w:val="26"/>
          <w:szCs w:val="26"/>
        </w:rPr>
        <w:t>In fact, Nolan testified “[n]</w:t>
      </w:r>
      <w:proofErr w:type="spellStart"/>
      <w:r w:rsidRPr="00147E33">
        <w:rPr>
          <w:color w:val="000000"/>
          <w:sz w:val="26"/>
          <w:szCs w:val="26"/>
        </w:rPr>
        <w:t>othing</w:t>
      </w:r>
      <w:proofErr w:type="spellEnd"/>
      <w:r w:rsidRPr="00147E33">
        <w:rPr>
          <w:color w:val="000000"/>
          <w:sz w:val="26"/>
          <w:szCs w:val="26"/>
        </w:rPr>
        <w:t xml:space="preserve"> at that point indicated Parker had information relevant</w:t>
      </w:r>
      <w:r>
        <w:rPr>
          <w:color w:val="000000"/>
          <w:sz w:val="26"/>
          <w:szCs w:val="26"/>
        </w:rPr>
        <w:t xml:space="preserve"> to the Donovan prosecution.</w:t>
      </w:r>
      <w:r w:rsidRPr="00147E33">
        <w:rPr>
          <w:color w:val="000000"/>
          <w:sz w:val="26"/>
          <w:szCs w:val="26"/>
        </w:rPr>
        <w:t>” (Nolan Dep. 295–96.)</w:t>
      </w:r>
      <w:r w:rsidR="55AB9304" w:rsidRPr="004F0F5E">
        <w:rPr>
          <w:color w:val="000000" w:themeColor="text1"/>
          <w:sz w:val="26"/>
          <w:szCs w:val="26"/>
        </w:rPr>
        <w:t xml:space="preserve"> Similarly, Sinclair stated, “I don’t have any independent</w:t>
      </w:r>
      <w:r w:rsidR="55AB9304" w:rsidRPr="004F0F5E">
        <w:rPr>
          <w:i/>
          <w:iCs/>
          <w:color w:val="000000" w:themeColor="text1"/>
          <w:sz w:val="26"/>
          <w:szCs w:val="26"/>
        </w:rPr>
        <w:t xml:space="preserve"> </w:t>
      </w:r>
      <w:r w:rsidR="00F4ED3D" w:rsidRPr="004F0F5E">
        <w:rPr>
          <w:color w:val="000000" w:themeColor="text1"/>
          <w:sz w:val="26"/>
          <w:szCs w:val="26"/>
        </w:rPr>
        <w:t xml:space="preserve">memory of thinking Kennedy Parker mattered one way or the other before August 2024.” (Sinclair Dep. 573–75.) </w:t>
      </w:r>
      <w:bookmarkEnd w:id="88"/>
      <w:r w:rsidRPr="00147E33">
        <w:rPr>
          <w:color w:val="000000"/>
          <w:sz w:val="26"/>
          <w:szCs w:val="26"/>
        </w:rPr>
        <w:t xml:space="preserve">The Government </w:t>
      </w:r>
      <w:r>
        <w:rPr>
          <w:color w:val="000000"/>
          <w:sz w:val="26"/>
          <w:szCs w:val="26"/>
        </w:rPr>
        <w:t xml:space="preserve">fails to identify any </w:t>
      </w:r>
      <w:r w:rsidRPr="00147E33">
        <w:rPr>
          <w:color w:val="000000"/>
          <w:sz w:val="26"/>
          <w:szCs w:val="26"/>
        </w:rPr>
        <w:t>other evidence that the chain leading to Parker was independent of Calloway’s testimony.</w:t>
      </w:r>
    </w:p>
    <w:p w14:paraId="360B3F55" w14:textId="03550627" w:rsidR="044A16CF" w:rsidRPr="004F0F5E" w:rsidRDefault="00820D06" w:rsidP="0046784D">
      <w:pPr>
        <w:spacing w:line="480" w:lineRule="auto"/>
        <w:ind w:firstLine="720"/>
        <w:jc w:val="both"/>
        <w:rPr>
          <w:color w:val="000000" w:themeColor="text1"/>
          <w:sz w:val="26"/>
          <w:szCs w:val="26"/>
        </w:rPr>
      </w:pPr>
      <w:bookmarkStart w:id="89" w:name="dabmch_75"/>
      <w:r>
        <w:rPr>
          <w:color w:val="000000" w:themeColor="text1"/>
          <w:sz w:val="26"/>
          <w:szCs w:val="26"/>
        </w:rPr>
        <w:t>In the investigative chain</w:t>
      </w:r>
      <w:r w:rsidR="00855ABE">
        <w:rPr>
          <w:color w:val="000000" w:themeColor="text1"/>
          <w:sz w:val="26"/>
          <w:szCs w:val="26"/>
        </w:rPr>
        <w:t>,</w:t>
      </w:r>
      <w:r>
        <w:rPr>
          <w:color w:val="000000" w:themeColor="text1"/>
          <w:sz w:val="26"/>
          <w:szCs w:val="26"/>
        </w:rPr>
        <w:t xml:space="preserve"> the Government first points to an employee roster it claims introduced investigators to Parker. (Sinclair Dep. 406–10; Nolan Dep. 264–71; Ex. </w:t>
      </w:r>
      <w:r>
        <w:rPr>
          <w:color w:val="000000" w:themeColor="text1"/>
          <w:sz w:val="26"/>
          <w:szCs w:val="26"/>
        </w:rPr>
        <w:lastRenderedPageBreak/>
        <w:t>10.)</w:t>
      </w:r>
      <w:r w:rsidR="00241CA3">
        <w:rPr>
          <w:color w:val="000000" w:themeColor="text1"/>
          <w:sz w:val="26"/>
          <w:szCs w:val="26"/>
        </w:rPr>
        <w:t xml:space="preserve"> </w:t>
      </w:r>
      <w:r>
        <w:rPr>
          <w:color w:val="000000" w:themeColor="text1"/>
          <w:sz w:val="26"/>
          <w:szCs w:val="26"/>
        </w:rPr>
        <w:t>But the Government’s own records undermine that claim.</w:t>
      </w:r>
      <w:r w:rsidR="00241CA3">
        <w:rPr>
          <w:color w:val="000000" w:themeColor="text1"/>
          <w:sz w:val="26"/>
          <w:szCs w:val="26"/>
        </w:rPr>
        <w:t xml:space="preserve"> </w:t>
      </w:r>
      <w:r>
        <w:rPr>
          <w:color w:val="000000" w:themeColor="text1"/>
          <w:sz w:val="26"/>
          <w:szCs w:val="26"/>
        </w:rPr>
        <w:t xml:space="preserve">Sinclair testified that the Government received the roster by subpoena in February 2024. (Sinclair Dep. 406–10.) </w:t>
      </w:r>
      <w:r w:rsidR="00241CA3">
        <w:rPr>
          <w:color w:val="000000" w:themeColor="text1"/>
          <w:sz w:val="26"/>
          <w:szCs w:val="26"/>
        </w:rPr>
        <w:t xml:space="preserve"> </w:t>
      </w:r>
      <w:r>
        <w:rPr>
          <w:color w:val="000000" w:themeColor="text1"/>
          <w:sz w:val="26"/>
          <w:szCs w:val="26"/>
        </w:rPr>
        <w:t>The roster itself clarifies that a still-employed worker is listed as “present” as of export—</w:t>
      </w:r>
      <w:r>
        <w:rPr>
          <w:sz w:val="26"/>
          <w:szCs w:val="26"/>
        </w:rPr>
        <w:t xml:space="preserve">meaning no employee should show a separation date later than February 2024. (Ex. 10; </w:t>
      </w:r>
      <w:r w:rsidRPr="004F0F5E">
        <w:rPr>
          <w:color w:val="000000" w:themeColor="text1"/>
          <w:sz w:val="26"/>
          <w:szCs w:val="26"/>
        </w:rPr>
        <w:t>Sinclair Dep. 406–10.)</w:t>
      </w:r>
      <w:r w:rsidR="004E5533" w:rsidRPr="004F0F5E">
        <w:rPr>
          <w:color w:val="000000" w:themeColor="text1"/>
          <w:sz w:val="26"/>
          <w:szCs w:val="26"/>
        </w:rPr>
        <w:t xml:space="preserve"> </w:t>
      </w:r>
      <w:r w:rsidRPr="004F0F5E">
        <w:rPr>
          <w:color w:val="000000" w:themeColor="text1"/>
          <w:sz w:val="26"/>
          <w:szCs w:val="26"/>
        </w:rPr>
        <w:t>Yet</w:t>
      </w:r>
      <w:r w:rsidR="00855ABE">
        <w:rPr>
          <w:color w:val="000000" w:themeColor="text1"/>
          <w:sz w:val="26"/>
          <w:szCs w:val="26"/>
        </w:rPr>
        <w:t>,</w:t>
      </w:r>
      <w:r w:rsidRPr="004F0F5E">
        <w:rPr>
          <w:color w:val="000000" w:themeColor="text1"/>
          <w:sz w:val="26"/>
          <w:szCs w:val="26"/>
        </w:rPr>
        <w:t xml:space="preserve"> the roster lists Bradley Marsh’s separation date as “Nov 2024,” </w:t>
      </w:r>
      <w:r>
        <w:rPr>
          <w:color w:val="000000" w:themeColor="text1"/>
          <w:sz w:val="26"/>
          <w:szCs w:val="26"/>
        </w:rPr>
        <w:t xml:space="preserve">meaning </w:t>
      </w:r>
      <w:r w:rsidRPr="004F0F5E">
        <w:rPr>
          <w:color w:val="000000" w:themeColor="text1"/>
          <w:sz w:val="26"/>
          <w:szCs w:val="26"/>
        </w:rPr>
        <w:t>the roster was generated sometime during or after November 2024, months after the Government imposed its investigative-wall procedures. (Ex. 10; Ex. 15.)</w:t>
      </w:r>
      <w:r w:rsidR="004E5533" w:rsidRPr="004F0F5E">
        <w:rPr>
          <w:color w:val="000000" w:themeColor="text1"/>
          <w:sz w:val="26"/>
          <w:szCs w:val="26"/>
        </w:rPr>
        <w:t xml:space="preserve"> </w:t>
      </w:r>
      <w:r w:rsidRPr="004F0F5E">
        <w:rPr>
          <w:color w:val="000000" w:themeColor="text1"/>
          <w:sz w:val="26"/>
          <w:szCs w:val="26"/>
        </w:rPr>
        <w:t xml:space="preserve">Those procedures required </w:t>
      </w:r>
      <w:r>
        <w:rPr>
          <w:color w:val="000000" w:themeColor="text1"/>
          <w:sz w:val="26"/>
          <w:szCs w:val="26"/>
        </w:rPr>
        <w:t xml:space="preserve">every new piece of evidence to be marked as Team Calloway or Team Donovan. </w:t>
      </w:r>
      <w:r w:rsidRPr="004F0F5E">
        <w:rPr>
          <w:color w:val="000000" w:themeColor="text1"/>
          <w:sz w:val="26"/>
          <w:szCs w:val="26"/>
        </w:rPr>
        <w:t>(Nolan Dep. 236–38.)</w:t>
      </w:r>
      <w:r w:rsidR="004E5533" w:rsidRPr="004F0F5E">
        <w:rPr>
          <w:color w:val="000000" w:themeColor="text1"/>
          <w:sz w:val="26"/>
          <w:szCs w:val="26"/>
        </w:rPr>
        <w:t xml:space="preserve"> </w:t>
      </w:r>
      <w:bookmarkEnd w:id="89"/>
      <w:r>
        <w:rPr>
          <w:color w:val="000000" w:themeColor="text1"/>
          <w:sz w:val="26"/>
          <w:szCs w:val="26"/>
        </w:rPr>
        <w:t>Because it was not marked, t</w:t>
      </w:r>
      <w:r w:rsidRPr="004F0F5E">
        <w:rPr>
          <w:color w:val="000000" w:themeColor="text1"/>
          <w:sz w:val="26"/>
          <w:szCs w:val="26"/>
        </w:rPr>
        <w:t xml:space="preserve">he Government </w:t>
      </w:r>
      <w:r>
        <w:rPr>
          <w:color w:val="000000" w:themeColor="text1"/>
          <w:sz w:val="26"/>
          <w:szCs w:val="26"/>
        </w:rPr>
        <w:t>cannot establish</w:t>
      </w:r>
      <w:r w:rsidR="00CB0B35">
        <w:rPr>
          <w:color w:val="000000" w:themeColor="text1"/>
          <w:sz w:val="26"/>
          <w:szCs w:val="26"/>
        </w:rPr>
        <w:t xml:space="preserve"> when the roster entered the</w:t>
      </w:r>
      <w:r>
        <w:rPr>
          <w:color w:val="000000" w:themeColor="text1"/>
          <w:sz w:val="26"/>
          <w:szCs w:val="26"/>
        </w:rPr>
        <w:t xml:space="preserve"> investigative chain prior to interviewing Parker.</w:t>
      </w:r>
    </w:p>
    <w:p w14:paraId="68897ED0" w14:textId="73B47D3F" w:rsidR="004E5533" w:rsidRPr="004F0F5E" w:rsidRDefault="044A16CF" w:rsidP="00C851CA">
      <w:pPr>
        <w:spacing w:line="480" w:lineRule="auto"/>
        <w:ind w:firstLine="720"/>
        <w:jc w:val="both"/>
        <w:rPr>
          <w:color w:val="000000" w:themeColor="text1"/>
          <w:sz w:val="26"/>
          <w:szCs w:val="26"/>
        </w:rPr>
      </w:pPr>
      <w:bookmarkStart w:id="90" w:name="dabmch_76"/>
      <w:r w:rsidRPr="004F0F5E">
        <w:rPr>
          <w:color w:val="000000" w:themeColor="text1"/>
          <w:sz w:val="26"/>
          <w:szCs w:val="26"/>
        </w:rPr>
        <w:t xml:space="preserve">The next link fares no better. </w:t>
      </w:r>
      <w:r w:rsidR="00C87E77" w:rsidRPr="004F0F5E">
        <w:rPr>
          <w:color w:val="000000" w:themeColor="text1"/>
          <w:sz w:val="26"/>
          <w:szCs w:val="26"/>
        </w:rPr>
        <w:t>Nolan’s “investigative to-do list,” created during the week of August 25, 2024</w:t>
      </w:r>
      <w:r w:rsidR="00C87E77">
        <w:rPr>
          <w:color w:val="000000" w:themeColor="text1"/>
          <w:sz w:val="26"/>
          <w:szCs w:val="26"/>
        </w:rPr>
        <w:t>—after the Government split into two teams—</w:t>
      </w:r>
      <w:r w:rsidR="00C87E77" w:rsidRPr="004F0F5E">
        <w:rPr>
          <w:color w:val="000000" w:themeColor="text1"/>
          <w:sz w:val="26"/>
          <w:szCs w:val="26"/>
        </w:rPr>
        <w:t>identified Parker and eleven other employees to interview. (Nolan Dep. 229–32; Ex. 16.)</w:t>
      </w:r>
      <w:r w:rsidRPr="004F0F5E">
        <w:rPr>
          <w:color w:val="000000" w:themeColor="text1"/>
          <w:sz w:val="26"/>
          <w:szCs w:val="26"/>
        </w:rPr>
        <w:t xml:space="preserve"> </w:t>
      </w:r>
      <w:r w:rsidR="00C87E77" w:rsidRPr="004F0F5E">
        <w:rPr>
          <w:color w:val="000000" w:themeColor="text1"/>
          <w:sz w:val="26"/>
          <w:szCs w:val="26"/>
        </w:rPr>
        <w:t>In that same week, Sinclair met with Calloway “to get an understanding of her testimony” and learned of Parker’s significance as a witness. (Sinclair Dep. 553–55; 561–76.)</w:t>
      </w:r>
      <w:r w:rsidRPr="004F0F5E">
        <w:rPr>
          <w:color w:val="000000" w:themeColor="text1"/>
          <w:sz w:val="26"/>
          <w:szCs w:val="26"/>
        </w:rPr>
        <w:t xml:space="preserve"> </w:t>
      </w:r>
      <w:r w:rsidR="00C87E77" w:rsidRPr="004F0F5E">
        <w:rPr>
          <w:color w:val="000000" w:themeColor="text1"/>
          <w:sz w:val="26"/>
          <w:szCs w:val="26"/>
        </w:rPr>
        <w:t>Nolan knew the meeting was scheduled for August 28. (Nolan Dep. 173–75.)</w:t>
      </w:r>
      <w:r w:rsidRPr="004F0F5E">
        <w:rPr>
          <w:color w:val="000000" w:themeColor="text1"/>
          <w:sz w:val="26"/>
          <w:szCs w:val="26"/>
        </w:rPr>
        <w:t xml:space="preserve"> </w:t>
      </w:r>
      <w:r w:rsidR="00C87E77" w:rsidRPr="004F0F5E">
        <w:rPr>
          <w:color w:val="000000" w:themeColor="text1"/>
          <w:sz w:val="26"/>
          <w:szCs w:val="26"/>
        </w:rPr>
        <w:t xml:space="preserve">Nolan </w:t>
      </w:r>
      <w:r w:rsidR="00CB0B35">
        <w:rPr>
          <w:color w:val="000000" w:themeColor="text1"/>
          <w:sz w:val="26"/>
          <w:szCs w:val="26"/>
        </w:rPr>
        <w:t xml:space="preserve">testified </w:t>
      </w:r>
      <w:r w:rsidR="00C87E77" w:rsidRPr="004F0F5E">
        <w:rPr>
          <w:color w:val="000000" w:themeColor="text1"/>
          <w:sz w:val="26"/>
          <w:szCs w:val="26"/>
        </w:rPr>
        <w:t>he prepared the list “[b]</w:t>
      </w:r>
      <w:proofErr w:type="spellStart"/>
      <w:r w:rsidR="00C87E77" w:rsidRPr="004F0F5E">
        <w:rPr>
          <w:color w:val="000000" w:themeColor="text1"/>
          <w:sz w:val="26"/>
          <w:szCs w:val="26"/>
        </w:rPr>
        <w:t>etween</w:t>
      </w:r>
      <w:proofErr w:type="spellEnd"/>
      <w:r w:rsidR="00C87E77" w:rsidRPr="004F0F5E">
        <w:rPr>
          <w:color w:val="000000" w:themeColor="text1"/>
          <w:sz w:val="26"/>
          <w:szCs w:val="26"/>
        </w:rPr>
        <w:t xml:space="preserve"> August 23, and August 27, 2024,” </w:t>
      </w:r>
      <w:r w:rsidR="00CB0B35">
        <w:rPr>
          <w:color w:val="000000" w:themeColor="text1"/>
          <w:sz w:val="26"/>
          <w:szCs w:val="26"/>
        </w:rPr>
        <w:t xml:space="preserve">which </w:t>
      </w:r>
      <w:r w:rsidR="00C87E77" w:rsidRPr="004F0F5E">
        <w:rPr>
          <w:color w:val="000000" w:themeColor="text1"/>
          <w:sz w:val="26"/>
          <w:szCs w:val="26"/>
        </w:rPr>
        <w:t xml:space="preserve">is inconsistent with </w:t>
      </w:r>
      <w:r w:rsidR="00CB0B35">
        <w:rPr>
          <w:color w:val="000000" w:themeColor="text1"/>
          <w:sz w:val="26"/>
          <w:szCs w:val="26"/>
        </w:rPr>
        <w:t xml:space="preserve">the </w:t>
      </w:r>
      <w:r w:rsidR="00C87E77">
        <w:rPr>
          <w:color w:val="000000" w:themeColor="text1"/>
          <w:sz w:val="26"/>
          <w:szCs w:val="26"/>
        </w:rPr>
        <w:t>document’s plain language</w:t>
      </w:r>
      <w:r w:rsidR="00C87E77" w:rsidRPr="004F0F5E">
        <w:rPr>
          <w:color w:val="000000" w:themeColor="text1"/>
          <w:sz w:val="26"/>
          <w:szCs w:val="26"/>
        </w:rPr>
        <w:t>. (Nolan Dep. 233–34.)</w:t>
      </w:r>
      <w:r w:rsidRPr="004F0F5E">
        <w:rPr>
          <w:color w:val="000000" w:themeColor="text1"/>
          <w:sz w:val="26"/>
          <w:szCs w:val="26"/>
        </w:rPr>
        <w:t xml:space="preserve"> </w:t>
      </w:r>
      <w:bookmarkEnd w:id="90"/>
      <w:r w:rsidR="00C87E77">
        <w:rPr>
          <w:color w:val="000000" w:themeColor="text1"/>
          <w:sz w:val="26"/>
          <w:szCs w:val="26"/>
        </w:rPr>
        <w:t>Absent additional corroborating evidence</w:t>
      </w:r>
      <w:r w:rsidR="00C87E77" w:rsidRPr="004F0F5E">
        <w:rPr>
          <w:color w:val="000000" w:themeColor="text1"/>
          <w:sz w:val="26"/>
          <w:szCs w:val="26"/>
        </w:rPr>
        <w:t xml:space="preserve">, Nolan’s </w:t>
      </w:r>
      <w:r w:rsidR="00C87E77">
        <w:rPr>
          <w:color w:val="000000" w:themeColor="text1"/>
          <w:sz w:val="26"/>
          <w:szCs w:val="26"/>
        </w:rPr>
        <w:t>mere</w:t>
      </w:r>
      <w:r w:rsidR="00C87E77" w:rsidRPr="004F0F5E">
        <w:rPr>
          <w:color w:val="000000" w:themeColor="text1"/>
          <w:sz w:val="26"/>
          <w:szCs w:val="26"/>
        </w:rPr>
        <w:t xml:space="preserve"> recollection cannot establish the list, and its identification of Parker, predated Calloway’s interview. </w:t>
      </w:r>
      <w:r w:rsidR="00C87E77" w:rsidRPr="004F0F5E">
        <w:rPr>
          <w:i/>
          <w:iCs/>
          <w:color w:val="000000" w:themeColor="text1"/>
          <w:sz w:val="26"/>
          <w:szCs w:val="26"/>
        </w:rPr>
        <w:t xml:space="preserve">See </w:t>
      </w:r>
      <w:bookmarkStart w:id="91" w:name="dabmci_e60825d329b54cb0b285f12dda04a9a7"/>
      <w:r w:rsidR="00C87E77" w:rsidRPr="004F0F5E">
        <w:rPr>
          <w:i/>
          <w:iCs/>
          <w:color w:val="000000" w:themeColor="text1"/>
          <w:sz w:val="26"/>
          <w:szCs w:val="26"/>
        </w:rPr>
        <w:t>Schmidgall</w:t>
      </w:r>
      <w:r w:rsidR="00C87E77" w:rsidRPr="004F0F5E">
        <w:rPr>
          <w:color w:val="000000" w:themeColor="text1"/>
          <w:sz w:val="26"/>
          <w:szCs w:val="26"/>
        </w:rPr>
        <w:t>, 25 F.3d at 1528</w:t>
      </w:r>
      <w:bookmarkStart w:id="92" w:name="dabmen_e60825d329b54cb0b285f12dda04a9a7"/>
      <w:bookmarkEnd w:id="91"/>
      <w:bookmarkEnd w:id="92"/>
      <w:r w:rsidR="00C87E77" w:rsidRPr="004F0F5E">
        <w:rPr>
          <w:color w:val="000000" w:themeColor="text1"/>
          <w:sz w:val="26"/>
          <w:szCs w:val="26"/>
        </w:rPr>
        <w:t>.</w:t>
      </w:r>
    </w:p>
    <w:p w14:paraId="7DD2D0B8" w14:textId="662291AC" w:rsidR="49DBCD5D" w:rsidRPr="004F0F5E" w:rsidRDefault="0036191E" w:rsidP="00C851CA">
      <w:pPr>
        <w:spacing w:line="480" w:lineRule="auto"/>
        <w:ind w:firstLine="720"/>
        <w:jc w:val="both"/>
        <w:rPr>
          <w:color w:val="000000" w:themeColor="text1"/>
          <w:sz w:val="26"/>
          <w:szCs w:val="26"/>
        </w:rPr>
      </w:pPr>
      <w:bookmarkStart w:id="93" w:name="dabmch_77"/>
      <w:r w:rsidRPr="004F0F5E">
        <w:rPr>
          <w:color w:val="000000" w:themeColor="text1"/>
          <w:sz w:val="26"/>
          <w:szCs w:val="26"/>
        </w:rPr>
        <w:t xml:space="preserve">The third link </w:t>
      </w:r>
      <w:r>
        <w:rPr>
          <w:color w:val="000000" w:themeColor="text1"/>
          <w:sz w:val="26"/>
          <w:szCs w:val="26"/>
        </w:rPr>
        <w:t>likewise</w:t>
      </w:r>
      <w:r w:rsidRPr="004F0F5E">
        <w:rPr>
          <w:color w:val="000000" w:themeColor="text1"/>
          <w:sz w:val="26"/>
          <w:szCs w:val="26"/>
        </w:rPr>
        <w:t xml:space="preserve"> fails.</w:t>
      </w:r>
      <w:r w:rsidR="6D74CAFB" w:rsidRPr="004F0F5E">
        <w:rPr>
          <w:color w:val="000000" w:themeColor="text1"/>
          <w:sz w:val="26"/>
          <w:szCs w:val="26"/>
        </w:rPr>
        <w:t xml:space="preserve"> </w:t>
      </w:r>
      <w:r w:rsidRPr="004F0F5E">
        <w:rPr>
          <w:color w:val="000000" w:themeColor="text1"/>
          <w:sz w:val="26"/>
          <w:szCs w:val="26"/>
        </w:rPr>
        <w:t xml:space="preserve">On some unconfirmed date, Nolan ranked the employees “by frequency of shifts worked during 2023,” and selected the top ten for </w:t>
      </w:r>
      <w:r w:rsidRPr="004F0F5E">
        <w:rPr>
          <w:color w:val="000000" w:themeColor="text1"/>
          <w:sz w:val="26"/>
          <w:szCs w:val="26"/>
        </w:rPr>
        <w:lastRenderedPageBreak/>
        <w:t>interviews. (Ex. 17.)</w:t>
      </w:r>
      <w:r w:rsidR="6D74CAFB" w:rsidRPr="004F0F5E">
        <w:rPr>
          <w:color w:val="000000" w:themeColor="text1"/>
          <w:sz w:val="26"/>
          <w:szCs w:val="26"/>
        </w:rPr>
        <w:t xml:space="preserve"> </w:t>
      </w:r>
      <w:r>
        <w:rPr>
          <w:color w:val="000000" w:themeColor="text1"/>
          <w:sz w:val="26"/>
          <w:szCs w:val="26"/>
        </w:rPr>
        <w:t xml:space="preserve">Parker was ranked seventh on the </w:t>
      </w:r>
      <w:proofErr w:type="gramStart"/>
      <w:r>
        <w:rPr>
          <w:color w:val="000000" w:themeColor="text1"/>
          <w:sz w:val="26"/>
          <w:szCs w:val="26"/>
        </w:rPr>
        <w:t>list</w:t>
      </w:r>
      <w:r w:rsidR="00012C1A">
        <w:rPr>
          <w:color w:val="000000" w:themeColor="text1"/>
          <w:sz w:val="26"/>
          <w:szCs w:val="26"/>
        </w:rPr>
        <w:t>, but</w:t>
      </w:r>
      <w:proofErr w:type="gramEnd"/>
      <w:r>
        <w:rPr>
          <w:color w:val="000000" w:themeColor="text1"/>
          <w:sz w:val="26"/>
          <w:szCs w:val="26"/>
        </w:rPr>
        <w:t xml:space="preserve"> was interviewed by Nolan before the employees ranked fourth and sixth. (Nolan Dep. </w:t>
      </w:r>
      <w:r w:rsidRPr="004F0F5E">
        <w:rPr>
          <w:color w:val="000000" w:themeColor="text1"/>
          <w:sz w:val="26"/>
          <w:szCs w:val="26"/>
        </w:rPr>
        <w:t>303–06; Ex. 17.)</w:t>
      </w:r>
      <w:r w:rsidR="6D74CAFB" w:rsidRPr="004F0F5E">
        <w:rPr>
          <w:color w:val="000000" w:themeColor="text1"/>
          <w:sz w:val="26"/>
          <w:szCs w:val="26"/>
        </w:rPr>
        <w:t xml:space="preserve"> </w:t>
      </w:r>
      <w:r w:rsidRPr="004F0F5E">
        <w:rPr>
          <w:color w:val="000000" w:themeColor="text1"/>
          <w:sz w:val="26"/>
          <w:szCs w:val="26"/>
        </w:rPr>
        <w:t>The Government offers no explanation for that deviation.</w:t>
      </w:r>
      <w:r w:rsidR="6D74CAFB" w:rsidRPr="004F0F5E">
        <w:rPr>
          <w:color w:val="000000" w:themeColor="text1"/>
          <w:sz w:val="26"/>
          <w:szCs w:val="26"/>
        </w:rPr>
        <w:t xml:space="preserve"> </w:t>
      </w:r>
      <w:r>
        <w:rPr>
          <w:color w:val="000000" w:themeColor="text1"/>
          <w:sz w:val="26"/>
          <w:szCs w:val="26"/>
        </w:rPr>
        <w:t>B</w:t>
      </w:r>
      <w:r w:rsidRPr="004F0F5E">
        <w:rPr>
          <w:color w:val="000000" w:themeColor="text1"/>
          <w:sz w:val="26"/>
          <w:szCs w:val="26"/>
        </w:rPr>
        <w:t>ecause Calloway’s compelled testimony on October 10, 2024, supplied information about Parker that Team Calloway previously lacked</w:t>
      </w:r>
      <w:r>
        <w:rPr>
          <w:color w:val="000000" w:themeColor="text1"/>
          <w:sz w:val="26"/>
          <w:szCs w:val="26"/>
        </w:rPr>
        <w:t>, the abrupt deviation is significant.</w:t>
      </w:r>
      <w:r w:rsidRPr="004F0F5E">
        <w:rPr>
          <w:color w:val="000000" w:themeColor="text1"/>
          <w:sz w:val="26"/>
          <w:szCs w:val="26"/>
        </w:rPr>
        <w:t xml:space="preserve"> (Ex. 14.)</w:t>
      </w:r>
      <w:r w:rsidR="6D74CAFB" w:rsidRPr="004F0F5E">
        <w:rPr>
          <w:color w:val="000000" w:themeColor="text1"/>
          <w:sz w:val="26"/>
          <w:szCs w:val="26"/>
        </w:rPr>
        <w:t xml:space="preserve"> </w:t>
      </w:r>
      <w:bookmarkEnd w:id="93"/>
      <w:r w:rsidRPr="004F0F5E">
        <w:rPr>
          <w:color w:val="000000" w:themeColor="text1"/>
          <w:sz w:val="26"/>
          <w:szCs w:val="26"/>
        </w:rPr>
        <w:t>Her testimony was publicly broadcast by “at least three area stations</w:t>
      </w:r>
      <w:r>
        <w:rPr>
          <w:color w:val="000000" w:themeColor="text1"/>
          <w:sz w:val="26"/>
          <w:szCs w:val="26"/>
        </w:rPr>
        <w:t>,</w:t>
      </w:r>
      <w:r w:rsidRPr="004F0F5E">
        <w:rPr>
          <w:color w:val="000000" w:themeColor="text1"/>
          <w:sz w:val="26"/>
          <w:szCs w:val="26"/>
        </w:rPr>
        <w:t>” was “front-page for weeks</w:t>
      </w:r>
      <w:r>
        <w:rPr>
          <w:color w:val="000000" w:themeColor="text1"/>
          <w:sz w:val="26"/>
          <w:szCs w:val="26"/>
        </w:rPr>
        <w:t>,</w:t>
      </w:r>
      <w:r w:rsidRPr="004F0F5E">
        <w:rPr>
          <w:color w:val="000000" w:themeColor="text1"/>
          <w:sz w:val="26"/>
          <w:szCs w:val="26"/>
        </w:rPr>
        <w:t>”</w:t>
      </w:r>
      <w:r>
        <w:rPr>
          <w:color w:val="000000" w:themeColor="text1"/>
          <w:sz w:val="26"/>
          <w:szCs w:val="26"/>
        </w:rPr>
        <w:t xml:space="preserve"> and publicly identified Parker before Nolan interviewed him.</w:t>
      </w:r>
      <w:r w:rsidRPr="004F0F5E">
        <w:rPr>
          <w:color w:val="000000" w:themeColor="text1"/>
          <w:sz w:val="26"/>
          <w:szCs w:val="26"/>
        </w:rPr>
        <w:t xml:space="preserve"> (Ex. 14; Sinclair Dep. 596.)</w:t>
      </w:r>
    </w:p>
    <w:p w14:paraId="1B9E16E9" w14:textId="2FF9DFD5" w:rsidR="03CB0AEB" w:rsidRPr="004F0F5E" w:rsidRDefault="0036191E" w:rsidP="00C851CA">
      <w:pPr>
        <w:spacing w:line="480" w:lineRule="auto"/>
        <w:ind w:firstLine="720"/>
        <w:jc w:val="both"/>
        <w:rPr>
          <w:color w:val="000000" w:themeColor="text1"/>
          <w:sz w:val="26"/>
          <w:szCs w:val="26"/>
        </w:rPr>
      </w:pPr>
      <w:bookmarkStart w:id="94" w:name="dabmch_78"/>
      <w:r>
        <w:rPr>
          <w:color w:val="000000" w:themeColor="text1"/>
          <w:sz w:val="26"/>
          <w:szCs w:val="26"/>
        </w:rPr>
        <w:t>Such an</w:t>
      </w:r>
      <w:r w:rsidRPr="004F0F5E">
        <w:rPr>
          <w:color w:val="000000" w:themeColor="text1"/>
          <w:sz w:val="26"/>
          <w:szCs w:val="26"/>
        </w:rPr>
        <w:t xml:space="preserve"> unexplained deviation cannot be reconciled with the Government’s burden under </w:t>
      </w:r>
      <w:bookmarkStart w:id="95" w:name="dabmci_97b09afda64a4174aa74a3d72601f10a"/>
      <w:r w:rsidRPr="004F0F5E">
        <w:rPr>
          <w:i/>
          <w:iCs/>
          <w:color w:val="000000" w:themeColor="text1"/>
          <w:sz w:val="26"/>
          <w:szCs w:val="26"/>
        </w:rPr>
        <w:t>Kastigar</w:t>
      </w:r>
      <w:r w:rsidRPr="004F0F5E">
        <w:rPr>
          <w:color w:val="000000" w:themeColor="text1"/>
          <w:sz w:val="26"/>
          <w:szCs w:val="26"/>
        </w:rPr>
        <w:t>. 406 U.S. at 460</w:t>
      </w:r>
      <w:bookmarkStart w:id="96" w:name="dabmen_97b09afda64a4174aa74a3d72601f10a"/>
      <w:bookmarkEnd w:id="95"/>
      <w:bookmarkEnd w:id="96"/>
      <w:r w:rsidRPr="004F0F5E">
        <w:rPr>
          <w:color w:val="000000" w:themeColor="text1"/>
          <w:sz w:val="26"/>
          <w:szCs w:val="26"/>
        </w:rPr>
        <w:t>.</w:t>
      </w:r>
      <w:r w:rsidR="4B3894D6" w:rsidRPr="004F0F5E">
        <w:rPr>
          <w:color w:val="000000" w:themeColor="text1"/>
          <w:sz w:val="26"/>
          <w:szCs w:val="26"/>
        </w:rPr>
        <w:t xml:space="preserve"> </w:t>
      </w:r>
      <w:bookmarkEnd w:id="94"/>
      <w:r>
        <w:rPr>
          <w:color w:val="000000" w:themeColor="text1"/>
          <w:sz w:val="26"/>
          <w:szCs w:val="26"/>
        </w:rPr>
        <w:t>The Government thus fails to establish</w:t>
      </w:r>
      <w:r w:rsidR="00C07149">
        <w:rPr>
          <w:color w:val="000000" w:themeColor="text1"/>
          <w:sz w:val="26"/>
          <w:szCs w:val="26"/>
        </w:rPr>
        <w:t xml:space="preserve"> that</w:t>
      </w:r>
      <w:r>
        <w:rPr>
          <w:color w:val="000000" w:themeColor="text1"/>
          <w:sz w:val="26"/>
          <w:szCs w:val="26"/>
        </w:rPr>
        <w:t xml:space="preserve"> this final link is wholly independent from Calloway’s </w:t>
      </w:r>
      <w:proofErr w:type="gramStart"/>
      <w:r>
        <w:rPr>
          <w:color w:val="000000" w:themeColor="text1"/>
          <w:sz w:val="26"/>
          <w:szCs w:val="26"/>
        </w:rPr>
        <w:t>testimony—</w:t>
      </w:r>
      <w:proofErr w:type="gramEnd"/>
      <w:r>
        <w:rPr>
          <w:color w:val="000000" w:themeColor="text1"/>
          <w:sz w:val="26"/>
          <w:szCs w:val="26"/>
        </w:rPr>
        <w:t xml:space="preserve">the sole </w:t>
      </w:r>
      <w:proofErr w:type="gramStart"/>
      <w:r>
        <w:rPr>
          <w:color w:val="000000" w:themeColor="text1"/>
          <w:sz w:val="26"/>
          <w:szCs w:val="26"/>
        </w:rPr>
        <w:t xml:space="preserve">manner </w:t>
      </w:r>
      <w:r w:rsidR="00C07149">
        <w:rPr>
          <w:color w:val="000000" w:themeColor="text1"/>
          <w:sz w:val="26"/>
          <w:szCs w:val="26"/>
        </w:rPr>
        <w:t xml:space="preserve">in </w:t>
      </w:r>
      <w:r>
        <w:rPr>
          <w:color w:val="000000" w:themeColor="text1"/>
          <w:sz w:val="26"/>
          <w:szCs w:val="26"/>
        </w:rPr>
        <w:t>which</w:t>
      </w:r>
      <w:proofErr w:type="gramEnd"/>
      <w:r>
        <w:rPr>
          <w:color w:val="000000" w:themeColor="text1"/>
          <w:sz w:val="26"/>
          <w:szCs w:val="26"/>
        </w:rPr>
        <w:t xml:space="preserve"> Parker became a material witness. </w:t>
      </w:r>
      <w:r w:rsidRPr="004F0F5E">
        <w:rPr>
          <w:i/>
          <w:iCs/>
          <w:color w:val="000000" w:themeColor="text1"/>
          <w:sz w:val="26"/>
          <w:szCs w:val="26"/>
        </w:rPr>
        <w:t>See Hampton</w:t>
      </w:r>
      <w:r w:rsidRPr="004F0F5E">
        <w:rPr>
          <w:color w:val="000000" w:themeColor="text1"/>
          <w:sz w:val="26"/>
          <w:szCs w:val="26"/>
        </w:rPr>
        <w:t>, 775 F.2d at 1490.</w:t>
      </w:r>
    </w:p>
    <w:p w14:paraId="1AE1AA0F" w14:textId="3951E12D" w:rsidR="044A16CF" w:rsidRPr="00065D3C" w:rsidRDefault="00065D3C" w:rsidP="00065D3C">
      <w:pPr>
        <w:pStyle w:val="ListParagraph"/>
        <w:numPr>
          <w:ilvl w:val="1"/>
          <w:numId w:val="30"/>
        </w:numPr>
        <w:spacing w:after="240"/>
        <w:jc w:val="both"/>
        <w:outlineLvl w:val="1"/>
        <w:rPr>
          <w:b/>
          <w:bCs/>
          <w:color w:val="000000" w:themeColor="text1"/>
          <w:sz w:val="26"/>
          <w:szCs w:val="26"/>
        </w:rPr>
      </w:pPr>
      <w:bookmarkStart w:id="97" w:name="dabmch_79"/>
      <w:bookmarkStart w:id="98" w:name="_Toc239116034"/>
      <w:r w:rsidRPr="004F0F5E">
        <w:rPr>
          <w:b/>
          <w:bCs/>
          <w:color w:val="000000" w:themeColor="text1"/>
          <w:sz w:val="26"/>
          <w:szCs w:val="26"/>
        </w:rPr>
        <w:t>The Government’s Recordkeeping Fails to Establish that Calloway’s Immunized Testimony Did Not Shape Nolan’s Questioning of Parker.</w:t>
      </w:r>
      <w:bookmarkEnd w:id="97"/>
      <w:bookmarkEnd w:id="98"/>
    </w:p>
    <w:p w14:paraId="5E45CAE1" w14:textId="43D12B83" w:rsidR="044A16CF" w:rsidRPr="004F0F5E" w:rsidRDefault="5F192849" w:rsidP="00C851CA">
      <w:pPr>
        <w:spacing w:line="480" w:lineRule="auto"/>
        <w:ind w:firstLine="720"/>
        <w:jc w:val="both"/>
        <w:rPr>
          <w:color w:val="000000" w:themeColor="text1"/>
          <w:sz w:val="26"/>
          <w:szCs w:val="26"/>
        </w:rPr>
      </w:pPr>
      <w:bookmarkStart w:id="99" w:name="dabmch_80"/>
      <w:r w:rsidRPr="004F0F5E">
        <w:rPr>
          <w:color w:val="000000" w:themeColor="text1"/>
          <w:sz w:val="26"/>
          <w:szCs w:val="26"/>
        </w:rPr>
        <w:t>The Government is barred from presenting a witness “whose testimony is shaped—directly or indirectly—by immunized testimony” including the use of “immunized testimony to help shape the questioning of another witness.”</w:t>
      </w:r>
      <w:r w:rsidRPr="004F0F5E">
        <w:rPr>
          <w:i/>
          <w:iCs/>
          <w:color w:val="000000" w:themeColor="text1"/>
          <w:sz w:val="26"/>
          <w:szCs w:val="26"/>
        </w:rPr>
        <w:t xml:space="preserve"> </w:t>
      </w:r>
      <w:bookmarkStart w:id="100" w:name="dabmci_10ef34a777424c9d9cf0be947f265be5"/>
      <w:r w:rsidRPr="004F0F5E">
        <w:rPr>
          <w:i/>
          <w:iCs/>
          <w:color w:val="000000" w:themeColor="text1"/>
          <w:sz w:val="26"/>
          <w:szCs w:val="26"/>
        </w:rPr>
        <w:t>Schmidgall</w:t>
      </w:r>
      <w:r w:rsidR="7501A112" w:rsidRPr="004F0F5E">
        <w:rPr>
          <w:color w:val="000000" w:themeColor="text1"/>
          <w:sz w:val="26"/>
          <w:szCs w:val="26"/>
        </w:rPr>
        <w:t>, 25 F.3d at 1528</w:t>
      </w:r>
      <w:bookmarkStart w:id="101" w:name="dabmen_10ef34a777424c9d9cf0be947f265be5"/>
      <w:bookmarkEnd w:id="100"/>
      <w:bookmarkEnd w:id="101"/>
      <w:r w:rsidR="7501A112" w:rsidRPr="004F0F5E">
        <w:rPr>
          <w:color w:val="000000" w:themeColor="text1"/>
          <w:sz w:val="26"/>
          <w:szCs w:val="26"/>
        </w:rPr>
        <w:t xml:space="preserve">. </w:t>
      </w:r>
      <w:r w:rsidR="0036191E">
        <w:rPr>
          <w:color w:val="000000" w:themeColor="text1"/>
          <w:sz w:val="26"/>
          <w:szCs w:val="26"/>
        </w:rPr>
        <w:t>A</w:t>
      </w:r>
      <w:r w:rsidR="7501A112" w:rsidRPr="004F0F5E">
        <w:rPr>
          <w:color w:val="000000" w:themeColor="text1"/>
          <w:sz w:val="26"/>
          <w:szCs w:val="26"/>
        </w:rPr>
        <w:t xml:space="preserve">n agent’s good-faith denial of such use, standing alone, does not satisfy the Government’s burden. </w:t>
      </w:r>
      <w:bookmarkStart w:id="102" w:name="dabmci_f25e7e06806a49f2812cd22cbe5e4763"/>
      <w:r w:rsidRPr="004F0F5E">
        <w:rPr>
          <w:i/>
          <w:iCs/>
          <w:color w:val="000000" w:themeColor="text1"/>
          <w:sz w:val="26"/>
          <w:szCs w:val="26"/>
        </w:rPr>
        <w:t>Id</w:t>
      </w:r>
      <w:r w:rsidRPr="004F0F5E">
        <w:rPr>
          <w:color w:val="000000" w:themeColor="text1"/>
          <w:sz w:val="26"/>
          <w:szCs w:val="26"/>
        </w:rPr>
        <w:t>.</w:t>
      </w:r>
      <w:bookmarkStart w:id="103" w:name="dabmen_f25e7e06806a49f2812cd22cbe5e4763"/>
      <w:bookmarkEnd w:id="99"/>
      <w:bookmarkEnd w:id="102"/>
      <w:bookmarkEnd w:id="103"/>
    </w:p>
    <w:p w14:paraId="3684F3E1" w14:textId="362EF3D6" w:rsidR="044A16CF" w:rsidRPr="00C52274" w:rsidRDefault="00893525" w:rsidP="00C851CA">
      <w:pPr>
        <w:spacing w:line="480" w:lineRule="auto"/>
        <w:ind w:firstLine="720"/>
        <w:jc w:val="both"/>
        <w:rPr>
          <w:color w:val="000000" w:themeColor="text1"/>
          <w:sz w:val="26"/>
          <w:szCs w:val="26"/>
        </w:rPr>
      </w:pPr>
      <w:bookmarkStart w:id="104" w:name="dabmch_81"/>
      <w:r w:rsidRPr="004F0F5E">
        <w:rPr>
          <w:i/>
          <w:iCs/>
          <w:color w:val="000000" w:themeColor="text1"/>
          <w:sz w:val="26"/>
          <w:szCs w:val="26"/>
        </w:rPr>
        <w:t>Schmidgall</w:t>
      </w:r>
      <w:r w:rsidR="20214F1B" w:rsidRPr="004F0F5E">
        <w:rPr>
          <w:color w:val="000000" w:themeColor="text1"/>
          <w:sz w:val="26"/>
          <w:szCs w:val="26"/>
        </w:rPr>
        <w:t xml:space="preserve"> is instructive. There, the Government was required to show a witness’s questioning was not derived from immunized testimony. </w:t>
      </w:r>
      <w:bookmarkStart w:id="105" w:name="dabmci_e112d992686a4e9abcc0fcf21bf89021"/>
      <w:r w:rsidR="20214F1B" w:rsidRPr="004F0F5E">
        <w:rPr>
          <w:i/>
          <w:iCs/>
          <w:color w:val="000000" w:themeColor="text1"/>
          <w:sz w:val="26"/>
          <w:szCs w:val="26"/>
        </w:rPr>
        <w:t>Id</w:t>
      </w:r>
      <w:r w:rsidR="38E04682" w:rsidRPr="004F0F5E">
        <w:rPr>
          <w:color w:val="000000" w:themeColor="text1"/>
          <w:sz w:val="26"/>
          <w:szCs w:val="26"/>
        </w:rPr>
        <w:t>. at 1529</w:t>
      </w:r>
      <w:bookmarkStart w:id="106" w:name="dabmen_e112d992686a4e9abcc0fcf21bf89021"/>
      <w:bookmarkEnd w:id="105"/>
      <w:bookmarkEnd w:id="106"/>
      <w:r w:rsidR="38E04682" w:rsidRPr="004F0F5E">
        <w:rPr>
          <w:color w:val="000000" w:themeColor="text1"/>
          <w:sz w:val="26"/>
          <w:szCs w:val="26"/>
        </w:rPr>
        <w:t xml:space="preserve">. The Government relied on an investigator’s testimony that he had merely “‘perused’ the notes” from an immunized witness </w:t>
      </w:r>
      <w:r w:rsidR="0036191E">
        <w:rPr>
          <w:color w:val="000000" w:themeColor="text1"/>
          <w:sz w:val="26"/>
          <w:szCs w:val="26"/>
        </w:rPr>
        <w:t>rather than obtaining</w:t>
      </w:r>
      <w:r w:rsidR="38E04682" w:rsidRPr="004F0F5E">
        <w:rPr>
          <w:color w:val="000000" w:themeColor="text1"/>
          <w:sz w:val="26"/>
          <w:szCs w:val="26"/>
        </w:rPr>
        <w:t xml:space="preserve"> “substantive information from them </w:t>
      </w:r>
      <w:proofErr w:type="gramStart"/>
      <w:r w:rsidR="38E04682" w:rsidRPr="004F0F5E">
        <w:rPr>
          <w:color w:val="000000" w:themeColor="text1"/>
          <w:sz w:val="26"/>
          <w:szCs w:val="26"/>
        </w:rPr>
        <w:t>. . . .</w:t>
      </w:r>
      <w:proofErr w:type="gramEnd"/>
      <w:r w:rsidR="38E04682" w:rsidRPr="004F0F5E">
        <w:rPr>
          <w:color w:val="000000" w:themeColor="text1"/>
          <w:sz w:val="26"/>
          <w:szCs w:val="26"/>
        </w:rPr>
        <w:t xml:space="preserve">” </w:t>
      </w:r>
      <w:bookmarkStart w:id="107" w:name="dabmci_4785399a64874706a8cbb23d578fdec8"/>
      <w:r w:rsidR="33DDBC9E" w:rsidRPr="004F0F5E">
        <w:rPr>
          <w:i/>
          <w:iCs/>
          <w:color w:val="000000" w:themeColor="text1"/>
          <w:sz w:val="26"/>
          <w:szCs w:val="26"/>
        </w:rPr>
        <w:t>Id</w:t>
      </w:r>
      <w:r w:rsidR="0745B323" w:rsidRPr="004F0F5E">
        <w:rPr>
          <w:color w:val="000000" w:themeColor="text1"/>
          <w:sz w:val="26"/>
          <w:szCs w:val="26"/>
        </w:rPr>
        <w:t>.</w:t>
      </w:r>
      <w:bookmarkStart w:id="108" w:name="dabmen_4785399a64874706a8cbb23d578fdec8"/>
      <w:bookmarkEnd w:id="107"/>
      <w:bookmarkEnd w:id="108"/>
      <w:r w:rsidR="0745B323" w:rsidRPr="004F0F5E">
        <w:rPr>
          <w:color w:val="000000" w:themeColor="text1"/>
          <w:sz w:val="26"/>
          <w:szCs w:val="26"/>
        </w:rPr>
        <w:t xml:space="preserve"> </w:t>
      </w:r>
      <w:r w:rsidR="0745B323" w:rsidRPr="004F0F5E">
        <w:rPr>
          <w:color w:val="000000" w:themeColor="text1"/>
          <w:sz w:val="26"/>
          <w:szCs w:val="26"/>
        </w:rPr>
        <w:lastRenderedPageBreak/>
        <w:t xml:space="preserve">However, the court held the Government failed to meet its burden because the record contained only interview summaries </w:t>
      </w:r>
      <w:r w:rsidR="0036191E">
        <w:rPr>
          <w:color w:val="000000" w:themeColor="text1"/>
          <w:sz w:val="26"/>
          <w:szCs w:val="26"/>
        </w:rPr>
        <w:t>failing to reveal the</w:t>
      </w:r>
      <w:r w:rsidR="0745B323" w:rsidRPr="004F0F5E">
        <w:rPr>
          <w:color w:val="000000" w:themeColor="text1"/>
          <w:sz w:val="26"/>
          <w:szCs w:val="26"/>
        </w:rPr>
        <w:t xml:space="preserve"> “precise questions that were asked.” </w:t>
      </w:r>
      <w:bookmarkStart w:id="109" w:name="dabmci_01073f1d95ea420893450f04271a3049"/>
      <w:r w:rsidR="0745B323" w:rsidRPr="004F0F5E">
        <w:rPr>
          <w:i/>
          <w:iCs/>
          <w:color w:val="000000" w:themeColor="text1"/>
          <w:sz w:val="26"/>
          <w:szCs w:val="26"/>
        </w:rPr>
        <w:t>Id.</w:t>
      </w:r>
      <w:r w:rsidR="00C52274">
        <w:rPr>
          <w:color w:val="000000" w:themeColor="text1"/>
          <w:sz w:val="26"/>
          <w:szCs w:val="26"/>
        </w:rPr>
        <w:t xml:space="preserve"> at 1529 n.7</w:t>
      </w:r>
      <w:bookmarkStart w:id="110" w:name="dabmen_01073f1d95ea420893450f04271a3049"/>
      <w:bookmarkEnd w:id="109"/>
      <w:bookmarkEnd w:id="110"/>
      <w:r w:rsidR="00C52274">
        <w:rPr>
          <w:color w:val="000000" w:themeColor="text1"/>
          <w:sz w:val="26"/>
          <w:szCs w:val="26"/>
        </w:rPr>
        <w:t xml:space="preserve">. Thus, where the record does not show whether immunized testimony shaped the questioning, the Government has not established independent use. </w:t>
      </w:r>
      <w:bookmarkStart w:id="111" w:name="dabmci_462e8cce36c2455a9c91b50b545602db"/>
      <w:r w:rsidR="00C52274">
        <w:rPr>
          <w:i/>
          <w:iCs/>
          <w:color w:val="000000" w:themeColor="text1"/>
          <w:sz w:val="26"/>
          <w:szCs w:val="26"/>
        </w:rPr>
        <w:t>Id</w:t>
      </w:r>
      <w:r w:rsidR="00C52274">
        <w:rPr>
          <w:color w:val="000000" w:themeColor="text1"/>
          <w:sz w:val="26"/>
          <w:szCs w:val="26"/>
        </w:rPr>
        <w:t>.</w:t>
      </w:r>
      <w:bookmarkStart w:id="112" w:name="dabmen_462e8cce36c2455a9c91b50b545602db"/>
      <w:bookmarkEnd w:id="104"/>
      <w:bookmarkEnd w:id="111"/>
      <w:bookmarkEnd w:id="112"/>
    </w:p>
    <w:p w14:paraId="258CC5EC" w14:textId="6BCCF696" w:rsidR="2DA0E484" w:rsidRPr="004F0F5E" w:rsidRDefault="3B0A60E7" w:rsidP="00C851CA">
      <w:pPr>
        <w:spacing w:line="480" w:lineRule="auto"/>
        <w:ind w:firstLine="720"/>
        <w:jc w:val="both"/>
        <w:rPr>
          <w:color w:val="000000" w:themeColor="text1"/>
          <w:sz w:val="26"/>
          <w:szCs w:val="26"/>
        </w:rPr>
      </w:pPr>
      <w:bookmarkStart w:id="113" w:name="dabmch_82"/>
      <w:r w:rsidRPr="004F0F5E">
        <w:rPr>
          <w:color w:val="000000" w:themeColor="text1"/>
          <w:sz w:val="26"/>
          <w:szCs w:val="26"/>
        </w:rPr>
        <w:t>The same deficiency exists here</w:t>
      </w:r>
      <w:r w:rsidR="0036191E">
        <w:rPr>
          <w:color w:val="000000" w:themeColor="text1"/>
          <w:sz w:val="26"/>
          <w:szCs w:val="26"/>
        </w:rPr>
        <w:t>, as</w:t>
      </w:r>
      <w:r w:rsidRPr="004F0F5E">
        <w:rPr>
          <w:color w:val="000000" w:themeColor="text1"/>
          <w:sz w:val="26"/>
          <w:szCs w:val="26"/>
        </w:rPr>
        <w:t xml:space="preserve"> Nolan </w:t>
      </w:r>
      <w:r w:rsidR="0036191E">
        <w:rPr>
          <w:color w:val="000000" w:themeColor="text1"/>
          <w:sz w:val="26"/>
          <w:szCs w:val="26"/>
        </w:rPr>
        <w:t xml:space="preserve">wholly </w:t>
      </w:r>
      <w:r w:rsidRPr="004F0F5E">
        <w:rPr>
          <w:color w:val="000000" w:themeColor="text1"/>
          <w:sz w:val="26"/>
          <w:szCs w:val="26"/>
        </w:rPr>
        <w:t>denies using Calloway’s compelled testimony</w:t>
      </w:r>
      <w:r w:rsidR="0036191E">
        <w:rPr>
          <w:color w:val="000000" w:themeColor="text1"/>
          <w:sz w:val="26"/>
          <w:szCs w:val="26"/>
        </w:rPr>
        <w:t>.</w:t>
      </w:r>
      <w:r w:rsidRPr="004F0F5E">
        <w:rPr>
          <w:color w:val="000000" w:themeColor="text1"/>
          <w:sz w:val="26"/>
          <w:szCs w:val="26"/>
        </w:rPr>
        <w:t xml:space="preserve"> (Nolan Dep. 319–24.) </w:t>
      </w:r>
      <w:r w:rsidR="00710CAA">
        <w:rPr>
          <w:color w:val="000000" w:themeColor="text1"/>
          <w:sz w:val="26"/>
          <w:szCs w:val="26"/>
        </w:rPr>
        <w:t xml:space="preserve">However, this </w:t>
      </w:r>
      <w:r w:rsidRPr="004F0F5E">
        <w:rPr>
          <w:color w:val="000000" w:themeColor="text1"/>
          <w:sz w:val="26"/>
          <w:szCs w:val="26"/>
        </w:rPr>
        <w:t xml:space="preserve">is insufficient </w:t>
      </w:r>
      <w:r w:rsidR="00710CAA">
        <w:rPr>
          <w:color w:val="000000" w:themeColor="text1"/>
          <w:sz w:val="26"/>
          <w:szCs w:val="26"/>
        </w:rPr>
        <w:t>absent</w:t>
      </w:r>
      <w:r w:rsidRPr="004F0F5E">
        <w:rPr>
          <w:color w:val="000000" w:themeColor="text1"/>
          <w:sz w:val="26"/>
          <w:szCs w:val="26"/>
        </w:rPr>
        <w:t xml:space="preserve"> corroborating evidence, particularly because Calloway’s testimony was widely publicized and Parker’s interview concerned the same subjects: the December 10, 2023, confrontation and Calloway’s requests for errands. (Ex. 14; Ex. 15); </w:t>
      </w:r>
      <w:r w:rsidRPr="004F0F5E">
        <w:rPr>
          <w:i/>
          <w:iCs/>
          <w:color w:val="000000" w:themeColor="text1"/>
          <w:sz w:val="26"/>
          <w:szCs w:val="26"/>
        </w:rPr>
        <w:t xml:space="preserve">see </w:t>
      </w:r>
      <w:bookmarkStart w:id="114" w:name="dabmci_a000d33819c34eb6a0eaa36a082a0240"/>
      <w:r w:rsidRPr="004F0F5E">
        <w:rPr>
          <w:i/>
          <w:iCs/>
          <w:color w:val="000000" w:themeColor="text1"/>
          <w:sz w:val="26"/>
          <w:szCs w:val="26"/>
        </w:rPr>
        <w:t>Schmidgall</w:t>
      </w:r>
      <w:r w:rsidRPr="004F0F5E">
        <w:rPr>
          <w:color w:val="000000" w:themeColor="text1"/>
          <w:sz w:val="26"/>
          <w:szCs w:val="26"/>
        </w:rPr>
        <w:t>, 25 F.3d at 1528</w:t>
      </w:r>
      <w:bookmarkStart w:id="115" w:name="dabmen_a000d33819c34eb6a0eaa36a082a0240"/>
      <w:bookmarkEnd w:id="114"/>
      <w:bookmarkEnd w:id="115"/>
      <w:r w:rsidRPr="004F0F5E">
        <w:rPr>
          <w:color w:val="000000" w:themeColor="text1"/>
          <w:sz w:val="26"/>
          <w:szCs w:val="26"/>
        </w:rPr>
        <w:t>.</w:t>
      </w:r>
      <w:bookmarkEnd w:id="113"/>
    </w:p>
    <w:p w14:paraId="2491B7A4" w14:textId="22FF44E4" w:rsidR="3B0A60E7" w:rsidRPr="004F0F5E" w:rsidRDefault="00F9588F" w:rsidP="00C851CA">
      <w:pPr>
        <w:spacing w:line="480" w:lineRule="auto"/>
        <w:ind w:firstLine="720"/>
        <w:jc w:val="both"/>
        <w:rPr>
          <w:color w:val="000000" w:themeColor="text1"/>
          <w:sz w:val="26"/>
          <w:szCs w:val="26"/>
        </w:rPr>
      </w:pPr>
      <w:bookmarkStart w:id="116" w:name="dabmch_83"/>
      <w:r>
        <w:rPr>
          <w:color w:val="000000" w:themeColor="text1"/>
          <w:sz w:val="26"/>
          <w:szCs w:val="26"/>
        </w:rPr>
        <w:t>T</w:t>
      </w:r>
      <w:r w:rsidR="2A3D6688" w:rsidRPr="004F0F5E">
        <w:rPr>
          <w:color w:val="000000" w:themeColor="text1"/>
          <w:sz w:val="26"/>
          <w:szCs w:val="26"/>
        </w:rPr>
        <w:t xml:space="preserve">he Government has no evidence revealing what </w:t>
      </w:r>
      <w:r w:rsidR="00012C1A">
        <w:rPr>
          <w:color w:val="000000" w:themeColor="text1"/>
          <w:sz w:val="26"/>
          <w:szCs w:val="26"/>
        </w:rPr>
        <w:t xml:space="preserve">exactly </w:t>
      </w:r>
      <w:r w:rsidR="2A3D6688" w:rsidRPr="004F0F5E">
        <w:rPr>
          <w:color w:val="000000" w:themeColor="text1"/>
          <w:sz w:val="26"/>
          <w:szCs w:val="26"/>
        </w:rPr>
        <w:t xml:space="preserve">Nolan </w:t>
      </w:r>
      <w:r w:rsidR="00710CAA">
        <w:rPr>
          <w:color w:val="000000" w:themeColor="text1"/>
          <w:sz w:val="26"/>
          <w:szCs w:val="26"/>
        </w:rPr>
        <w:t>asked Parker</w:t>
      </w:r>
      <w:r w:rsidR="2A3D6688" w:rsidRPr="004F0F5E">
        <w:rPr>
          <w:color w:val="000000" w:themeColor="text1"/>
          <w:sz w:val="26"/>
          <w:szCs w:val="26"/>
        </w:rPr>
        <w:t>. Its only purported corroboration</w:t>
      </w:r>
      <w:r w:rsidR="00710CAA">
        <w:rPr>
          <w:color w:val="000000" w:themeColor="text1"/>
          <w:sz w:val="26"/>
          <w:szCs w:val="26"/>
        </w:rPr>
        <w:t>—</w:t>
      </w:r>
      <w:r w:rsidR="2A3D6688" w:rsidRPr="004F0F5E">
        <w:rPr>
          <w:color w:val="000000" w:themeColor="text1"/>
          <w:sz w:val="26"/>
          <w:szCs w:val="26"/>
        </w:rPr>
        <w:t>Parker’s witness statement</w:t>
      </w:r>
      <w:r w:rsidR="00710CAA">
        <w:rPr>
          <w:color w:val="000000" w:themeColor="text1"/>
          <w:sz w:val="26"/>
          <w:szCs w:val="26"/>
        </w:rPr>
        <w:t>—</w:t>
      </w:r>
      <w:r w:rsidR="2A3D6688" w:rsidRPr="004F0F5E">
        <w:rPr>
          <w:color w:val="000000" w:themeColor="text1"/>
          <w:sz w:val="26"/>
          <w:szCs w:val="26"/>
        </w:rPr>
        <w:t xml:space="preserve">does not identify the questions asked. (Parker Dep. 323–27; Nolan Dep. 343–45; Ex. 15.) As in </w:t>
      </w:r>
      <w:bookmarkStart w:id="117" w:name="dabmci_e171e5dc542344828dd62f0d4e568f84"/>
      <w:r w:rsidR="19CC362D" w:rsidRPr="004F0F5E">
        <w:rPr>
          <w:i/>
          <w:iCs/>
          <w:color w:val="000000" w:themeColor="text1"/>
          <w:sz w:val="26"/>
          <w:szCs w:val="26"/>
        </w:rPr>
        <w:t>Schmidgall</w:t>
      </w:r>
      <w:bookmarkStart w:id="118" w:name="dabmen_e171e5dc542344828dd62f0d4e568f84"/>
      <w:bookmarkEnd w:id="117"/>
      <w:bookmarkEnd w:id="118"/>
      <w:r w:rsidR="19CC362D" w:rsidRPr="00710CAA">
        <w:rPr>
          <w:color w:val="000000" w:themeColor="text1"/>
          <w:sz w:val="26"/>
          <w:szCs w:val="26"/>
        </w:rPr>
        <w:t>,</w:t>
      </w:r>
      <w:r w:rsidR="08832903" w:rsidRPr="004F0F5E">
        <w:rPr>
          <w:color w:val="000000" w:themeColor="text1"/>
          <w:sz w:val="26"/>
          <w:szCs w:val="26"/>
        </w:rPr>
        <w:t xml:space="preserve"> without knowing the “precise questions that were asked,” the </w:t>
      </w:r>
      <w:bookmarkStart w:id="119" w:name="dabmci_34abbf87f6d2489687c5bc4b7158999f"/>
      <w:r w:rsidR="08832903" w:rsidRPr="004F0F5E">
        <w:rPr>
          <w:color w:val="000000" w:themeColor="text1"/>
          <w:sz w:val="26"/>
          <w:szCs w:val="26"/>
        </w:rPr>
        <w:t>Government has not met its burden. 25 F.3d at 1529 n.7</w:t>
      </w:r>
      <w:bookmarkStart w:id="120" w:name="dabmen_34abbf87f6d2489687c5bc4b7158999f"/>
      <w:bookmarkEnd w:id="119"/>
      <w:bookmarkEnd w:id="120"/>
      <w:r w:rsidR="08832903" w:rsidRPr="004F0F5E">
        <w:rPr>
          <w:color w:val="000000" w:themeColor="text1"/>
          <w:sz w:val="26"/>
          <w:szCs w:val="26"/>
        </w:rPr>
        <w:t>.</w:t>
      </w:r>
      <w:bookmarkEnd w:id="116"/>
    </w:p>
    <w:p w14:paraId="053EDE4E" w14:textId="77777777" w:rsidR="2B6F09DF" w:rsidRDefault="5AB64539" w:rsidP="002669F1">
      <w:pPr>
        <w:pStyle w:val="ListParagraph"/>
        <w:numPr>
          <w:ilvl w:val="0"/>
          <w:numId w:val="30"/>
        </w:numPr>
        <w:spacing w:after="240"/>
        <w:jc w:val="both"/>
        <w:outlineLvl w:val="1"/>
        <w:rPr>
          <w:b/>
          <w:bCs/>
          <w:color w:val="000000" w:themeColor="text1"/>
          <w:sz w:val="26"/>
          <w:szCs w:val="26"/>
        </w:rPr>
      </w:pPr>
      <w:bookmarkStart w:id="121" w:name="dabmch_84"/>
      <w:bookmarkStart w:id="122" w:name="_Toc239116035"/>
      <w:r w:rsidRPr="004F0F5E">
        <w:rPr>
          <w:b/>
          <w:bCs/>
          <w:color w:val="000000" w:themeColor="text1"/>
          <w:sz w:val="26"/>
          <w:szCs w:val="26"/>
        </w:rPr>
        <w:t>Exhibit 19 Must Also be Suppressed Because Parker Supplied the Government’s First and Only Lead to the Storage Unit Where the Evidence was Discovered.</w:t>
      </w:r>
      <w:bookmarkEnd w:id="121"/>
      <w:bookmarkEnd w:id="122"/>
    </w:p>
    <w:p w14:paraId="57E31400" w14:textId="77777777" w:rsidR="044A16CF" w:rsidRPr="004F0F5E" w:rsidRDefault="374B1526" w:rsidP="00C851CA">
      <w:pPr>
        <w:spacing w:line="480" w:lineRule="auto"/>
        <w:ind w:firstLine="720"/>
        <w:jc w:val="both"/>
        <w:rPr>
          <w:color w:val="000000" w:themeColor="text1"/>
          <w:sz w:val="26"/>
          <w:szCs w:val="26"/>
        </w:rPr>
      </w:pPr>
      <w:bookmarkStart w:id="123" w:name="dabmch_85"/>
      <w:r w:rsidRPr="004F0F5E">
        <w:rPr>
          <w:color w:val="000000" w:themeColor="text1"/>
          <w:sz w:val="26"/>
          <w:szCs w:val="26"/>
        </w:rPr>
        <w:t xml:space="preserve">Exhibit 19 is </w:t>
      </w:r>
      <w:bookmarkStart w:id="124" w:name="_Int_PlDa72u9"/>
      <w:r w:rsidRPr="004F0F5E">
        <w:rPr>
          <w:color w:val="000000" w:themeColor="text1"/>
          <w:sz w:val="26"/>
          <w:szCs w:val="26"/>
        </w:rPr>
        <w:t>derivative</w:t>
      </w:r>
      <w:bookmarkEnd w:id="124"/>
      <w:r w:rsidRPr="004F0F5E">
        <w:rPr>
          <w:color w:val="000000" w:themeColor="text1"/>
          <w:sz w:val="26"/>
          <w:szCs w:val="26"/>
        </w:rPr>
        <w:t xml:space="preserve"> of Parker’s testimony. The Government may not use compelled testimony or “any information directly or indirectly derived from such testimony </w:t>
      </w:r>
      <w:proofErr w:type="gramStart"/>
      <w:r w:rsidRPr="004F0F5E">
        <w:rPr>
          <w:color w:val="000000" w:themeColor="text1"/>
          <w:sz w:val="26"/>
          <w:szCs w:val="26"/>
        </w:rPr>
        <w:t>. . . .</w:t>
      </w:r>
      <w:proofErr w:type="gramEnd"/>
      <w:r w:rsidRPr="004F0F5E">
        <w:rPr>
          <w:color w:val="000000" w:themeColor="text1"/>
          <w:sz w:val="26"/>
          <w:szCs w:val="26"/>
        </w:rPr>
        <w:t xml:space="preserve">” </w:t>
      </w:r>
      <w:bookmarkStart w:id="125" w:name="dabmci_fd17c94f5244437f9497deec027787fe"/>
      <w:r w:rsidRPr="004F0F5E">
        <w:rPr>
          <w:color w:val="000000" w:themeColor="text1"/>
          <w:sz w:val="26"/>
          <w:szCs w:val="26"/>
        </w:rPr>
        <w:t>18 U.S.C. § 6002</w:t>
      </w:r>
      <w:bookmarkStart w:id="126" w:name="dabmen_fd17c94f5244437f9497deec027787fe"/>
      <w:bookmarkEnd w:id="125"/>
      <w:bookmarkEnd w:id="126"/>
      <w:r w:rsidRPr="004F0F5E">
        <w:rPr>
          <w:color w:val="000000" w:themeColor="text1"/>
          <w:sz w:val="26"/>
          <w:szCs w:val="26"/>
        </w:rPr>
        <w:t xml:space="preserve">; </w:t>
      </w:r>
      <w:r w:rsidRPr="00C52274">
        <w:rPr>
          <w:i/>
          <w:iCs/>
          <w:color w:val="000000" w:themeColor="text1"/>
          <w:sz w:val="26"/>
          <w:szCs w:val="26"/>
        </w:rPr>
        <w:t xml:space="preserve">see </w:t>
      </w:r>
      <w:bookmarkStart w:id="127" w:name="dabmci_64ee6bf5332946e1b353d6d48f06d5e9"/>
      <w:r w:rsidRPr="00C52274">
        <w:rPr>
          <w:i/>
          <w:iCs/>
          <w:color w:val="000000" w:themeColor="text1"/>
          <w:sz w:val="26"/>
          <w:szCs w:val="26"/>
        </w:rPr>
        <w:t>Kastigar</w:t>
      </w:r>
      <w:r w:rsidRPr="004F0F5E">
        <w:rPr>
          <w:color w:val="000000" w:themeColor="text1"/>
          <w:sz w:val="26"/>
          <w:szCs w:val="26"/>
        </w:rPr>
        <w:t>, 406 U.S. at 460</w:t>
      </w:r>
      <w:bookmarkStart w:id="128" w:name="dabmen_64ee6bf5332946e1b353d6d48f06d5e9"/>
      <w:bookmarkEnd w:id="127"/>
      <w:bookmarkEnd w:id="128"/>
      <w:r w:rsidRPr="004F0F5E">
        <w:rPr>
          <w:color w:val="000000" w:themeColor="text1"/>
          <w:sz w:val="26"/>
          <w:szCs w:val="26"/>
        </w:rPr>
        <w:t xml:space="preserve">. Nor can the Government claim inevitable discovery without identifying an independent path to the evidence because inevitable discovery requires that the evidence would have been discovered without </w:t>
      </w:r>
      <w:r w:rsidRPr="004F0F5E">
        <w:rPr>
          <w:color w:val="000000" w:themeColor="text1"/>
          <w:sz w:val="26"/>
          <w:szCs w:val="26"/>
        </w:rPr>
        <w:lastRenderedPageBreak/>
        <w:t xml:space="preserve">“reference to the police error or misconduct </w:t>
      </w:r>
      <w:proofErr w:type="gramStart"/>
      <w:r w:rsidRPr="004F0F5E">
        <w:rPr>
          <w:color w:val="000000" w:themeColor="text1"/>
          <w:sz w:val="26"/>
          <w:szCs w:val="26"/>
        </w:rPr>
        <w:t>. . . .</w:t>
      </w:r>
      <w:proofErr w:type="gramEnd"/>
      <w:r w:rsidRPr="004F0F5E">
        <w:rPr>
          <w:color w:val="000000" w:themeColor="text1"/>
          <w:sz w:val="26"/>
          <w:szCs w:val="26"/>
        </w:rPr>
        <w:t xml:space="preserve">” </w:t>
      </w:r>
      <w:bookmarkStart w:id="129" w:name="dabmci_d4e618ec92d545619404f98e4e1d8ef9"/>
      <w:r w:rsidRPr="004F0F5E">
        <w:rPr>
          <w:i/>
          <w:iCs/>
          <w:color w:val="000000" w:themeColor="text1"/>
          <w:sz w:val="26"/>
          <w:szCs w:val="26"/>
        </w:rPr>
        <w:t>Nix v. Williams</w:t>
      </w:r>
      <w:r w:rsidRPr="004F0F5E">
        <w:rPr>
          <w:color w:val="000000" w:themeColor="text1"/>
          <w:sz w:val="26"/>
          <w:szCs w:val="26"/>
        </w:rPr>
        <w:t>, 467 U.S. 431, 448 (1984)</w:t>
      </w:r>
      <w:bookmarkStart w:id="130" w:name="dabmen_d4e618ec92d545619404f98e4e1d8ef9"/>
      <w:bookmarkEnd w:id="129"/>
      <w:bookmarkEnd w:id="130"/>
      <w:r w:rsidRPr="004F0F5E">
        <w:rPr>
          <w:color w:val="000000" w:themeColor="text1"/>
          <w:sz w:val="26"/>
          <w:szCs w:val="26"/>
        </w:rPr>
        <w:t xml:space="preserve">. </w:t>
      </w:r>
      <w:bookmarkEnd w:id="123"/>
    </w:p>
    <w:p w14:paraId="3D8330A6" w14:textId="77777777" w:rsidR="193F160B" w:rsidRPr="004F0F5E" w:rsidRDefault="07D3EA03" w:rsidP="00C851CA">
      <w:pPr>
        <w:spacing w:line="480" w:lineRule="auto"/>
        <w:ind w:firstLine="720"/>
        <w:jc w:val="both"/>
        <w:rPr>
          <w:color w:val="000000" w:themeColor="text1"/>
          <w:sz w:val="26"/>
          <w:szCs w:val="26"/>
        </w:rPr>
      </w:pPr>
      <w:bookmarkStart w:id="131" w:name="dabmch_86"/>
      <w:r w:rsidRPr="004F0F5E">
        <w:rPr>
          <w:color w:val="000000" w:themeColor="text1"/>
          <w:sz w:val="26"/>
          <w:szCs w:val="26"/>
        </w:rPr>
        <w:t xml:space="preserve">Here, Parker supplied the Government’s only lead to the storage unit. During his interview, Parker told Nolan that Calloway had asked him to move a file box marked “Coastal” from the resort to an off-site storage unit. (Ex. 18.) Nolan conceded that the Government had never heard of the storage unit before Parker identified it: “That was the first anyone had heard of it.” (Nolan Dep. 346–48.) Nolan then obtained a search warrant for the unit and found Exhibit 19 on November 5, 2024. (Nolan Dep. 356–62.) </w:t>
      </w:r>
      <w:bookmarkEnd w:id="131"/>
    </w:p>
    <w:p w14:paraId="6CEE1250" w14:textId="77777777" w:rsidR="044A16CF" w:rsidRDefault="00893525" w:rsidP="00C851CA">
      <w:pPr>
        <w:spacing w:line="480" w:lineRule="auto"/>
        <w:ind w:firstLine="720"/>
        <w:jc w:val="both"/>
        <w:rPr>
          <w:color w:val="000000" w:themeColor="text1"/>
          <w:sz w:val="26"/>
          <w:szCs w:val="26"/>
        </w:rPr>
      </w:pPr>
      <w:bookmarkStart w:id="132" w:name="dabmch_87"/>
      <w:r w:rsidRPr="004F0F5E">
        <w:rPr>
          <w:color w:val="000000" w:themeColor="text1"/>
          <w:sz w:val="26"/>
          <w:szCs w:val="26"/>
        </w:rPr>
        <w:t xml:space="preserve">Nolan’s claim that he “would’ve found it one way or another” does not establish either an independent source or inevitable discovery. (Nolan Dep. 350.) The Government identifies no independent witness, document, investigative lead, or pending investigative step that would have led it to the storage unit. Without such a source, </w:t>
      </w:r>
      <w:proofErr w:type="gramStart"/>
      <w:r w:rsidRPr="004F0F5E">
        <w:rPr>
          <w:color w:val="000000" w:themeColor="text1"/>
          <w:sz w:val="26"/>
          <w:szCs w:val="26"/>
        </w:rPr>
        <w:t>Exhibit</w:t>
      </w:r>
      <w:proofErr w:type="gramEnd"/>
      <w:r w:rsidRPr="004F0F5E">
        <w:rPr>
          <w:color w:val="000000" w:themeColor="text1"/>
          <w:sz w:val="26"/>
          <w:szCs w:val="26"/>
        </w:rPr>
        <w:t xml:space="preserve"> 19 remains directly dependent on Parker’s testimony and must therefore be suppressed. </w:t>
      </w:r>
      <w:bookmarkEnd w:id="132"/>
    </w:p>
    <w:p w14:paraId="33B11BD0" w14:textId="4ED6943C" w:rsidR="00065D3C" w:rsidRPr="00065D3C" w:rsidRDefault="00065D3C" w:rsidP="00065D3C">
      <w:pPr>
        <w:pStyle w:val="ListParagraph"/>
        <w:numPr>
          <w:ilvl w:val="0"/>
          <w:numId w:val="30"/>
        </w:numPr>
        <w:spacing w:after="240"/>
        <w:jc w:val="both"/>
        <w:outlineLvl w:val="1"/>
        <w:rPr>
          <w:b/>
          <w:bCs/>
          <w:color w:val="000000" w:themeColor="text1"/>
          <w:sz w:val="26"/>
          <w:szCs w:val="26"/>
        </w:rPr>
      </w:pPr>
      <w:bookmarkStart w:id="133" w:name="dabmch_68"/>
      <w:bookmarkStart w:id="134" w:name="_Toc239116036"/>
      <w:r w:rsidRPr="00665B19">
        <w:rPr>
          <w:b/>
          <w:bCs/>
          <w:color w:val="000000" w:themeColor="text1"/>
          <w:sz w:val="26"/>
          <w:szCs w:val="26"/>
        </w:rPr>
        <w:t>The Government’s Affirmative Duty is Not Dispelled by Any Inferences Drawn from Nolan’s Alleged Lack of Access to Calloway’s Immunized Testimony.</w:t>
      </w:r>
      <w:bookmarkEnd w:id="133"/>
      <w:bookmarkEnd w:id="134"/>
    </w:p>
    <w:p w14:paraId="2C84CE2F" w14:textId="77777777" w:rsidR="00065D3C" w:rsidRDefault="00065D3C" w:rsidP="00065D3C">
      <w:pPr>
        <w:spacing w:line="480" w:lineRule="auto"/>
        <w:ind w:firstLine="720"/>
        <w:jc w:val="both"/>
        <w:rPr>
          <w:color w:val="000000" w:themeColor="text1"/>
          <w:sz w:val="26"/>
          <w:szCs w:val="26"/>
        </w:rPr>
      </w:pPr>
      <w:r>
        <w:rPr>
          <w:color w:val="000000" w:themeColor="text1"/>
          <w:sz w:val="26"/>
          <w:szCs w:val="26"/>
        </w:rPr>
        <w:t xml:space="preserve">Even assuming that Nolan was never exposed to Calloway’s testimony, the Government’s argument still fails because it lacks necessary corroborating evidence. Any inference </w:t>
      </w:r>
      <w:r w:rsidRPr="004F0F5E">
        <w:rPr>
          <w:color w:val="000000" w:themeColor="text1"/>
          <w:sz w:val="26"/>
          <w:szCs w:val="26"/>
        </w:rPr>
        <w:t>that “lack of access to compelled testimony assures the existence of independent sources cannot be relied upon to afford the witness the full protection the Constitution guarantees.”</w:t>
      </w:r>
      <w:r w:rsidRPr="004F0F5E">
        <w:rPr>
          <w:i/>
          <w:iCs/>
          <w:color w:val="000000" w:themeColor="text1"/>
          <w:sz w:val="26"/>
          <w:szCs w:val="26"/>
        </w:rPr>
        <w:t xml:space="preserve"> Nemes</w:t>
      </w:r>
      <w:r w:rsidRPr="004F0F5E">
        <w:rPr>
          <w:color w:val="000000" w:themeColor="text1"/>
          <w:sz w:val="26"/>
          <w:szCs w:val="26"/>
        </w:rPr>
        <w:t>, 555 F.2d at 55. Rather, “[o]</w:t>
      </w:r>
      <w:proofErr w:type="spellStart"/>
      <w:r w:rsidRPr="004F0F5E">
        <w:rPr>
          <w:color w:val="000000" w:themeColor="text1"/>
          <w:sz w:val="26"/>
          <w:szCs w:val="26"/>
        </w:rPr>
        <w:t>nly</w:t>
      </w:r>
      <w:proofErr w:type="spellEnd"/>
      <w:r w:rsidRPr="004F0F5E">
        <w:rPr>
          <w:color w:val="000000" w:themeColor="text1"/>
          <w:sz w:val="26"/>
          <w:szCs w:val="26"/>
        </w:rPr>
        <w:t xml:space="preserve"> by affirmatively proving that [its] evidence comes from sources independent of the immunized testimony can the </w:t>
      </w:r>
      <w:r w:rsidRPr="004F0F5E">
        <w:rPr>
          <w:color w:val="000000" w:themeColor="text1"/>
          <w:sz w:val="26"/>
          <w:szCs w:val="26"/>
        </w:rPr>
        <w:lastRenderedPageBreak/>
        <w:t xml:space="preserve">[Government] assure that the witness is in the same position he would have enjoyed had his self-incrimination privilege not been displaced by use immunity.” </w:t>
      </w:r>
      <w:r w:rsidRPr="004F0F5E">
        <w:rPr>
          <w:i/>
          <w:iCs/>
          <w:color w:val="000000" w:themeColor="text1"/>
          <w:sz w:val="26"/>
          <w:szCs w:val="26"/>
        </w:rPr>
        <w:t>Id</w:t>
      </w:r>
      <w:r w:rsidRPr="004F0F5E">
        <w:rPr>
          <w:color w:val="000000" w:themeColor="text1"/>
          <w:sz w:val="26"/>
          <w:szCs w:val="26"/>
        </w:rPr>
        <w:t>.</w:t>
      </w:r>
    </w:p>
    <w:p w14:paraId="753EB105" w14:textId="74F35993" w:rsidR="00065D3C" w:rsidRPr="004F0F5E" w:rsidRDefault="00065D3C" w:rsidP="00065D3C">
      <w:pPr>
        <w:spacing w:line="480" w:lineRule="auto"/>
        <w:ind w:firstLine="720"/>
        <w:jc w:val="both"/>
        <w:rPr>
          <w:color w:val="000000" w:themeColor="text1"/>
          <w:sz w:val="26"/>
          <w:szCs w:val="26"/>
        </w:rPr>
      </w:pPr>
      <w:r>
        <w:rPr>
          <w:color w:val="000000" w:themeColor="text1"/>
          <w:sz w:val="26"/>
          <w:szCs w:val="26"/>
        </w:rPr>
        <w:t>The investigative wall purports to restrict Team Calloway’s access to Calloway’s immunized testimony. (Ex. 15</w:t>
      </w:r>
      <w:r w:rsidR="00C07149">
        <w:rPr>
          <w:color w:val="000000" w:themeColor="text1"/>
          <w:sz w:val="26"/>
          <w:szCs w:val="26"/>
        </w:rPr>
        <w:t>.</w:t>
      </w:r>
      <w:r>
        <w:rPr>
          <w:color w:val="000000" w:themeColor="text1"/>
          <w:sz w:val="26"/>
          <w:szCs w:val="26"/>
        </w:rPr>
        <w:t xml:space="preserve">) But under </w:t>
      </w:r>
      <w:r>
        <w:rPr>
          <w:i/>
          <w:iCs/>
          <w:color w:val="000000" w:themeColor="text1"/>
          <w:sz w:val="26"/>
          <w:szCs w:val="26"/>
        </w:rPr>
        <w:t>Nemes</w:t>
      </w:r>
      <w:r>
        <w:rPr>
          <w:color w:val="000000" w:themeColor="text1"/>
          <w:sz w:val="26"/>
          <w:szCs w:val="26"/>
        </w:rPr>
        <w:t xml:space="preserve">, Nolan’s mere assurances </w:t>
      </w:r>
      <w:r>
        <w:rPr>
          <w:i/>
          <w:iCs/>
          <w:color w:val="000000" w:themeColor="text1"/>
          <w:sz w:val="26"/>
          <w:szCs w:val="26"/>
        </w:rPr>
        <w:t>cannot afford</w:t>
      </w:r>
      <w:r>
        <w:rPr>
          <w:color w:val="000000" w:themeColor="text1"/>
          <w:sz w:val="26"/>
          <w:szCs w:val="26"/>
        </w:rPr>
        <w:t xml:space="preserve"> Calloway her “full protection the Constitution guarantees.” 555 F.2d at 55.</w:t>
      </w:r>
      <w:r w:rsidR="00835140">
        <w:rPr>
          <w:color w:val="000000" w:themeColor="text1"/>
          <w:sz w:val="26"/>
          <w:szCs w:val="26"/>
        </w:rPr>
        <w:t xml:space="preserve"> Therefore, the Motion to Suppress should be granted. </w:t>
      </w:r>
    </w:p>
    <w:p w14:paraId="0441883E" w14:textId="77777777" w:rsidR="00F138DA" w:rsidRPr="004F0F5E" w:rsidRDefault="66C55CFF" w:rsidP="00E64891">
      <w:pPr>
        <w:pStyle w:val="Heading1"/>
        <w:numPr>
          <w:ilvl w:val="0"/>
          <w:numId w:val="29"/>
        </w:numPr>
        <w:spacing w:after="240"/>
        <w:jc w:val="both"/>
        <w:rPr>
          <w:sz w:val="26"/>
          <w:szCs w:val="26"/>
        </w:rPr>
      </w:pPr>
      <w:bookmarkStart w:id="135" w:name="dabmch_88"/>
      <w:bookmarkStart w:id="136" w:name="_Toc239116037"/>
      <w:r w:rsidRPr="004F0F5E">
        <w:rPr>
          <w:sz w:val="26"/>
          <w:szCs w:val="26"/>
        </w:rPr>
        <w:t xml:space="preserve">This Court Should Grant Defendant’s Motion to Quash the Government’s Subpoena Because It Seeks to Discover Work Product Protected by </w:t>
      </w:r>
      <w:bookmarkStart w:id="137" w:name="dabmci_03b4c75dd32543819e342d89b3d6ca5e"/>
      <w:r w:rsidRPr="004F0F5E">
        <w:rPr>
          <w:sz w:val="26"/>
          <w:szCs w:val="26"/>
        </w:rPr>
        <w:t>Federal Rule of Criminal Procedure 16(b)(2)</w:t>
      </w:r>
      <w:bookmarkStart w:id="138" w:name="dabmen_03b4c75dd32543819e342d89b3d6ca5e"/>
      <w:bookmarkEnd w:id="137"/>
      <w:bookmarkEnd w:id="138"/>
      <w:r w:rsidRPr="004F0F5E">
        <w:rPr>
          <w:sz w:val="26"/>
          <w:szCs w:val="26"/>
        </w:rPr>
        <w:t>.</w:t>
      </w:r>
      <w:bookmarkEnd w:id="135"/>
      <w:bookmarkEnd w:id="136"/>
    </w:p>
    <w:p w14:paraId="61146BB1" w14:textId="77777777" w:rsidR="00766B26" w:rsidRPr="004F0F5E" w:rsidRDefault="00893525" w:rsidP="00E64891">
      <w:pPr>
        <w:spacing w:line="480" w:lineRule="auto"/>
        <w:ind w:firstLine="720"/>
        <w:jc w:val="both"/>
        <w:rPr>
          <w:sz w:val="26"/>
          <w:szCs w:val="26"/>
        </w:rPr>
      </w:pPr>
      <w:bookmarkStart w:id="139" w:name="dabmch_89"/>
      <w:r w:rsidRPr="004F0F5E">
        <w:rPr>
          <w:sz w:val="26"/>
          <w:szCs w:val="26"/>
        </w:rPr>
        <w:t xml:space="preserve">The work-product doctrine reflects the strong “public policy underlying the orderly prosecution and defense of legal claims” where “not even the most liberal of discovery theories can justify unwarranted inquiries into files and mental impressions of an attorney.” </w:t>
      </w:r>
      <w:bookmarkStart w:id="140" w:name="dabmci_e3ef303102674c0887cd4b3e2fcb5dc7"/>
      <w:r w:rsidR="5EA4AF26" w:rsidRPr="004F0F5E">
        <w:rPr>
          <w:i/>
          <w:iCs/>
          <w:sz w:val="26"/>
          <w:szCs w:val="26"/>
        </w:rPr>
        <w:t xml:space="preserve">Hickman v. Taylor, </w:t>
      </w:r>
      <w:r w:rsidRPr="004F0F5E">
        <w:rPr>
          <w:sz w:val="26"/>
          <w:szCs w:val="26"/>
        </w:rPr>
        <w:t>329 U.S. 495, 510 (1947)</w:t>
      </w:r>
      <w:bookmarkStart w:id="141" w:name="dabmen_e3ef303102674c0887cd4b3e2fcb5dc7"/>
      <w:bookmarkEnd w:id="140"/>
      <w:bookmarkEnd w:id="141"/>
      <w:r w:rsidRPr="004F0F5E">
        <w:rPr>
          <w:sz w:val="26"/>
          <w:szCs w:val="26"/>
        </w:rPr>
        <w:t xml:space="preserve">. While the work-product doctrine applies in both civil and criminal litigation, its protections are especially critical in the criminal context because they are essential to “assuring the proper functioning of the criminal justice system.” </w:t>
      </w:r>
      <w:bookmarkStart w:id="142" w:name="dabmci_39aa169ee26b48a0b5f2c461bc5309b8"/>
      <w:r w:rsidRPr="004F0F5E">
        <w:rPr>
          <w:i/>
          <w:iCs/>
          <w:sz w:val="26"/>
          <w:szCs w:val="26"/>
        </w:rPr>
        <w:t>Id</w:t>
      </w:r>
      <w:r w:rsidR="452C88A7" w:rsidRPr="004F0F5E">
        <w:rPr>
          <w:sz w:val="26"/>
          <w:szCs w:val="26"/>
        </w:rPr>
        <w:t>.</w:t>
      </w:r>
      <w:bookmarkStart w:id="143" w:name="dabmen_39aa169ee26b48a0b5f2c461bc5309b8"/>
      <w:bookmarkEnd w:id="142"/>
      <w:bookmarkEnd w:id="143"/>
      <w:r w:rsidR="452C88A7" w:rsidRPr="004F0F5E">
        <w:rPr>
          <w:sz w:val="26"/>
          <w:szCs w:val="26"/>
        </w:rPr>
        <w:t xml:space="preserve"> </w:t>
      </w:r>
      <w:bookmarkEnd w:id="139"/>
    </w:p>
    <w:p w14:paraId="677455D7" w14:textId="77777777" w:rsidR="59110111" w:rsidRPr="004F0F5E" w:rsidRDefault="70A0A628" w:rsidP="38A6BBE3">
      <w:pPr>
        <w:spacing w:line="480" w:lineRule="auto"/>
        <w:ind w:firstLine="720"/>
        <w:jc w:val="both"/>
        <w:rPr>
          <w:sz w:val="26"/>
          <w:szCs w:val="26"/>
        </w:rPr>
      </w:pPr>
      <w:bookmarkStart w:id="144" w:name="dabmch_90"/>
      <w:r w:rsidRPr="004F0F5E">
        <w:rPr>
          <w:sz w:val="26"/>
          <w:szCs w:val="26"/>
        </w:rPr>
        <w:t xml:space="preserve">For criminal proceedings, the work-product doctrine is codified in </w:t>
      </w:r>
      <w:bookmarkStart w:id="145" w:name="dabmci_95333fc973964d2e926f777c6e6c0426"/>
      <w:r w:rsidRPr="004F0F5E">
        <w:rPr>
          <w:sz w:val="26"/>
          <w:szCs w:val="26"/>
        </w:rPr>
        <w:t>Federal Rule of Criminal Procedure 16(b)(2)</w:t>
      </w:r>
      <w:bookmarkStart w:id="146" w:name="dabmen_95333fc973964d2e926f777c6e6c0426"/>
      <w:bookmarkEnd w:id="145"/>
      <w:bookmarkEnd w:id="146"/>
      <w:r w:rsidRPr="004F0F5E">
        <w:rPr>
          <w:sz w:val="26"/>
          <w:szCs w:val="26"/>
        </w:rPr>
        <w:t xml:space="preserve">. In pertinent part, </w:t>
      </w:r>
      <w:bookmarkStart w:id="147" w:name="dabmci_6dc934072ab64f7c940455d6bccf0cd9"/>
      <w:r w:rsidRPr="004F0F5E">
        <w:rPr>
          <w:sz w:val="26"/>
          <w:szCs w:val="26"/>
        </w:rPr>
        <w:t>Rule 16(b)(2)</w:t>
      </w:r>
      <w:bookmarkStart w:id="148" w:name="dabmen_6dc934072ab64f7c940455d6bccf0cd9"/>
      <w:bookmarkEnd w:id="147"/>
      <w:bookmarkEnd w:id="148"/>
      <w:r w:rsidRPr="004F0F5E">
        <w:rPr>
          <w:sz w:val="26"/>
          <w:szCs w:val="26"/>
        </w:rPr>
        <w:t xml:space="preserve"> bars the disclosure of “reports, memoranda, or other documents made by the defendant, or the defendant’s attorney or </w:t>
      </w:r>
      <w:r w:rsidRPr="004F0F5E">
        <w:rPr>
          <w:i/>
          <w:iCs/>
          <w:sz w:val="26"/>
          <w:szCs w:val="26"/>
        </w:rPr>
        <w:t>agent</w:t>
      </w:r>
      <w:r w:rsidRPr="004F0F5E">
        <w:rPr>
          <w:sz w:val="26"/>
          <w:szCs w:val="26"/>
        </w:rPr>
        <w:t xml:space="preserve">, during the case’s investigation or </w:t>
      </w:r>
      <w:r w:rsidRPr="004F0F5E">
        <w:rPr>
          <w:i/>
          <w:iCs/>
          <w:sz w:val="26"/>
          <w:szCs w:val="26"/>
        </w:rPr>
        <w:t>defense</w:t>
      </w:r>
      <w:r w:rsidRPr="004F0F5E">
        <w:rPr>
          <w:sz w:val="26"/>
          <w:szCs w:val="26"/>
        </w:rPr>
        <w:t>.”</w:t>
      </w:r>
      <w:r w:rsidRPr="004F0F5E">
        <w:rPr>
          <w:i/>
          <w:iCs/>
          <w:sz w:val="26"/>
          <w:szCs w:val="26"/>
        </w:rPr>
        <w:t xml:space="preserve"> </w:t>
      </w:r>
      <w:bookmarkStart w:id="149" w:name="dabmci_2f74b54aecf542e1a129522cc9d3ccb1"/>
      <w:r w:rsidR="3541C681" w:rsidRPr="004F0F5E">
        <w:rPr>
          <w:sz w:val="26"/>
          <w:szCs w:val="26"/>
        </w:rPr>
        <w:t>Fed. R. Crim. P. 16(b)(2)</w:t>
      </w:r>
      <w:bookmarkStart w:id="150" w:name="dabmen_2f74b54aecf542e1a129522cc9d3ccb1"/>
      <w:bookmarkEnd w:id="149"/>
      <w:bookmarkEnd w:id="150"/>
      <w:r w:rsidR="3541C681" w:rsidRPr="004F0F5E">
        <w:rPr>
          <w:sz w:val="26"/>
          <w:szCs w:val="26"/>
        </w:rPr>
        <w:t xml:space="preserve"> (emphasis added). While a subpoena duces tecum can be a legitimate device to obtain</w:t>
      </w:r>
      <w:r w:rsidR="3541C681" w:rsidRPr="004F0F5E">
        <w:rPr>
          <w:b/>
          <w:bCs/>
          <w:sz w:val="26"/>
          <w:szCs w:val="26"/>
        </w:rPr>
        <w:t xml:space="preserve"> </w:t>
      </w:r>
      <w:r w:rsidR="3541C681" w:rsidRPr="004F0F5E">
        <w:rPr>
          <w:sz w:val="26"/>
          <w:szCs w:val="26"/>
        </w:rPr>
        <w:t xml:space="preserve">evidentiary material, it is not intended to be a broad discovery device beyond what </w:t>
      </w:r>
      <w:bookmarkStart w:id="151" w:name="dabmci_087af2d2533b4aa3a63753e6127a55e9"/>
      <w:r w:rsidR="3541C681" w:rsidRPr="004F0F5E">
        <w:rPr>
          <w:sz w:val="26"/>
          <w:szCs w:val="26"/>
        </w:rPr>
        <w:t>Rule 16</w:t>
      </w:r>
      <w:bookmarkStart w:id="152" w:name="dabmen_087af2d2533b4aa3a63753e6127a55e9"/>
      <w:bookmarkEnd w:id="151"/>
      <w:bookmarkEnd w:id="152"/>
      <w:r w:rsidR="3541C681" w:rsidRPr="004F0F5E">
        <w:rPr>
          <w:b/>
          <w:bCs/>
          <w:sz w:val="26"/>
          <w:szCs w:val="26"/>
        </w:rPr>
        <w:t xml:space="preserve"> </w:t>
      </w:r>
      <w:r w:rsidR="3541C681" w:rsidRPr="004F0F5E">
        <w:rPr>
          <w:sz w:val="26"/>
          <w:szCs w:val="26"/>
        </w:rPr>
        <w:t xml:space="preserve">allows. </w:t>
      </w:r>
      <w:r w:rsidR="3541C681" w:rsidRPr="004F0F5E">
        <w:rPr>
          <w:i/>
          <w:iCs/>
          <w:sz w:val="26"/>
          <w:szCs w:val="26"/>
        </w:rPr>
        <w:t>See</w:t>
      </w:r>
      <w:r w:rsidR="3541C681" w:rsidRPr="004F0F5E">
        <w:rPr>
          <w:sz w:val="26"/>
          <w:szCs w:val="26"/>
        </w:rPr>
        <w:t xml:space="preserve"> </w:t>
      </w:r>
      <w:bookmarkStart w:id="153" w:name="dabmci_97f6e5a6220c48b4ad72b6899c9a0884"/>
      <w:r w:rsidR="3541C681" w:rsidRPr="004F0F5E">
        <w:rPr>
          <w:i/>
          <w:iCs/>
          <w:sz w:val="26"/>
          <w:szCs w:val="26"/>
        </w:rPr>
        <w:t>United States v. Edwards</w:t>
      </w:r>
      <w:r w:rsidR="3541C681" w:rsidRPr="004F0F5E">
        <w:rPr>
          <w:sz w:val="26"/>
          <w:szCs w:val="26"/>
        </w:rPr>
        <w:t>, 191 F. Supp. 2d 88, 89 (D.C. 2002)</w:t>
      </w:r>
      <w:bookmarkStart w:id="154" w:name="dabmen_97f6e5a6220c48b4ad72b6899c9a0884"/>
      <w:bookmarkEnd w:id="153"/>
      <w:bookmarkEnd w:id="154"/>
      <w:r w:rsidR="3541C681" w:rsidRPr="004F0F5E">
        <w:rPr>
          <w:sz w:val="26"/>
          <w:szCs w:val="26"/>
        </w:rPr>
        <w:t xml:space="preserve">; </w:t>
      </w:r>
      <w:r w:rsidR="4C694620" w:rsidRPr="004F0F5E">
        <w:rPr>
          <w:i/>
          <w:iCs/>
          <w:sz w:val="26"/>
          <w:szCs w:val="26"/>
        </w:rPr>
        <w:t xml:space="preserve">see </w:t>
      </w:r>
      <w:bookmarkStart w:id="155" w:name="dabmci_9d9333b0f30e4b95940bc1bb4f267000"/>
      <w:r w:rsidR="4C694620" w:rsidRPr="004F0F5E">
        <w:rPr>
          <w:i/>
          <w:iCs/>
          <w:sz w:val="26"/>
          <w:szCs w:val="26"/>
        </w:rPr>
        <w:t xml:space="preserve">Bowman </w:t>
      </w:r>
      <w:r w:rsidR="4C694620" w:rsidRPr="004F0F5E">
        <w:rPr>
          <w:i/>
          <w:iCs/>
          <w:sz w:val="26"/>
          <w:szCs w:val="26"/>
        </w:rPr>
        <w:lastRenderedPageBreak/>
        <w:t>Dairy Co. v. United States</w:t>
      </w:r>
      <w:r w:rsidR="4C694620" w:rsidRPr="004F0F5E">
        <w:rPr>
          <w:sz w:val="26"/>
          <w:szCs w:val="26"/>
        </w:rPr>
        <w:t>, 341 U.S. 214, 220 (1951)</w:t>
      </w:r>
      <w:bookmarkStart w:id="156" w:name="dabmen_9d9333b0f30e4b95940bc1bb4f267000"/>
      <w:bookmarkEnd w:id="155"/>
      <w:bookmarkEnd w:id="156"/>
      <w:r w:rsidR="4C694620" w:rsidRPr="004F0F5E">
        <w:rPr>
          <w:sz w:val="26"/>
          <w:szCs w:val="26"/>
        </w:rPr>
        <w:t xml:space="preserve">; </w:t>
      </w:r>
      <w:r w:rsidR="4C694620" w:rsidRPr="004F0F5E">
        <w:rPr>
          <w:i/>
          <w:iCs/>
          <w:sz w:val="26"/>
          <w:szCs w:val="26"/>
        </w:rPr>
        <w:t xml:space="preserve">see also </w:t>
      </w:r>
      <w:bookmarkStart w:id="157" w:name="dabmci_935ada784a314a15a80912dfeb214afb"/>
      <w:r w:rsidR="4C694620" w:rsidRPr="004F0F5E">
        <w:rPr>
          <w:i/>
          <w:iCs/>
          <w:sz w:val="26"/>
          <w:szCs w:val="26"/>
        </w:rPr>
        <w:t>United States v. Nixon</w:t>
      </w:r>
      <w:r w:rsidR="4C694620" w:rsidRPr="004F0F5E">
        <w:rPr>
          <w:sz w:val="26"/>
          <w:szCs w:val="26"/>
        </w:rPr>
        <w:t>, 418 U.S. 683, 698 (1974)</w:t>
      </w:r>
      <w:bookmarkStart w:id="158" w:name="dabmen_935ada784a314a15a80912dfeb214afb"/>
      <w:bookmarkEnd w:id="157"/>
      <w:bookmarkEnd w:id="158"/>
      <w:r w:rsidR="4C694620" w:rsidRPr="004F0F5E">
        <w:rPr>
          <w:sz w:val="26"/>
          <w:szCs w:val="26"/>
        </w:rPr>
        <w:t xml:space="preserve"> (recognizing that a fundamental characteristic of the subpoena duces tecum in criminal cases is that “it was not intended to provide a means of discovery for criminal cases”)</w:t>
      </w:r>
      <w:r w:rsidR="4C694620" w:rsidRPr="004F0F5E">
        <w:rPr>
          <w:color w:val="000000" w:themeColor="text1"/>
          <w:sz w:val="26"/>
          <w:szCs w:val="26"/>
        </w:rPr>
        <w:t>.</w:t>
      </w:r>
      <w:r w:rsidR="4C694620" w:rsidRPr="004F0F5E">
        <w:rPr>
          <w:sz w:val="26"/>
          <w:szCs w:val="26"/>
        </w:rPr>
        <w:t xml:space="preserve"> </w:t>
      </w:r>
      <w:bookmarkEnd w:id="144"/>
    </w:p>
    <w:p w14:paraId="750E1290" w14:textId="77777777" w:rsidR="41C67972" w:rsidRPr="004F0F5E" w:rsidRDefault="11288C0C" w:rsidP="00C851CA">
      <w:pPr>
        <w:spacing w:line="480" w:lineRule="auto"/>
        <w:ind w:firstLine="720"/>
        <w:jc w:val="both"/>
        <w:rPr>
          <w:sz w:val="26"/>
          <w:szCs w:val="26"/>
        </w:rPr>
      </w:pPr>
      <w:bookmarkStart w:id="159" w:name="dabmch_91"/>
      <w:r w:rsidRPr="004F0F5E">
        <w:rPr>
          <w:sz w:val="26"/>
          <w:szCs w:val="26"/>
        </w:rPr>
        <w:t xml:space="preserve">That protection is reinforced by this Court’s authority to quash a subpoena “if compliance would be unreasonable or oppressive.” </w:t>
      </w:r>
      <w:bookmarkStart w:id="160" w:name="dabmci_d97f3416cfb5486fb13185f865b231fa"/>
      <w:r w:rsidRPr="004F0F5E">
        <w:rPr>
          <w:sz w:val="26"/>
          <w:szCs w:val="26"/>
        </w:rPr>
        <w:t>Fed. R. Crim. P. 17(c)(2)</w:t>
      </w:r>
      <w:bookmarkStart w:id="161" w:name="dabmen_d97f3416cfb5486fb13185f865b231fa"/>
      <w:bookmarkEnd w:id="160"/>
      <w:bookmarkEnd w:id="161"/>
      <w:r w:rsidRPr="004F0F5E">
        <w:rPr>
          <w:sz w:val="26"/>
          <w:szCs w:val="26"/>
        </w:rPr>
        <w:t>.</w:t>
      </w:r>
      <w:r w:rsidR="7AC5E095" w:rsidRPr="004F0F5E">
        <w:rPr>
          <w:color w:val="000000" w:themeColor="text1"/>
          <w:sz w:val="26"/>
          <w:szCs w:val="26"/>
        </w:rPr>
        <w:t xml:space="preserve"> Subpoenas are unreasonable and oppressive under </w:t>
      </w:r>
      <w:bookmarkStart w:id="162" w:name="dabmci_fe2f03fb9fdc4df58a9f8ce1f9743ff0"/>
      <w:r w:rsidR="7AC5E095" w:rsidRPr="004F0F5E">
        <w:rPr>
          <w:color w:val="000000" w:themeColor="text1"/>
          <w:sz w:val="26"/>
          <w:szCs w:val="26"/>
        </w:rPr>
        <w:t>Rule 17(c)</w:t>
      </w:r>
      <w:bookmarkStart w:id="163" w:name="dabmen_fe2f03fb9fdc4df58a9f8ce1f9743ff0"/>
      <w:bookmarkEnd w:id="162"/>
      <w:bookmarkEnd w:id="163"/>
      <w:r w:rsidR="7AC5E095" w:rsidRPr="004F0F5E">
        <w:rPr>
          <w:color w:val="000000" w:themeColor="text1"/>
          <w:sz w:val="26"/>
          <w:szCs w:val="26"/>
        </w:rPr>
        <w:t xml:space="preserve"> when they seek “irrelevant or privileged matter.” </w:t>
      </w:r>
      <w:r w:rsidR="7AC5E095" w:rsidRPr="004F0F5E">
        <w:rPr>
          <w:i/>
          <w:iCs/>
          <w:color w:val="000000" w:themeColor="text1"/>
          <w:sz w:val="26"/>
          <w:szCs w:val="26"/>
        </w:rPr>
        <w:t xml:space="preserve">See </w:t>
      </w:r>
      <w:bookmarkStart w:id="164" w:name="dabmci_c0e651d021c44a90b50165bc3b8c59e1"/>
      <w:r w:rsidR="7AC5E095" w:rsidRPr="004F0F5E">
        <w:rPr>
          <w:i/>
          <w:iCs/>
          <w:color w:val="000000" w:themeColor="text1"/>
          <w:sz w:val="26"/>
          <w:szCs w:val="26"/>
        </w:rPr>
        <w:t>United States v. McGrady</w:t>
      </w:r>
      <w:r w:rsidR="038B807F" w:rsidRPr="004F0F5E">
        <w:rPr>
          <w:color w:val="000000" w:themeColor="text1"/>
          <w:sz w:val="26"/>
          <w:szCs w:val="26"/>
        </w:rPr>
        <w:t>, 508 F.2d 13, 18 (8th Cir. 1974)</w:t>
      </w:r>
      <w:bookmarkStart w:id="165" w:name="dabmen_c0e651d021c44a90b50165bc3b8c59e1"/>
      <w:bookmarkEnd w:id="164"/>
      <w:bookmarkEnd w:id="165"/>
      <w:r w:rsidR="038B807F" w:rsidRPr="004F0F5E">
        <w:rPr>
          <w:color w:val="000000" w:themeColor="text1"/>
          <w:sz w:val="26"/>
          <w:szCs w:val="26"/>
        </w:rPr>
        <w:t xml:space="preserve">. </w:t>
      </w:r>
      <w:bookmarkEnd w:id="159"/>
    </w:p>
    <w:p w14:paraId="37EB0903" w14:textId="77777777" w:rsidR="00433682" w:rsidRPr="004F0F5E" w:rsidRDefault="62E88143" w:rsidP="00D102C6">
      <w:pPr>
        <w:pStyle w:val="ListParagraph"/>
        <w:numPr>
          <w:ilvl w:val="0"/>
          <w:numId w:val="28"/>
        </w:numPr>
        <w:spacing w:after="240"/>
        <w:jc w:val="both"/>
        <w:outlineLvl w:val="1"/>
        <w:rPr>
          <w:b/>
          <w:bCs/>
          <w:sz w:val="26"/>
          <w:szCs w:val="26"/>
        </w:rPr>
      </w:pPr>
      <w:bookmarkStart w:id="166" w:name="dabmci_b6867dcbf592431795e57553e03c0f2c"/>
      <w:bookmarkStart w:id="167" w:name="_Toc239116038"/>
      <w:bookmarkStart w:id="168" w:name="dabmch_92"/>
      <w:r w:rsidRPr="004F0F5E">
        <w:rPr>
          <w:b/>
          <w:bCs/>
          <w:sz w:val="26"/>
          <w:szCs w:val="26"/>
        </w:rPr>
        <w:t>Federal Rule of Criminal Procedure 16(b)(2)</w:t>
      </w:r>
      <w:bookmarkStart w:id="169" w:name="dabmen_b6867dcbf592431795e57553e03c0f2c"/>
      <w:bookmarkEnd w:id="166"/>
      <w:bookmarkEnd w:id="169"/>
      <w:r w:rsidRPr="004F0F5E">
        <w:rPr>
          <w:b/>
          <w:bCs/>
          <w:sz w:val="26"/>
          <w:szCs w:val="26"/>
        </w:rPr>
        <w:t xml:space="preserve"> Protects Armana’s Interview Records from Disclosure Because Armana Created Them as Counsel’s Agent in Preparation for Calloway’s Defense.</w:t>
      </w:r>
      <w:bookmarkEnd w:id="167"/>
      <w:r w:rsidRPr="004F0F5E">
        <w:rPr>
          <w:b/>
          <w:bCs/>
          <w:sz w:val="26"/>
          <w:szCs w:val="26"/>
        </w:rPr>
        <w:t xml:space="preserve"> </w:t>
      </w:r>
      <w:bookmarkEnd w:id="168"/>
    </w:p>
    <w:p w14:paraId="4EC584BE" w14:textId="77777777" w:rsidR="56515075" w:rsidRPr="004F0F5E" w:rsidRDefault="4C7CEA05" w:rsidP="38A6BBE3">
      <w:pPr>
        <w:spacing w:line="480" w:lineRule="auto"/>
        <w:ind w:firstLine="720"/>
        <w:jc w:val="both"/>
        <w:rPr>
          <w:sz w:val="26"/>
          <w:szCs w:val="26"/>
        </w:rPr>
      </w:pPr>
      <w:bookmarkStart w:id="170" w:name="dabmch_93"/>
      <w:r w:rsidRPr="004F0F5E">
        <w:rPr>
          <w:sz w:val="26"/>
          <w:szCs w:val="26"/>
        </w:rPr>
        <w:t xml:space="preserve">Proper preparation of a client’s case demands the assembly of information without “undue and needless interference,” including through “interviews, statements, memoranda, correspondence, briefs, mental impressions, personal beliefs, and countless other tangible and intangible ways.” </w:t>
      </w:r>
      <w:bookmarkStart w:id="171" w:name="dabmci_551d75054cb24d318798b0668284c6ab"/>
      <w:r w:rsidR="6201B1AE" w:rsidRPr="004F0F5E">
        <w:rPr>
          <w:i/>
          <w:iCs/>
          <w:sz w:val="26"/>
          <w:szCs w:val="26"/>
        </w:rPr>
        <w:t xml:space="preserve">Hickman, </w:t>
      </w:r>
      <w:r w:rsidR="429168B6" w:rsidRPr="004F0F5E">
        <w:rPr>
          <w:sz w:val="26"/>
          <w:szCs w:val="26"/>
        </w:rPr>
        <w:t>329 U.S. at 511</w:t>
      </w:r>
      <w:bookmarkStart w:id="172" w:name="dabmen_551d75054cb24d318798b0668284c6ab"/>
      <w:bookmarkEnd w:id="171"/>
      <w:bookmarkEnd w:id="172"/>
      <w:r w:rsidR="429168B6" w:rsidRPr="004F0F5E">
        <w:rPr>
          <w:sz w:val="26"/>
          <w:szCs w:val="26"/>
        </w:rPr>
        <w:t xml:space="preserve">. Because “attorneys often must rely on the assistance of investigators and other agents in the compilation of materials in preparation for trial,” the work-product doctrine equally shields “material[s] prepared by agents for the attorney.” </w:t>
      </w:r>
      <w:bookmarkStart w:id="173" w:name="dabmci_79e76acd81ef4dd19d2a95d2809d0293"/>
      <w:r w:rsidR="429168B6" w:rsidRPr="004F0F5E">
        <w:rPr>
          <w:i/>
          <w:iCs/>
          <w:sz w:val="26"/>
          <w:szCs w:val="26"/>
        </w:rPr>
        <w:t>United States v. Nobles,</w:t>
      </w:r>
      <w:r w:rsidR="429168B6" w:rsidRPr="004F0F5E">
        <w:rPr>
          <w:sz w:val="26"/>
          <w:szCs w:val="26"/>
        </w:rPr>
        <w:t xml:space="preserve"> 422 U.S. 225, 238 (1975)</w:t>
      </w:r>
      <w:bookmarkStart w:id="174" w:name="dabmen_79e76acd81ef4dd19d2a95d2809d0293"/>
      <w:bookmarkEnd w:id="173"/>
      <w:bookmarkEnd w:id="174"/>
      <w:r w:rsidR="429168B6" w:rsidRPr="004F0F5E">
        <w:rPr>
          <w:sz w:val="26"/>
          <w:szCs w:val="26"/>
        </w:rPr>
        <w:t>.</w:t>
      </w:r>
      <w:bookmarkEnd w:id="170"/>
    </w:p>
    <w:p w14:paraId="0A823FE6" w14:textId="77777777" w:rsidR="00AE6BE9" w:rsidRPr="004F0F5E" w:rsidRDefault="118061AF" w:rsidP="00D102C6">
      <w:pPr>
        <w:pStyle w:val="ListParagraph"/>
        <w:numPr>
          <w:ilvl w:val="1"/>
          <w:numId w:val="28"/>
        </w:numPr>
        <w:spacing w:after="240"/>
        <w:jc w:val="both"/>
        <w:outlineLvl w:val="2"/>
        <w:rPr>
          <w:b/>
          <w:bCs/>
          <w:sz w:val="26"/>
          <w:szCs w:val="26"/>
        </w:rPr>
      </w:pPr>
      <w:bookmarkStart w:id="175" w:name="dabmch_94"/>
      <w:bookmarkStart w:id="176" w:name="_Toc239116039"/>
      <w:r w:rsidRPr="004F0F5E">
        <w:rPr>
          <w:b/>
          <w:bCs/>
          <w:sz w:val="26"/>
          <w:szCs w:val="26"/>
        </w:rPr>
        <w:t>Armana Acted as Defense Counsel’s Agent During Seton’s Interview on February 15, 2024.</w:t>
      </w:r>
      <w:bookmarkEnd w:id="175"/>
      <w:bookmarkEnd w:id="176"/>
    </w:p>
    <w:p w14:paraId="3D15ACC0" w14:textId="77777777" w:rsidR="00052548" w:rsidRDefault="422CF8C9" w:rsidP="00052548">
      <w:pPr>
        <w:spacing w:line="480" w:lineRule="auto"/>
        <w:jc w:val="both"/>
        <w:rPr>
          <w:sz w:val="26"/>
          <w:szCs w:val="26"/>
        </w:rPr>
      </w:pPr>
      <w:bookmarkStart w:id="177" w:name="dabmch_95"/>
      <w:r w:rsidRPr="004F0F5E">
        <w:rPr>
          <w:sz w:val="26"/>
          <w:szCs w:val="26"/>
        </w:rPr>
        <w:tab/>
        <w:t>Defense counsel hired Armana shortly after Calloway’s business partner, Donovan, was arrested in January 2024</w:t>
      </w:r>
      <w:r w:rsidR="0046784D">
        <w:rPr>
          <w:sz w:val="26"/>
          <w:szCs w:val="26"/>
        </w:rPr>
        <w:t>—</w:t>
      </w:r>
      <w:r w:rsidRPr="004F0F5E">
        <w:rPr>
          <w:sz w:val="26"/>
          <w:szCs w:val="26"/>
        </w:rPr>
        <w:t xml:space="preserve">well before Armana interviewed Seton on February 15, 2024. (Armana Dep. 36–37.) Defense counsel specifically retained Armana to “run down </w:t>
      </w:r>
      <w:r w:rsidRPr="004F0F5E">
        <w:rPr>
          <w:sz w:val="26"/>
          <w:szCs w:val="26"/>
        </w:rPr>
        <w:lastRenderedPageBreak/>
        <w:t xml:space="preserve">facts, witnesses, and evidence [needed] for a case that may not come up easily in discovery.” (Armana Dep. 20–22.) </w:t>
      </w:r>
    </w:p>
    <w:p w14:paraId="64BDE18F" w14:textId="6BD56793" w:rsidR="00EA5ADD" w:rsidRPr="004F0F5E" w:rsidRDefault="422CF8C9" w:rsidP="00052548">
      <w:pPr>
        <w:spacing w:line="480" w:lineRule="auto"/>
        <w:ind w:firstLine="720"/>
        <w:jc w:val="both"/>
        <w:rPr>
          <w:b/>
          <w:bCs/>
          <w:sz w:val="26"/>
          <w:szCs w:val="26"/>
        </w:rPr>
      </w:pPr>
      <w:r w:rsidRPr="004F0F5E">
        <w:rPr>
          <w:sz w:val="26"/>
          <w:szCs w:val="26"/>
        </w:rPr>
        <w:t>Indeed, it was defense counsel who defined the scope of Armana’s work, including understanding “the companies, the money movement, who performed what work, and who really called the shots.” (Armana Dep. 41–43.)</w:t>
      </w:r>
      <w:bookmarkEnd w:id="177"/>
      <w:r w:rsidR="0046784D">
        <w:rPr>
          <w:sz w:val="26"/>
          <w:szCs w:val="26"/>
        </w:rPr>
        <w:t xml:space="preserve"> </w:t>
      </w:r>
      <w:bookmarkStart w:id="178" w:name="dabmch_96"/>
      <w:r w:rsidRPr="004F0F5E">
        <w:rPr>
          <w:sz w:val="26"/>
          <w:szCs w:val="26"/>
        </w:rPr>
        <w:t xml:space="preserve">Armana testified that “the attorney” directed the work, including Armana’s written reports and interview notes, and that those materials ultimately went “into the lawyer’s case file.” (Armana Dep. 30–31.) </w:t>
      </w:r>
      <w:r w:rsidR="00835140">
        <w:rPr>
          <w:sz w:val="26"/>
          <w:szCs w:val="26"/>
        </w:rPr>
        <w:t>As such,</w:t>
      </w:r>
      <w:r w:rsidRPr="004F0F5E">
        <w:rPr>
          <w:sz w:val="26"/>
          <w:szCs w:val="26"/>
        </w:rPr>
        <w:t xml:space="preserve"> Armana is “the person who finds out about what happened so that the lawyer can decide what to do with it.” (Armana Dep. 25–26.) As a licensed private investigator, Armana is “an extension of the legal team.”</w:t>
      </w:r>
      <w:r w:rsidR="00052548">
        <w:rPr>
          <w:sz w:val="26"/>
          <w:szCs w:val="26"/>
        </w:rPr>
        <w:t xml:space="preserve"> and is “</w:t>
      </w:r>
      <w:r w:rsidR="00052548">
        <w:rPr>
          <w:i/>
          <w:iCs/>
          <w:sz w:val="26"/>
          <w:szCs w:val="26"/>
        </w:rPr>
        <w:t>not</w:t>
      </w:r>
      <w:r w:rsidR="00052548">
        <w:rPr>
          <w:sz w:val="26"/>
          <w:szCs w:val="26"/>
        </w:rPr>
        <w:t xml:space="preserve"> a free agent.</w:t>
      </w:r>
      <w:r w:rsidRPr="004F0F5E">
        <w:rPr>
          <w:sz w:val="26"/>
          <w:szCs w:val="26"/>
        </w:rPr>
        <w:t xml:space="preserve"> (Armana Dep. 31–32)</w:t>
      </w:r>
      <w:bookmarkEnd w:id="178"/>
      <w:r w:rsidR="00052548">
        <w:rPr>
          <w:sz w:val="26"/>
          <w:szCs w:val="26"/>
        </w:rPr>
        <w:t xml:space="preserve"> (emphasis added). Through that work,</w:t>
      </w:r>
      <w:r w:rsidR="00052548" w:rsidRPr="004F0F5E">
        <w:rPr>
          <w:sz w:val="26"/>
          <w:szCs w:val="26"/>
        </w:rPr>
        <w:t xml:space="preserve"> Armana </w:t>
      </w:r>
      <w:r w:rsidR="00052548">
        <w:rPr>
          <w:sz w:val="26"/>
          <w:szCs w:val="26"/>
        </w:rPr>
        <w:t xml:space="preserve">ultimately identified and </w:t>
      </w:r>
      <w:r w:rsidR="00835140">
        <w:rPr>
          <w:sz w:val="26"/>
          <w:szCs w:val="26"/>
        </w:rPr>
        <w:t xml:space="preserve">subsequently </w:t>
      </w:r>
      <w:r w:rsidR="00052548">
        <w:rPr>
          <w:sz w:val="26"/>
          <w:szCs w:val="26"/>
        </w:rPr>
        <w:t>interviewed</w:t>
      </w:r>
      <w:r w:rsidR="00052548" w:rsidRPr="004F0F5E">
        <w:rPr>
          <w:sz w:val="26"/>
          <w:szCs w:val="26"/>
        </w:rPr>
        <w:t xml:space="preserve"> Seton. (Armana Dep. 45; 51–52</w:t>
      </w:r>
      <w:r w:rsidR="00052548">
        <w:rPr>
          <w:sz w:val="26"/>
          <w:szCs w:val="26"/>
        </w:rPr>
        <w:t>; 100</w:t>
      </w:r>
      <w:r w:rsidR="00052548" w:rsidRPr="004F0F5E">
        <w:rPr>
          <w:sz w:val="26"/>
          <w:szCs w:val="26"/>
        </w:rPr>
        <w:t>–</w:t>
      </w:r>
      <w:r w:rsidR="00052548">
        <w:rPr>
          <w:sz w:val="26"/>
          <w:szCs w:val="26"/>
        </w:rPr>
        <w:t>101.</w:t>
      </w:r>
      <w:r w:rsidR="00052548" w:rsidRPr="004F0F5E">
        <w:rPr>
          <w:sz w:val="26"/>
          <w:szCs w:val="26"/>
        </w:rPr>
        <w:t xml:space="preserve">) </w:t>
      </w:r>
    </w:p>
    <w:p w14:paraId="6383230F" w14:textId="77777777" w:rsidR="00AE6BE9" w:rsidRPr="004F0F5E" w:rsidRDefault="09B9F25E" w:rsidP="00D102C6">
      <w:pPr>
        <w:pStyle w:val="ListParagraph"/>
        <w:numPr>
          <w:ilvl w:val="1"/>
          <w:numId w:val="28"/>
        </w:numPr>
        <w:spacing w:after="240"/>
        <w:jc w:val="both"/>
        <w:outlineLvl w:val="2"/>
        <w:rPr>
          <w:b/>
          <w:bCs/>
          <w:sz w:val="26"/>
          <w:szCs w:val="26"/>
        </w:rPr>
      </w:pPr>
      <w:bookmarkStart w:id="179" w:name="_Toc239116040"/>
      <w:bookmarkStart w:id="180" w:name="dabmch_97"/>
      <w:r w:rsidRPr="004F0F5E">
        <w:rPr>
          <w:b/>
          <w:bCs/>
          <w:sz w:val="26"/>
          <w:szCs w:val="26"/>
        </w:rPr>
        <w:t>As Counsel’s Agent, Armana Prepared the Interview Materials for Calloway’s Defense.</w:t>
      </w:r>
      <w:bookmarkEnd w:id="179"/>
      <w:r w:rsidRPr="004F0F5E">
        <w:rPr>
          <w:b/>
          <w:bCs/>
          <w:sz w:val="26"/>
          <w:szCs w:val="26"/>
        </w:rPr>
        <w:t xml:space="preserve"> </w:t>
      </w:r>
      <w:bookmarkEnd w:id="180"/>
    </w:p>
    <w:p w14:paraId="38E4D6CF" w14:textId="46B089FC" w:rsidR="00AD15C0" w:rsidRPr="004F0F5E" w:rsidRDefault="20F41AA3" w:rsidP="0021769E">
      <w:pPr>
        <w:spacing w:line="480" w:lineRule="auto"/>
        <w:jc w:val="both"/>
        <w:rPr>
          <w:b/>
          <w:bCs/>
          <w:sz w:val="26"/>
          <w:szCs w:val="26"/>
        </w:rPr>
      </w:pPr>
      <w:bookmarkStart w:id="181" w:name="dabmch_98"/>
      <w:r w:rsidRPr="004F0F5E">
        <w:rPr>
          <w:sz w:val="26"/>
          <w:szCs w:val="26"/>
        </w:rPr>
        <w:tab/>
        <w:t xml:space="preserve">Defense counsel clearly anticipated that the Government might pursue Calloway when counsel hired Armana. Armana testified that counsel “suspected the government might come after Ms. Calloway too, and they wanted to be ready.” (Armana Dep. 37–38.) Armana specifically helped defense counsel “understand the financial structure the government was building a case around” because “[c]ounsel wanted a deep understanding of that whole web in order to </w:t>
      </w:r>
      <w:r w:rsidRPr="004F0F5E">
        <w:rPr>
          <w:i/>
          <w:iCs/>
          <w:sz w:val="26"/>
          <w:szCs w:val="26"/>
        </w:rPr>
        <w:t>prepare a defense</w:t>
      </w:r>
      <w:r w:rsidR="02CD33E8" w:rsidRPr="004F0F5E">
        <w:rPr>
          <w:sz w:val="26"/>
          <w:szCs w:val="26"/>
        </w:rPr>
        <w:t xml:space="preserve"> for Ms. Calloway </w:t>
      </w:r>
      <w:proofErr w:type="gramStart"/>
      <w:r w:rsidR="02CD33E8" w:rsidRPr="004F0F5E">
        <w:rPr>
          <w:sz w:val="26"/>
          <w:szCs w:val="26"/>
        </w:rPr>
        <w:t>. . . .</w:t>
      </w:r>
      <w:proofErr w:type="gramEnd"/>
      <w:r w:rsidR="02CD33E8" w:rsidRPr="004F0F5E">
        <w:rPr>
          <w:sz w:val="26"/>
          <w:szCs w:val="26"/>
        </w:rPr>
        <w:t xml:space="preserve">” (Armana Dep. 40–41; 43–44) (emphasis added). Armana confirmed that everything “on that engagement [was] because counsel was preparing for </w:t>
      </w:r>
      <w:r w:rsidR="00052548">
        <w:rPr>
          <w:sz w:val="26"/>
          <w:szCs w:val="26"/>
        </w:rPr>
        <w:t>that</w:t>
      </w:r>
      <w:r w:rsidR="02CD33E8" w:rsidRPr="004F0F5E">
        <w:rPr>
          <w:sz w:val="26"/>
          <w:szCs w:val="26"/>
        </w:rPr>
        <w:t xml:space="preserve">.” (Armana Dep. 49–50.) </w:t>
      </w:r>
      <w:r w:rsidR="00052548">
        <w:rPr>
          <w:sz w:val="26"/>
          <w:szCs w:val="26"/>
        </w:rPr>
        <w:t xml:space="preserve">As such, Armana </w:t>
      </w:r>
      <w:r w:rsidR="00052548">
        <w:rPr>
          <w:sz w:val="26"/>
          <w:szCs w:val="26"/>
        </w:rPr>
        <w:lastRenderedPageBreak/>
        <w:t>interviewed Seton on February 15, 2024, seeking to understand “Coastal from the inside” and to get a “complete account of how that company really worked and who was behind it.”</w:t>
      </w:r>
      <w:r w:rsidR="02CD33E8" w:rsidRPr="004F0F5E">
        <w:rPr>
          <w:sz w:val="26"/>
          <w:szCs w:val="26"/>
        </w:rPr>
        <w:t xml:space="preserve"> (Armana Dep. </w:t>
      </w:r>
      <w:r w:rsidR="00052548">
        <w:rPr>
          <w:sz w:val="26"/>
          <w:szCs w:val="26"/>
        </w:rPr>
        <w:t>86</w:t>
      </w:r>
      <w:r w:rsidR="02CD33E8" w:rsidRPr="004F0F5E">
        <w:rPr>
          <w:sz w:val="26"/>
          <w:szCs w:val="26"/>
        </w:rPr>
        <w:t xml:space="preserve">; </w:t>
      </w:r>
      <w:r w:rsidR="00052548">
        <w:rPr>
          <w:sz w:val="26"/>
          <w:szCs w:val="26"/>
        </w:rPr>
        <w:t>90</w:t>
      </w:r>
      <w:r w:rsidR="02CD33E8" w:rsidRPr="004F0F5E">
        <w:rPr>
          <w:sz w:val="26"/>
          <w:szCs w:val="26"/>
        </w:rPr>
        <w:t>–</w:t>
      </w:r>
      <w:r w:rsidR="00052548">
        <w:rPr>
          <w:sz w:val="26"/>
          <w:szCs w:val="26"/>
        </w:rPr>
        <w:t>91</w:t>
      </w:r>
      <w:r w:rsidR="02CD33E8" w:rsidRPr="004F0F5E">
        <w:rPr>
          <w:sz w:val="26"/>
          <w:szCs w:val="26"/>
        </w:rPr>
        <w:t xml:space="preserve">.) </w:t>
      </w:r>
      <w:bookmarkEnd w:id="181"/>
      <w:r w:rsidR="0082234C">
        <w:rPr>
          <w:sz w:val="26"/>
          <w:szCs w:val="26"/>
        </w:rPr>
        <w:t>Therefore, Armana prepared Seton’s interview notes</w:t>
      </w:r>
      <w:r w:rsidR="009F172B">
        <w:rPr>
          <w:sz w:val="26"/>
          <w:szCs w:val="26"/>
        </w:rPr>
        <w:t xml:space="preserve"> for the defense’s case. </w:t>
      </w:r>
      <w:r w:rsidR="0082234C">
        <w:rPr>
          <w:sz w:val="26"/>
          <w:szCs w:val="26"/>
        </w:rPr>
        <w:t xml:space="preserve"> </w:t>
      </w:r>
    </w:p>
    <w:p w14:paraId="3E118D4E" w14:textId="77777777" w:rsidR="00AD15C0" w:rsidRPr="004F0F5E" w:rsidRDefault="74BFB343" w:rsidP="00C851CA">
      <w:pPr>
        <w:pStyle w:val="Heading2"/>
        <w:numPr>
          <w:ilvl w:val="0"/>
          <w:numId w:val="28"/>
        </w:numPr>
        <w:tabs>
          <w:tab w:val="left" w:pos="720"/>
        </w:tabs>
        <w:spacing w:after="240"/>
        <w:jc w:val="both"/>
        <w:rPr>
          <w:sz w:val="26"/>
          <w:szCs w:val="26"/>
        </w:rPr>
      </w:pPr>
      <w:bookmarkStart w:id="182" w:name="_Toc239116041"/>
      <w:bookmarkStart w:id="183" w:name="dabmch_99"/>
      <w:r w:rsidRPr="004F0F5E">
        <w:rPr>
          <w:sz w:val="26"/>
          <w:szCs w:val="26"/>
        </w:rPr>
        <w:t xml:space="preserve">Armana’s Interview Materials Constitute Opinion Work Product Not Discoverable Under </w:t>
      </w:r>
      <w:bookmarkStart w:id="184" w:name="dabmci_604c03cc16ca4944b38024f50ccb9623"/>
      <w:r w:rsidRPr="004F0F5E">
        <w:rPr>
          <w:sz w:val="26"/>
          <w:szCs w:val="26"/>
        </w:rPr>
        <w:t>Federal Rule of Criminal Procedure 16(b)(2)</w:t>
      </w:r>
      <w:bookmarkStart w:id="185" w:name="dabmen_604c03cc16ca4944b38024f50ccb9623"/>
      <w:bookmarkEnd w:id="184"/>
      <w:bookmarkEnd w:id="185"/>
      <w:r w:rsidRPr="004F0F5E">
        <w:rPr>
          <w:sz w:val="26"/>
          <w:szCs w:val="26"/>
        </w:rPr>
        <w:t>.</w:t>
      </w:r>
      <w:bookmarkEnd w:id="182"/>
      <w:r w:rsidRPr="004F0F5E">
        <w:rPr>
          <w:sz w:val="26"/>
          <w:szCs w:val="26"/>
        </w:rPr>
        <w:t xml:space="preserve"> </w:t>
      </w:r>
      <w:bookmarkEnd w:id="183"/>
    </w:p>
    <w:p w14:paraId="4266B577" w14:textId="77777777" w:rsidR="3D3B0340" w:rsidRPr="004F0F5E" w:rsidRDefault="29436738" w:rsidP="00D102C6">
      <w:pPr>
        <w:spacing w:line="480" w:lineRule="auto"/>
        <w:ind w:firstLine="720"/>
        <w:jc w:val="both"/>
        <w:rPr>
          <w:sz w:val="26"/>
          <w:szCs w:val="26"/>
        </w:rPr>
      </w:pPr>
      <w:bookmarkStart w:id="186" w:name="dabmch_100"/>
      <w:r w:rsidRPr="004F0F5E">
        <w:rPr>
          <w:sz w:val="26"/>
          <w:szCs w:val="26"/>
        </w:rPr>
        <w:t xml:space="preserve">Armana prepared the interview records as defense counsel’s agent, at counsel’s direction, and for Calloway’s defense. </w:t>
      </w:r>
      <w:bookmarkStart w:id="187" w:name="dabmci_1c081607edf64d78a77b6890d4a8ec56"/>
      <w:r w:rsidRPr="004F0F5E">
        <w:rPr>
          <w:sz w:val="26"/>
          <w:szCs w:val="26"/>
        </w:rPr>
        <w:t>Rule 16(b)(2)</w:t>
      </w:r>
      <w:bookmarkStart w:id="188" w:name="dabmen_1c081607edf64d78a77b6890d4a8ec56"/>
      <w:bookmarkEnd w:id="187"/>
      <w:bookmarkEnd w:id="188"/>
      <w:r w:rsidRPr="004F0F5E">
        <w:rPr>
          <w:sz w:val="26"/>
          <w:szCs w:val="26"/>
        </w:rPr>
        <w:t xml:space="preserve"> protects precisely that work. The question now turns on the nature of that protection, specifically “whether the documents at issue constitute ‘opinion work product’ or ‘fact work product.’” </w:t>
      </w:r>
      <w:bookmarkStart w:id="189" w:name="dabmci_43967a6a26954bb29bd24b34dd05243b"/>
      <w:r w:rsidR="395C7E24" w:rsidRPr="004F0F5E">
        <w:rPr>
          <w:i/>
          <w:iCs/>
          <w:sz w:val="26"/>
          <w:szCs w:val="26"/>
        </w:rPr>
        <w:t>United States v. Clemens</w:t>
      </w:r>
      <w:r w:rsidR="0DB7FBA6" w:rsidRPr="004F0F5E">
        <w:rPr>
          <w:sz w:val="26"/>
          <w:szCs w:val="26"/>
        </w:rPr>
        <w:t>, 793 F. Supp. 2d 236, 239–40 (D.D.C. 2011)</w:t>
      </w:r>
      <w:bookmarkStart w:id="190" w:name="dabmen_43967a6a26954bb29bd24b34dd05243b"/>
      <w:bookmarkEnd w:id="189"/>
      <w:bookmarkEnd w:id="190"/>
      <w:r w:rsidR="0DB7FBA6" w:rsidRPr="004F0F5E">
        <w:rPr>
          <w:sz w:val="26"/>
          <w:szCs w:val="26"/>
        </w:rPr>
        <w:t xml:space="preserve">. </w:t>
      </w:r>
      <w:bookmarkEnd w:id="186"/>
    </w:p>
    <w:p w14:paraId="794C5EAF" w14:textId="319108ED" w:rsidR="599CD6E6" w:rsidRPr="004F0F5E" w:rsidRDefault="009F172B" w:rsidP="00D102C6">
      <w:pPr>
        <w:spacing w:line="480" w:lineRule="auto"/>
        <w:ind w:firstLine="720"/>
        <w:jc w:val="both"/>
        <w:rPr>
          <w:sz w:val="26"/>
          <w:szCs w:val="26"/>
        </w:rPr>
      </w:pPr>
      <w:bookmarkStart w:id="191" w:name="dabmch_101"/>
      <w:r>
        <w:rPr>
          <w:sz w:val="26"/>
          <w:szCs w:val="26"/>
        </w:rPr>
        <w:t>O</w:t>
      </w:r>
      <w:r w:rsidR="110313D8" w:rsidRPr="004F0F5E">
        <w:rPr>
          <w:sz w:val="26"/>
          <w:szCs w:val="26"/>
        </w:rPr>
        <w:t xml:space="preserve">pinion work product receives a greater level of protection than fact work product. </w:t>
      </w:r>
      <w:r w:rsidR="110313D8" w:rsidRPr="004F0F5E">
        <w:rPr>
          <w:i/>
          <w:iCs/>
          <w:sz w:val="26"/>
          <w:szCs w:val="26"/>
        </w:rPr>
        <w:t xml:space="preserve">See </w:t>
      </w:r>
      <w:bookmarkStart w:id="192" w:name="dabmci_207662356bfc4bcb8c3268b619b47788"/>
      <w:r w:rsidR="110313D8" w:rsidRPr="004F0F5E">
        <w:rPr>
          <w:i/>
          <w:iCs/>
          <w:sz w:val="26"/>
          <w:szCs w:val="26"/>
        </w:rPr>
        <w:t>In re Grand Jury Subpoena</w:t>
      </w:r>
      <w:r w:rsidR="288D73AB" w:rsidRPr="004F0F5E">
        <w:rPr>
          <w:sz w:val="26"/>
          <w:szCs w:val="26"/>
        </w:rPr>
        <w:t>, 870 F.3d 312, 316 (4th Cir. 2017)</w:t>
      </w:r>
      <w:bookmarkStart w:id="193" w:name="dabmen_207662356bfc4bcb8c3268b619b47788"/>
      <w:bookmarkEnd w:id="192"/>
      <w:bookmarkEnd w:id="193"/>
      <w:r w:rsidR="288D73AB" w:rsidRPr="004F0F5E">
        <w:rPr>
          <w:sz w:val="26"/>
          <w:szCs w:val="26"/>
        </w:rPr>
        <w:t xml:space="preserve">. Indeed, opinion work product “encompasses ‘all material that reflects an attorney’s mental impressions, conclusions, opinions, or legal theories.’” </w:t>
      </w:r>
      <w:bookmarkStart w:id="194" w:name="dabmci_fdd059cde7f14e7893396e8d4c8ce6e2"/>
      <w:r w:rsidR="288D73AB" w:rsidRPr="004F0F5E">
        <w:rPr>
          <w:i/>
          <w:iCs/>
          <w:sz w:val="26"/>
          <w:szCs w:val="26"/>
        </w:rPr>
        <w:t>Williamson v. Moore</w:t>
      </w:r>
      <w:r w:rsidR="4D076F39" w:rsidRPr="004F0F5E">
        <w:rPr>
          <w:sz w:val="26"/>
          <w:szCs w:val="26"/>
        </w:rPr>
        <w:t>, 221 F.3d 1177, 1182 (11th Cir. 2000)</w:t>
      </w:r>
      <w:bookmarkStart w:id="195" w:name="dabmen_fdd059cde7f14e7893396e8d4c8ce6e2"/>
      <w:bookmarkEnd w:id="194"/>
      <w:bookmarkEnd w:id="195"/>
      <w:r w:rsidR="4D076F39" w:rsidRPr="004F0F5E">
        <w:rPr>
          <w:sz w:val="26"/>
          <w:szCs w:val="26"/>
        </w:rPr>
        <w:t xml:space="preserve">; </w:t>
      </w:r>
      <w:r w:rsidR="05F8A55F" w:rsidRPr="004F0F5E">
        <w:rPr>
          <w:i/>
          <w:iCs/>
          <w:sz w:val="26"/>
          <w:szCs w:val="26"/>
        </w:rPr>
        <w:t>see also</w:t>
      </w:r>
      <w:r w:rsidR="079138F1" w:rsidRPr="004F0F5E">
        <w:rPr>
          <w:sz w:val="26"/>
          <w:szCs w:val="26"/>
        </w:rPr>
        <w:t xml:space="preserve"> </w:t>
      </w:r>
      <w:bookmarkStart w:id="196" w:name="dabmci_050a92b187014d8383dd1c81afc0c28e"/>
      <w:proofErr w:type="gramStart"/>
      <w:r w:rsidR="079138F1" w:rsidRPr="004F0F5E">
        <w:rPr>
          <w:i/>
          <w:iCs/>
          <w:sz w:val="26"/>
          <w:szCs w:val="26"/>
        </w:rPr>
        <w:t>In</w:t>
      </w:r>
      <w:proofErr w:type="gramEnd"/>
      <w:r w:rsidR="079138F1" w:rsidRPr="004F0F5E">
        <w:rPr>
          <w:i/>
          <w:iCs/>
          <w:sz w:val="26"/>
          <w:szCs w:val="26"/>
        </w:rPr>
        <w:t xml:space="preserve"> re John Doe</w:t>
      </w:r>
      <w:r w:rsidR="33343ECA" w:rsidRPr="004F0F5E">
        <w:rPr>
          <w:sz w:val="26"/>
          <w:szCs w:val="26"/>
        </w:rPr>
        <w:t>, 662 F.2d 1073, 1080 (4th Cir. 1981)</w:t>
      </w:r>
      <w:bookmarkStart w:id="197" w:name="dabmen_050a92b187014d8383dd1c81afc0c28e"/>
      <w:bookmarkEnd w:id="196"/>
      <w:bookmarkEnd w:id="197"/>
      <w:r w:rsidR="33343ECA" w:rsidRPr="004F0F5E">
        <w:rPr>
          <w:sz w:val="26"/>
          <w:szCs w:val="26"/>
        </w:rPr>
        <w:t xml:space="preserve"> (“opinion work product enjoys a nearly absolute immunity and can be discovered only in very rare and extraordinary circumstances.”). On the other hand, fact work product is a “transaction of the factual events involved.” </w:t>
      </w:r>
      <w:bookmarkStart w:id="198" w:name="dabmci_1deed0463eb94fc7aeb1e0254c7634d5"/>
      <w:r w:rsidR="33343ECA" w:rsidRPr="004F0F5E">
        <w:rPr>
          <w:i/>
          <w:iCs/>
          <w:sz w:val="26"/>
          <w:szCs w:val="26"/>
        </w:rPr>
        <w:t>In re Grand Jury Subpoena</w:t>
      </w:r>
      <w:r w:rsidR="33343ECA" w:rsidRPr="004F0F5E">
        <w:rPr>
          <w:sz w:val="26"/>
          <w:szCs w:val="26"/>
        </w:rPr>
        <w:t>, 870 F.3d at 316 (citation modified)</w:t>
      </w:r>
      <w:bookmarkStart w:id="199" w:name="dabmen_1deed0463eb94fc7aeb1e0254c7634d5"/>
      <w:bookmarkEnd w:id="198"/>
      <w:bookmarkEnd w:id="199"/>
      <w:r w:rsidR="33343ECA" w:rsidRPr="004F0F5E">
        <w:rPr>
          <w:sz w:val="26"/>
          <w:szCs w:val="26"/>
        </w:rPr>
        <w:t>.</w:t>
      </w:r>
      <w:bookmarkEnd w:id="191"/>
    </w:p>
    <w:p w14:paraId="01D95238" w14:textId="77777777" w:rsidR="2F0FD3E3" w:rsidRPr="004F0F5E" w:rsidRDefault="4B1715D7" w:rsidP="00D102C6">
      <w:pPr>
        <w:spacing w:line="480" w:lineRule="auto"/>
        <w:ind w:firstLine="720"/>
        <w:jc w:val="both"/>
        <w:rPr>
          <w:b/>
          <w:bCs/>
          <w:sz w:val="26"/>
          <w:szCs w:val="26"/>
        </w:rPr>
      </w:pPr>
      <w:bookmarkStart w:id="200" w:name="dabmch_102"/>
      <w:proofErr w:type="gramStart"/>
      <w:r w:rsidRPr="004F0F5E">
        <w:rPr>
          <w:sz w:val="26"/>
          <w:szCs w:val="26"/>
        </w:rPr>
        <w:t>In particular, courts</w:t>
      </w:r>
      <w:proofErr w:type="gramEnd"/>
      <w:r w:rsidRPr="004F0F5E">
        <w:rPr>
          <w:sz w:val="26"/>
          <w:szCs w:val="26"/>
        </w:rPr>
        <w:t xml:space="preserve"> recognize the danger of ordering production of interview notes of a witness’s oral statements. </w:t>
      </w:r>
      <w:r w:rsidR="1847100A" w:rsidRPr="004F0F5E">
        <w:rPr>
          <w:i/>
          <w:iCs/>
          <w:sz w:val="26"/>
          <w:szCs w:val="26"/>
        </w:rPr>
        <w:t xml:space="preserve">See </w:t>
      </w:r>
      <w:bookmarkStart w:id="201" w:name="dabmci_e17c9482dbd442c9891ed52367f4a08d"/>
      <w:r w:rsidR="1847100A" w:rsidRPr="004F0F5E">
        <w:rPr>
          <w:i/>
          <w:iCs/>
          <w:sz w:val="26"/>
          <w:szCs w:val="26"/>
        </w:rPr>
        <w:t xml:space="preserve">United States v. Paxson, </w:t>
      </w:r>
      <w:r w:rsidR="0D6B275B" w:rsidRPr="004F0F5E">
        <w:rPr>
          <w:sz w:val="26"/>
          <w:szCs w:val="26"/>
        </w:rPr>
        <w:t xml:space="preserve">861 F.2d 730, 735–36 (D.C. </w:t>
      </w:r>
      <w:r w:rsidR="0D6B275B" w:rsidRPr="004F0F5E">
        <w:rPr>
          <w:sz w:val="26"/>
          <w:szCs w:val="26"/>
        </w:rPr>
        <w:lastRenderedPageBreak/>
        <w:t>Cir. 1988)</w:t>
      </w:r>
      <w:bookmarkStart w:id="202" w:name="dabmen_e17c9482dbd442c9891ed52367f4a08d"/>
      <w:bookmarkEnd w:id="201"/>
      <w:bookmarkEnd w:id="202"/>
      <w:r w:rsidR="0D6B275B" w:rsidRPr="004F0F5E">
        <w:rPr>
          <w:sz w:val="26"/>
          <w:szCs w:val="26"/>
        </w:rPr>
        <w:t xml:space="preserve"> (requiring a higher standard for interview notes); </w:t>
      </w:r>
      <w:r w:rsidR="4F8A8AD4" w:rsidRPr="004F0F5E">
        <w:rPr>
          <w:i/>
          <w:iCs/>
          <w:sz w:val="26"/>
          <w:szCs w:val="26"/>
        </w:rPr>
        <w:t xml:space="preserve">see also </w:t>
      </w:r>
      <w:bookmarkStart w:id="203" w:name="dabmci_80f80a67c9194d6c816d38cfe1ab9758"/>
      <w:r w:rsidR="4F8A8AD4" w:rsidRPr="004F0F5E">
        <w:rPr>
          <w:i/>
          <w:iCs/>
          <w:sz w:val="26"/>
          <w:szCs w:val="26"/>
        </w:rPr>
        <w:t>Bristol</w:t>
      </w:r>
      <w:r w:rsidR="4F8A8AD4" w:rsidRPr="004F0F5E">
        <w:rPr>
          <w:sz w:val="26"/>
          <w:szCs w:val="26"/>
        </w:rPr>
        <w:t>–</w:t>
      </w:r>
      <w:r w:rsidR="4F8A8AD4" w:rsidRPr="004F0F5E">
        <w:rPr>
          <w:i/>
          <w:iCs/>
          <w:sz w:val="26"/>
          <w:szCs w:val="26"/>
        </w:rPr>
        <w:t>Meyers Co. v. FTC</w:t>
      </w:r>
      <w:r w:rsidR="603FF594" w:rsidRPr="004F0F5E">
        <w:rPr>
          <w:sz w:val="26"/>
          <w:szCs w:val="26"/>
        </w:rPr>
        <w:t>, 598 F.2d 18, 29 (D.C. Cir. 1978)</w:t>
      </w:r>
      <w:bookmarkStart w:id="204" w:name="dabmen_80f80a67c9194d6c816d38cfe1ab9758"/>
      <w:bookmarkEnd w:id="203"/>
      <w:bookmarkEnd w:id="204"/>
      <w:r w:rsidR="603FF594" w:rsidRPr="004F0F5E">
        <w:rPr>
          <w:sz w:val="26"/>
          <w:szCs w:val="26"/>
        </w:rPr>
        <w:t xml:space="preserve"> (noting that interview notes can reveal attorney’s mental impressions).</w:t>
      </w:r>
      <w:bookmarkEnd w:id="200"/>
    </w:p>
    <w:p w14:paraId="0933DE87" w14:textId="77777777" w:rsidR="0035080B" w:rsidRPr="004F0F5E" w:rsidRDefault="2BB91720" w:rsidP="002669F1">
      <w:pPr>
        <w:pStyle w:val="Heading3"/>
        <w:numPr>
          <w:ilvl w:val="0"/>
          <w:numId w:val="31"/>
        </w:numPr>
        <w:spacing w:after="240"/>
        <w:jc w:val="both"/>
        <w:rPr>
          <w:sz w:val="26"/>
          <w:szCs w:val="26"/>
        </w:rPr>
      </w:pPr>
      <w:bookmarkStart w:id="205" w:name="dabmch_103"/>
      <w:bookmarkStart w:id="206" w:name="_Toc239116042"/>
      <w:r w:rsidRPr="004F0F5E">
        <w:rPr>
          <w:sz w:val="26"/>
          <w:szCs w:val="26"/>
        </w:rPr>
        <w:t>Armana’s Interview Materials Are Protected from Disclosure as Opinion Work Product Because They Reveal Defense Counsel’s Mental Impressions, Investigative Leads, and Theories of the Case.</w:t>
      </w:r>
      <w:bookmarkEnd w:id="205"/>
      <w:bookmarkEnd w:id="206"/>
    </w:p>
    <w:p w14:paraId="25EC8CA8" w14:textId="7A563010" w:rsidR="00A620E3" w:rsidRPr="004F0F5E" w:rsidRDefault="3732E8BC" w:rsidP="00D102C6">
      <w:pPr>
        <w:spacing w:line="480" w:lineRule="auto"/>
        <w:jc w:val="both"/>
        <w:rPr>
          <w:b/>
          <w:bCs/>
          <w:sz w:val="26"/>
          <w:szCs w:val="26"/>
        </w:rPr>
      </w:pPr>
      <w:bookmarkStart w:id="207" w:name="dabmch_104"/>
      <w:r w:rsidRPr="004F0F5E">
        <w:rPr>
          <w:sz w:val="26"/>
          <w:szCs w:val="26"/>
        </w:rPr>
        <w:tab/>
      </w:r>
      <w:r w:rsidR="00052548">
        <w:rPr>
          <w:sz w:val="26"/>
          <w:szCs w:val="26"/>
        </w:rPr>
        <w:t>Armana’s interview materials</w:t>
      </w:r>
      <w:r w:rsidR="007F05E0">
        <w:rPr>
          <w:sz w:val="26"/>
          <w:szCs w:val="26"/>
        </w:rPr>
        <w:t xml:space="preserve"> (Ex. 21)</w:t>
      </w:r>
      <w:r w:rsidRPr="004F0F5E">
        <w:rPr>
          <w:sz w:val="26"/>
          <w:szCs w:val="26"/>
        </w:rPr>
        <w:t xml:space="preserve"> contain far more than a factual account of Seton’s statements.</w:t>
      </w:r>
      <w:bookmarkStart w:id="208" w:name="dabmch_106"/>
      <w:bookmarkEnd w:id="207"/>
      <w:r w:rsidR="1DE38868" w:rsidRPr="004F0F5E">
        <w:rPr>
          <w:sz w:val="26"/>
          <w:szCs w:val="26"/>
        </w:rPr>
        <w:t xml:space="preserve"> </w:t>
      </w:r>
      <w:r w:rsidR="00C07149">
        <w:rPr>
          <w:sz w:val="26"/>
          <w:szCs w:val="26"/>
        </w:rPr>
        <w:t>They</w:t>
      </w:r>
      <w:r w:rsidR="1DE38868" w:rsidRPr="004F0F5E">
        <w:rPr>
          <w:sz w:val="26"/>
          <w:szCs w:val="26"/>
        </w:rPr>
        <w:t xml:space="preserve"> reflect Armana’s mental impressions</w:t>
      </w:r>
      <w:r w:rsidR="00052548">
        <w:rPr>
          <w:sz w:val="26"/>
          <w:szCs w:val="26"/>
        </w:rPr>
        <w:t xml:space="preserve"> and assessments as defense counsel’s agent. </w:t>
      </w:r>
      <w:r w:rsidR="1DE38868" w:rsidRPr="004F0F5E">
        <w:rPr>
          <w:sz w:val="26"/>
          <w:szCs w:val="26"/>
        </w:rPr>
        <w:t xml:space="preserve">That is precisely the type of opinion work product protected by </w:t>
      </w:r>
      <w:bookmarkStart w:id="209" w:name="dabmci_978443430a004837b5b3d111cc555b51"/>
      <w:r w:rsidR="1DE38868" w:rsidRPr="004F0F5E">
        <w:rPr>
          <w:sz w:val="26"/>
          <w:szCs w:val="26"/>
        </w:rPr>
        <w:t>Rule 16(b)(2)</w:t>
      </w:r>
      <w:bookmarkStart w:id="210" w:name="dabmen_978443430a004837b5b3d111cc555b51"/>
      <w:bookmarkEnd w:id="209"/>
      <w:bookmarkEnd w:id="210"/>
      <w:r w:rsidR="1DE38868" w:rsidRPr="004F0F5E">
        <w:rPr>
          <w:sz w:val="26"/>
          <w:szCs w:val="26"/>
        </w:rPr>
        <w:t xml:space="preserve">. </w:t>
      </w:r>
      <w:r w:rsidR="009F172B">
        <w:rPr>
          <w:sz w:val="26"/>
          <w:szCs w:val="26"/>
        </w:rPr>
        <w:t>D</w:t>
      </w:r>
      <w:r w:rsidR="1DE38868" w:rsidRPr="004F0F5E">
        <w:rPr>
          <w:sz w:val="26"/>
          <w:szCs w:val="26"/>
        </w:rPr>
        <w:t>uring the interview, Armana documented “thoughts, follow-ups, questions, and the theories” regarding the defense’s case. (Armana Dep. 141–43.) Armana also testified to noting down “things that str[</w:t>
      </w:r>
      <w:proofErr w:type="spellStart"/>
      <w:r w:rsidR="1DE38868" w:rsidRPr="004F0F5E">
        <w:rPr>
          <w:sz w:val="26"/>
          <w:szCs w:val="26"/>
        </w:rPr>
        <w:t>uck</w:t>
      </w:r>
      <w:proofErr w:type="spellEnd"/>
      <w:r w:rsidR="1DE38868" w:rsidRPr="004F0F5E">
        <w:rPr>
          <w:sz w:val="26"/>
          <w:szCs w:val="26"/>
        </w:rPr>
        <w:t>]”</w:t>
      </w:r>
      <w:r w:rsidR="009F172B">
        <w:rPr>
          <w:sz w:val="26"/>
          <w:szCs w:val="26"/>
        </w:rPr>
        <w:t xml:space="preserve"> </w:t>
      </w:r>
      <w:r w:rsidR="00F215F3">
        <w:rPr>
          <w:sz w:val="26"/>
          <w:szCs w:val="26"/>
        </w:rPr>
        <w:t>about Seton’s account</w:t>
      </w:r>
      <w:r w:rsidR="1DE38868" w:rsidRPr="004F0F5E">
        <w:rPr>
          <w:sz w:val="26"/>
          <w:szCs w:val="26"/>
        </w:rPr>
        <w:t xml:space="preserve">. (Armana Dep. 124.) Therefore, the notes do more than just memorialize Seton’s answers; they reveal how </w:t>
      </w:r>
      <w:r w:rsidR="00052548">
        <w:rPr>
          <w:sz w:val="26"/>
          <w:szCs w:val="26"/>
        </w:rPr>
        <w:t xml:space="preserve">Armana </w:t>
      </w:r>
      <w:r w:rsidR="1DE38868" w:rsidRPr="004F0F5E">
        <w:rPr>
          <w:sz w:val="26"/>
          <w:szCs w:val="26"/>
        </w:rPr>
        <w:t xml:space="preserve">evaluated that information </w:t>
      </w:r>
      <w:r w:rsidR="00052548">
        <w:rPr>
          <w:sz w:val="26"/>
          <w:szCs w:val="26"/>
        </w:rPr>
        <w:t xml:space="preserve">in preparation for Calloway’s defense. </w:t>
      </w:r>
      <w:bookmarkEnd w:id="208"/>
    </w:p>
    <w:p w14:paraId="442FE42C" w14:textId="316D9D3B" w:rsidR="0098379A" w:rsidRDefault="66A8FE9F" w:rsidP="00D102C6">
      <w:pPr>
        <w:spacing w:line="480" w:lineRule="auto"/>
        <w:jc w:val="both"/>
        <w:rPr>
          <w:sz w:val="26"/>
          <w:szCs w:val="26"/>
        </w:rPr>
      </w:pPr>
      <w:bookmarkStart w:id="211" w:name="dabmch_107"/>
      <w:r w:rsidRPr="004F0F5E">
        <w:rPr>
          <w:sz w:val="26"/>
          <w:szCs w:val="26"/>
        </w:rPr>
        <w:tab/>
      </w:r>
      <w:r w:rsidR="00586E42">
        <w:rPr>
          <w:sz w:val="26"/>
          <w:szCs w:val="26"/>
        </w:rPr>
        <w:t>Importantly</w:t>
      </w:r>
      <w:r w:rsidRPr="004F0F5E">
        <w:rPr>
          <w:sz w:val="26"/>
          <w:szCs w:val="26"/>
        </w:rPr>
        <w:t>, the interview materials reflect Armana’s developing theories concerning Coastal’s operations, ownership, and control. They also contain</w:t>
      </w:r>
      <w:r w:rsidR="00AB0D18">
        <w:rPr>
          <w:sz w:val="26"/>
          <w:szCs w:val="26"/>
        </w:rPr>
        <w:t xml:space="preserve"> notes</w:t>
      </w:r>
      <w:r w:rsidRPr="004F0F5E">
        <w:rPr>
          <w:sz w:val="26"/>
          <w:szCs w:val="26"/>
        </w:rPr>
        <w:t xml:space="preserve"> on the defense’s investigative strategy. </w:t>
      </w:r>
      <w:r w:rsidR="00AB0D18" w:rsidRPr="00AB0D18">
        <w:rPr>
          <w:sz w:val="26"/>
          <w:szCs w:val="26"/>
        </w:rPr>
        <w:t>In fact, Armana flagged Seton’s information for further investigation and wrote follow-up questions to pursue those leads.</w:t>
      </w:r>
      <w:r w:rsidRPr="004F0F5E">
        <w:rPr>
          <w:sz w:val="26"/>
          <w:szCs w:val="26"/>
        </w:rPr>
        <w:t xml:space="preserve"> That assessment reflects Armana’s evaluation of the</w:t>
      </w:r>
      <w:r w:rsidR="00F70F71">
        <w:rPr>
          <w:sz w:val="26"/>
          <w:szCs w:val="26"/>
        </w:rPr>
        <w:t xml:space="preserve"> interview’s investigative significance and value to the defense.</w:t>
      </w:r>
      <w:r w:rsidRPr="004F0F5E">
        <w:rPr>
          <w:sz w:val="26"/>
          <w:szCs w:val="26"/>
        </w:rPr>
        <w:t xml:space="preserve"> Such mental impressions are unequivocally protected by </w:t>
      </w:r>
      <w:bookmarkStart w:id="212" w:name="dabmci_04a319737e214c49b53c168b92e09d2b"/>
      <w:r w:rsidRPr="004F0F5E">
        <w:rPr>
          <w:sz w:val="26"/>
          <w:szCs w:val="26"/>
        </w:rPr>
        <w:t>Rule 16(b)(2)</w:t>
      </w:r>
      <w:bookmarkStart w:id="213" w:name="dabmen_04a319737e214c49b53c168b92e09d2b"/>
      <w:bookmarkEnd w:id="212"/>
      <w:bookmarkEnd w:id="213"/>
      <w:r w:rsidRPr="004F0F5E">
        <w:rPr>
          <w:sz w:val="26"/>
          <w:szCs w:val="26"/>
        </w:rPr>
        <w:t xml:space="preserve">. </w:t>
      </w:r>
      <w:bookmarkEnd w:id="211"/>
      <w:r w:rsidR="00F70F71">
        <w:rPr>
          <w:sz w:val="26"/>
          <w:szCs w:val="26"/>
        </w:rPr>
        <w:t xml:space="preserve"> </w:t>
      </w:r>
    </w:p>
    <w:p w14:paraId="05A00A7D" w14:textId="77777777" w:rsidR="0098379A" w:rsidRDefault="0098379A" w:rsidP="00D102C6">
      <w:pPr>
        <w:spacing w:line="480" w:lineRule="auto"/>
        <w:jc w:val="both"/>
        <w:rPr>
          <w:sz w:val="26"/>
          <w:szCs w:val="26"/>
        </w:rPr>
      </w:pPr>
    </w:p>
    <w:p w14:paraId="2A0E4E15" w14:textId="77777777" w:rsidR="0098379A" w:rsidRPr="00F70F71" w:rsidRDefault="0098379A" w:rsidP="00D102C6">
      <w:pPr>
        <w:spacing w:line="480" w:lineRule="auto"/>
        <w:jc w:val="both"/>
        <w:rPr>
          <w:sz w:val="26"/>
          <w:szCs w:val="26"/>
        </w:rPr>
      </w:pPr>
    </w:p>
    <w:p w14:paraId="77070819" w14:textId="77777777" w:rsidR="005B168C" w:rsidRPr="004F0F5E" w:rsidRDefault="6C976F20" w:rsidP="0021769E">
      <w:pPr>
        <w:pStyle w:val="Heading2"/>
        <w:numPr>
          <w:ilvl w:val="0"/>
          <w:numId w:val="31"/>
        </w:numPr>
        <w:tabs>
          <w:tab w:val="left" w:pos="720"/>
        </w:tabs>
        <w:spacing w:after="240"/>
        <w:jc w:val="both"/>
        <w:rPr>
          <w:sz w:val="26"/>
          <w:szCs w:val="26"/>
        </w:rPr>
      </w:pPr>
      <w:bookmarkStart w:id="214" w:name="dabmch_108"/>
      <w:bookmarkStart w:id="215" w:name="_Toc239116043"/>
      <w:r w:rsidRPr="004F0F5E">
        <w:rPr>
          <w:sz w:val="26"/>
          <w:szCs w:val="26"/>
        </w:rPr>
        <w:lastRenderedPageBreak/>
        <w:t xml:space="preserve">Any Factual Portions of Armana’s Interview Records are Protected </w:t>
      </w:r>
      <w:proofErr w:type="gramStart"/>
      <w:r w:rsidRPr="004F0F5E">
        <w:rPr>
          <w:sz w:val="26"/>
          <w:szCs w:val="26"/>
        </w:rPr>
        <w:t>From</w:t>
      </w:r>
      <w:proofErr w:type="gramEnd"/>
      <w:r w:rsidRPr="004F0F5E">
        <w:rPr>
          <w:sz w:val="26"/>
          <w:szCs w:val="26"/>
        </w:rPr>
        <w:t xml:space="preserve"> Disclosure Because the Government Fails to Prove Substantial Need and Undue Hardship.</w:t>
      </w:r>
      <w:bookmarkEnd w:id="214"/>
      <w:bookmarkEnd w:id="215"/>
    </w:p>
    <w:p w14:paraId="63CEB020" w14:textId="77777777" w:rsidR="0021769E" w:rsidRDefault="60373D95" w:rsidP="0021769E">
      <w:pPr>
        <w:spacing w:line="480" w:lineRule="auto"/>
        <w:ind w:firstLine="720"/>
        <w:jc w:val="both"/>
        <w:rPr>
          <w:sz w:val="26"/>
          <w:szCs w:val="26"/>
        </w:rPr>
      </w:pPr>
      <w:bookmarkStart w:id="216" w:name="dabmch_109"/>
      <w:r w:rsidRPr="004F0F5E">
        <w:rPr>
          <w:sz w:val="26"/>
          <w:szCs w:val="26"/>
        </w:rPr>
        <w:t xml:space="preserve">To the extent the Government characterizes portions of Armana’s notes as discoverable fact work product, “the collection of those facts itself might nonetheless reveal an attorney’s thought processes and mental impressions of the case, thereby converting the information into ‘opinion’ work product.” </w:t>
      </w:r>
      <w:bookmarkStart w:id="217" w:name="dabmci_308c393e12894cc78de68957aec7853c"/>
      <w:r w:rsidRPr="004F0F5E">
        <w:rPr>
          <w:i/>
          <w:iCs/>
          <w:sz w:val="26"/>
          <w:szCs w:val="26"/>
        </w:rPr>
        <w:t>United States v. Nosal</w:t>
      </w:r>
      <w:r w:rsidRPr="004F0F5E">
        <w:rPr>
          <w:sz w:val="26"/>
          <w:szCs w:val="26"/>
        </w:rPr>
        <w:t>, No. CR-08-0237 EMC, 2013 WL 1402336, at *2 (N.D. Cal. Apr. 5, 2013)</w:t>
      </w:r>
      <w:bookmarkStart w:id="218" w:name="dabmen_308c393e12894cc78de68957aec7853c"/>
      <w:bookmarkEnd w:id="217"/>
      <w:bookmarkEnd w:id="218"/>
      <w:r w:rsidRPr="004F0F5E">
        <w:rPr>
          <w:sz w:val="26"/>
          <w:szCs w:val="26"/>
        </w:rPr>
        <w:t xml:space="preserve"> (quoting </w:t>
      </w:r>
      <w:bookmarkStart w:id="219" w:name="dabmci_4a2c660306bd45a98aba954008748ce7"/>
      <w:r w:rsidRPr="004F0F5E">
        <w:rPr>
          <w:i/>
          <w:iCs/>
          <w:sz w:val="26"/>
          <w:szCs w:val="26"/>
        </w:rPr>
        <w:t>Clemens</w:t>
      </w:r>
      <w:r w:rsidR="25C31B48" w:rsidRPr="004F0F5E">
        <w:rPr>
          <w:sz w:val="26"/>
          <w:szCs w:val="26"/>
        </w:rPr>
        <w:t>, 793 F. Supp. 2d at 245</w:t>
      </w:r>
      <w:bookmarkStart w:id="220" w:name="dabmen_4a2c660306bd45a98aba954008748ce7"/>
      <w:bookmarkEnd w:id="219"/>
      <w:bookmarkEnd w:id="220"/>
      <w:r w:rsidR="25C31B48" w:rsidRPr="004F0F5E">
        <w:rPr>
          <w:sz w:val="26"/>
          <w:szCs w:val="26"/>
        </w:rPr>
        <w:t xml:space="preserve">). Exhibit 21 warrants heightened protection because it records Seton’s oral statements to defense counsel’s agent. </w:t>
      </w:r>
      <w:r w:rsidR="1142D6FF" w:rsidRPr="004F0F5E">
        <w:rPr>
          <w:i/>
          <w:iCs/>
          <w:sz w:val="26"/>
          <w:szCs w:val="26"/>
        </w:rPr>
        <w:t xml:space="preserve">See </w:t>
      </w:r>
      <w:bookmarkStart w:id="221" w:name="dabmci_6665f5890a334357a6090887a9095431"/>
      <w:r w:rsidR="1142D6FF" w:rsidRPr="004F0F5E">
        <w:rPr>
          <w:i/>
          <w:iCs/>
          <w:sz w:val="26"/>
          <w:szCs w:val="26"/>
        </w:rPr>
        <w:t>In re Grand Jury Proceedings</w:t>
      </w:r>
      <w:r w:rsidR="1142D6FF" w:rsidRPr="004F0F5E">
        <w:rPr>
          <w:sz w:val="26"/>
          <w:szCs w:val="26"/>
        </w:rPr>
        <w:t>, 43 F.3d 966, 970 (5th Cir. 1994)</w:t>
      </w:r>
      <w:bookmarkStart w:id="222" w:name="dabmen_6665f5890a334357a6090887a9095431"/>
      <w:bookmarkEnd w:id="221"/>
      <w:bookmarkEnd w:id="222"/>
      <w:r w:rsidR="1142D6FF" w:rsidRPr="004F0F5E">
        <w:rPr>
          <w:sz w:val="26"/>
          <w:szCs w:val="26"/>
        </w:rPr>
        <w:t xml:space="preserve"> (citing </w:t>
      </w:r>
      <w:bookmarkStart w:id="223" w:name="dabmci_6a2f05bd359e487a96e9b976c5d7f07b"/>
      <w:r w:rsidR="1142D6FF" w:rsidRPr="004F0F5E">
        <w:rPr>
          <w:i/>
          <w:iCs/>
          <w:sz w:val="26"/>
          <w:szCs w:val="26"/>
        </w:rPr>
        <w:t>Upjohn Co. v. United States</w:t>
      </w:r>
      <w:r w:rsidR="1142D6FF" w:rsidRPr="004F0F5E">
        <w:rPr>
          <w:sz w:val="26"/>
          <w:szCs w:val="26"/>
        </w:rPr>
        <w:t>, 449 U.S. 383, 400 (1981)</w:t>
      </w:r>
      <w:bookmarkStart w:id="224" w:name="dabmen_6a2f05bd359e487a96e9b976c5d7f07b"/>
      <w:bookmarkEnd w:id="223"/>
      <w:bookmarkEnd w:id="224"/>
      <w:r w:rsidR="1142D6FF" w:rsidRPr="004F0F5E">
        <w:rPr>
          <w:sz w:val="26"/>
          <w:szCs w:val="26"/>
        </w:rPr>
        <w:t xml:space="preserve"> (“[T]he stricter limits on disclosure of work product which results from oral communications with third parties is also necessary due to the likelihood that such documents will reveal the attorney’s mental processes or litigation strategy.”)).</w:t>
      </w:r>
      <w:bookmarkEnd w:id="216"/>
    </w:p>
    <w:p w14:paraId="0BE0EDCF" w14:textId="6CDC999F" w:rsidR="0098379A" w:rsidRDefault="4894F53E" w:rsidP="0098379A">
      <w:pPr>
        <w:spacing w:line="480" w:lineRule="auto"/>
        <w:ind w:firstLine="720"/>
        <w:jc w:val="both"/>
        <w:rPr>
          <w:sz w:val="26"/>
          <w:szCs w:val="26"/>
        </w:rPr>
      </w:pPr>
      <w:bookmarkStart w:id="225" w:name="dabmch_110"/>
      <w:r w:rsidRPr="004F0F5E">
        <w:rPr>
          <w:sz w:val="26"/>
          <w:szCs w:val="26"/>
        </w:rPr>
        <w:t xml:space="preserve">Even if the notes contain fact work product that is not entitled to absolute protection, the Government must show both a “substantial need and an inability to secure the substantial equivalent of the materials by alternate means without undue hardship.” </w:t>
      </w:r>
      <w:bookmarkStart w:id="226" w:name="dabmci_bc31807e0ed4446bb0f450512be25b61"/>
      <w:r w:rsidRPr="004F0F5E">
        <w:rPr>
          <w:i/>
          <w:iCs/>
          <w:sz w:val="26"/>
          <w:szCs w:val="26"/>
        </w:rPr>
        <w:t>In re Grand Jury Proceedings</w:t>
      </w:r>
      <w:r w:rsidRPr="004F0F5E">
        <w:rPr>
          <w:sz w:val="26"/>
          <w:szCs w:val="26"/>
        </w:rPr>
        <w:t>,</w:t>
      </w:r>
      <w:r w:rsidRPr="004F0F5E">
        <w:rPr>
          <w:i/>
          <w:iCs/>
          <w:sz w:val="26"/>
          <w:szCs w:val="26"/>
        </w:rPr>
        <w:t xml:space="preserve"> G.S., F.S.,</w:t>
      </w:r>
      <w:r w:rsidRPr="004F0F5E">
        <w:rPr>
          <w:sz w:val="26"/>
          <w:szCs w:val="26"/>
        </w:rPr>
        <w:t xml:space="preserve"> 609 F.3d 909, 913 (8th Cir. 2010)</w:t>
      </w:r>
      <w:bookmarkStart w:id="227" w:name="dabmen_bc31807e0ed4446bb0f450512be25b61"/>
      <w:bookmarkEnd w:id="226"/>
      <w:bookmarkEnd w:id="227"/>
      <w:r w:rsidRPr="004F0F5E">
        <w:rPr>
          <w:sz w:val="26"/>
          <w:szCs w:val="26"/>
        </w:rPr>
        <w:t xml:space="preserve"> (quoting </w:t>
      </w:r>
      <w:bookmarkStart w:id="228" w:name="dabmci_a8ed9b5c996144a8bf96b62d376fab63"/>
      <w:proofErr w:type="gramStart"/>
      <w:r w:rsidRPr="004F0F5E">
        <w:rPr>
          <w:i/>
          <w:iCs/>
          <w:sz w:val="26"/>
          <w:szCs w:val="26"/>
        </w:rPr>
        <w:t>In</w:t>
      </w:r>
      <w:proofErr w:type="gramEnd"/>
      <w:r w:rsidRPr="004F0F5E">
        <w:rPr>
          <w:i/>
          <w:iCs/>
          <w:sz w:val="26"/>
          <w:szCs w:val="26"/>
        </w:rPr>
        <w:t xml:space="preserve"> re Murphy</w:t>
      </w:r>
      <w:r w:rsidR="1D6A9A6C" w:rsidRPr="004F0F5E">
        <w:rPr>
          <w:sz w:val="26"/>
          <w:szCs w:val="26"/>
        </w:rPr>
        <w:t>, 560 F.2d 326, 336 (8th Cir. 1977)</w:t>
      </w:r>
      <w:bookmarkStart w:id="229" w:name="dabmen_a8ed9b5c996144a8bf96b62d376fab63"/>
      <w:bookmarkEnd w:id="228"/>
      <w:bookmarkEnd w:id="229"/>
      <w:r w:rsidR="1D6A9A6C" w:rsidRPr="004F0F5E">
        <w:rPr>
          <w:sz w:val="26"/>
          <w:szCs w:val="26"/>
        </w:rPr>
        <w:t xml:space="preserve">) (citation modified). The Government fails to make that showing here. </w:t>
      </w:r>
      <w:bookmarkEnd w:id="225"/>
    </w:p>
    <w:p w14:paraId="6A449D80" w14:textId="77777777" w:rsidR="0098379A" w:rsidRDefault="0098379A" w:rsidP="0098379A">
      <w:pPr>
        <w:spacing w:line="480" w:lineRule="auto"/>
        <w:ind w:firstLine="720"/>
        <w:jc w:val="both"/>
        <w:rPr>
          <w:sz w:val="26"/>
          <w:szCs w:val="26"/>
        </w:rPr>
      </w:pPr>
    </w:p>
    <w:p w14:paraId="48A5E807" w14:textId="77777777" w:rsidR="0098379A" w:rsidRPr="00065D3C" w:rsidRDefault="0098379A" w:rsidP="0098379A">
      <w:pPr>
        <w:spacing w:line="480" w:lineRule="auto"/>
        <w:ind w:firstLine="720"/>
        <w:jc w:val="both"/>
        <w:rPr>
          <w:sz w:val="26"/>
          <w:szCs w:val="26"/>
        </w:rPr>
      </w:pPr>
    </w:p>
    <w:p w14:paraId="55857928" w14:textId="77777777" w:rsidR="5C93DE41" w:rsidRPr="004F0F5E" w:rsidRDefault="00893525" w:rsidP="00E64891">
      <w:pPr>
        <w:pStyle w:val="Heading3"/>
        <w:numPr>
          <w:ilvl w:val="0"/>
          <w:numId w:val="32"/>
        </w:numPr>
        <w:spacing w:after="240"/>
        <w:jc w:val="both"/>
        <w:rPr>
          <w:b w:val="0"/>
          <w:bCs w:val="0"/>
          <w:sz w:val="26"/>
          <w:szCs w:val="26"/>
        </w:rPr>
      </w:pPr>
      <w:bookmarkStart w:id="230" w:name="dabmch_111"/>
      <w:bookmarkStart w:id="231" w:name="_Toc239116044"/>
      <w:r w:rsidRPr="004F0F5E">
        <w:rPr>
          <w:sz w:val="26"/>
          <w:szCs w:val="26"/>
        </w:rPr>
        <w:lastRenderedPageBreak/>
        <w:t>The Government Fails to Establish a Substantial Need for Armana’s Interview Records Because It Already Possesses the Information It Now Seeks.</w:t>
      </w:r>
      <w:bookmarkEnd w:id="230"/>
      <w:bookmarkEnd w:id="231"/>
    </w:p>
    <w:p w14:paraId="7C85E9D7" w14:textId="77777777" w:rsidR="1A89A4D0" w:rsidRPr="004F0F5E" w:rsidRDefault="42CAC97E" w:rsidP="00E64891">
      <w:pPr>
        <w:spacing w:line="480" w:lineRule="auto"/>
        <w:jc w:val="both"/>
        <w:rPr>
          <w:b/>
          <w:bCs/>
          <w:sz w:val="26"/>
          <w:szCs w:val="26"/>
        </w:rPr>
      </w:pPr>
      <w:bookmarkStart w:id="232" w:name="dabmch_112"/>
      <w:r w:rsidRPr="004F0F5E">
        <w:rPr>
          <w:sz w:val="26"/>
          <w:szCs w:val="26"/>
        </w:rPr>
        <w:tab/>
        <w:t xml:space="preserve">Even assuming </w:t>
      </w:r>
      <w:r w:rsidRPr="004F0F5E">
        <w:rPr>
          <w:i/>
          <w:iCs/>
          <w:sz w:val="26"/>
          <w:szCs w:val="26"/>
        </w:rPr>
        <w:t>arguendo</w:t>
      </w:r>
      <w:r w:rsidR="57523A5E" w:rsidRPr="004F0F5E">
        <w:rPr>
          <w:sz w:val="26"/>
          <w:szCs w:val="26"/>
        </w:rPr>
        <w:t xml:space="preserve"> that Armana’s interview notes are the only surviving record of Seton’s statements, the Government still cannot establish substantial need. It already possesses extensive information concerning Coastal it obtained independently of Armana’s interview. The Government independently obtained corporate registration records, call records, and Coastal’s bank records. (Ex. 2; Ex. 7; Ex. 9.) The Government’s own investigation, through subpoenas and public filings, produced a substantial factual record without Armana’s interview. Having developed that record independently, the Government cannot establish substantial need for Armana’s notes. </w:t>
      </w:r>
      <w:bookmarkEnd w:id="232"/>
    </w:p>
    <w:p w14:paraId="3868D60A" w14:textId="77777777" w:rsidR="1AEDA2D1" w:rsidRPr="004F0F5E" w:rsidRDefault="373A2AEB" w:rsidP="00E64891">
      <w:pPr>
        <w:pStyle w:val="Heading3"/>
        <w:numPr>
          <w:ilvl w:val="0"/>
          <w:numId w:val="34"/>
        </w:numPr>
        <w:spacing w:after="240"/>
        <w:jc w:val="both"/>
        <w:rPr>
          <w:sz w:val="26"/>
          <w:szCs w:val="26"/>
        </w:rPr>
      </w:pPr>
      <w:bookmarkStart w:id="233" w:name="dabmch_113"/>
      <w:bookmarkStart w:id="234" w:name="_Toc239116045"/>
      <w:r w:rsidRPr="004F0F5E">
        <w:rPr>
          <w:sz w:val="26"/>
          <w:szCs w:val="26"/>
        </w:rPr>
        <w:t>The Government Cannot Establish Undue Hardship by Relying on Its Own Failure to Pursue Available Means of Locating Seton.</w:t>
      </w:r>
      <w:bookmarkEnd w:id="233"/>
      <w:bookmarkEnd w:id="234"/>
    </w:p>
    <w:p w14:paraId="28E81E11" w14:textId="77777777" w:rsidR="1AEDA2D1" w:rsidRPr="004F0F5E" w:rsidRDefault="00893525" w:rsidP="00E64891">
      <w:pPr>
        <w:spacing w:line="480" w:lineRule="auto"/>
        <w:ind w:firstLine="720"/>
        <w:jc w:val="both"/>
        <w:rPr>
          <w:sz w:val="26"/>
          <w:szCs w:val="26"/>
        </w:rPr>
      </w:pPr>
      <w:bookmarkStart w:id="235" w:name="dabmch_114"/>
      <w:r w:rsidRPr="004F0F5E">
        <w:rPr>
          <w:sz w:val="26"/>
          <w:szCs w:val="26"/>
        </w:rPr>
        <w:t xml:space="preserve">Any alleged undue hardship for the interview records is insufficient because the Government wants access to information it simply could have, but failed, to obtain itself. Ironically, the Government has not shown it exhausted its own, and considerably greater, investigative resources to locate Seton. Instead, the Government wants to rely on the defense’s private investigator to do the work for it. </w:t>
      </w:r>
      <w:bookmarkEnd w:id="235"/>
    </w:p>
    <w:p w14:paraId="238B42A9" w14:textId="77777777" w:rsidR="00F90277" w:rsidRDefault="00893525" w:rsidP="00F90277">
      <w:pPr>
        <w:spacing w:line="480" w:lineRule="auto"/>
        <w:ind w:firstLine="720"/>
        <w:jc w:val="both"/>
        <w:rPr>
          <w:sz w:val="26"/>
          <w:szCs w:val="26"/>
        </w:rPr>
      </w:pPr>
      <w:bookmarkStart w:id="236" w:name="dabmch_115"/>
      <w:r w:rsidRPr="004F0F5E">
        <w:rPr>
          <w:sz w:val="26"/>
          <w:szCs w:val="26"/>
        </w:rPr>
        <w:t xml:space="preserve">Armana found and interviewed Seton on February 15, 2024, by pulling “old records, [running] down former addresses, and [talking] to people connected to Sierra’s past, including old coworkers, [and] an old landlord </w:t>
      </w:r>
      <w:proofErr w:type="gramStart"/>
      <w:r w:rsidRPr="004F0F5E">
        <w:rPr>
          <w:sz w:val="26"/>
          <w:szCs w:val="26"/>
        </w:rPr>
        <w:t>. . . .</w:t>
      </w:r>
      <w:proofErr w:type="gramEnd"/>
      <w:r w:rsidRPr="004F0F5E">
        <w:rPr>
          <w:sz w:val="26"/>
          <w:szCs w:val="26"/>
        </w:rPr>
        <w:t xml:space="preserve">” (Armana Dep. 74–76.) Armana “built out a picture of Sierra’s life and worked it until her current location shook loose.” (Armana Dep. 76–78.) The Government offers no comparable showing of diligence. On the contrary, </w:t>
      </w:r>
      <w:r w:rsidRPr="004F0F5E">
        <w:rPr>
          <w:sz w:val="26"/>
          <w:szCs w:val="26"/>
        </w:rPr>
        <w:lastRenderedPageBreak/>
        <w:t xml:space="preserve">nowhere in the record does the Government suggest that its own agent, Nolan, with sixteen years of experience, attempted to search old records, talk to any people connected to Seton, or otherwise diligently search for her. </w:t>
      </w:r>
      <w:bookmarkStart w:id="237" w:name="dabmch_116"/>
      <w:bookmarkEnd w:id="236"/>
    </w:p>
    <w:p w14:paraId="15DEB642" w14:textId="25E85854" w:rsidR="1AEDA2D1" w:rsidRPr="00F90277" w:rsidRDefault="00893525" w:rsidP="00F90277">
      <w:pPr>
        <w:spacing w:line="480" w:lineRule="auto"/>
        <w:ind w:firstLine="720"/>
        <w:jc w:val="both"/>
        <w:rPr>
          <w:sz w:val="26"/>
          <w:szCs w:val="26"/>
        </w:rPr>
      </w:pPr>
      <w:r w:rsidRPr="004F0F5E">
        <w:rPr>
          <w:sz w:val="26"/>
          <w:szCs w:val="26"/>
        </w:rPr>
        <w:t xml:space="preserve">In fact, no </w:t>
      </w:r>
      <w:r w:rsidR="00C07149">
        <w:rPr>
          <w:sz w:val="26"/>
          <w:szCs w:val="26"/>
        </w:rPr>
        <w:t>G</w:t>
      </w:r>
      <w:r w:rsidRPr="004F0F5E">
        <w:rPr>
          <w:sz w:val="26"/>
          <w:szCs w:val="26"/>
        </w:rPr>
        <w:t xml:space="preserve">overnment agent described </w:t>
      </w:r>
      <w:r w:rsidRPr="004F0F5E">
        <w:rPr>
          <w:i/>
          <w:iCs/>
          <w:sz w:val="26"/>
          <w:szCs w:val="26"/>
        </w:rPr>
        <w:t>any</w:t>
      </w:r>
      <w:r w:rsidRPr="004F0F5E">
        <w:rPr>
          <w:sz w:val="26"/>
          <w:szCs w:val="26"/>
        </w:rPr>
        <w:t xml:space="preserve"> efforts to locate Seton until Nolan got Seton’s name in the spring of 2024. (Nolan Dep. 16</w:t>
      </w:r>
      <w:r w:rsidR="570A086F" w:rsidRPr="004F0F5E">
        <w:rPr>
          <w:color w:val="000000" w:themeColor="text1"/>
          <w:sz w:val="26"/>
          <w:szCs w:val="26"/>
        </w:rPr>
        <w:t>–</w:t>
      </w:r>
      <w:r w:rsidR="0D6144E9" w:rsidRPr="004F0F5E">
        <w:rPr>
          <w:sz w:val="26"/>
          <w:szCs w:val="26"/>
        </w:rPr>
        <w:t xml:space="preserve">26.) The Government cannot establish any hardship, let alone </w:t>
      </w:r>
      <w:r w:rsidR="0D6144E9" w:rsidRPr="004F0F5E">
        <w:rPr>
          <w:i/>
          <w:iCs/>
          <w:sz w:val="26"/>
          <w:szCs w:val="26"/>
        </w:rPr>
        <w:t>undue</w:t>
      </w:r>
      <w:r w:rsidRPr="004F0F5E">
        <w:rPr>
          <w:sz w:val="26"/>
          <w:szCs w:val="26"/>
        </w:rPr>
        <w:t xml:space="preserve"> hardship, from its own failure to investigate and locate a witness through reasonably available means. Nor can it shift the burden of its investigative failures onto the defense to compensate for its own lack of investigative effort.</w:t>
      </w:r>
      <w:bookmarkEnd w:id="237"/>
      <w:r w:rsidR="007F2CAE">
        <w:rPr>
          <w:sz w:val="26"/>
          <w:szCs w:val="26"/>
        </w:rPr>
        <w:t xml:space="preserve"> Therefore, the Motion to Quash should be granted.</w:t>
      </w:r>
    </w:p>
    <w:p w14:paraId="1C02CAE2" w14:textId="77777777" w:rsidR="00EC5DC1" w:rsidRPr="004F0F5E" w:rsidRDefault="00893525" w:rsidP="00B23E73">
      <w:pPr>
        <w:pStyle w:val="Heading1"/>
        <w:spacing w:before="240" w:line="480" w:lineRule="auto"/>
        <w:jc w:val="center"/>
        <w:rPr>
          <w:b w:val="0"/>
          <w:bCs w:val="0"/>
          <w:color w:val="000000" w:themeColor="text1"/>
          <w:sz w:val="26"/>
          <w:szCs w:val="26"/>
        </w:rPr>
      </w:pPr>
      <w:bookmarkStart w:id="238" w:name="dabmch_117"/>
      <w:bookmarkStart w:id="239" w:name="_Toc239116046"/>
      <w:r w:rsidRPr="004F0F5E">
        <w:rPr>
          <w:sz w:val="26"/>
          <w:szCs w:val="26"/>
        </w:rPr>
        <w:t>CONCLUSION</w:t>
      </w:r>
      <w:bookmarkEnd w:id="238"/>
      <w:bookmarkEnd w:id="239"/>
    </w:p>
    <w:p w14:paraId="322E0FD4" w14:textId="77777777" w:rsidR="00EC5DC1" w:rsidRPr="00065D3C" w:rsidRDefault="00893525" w:rsidP="00065D3C">
      <w:pPr>
        <w:spacing w:line="480" w:lineRule="auto"/>
        <w:ind w:firstLine="720"/>
        <w:jc w:val="both"/>
        <w:rPr>
          <w:sz w:val="26"/>
          <w:szCs w:val="26"/>
        </w:rPr>
      </w:pPr>
      <w:bookmarkStart w:id="240" w:name="dabmch_118"/>
      <w:r w:rsidRPr="004F0F5E">
        <w:rPr>
          <w:sz w:val="26"/>
          <w:szCs w:val="26"/>
        </w:rPr>
        <w:t>For the foregoing reasons, Ms. Calloway respectfully requests this Court grant Defendant’s Motion to Suppress and Motion to Quash the Subpoena.</w:t>
      </w:r>
      <w:bookmarkEnd w:id="240"/>
    </w:p>
    <w:p w14:paraId="2C21F5AF" w14:textId="77777777" w:rsidR="00EC5DC1" w:rsidRPr="004F0F5E" w:rsidRDefault="00EC5DC1" w:rsidP="38A6BBE3">
      <w:pPr>
        <w:shd w:val="clear" w:color="auto" w:fill="FFFFFF" w:themeFill="background1"/>
        <w:spacing w:line="480" w:lineRule="auto"/>
        <w:ind w:firstLine="360"/>
        <w:rPr>
          <w:sz w:val="26"/>
          <w:szCs w:val="26"/>
        </w:rPr>
      </w:pPr>
    </w:p>
    <w:p w14:paraId="2DDB00DC" w14:textId="77777777" w:rsidR="00EC5DC1" w:rsidRPr="004F0F5E" w:rsidRDefault="00893525" w:rsidP="004F0F5E">
      <w:pPr>
        <w:shd w:val="clear" w:color="auto" w:fill="FFFFFF" w:themeFill="background1"/>
        <w:ind w:firstLine="360"/>
        <w:jc w:val="right"/>
        <w:rPr>
          <w:color w:val="000000" w:themeColor="text1"/>
          <w:sz w:val="26"/>
          <w:szCs w:val="26"/>
        </w:rPr>
      </w:pPr>
      <w:bookmarkStart w:id="241" w:name="dabmch_119"/>
      <w:r w:rsidRPr="004F0F5E">
        <w:rPr>
          <w:color w:val="000000" w:themeColor="text1"/>
          <w:sz w:val="26"/>
          <w:szCs w:val="26"/>
        </w:rPr>
        <w:t>Respectfully Submitted,</w:t>
      </w:r>
      <w:bookmarkEnd w:id="241"/>
    </w:p>
    <w:p w14:paraId="45BCB9EF" w14:textId="77777777" w:rsidR="00EC5DC1" w:rsidRPr="004F0F5E" w:rsidRDefault="00EC5DC1" w:rsidP="38A6BBE3">
      <w:pPr>
        <w:shd w:val="clear" w:color="auto" w:fill="FFFFFF" w:themeFill="background1"/>
        <w:ind w:firstLine="360"/>
        <w:rPr>
          <w:color w:val="000000" w:themeColor="text1"/>
          <w:sz w:val="26"/>
          <w:szCs w:val="26"/>
        </w:rPr>
      </w:pPr>
    </w:p>
    <w:p w14:paraId="7435E0A2" w14:textId="77777777" w:rsidR="004F0F5E" w:rsidRPr="004F0F5E" w:rsidRDefault="4811CCAA" w:rsidP="004F0F5E">
      <w:pPr>
        <w:shd w:val="clear" w:color="auto" w:fill="FFFFFF" w:themeFill="background1"/>
        <w:ind w:firstLine="360"/>
        <w:jc w:val="right"/>
        <w:rPr>
          <w:color w:val="000000" w:themeColor="text1"/>
          <w:sz w:val="26"/>
          <w:szCs w:val="26"/>
          <w:u w:val="single"/>
        </w:rPr>
      </w:pPr>
      <w:bookmarkStart w:id="242" w:name="dabmch_120"/>
      <w:r w:rsidRPr="004F0F5E">
        <w:rPr>
          <w:color w:val="000000" w:themeColor="text1"/>
          <w:sz w:val="26"/>
          <w:szCs w:val="26"/>
          <w:u w:val="single"/>
        </w:rPr>
        <w:t>/s/ Team 314</w:t>
      </w:r>
      <w:bookmarkEnd w:id="242"/>
    </w:p>
    <w:p w14:paraId="51F7ACBF" w14:textId="77777777" w:rsidR="00EC5DC1" w:rsidRPr="004F0F5E" w:rsidRDefault="00893525" w:rsidP="004F0F5E">
      <w:pPr>
        <w:shd w:val="clear" w:color="auto" w:fill="FFFFFF" w:themeFill="background1"/>
        <w:ind w:firstLine="360"/>
        <w:jc w:val="right"/>
        <w:rPr>
          <w:i/>
          <w:iCs/>
          <w:color w:val="000000" w:themeColor="text1"/>
          <w:sz w:val="26"/>
          <w:szCs w:val="26"/>
          <w:u w:val="single"/>
        </w:rPr>
      </w:pPr>
      <w:bookmarkStart w:id="243" w:name="dabmch_121"/>
      <w:r w:rsidRPr="004F0F5E">
        <w:rPr>
          <w:i/>
          <w:iCs/>
          <w:color w:val="000000" w:themeColor="text1"/>
          <w:sz w:val="26"/>
          <w:szCs w:val="26"/>
        </w:rPr>
        <w:t>Attorneys for Defendant</w:t>
      </w:r>
      <w:bookmarkStart w:id="244" w:name="_Toc207634482"/>
      <w:bookmarkEnd w:id="243"/>
      <w:bookmarkEnd w:id="244"/>
    </w:p>
    <w:p w14:paraId="25AB0C02" w14:textId="77777777" w:rsidR="00573824" w:rsidRPr="004F0F5E" w:rsidRDefault="00573824" w:rsidP="00B47ABA">
      <w:pPr>
        <w:pStyle w:val="Heading2"/>
        <w:tabs>
          <w:tab w:val="left" w:pos="720"/>
        </w:tabs>
        <w:spacing w:after="240"/>
        <w:jc w:val="both"/>
        <w:rPr>
          <w:sz w:val="26"/>
          <w:szCs w:val="26"/>
        </w:rPr>
      </w:pPr>
    </w:p>
    <w:p w14:paraId="2DF85C6E" w14:textId="77777777" w:rsidR="00044FB7" w:rsidRPr="004F0F5E" w:rsidRDefault="00044FB7" w:rsidP="00E12C59">
      <w:pPr>
        <w:pStyle w:val="Heading2"/>
        <w:tabs>
          <w:tab w:val="left" w:pos="720"/>
        </w:tabs>
        <w:spacing w:after="240" w:line="480" w:lineRule="auto"/>
        <w:jc w:val="both"/>
        <w:rPr>
          <w:sz w:val="26"/>
          <w:szCs w:val="26"/>
        </w:rPr>
      </w:pPr>
    </w:p>
    <w:sectPr w:rsidR="00044FB7" w:rsidRPr="004F0F5E">
      <w:footerReference w:type="default" r:id="rId8"/>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BBA36" w14:textId="77777777" w:rsidR="00BF3C6D" w:rsidRDefault="00BF3C6D">
      <w:r>
        <w:separator/>
      </w:r>
    </w:p>
  </w:endnote>
  <w:endnote w:type="continuationSeparator" w:id="0">
    <w:p w14:paraId="7B267F32" w14:textId="77777777" w:rsidR="00BF3C6D" w:rsidRDefault="00BF3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9" w:name="dabmch_0"/>
  <w:p w14:paraId="5780832F" w14:textId="77777777" w:rsidR="00044FB7" w:rsidRDefault="00893525">
    <w:pPr>
      <w:jc w:val="center"/>
    </w:pPr>
    <w:r>
      <w:fldChar w:fldCharType="begin"/>
    </w:r>
    <w:r>
      <w:instrText>PAGE</w:instrText>
    </w:r>
    <w:r>
      <w:fldChar w:fldCharType="separate"/>
    </w:r>
    <w:r>
      <w:t>v</w:t>
    </w:r>
    <w:r>
      <w:fldChar w:fldCharType="end"/>
    </w:r>
    <w:bookmarkEnd w:id="1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45" w:name="dabmch_38"/>
  <w:p w14:paraId="361C1A7A" w14:textId="77777777" w:rsidR="00044FB7" w:rsidRPr="00AB4494" w:rsidRDefault="00893525">
    <w:pPr>
      <w:jc w:val="center"/>
      <w:rPr>
        <w:sz w:val="26"/>
        <w:szCs w:val="26"/>
      </w:rPr>
    </w:pPr>
    <w:r w:rsidRPr="00AB4494">
      <w:rPr>
        <w:sz w:val="26"/>
        <w:szCs w:val="26"/>
      </w:rPr>
      <w:fldChar w:fldCharType="begin"/>
    </w:r>
    <w:r w:rsidRPr="00AB4494">
      <w:rPr>
        <w:sz w:val="26"/>
        <w:szCs w:val="26"/>
      </w:rPr>
      <w:instrText>PAGE</w:instrText>
    </w:r>
    <w:r w:rsidRPr="00AB4494">
      <w:rPr>
        <w:sz w:val="26"/>
        <w:szCs w:val="26"/>
      </w:rPr>
      <w:fldChar w:fldCharType="separate"/>
    </w:r>
    <w:r w:rsidRPr="00AB4494">
      <w:rPr>
        <w:sz w:val="26"/>
        <w:szCs w:val="26"/>
      </w:rPr>
      <w:t>19</w:t>
    </w:r>
    <w:r w:rsidRPr="00AB4494">
      <w:rPr>
        <w:sz w:val="26"/>
        <w:szCs w:val="26"/>
      </w:rPr>
      <w:fldChar w:fldCharType="end"/>
    </w:r>
    <w:bookmarkEnd w:id="24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D2073" w14:textId="77777777" w:rsidR="00BF3C6D" w:rsidRDefault="00BF3C6D">
      <w:r>
        <w:separator/>
      </w:r>
    </w:p>
  </w:footnote>
  <w:footnote w:type="continuationSeparator" w:id="0">
    <w:p w14:paraId="28802B70" w14:textId="77777777" w:rsidR="00BF3C6D" w:rsidRDefault="00BF3C6D">
      <w:r>
        <w:continuationSeparator/>
      </w:r>
    </w:p>
  </w:footnote>
  <w:footnote w:id="1">
    <w:p w14:paraId="44ED3D94" w14:textId="77777777" w:rsidR="38A6BBE3" w:rsidRPr="00C851CA" w:rsidRDefault="00893525" w:rsidP="00D77EBC">
      <w:pPr>
        <w:pStyle w:val="FootnoteText"/>
        <w:jc w:val="both"/>
        <w:rPr>
          <w:sz w:val="26"/>
          <w:szCs w:val="26"/>
        </w:rPr>
      </w:pPr>
      <w:bookmarkStart w:id="26" w:name="dabmch_42"/>
      <w:r w:rsidRPr="00C851CA">
        <w:rPr>
          <w:rStyle w:val="FootnoteReference"/>
          <w:sz w:val="26"/>
          <w:szCs w:val="26"/>
        </w:rPr>
        <w:footnoteRef/>
      </w:r>
      <w:r w:rsidRPr="00C851CA">
        <w:rPr>
          <w:sz w:val="26"/>
          <w:szCs w:val="26"/>
        </w:rPr>
        <w:t xml:space="preserve"> This memorandum is submitted under seal, with a redacted version to be filed on the public docket.</w:t>
      </w:r>
      <w:bookmarkEnd w:id="26"/>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EFF"/>
    <w:multiLevelType w:val="hybridMultilevel"/>
    <w:tmpl w:val="E1681118"/>
    <w:lvl w:ilvl="0" w:tplc="E7E2723E">
      <w:start w:val="1"/>
      <w:numFmt w:val="upperLetter"/>
      <w:lvlText w:val="%1."/>
      <w:lvlJc w:val="left"/>
      <w:pPr>
        <w:ind w:left="1080" w:hanging="360"/>
      </w:pPr>
      <w:rPr>
        <w:b/>
        <w:bCs/>
      </w:rPr>
    </w:lvl>
    <w:lvl w:ilvl="1" w:tplc="30C4358E">
      <w:start w:val="1"/>
      <w:numFmt w:val="lowerLetter"/>
      <w:lvlText w:val="%2."/>
      <w:lvlJc w:val="left"/>
      <w:pPr>
        <w:ind w:left="1800" w:hanging="360"/>
      </w:pPr>
      <w:rPr>
        <w:b/>
        <w:bCs/>
      </w:rPr>
    </w:lvl>
    <w:lvl w:ilvl="2" w:tplc="E83859D8">
      <w:start w:val="1"/>
      <w:numFmt w:val="lowerRoman"/>
      <w:lvlText w:val="%3."/>
      <w:lvlJc w:val="right"/>
      <w:pPr>
        <w:ind w:left="2520" w:hanging="180"/>
      </w:pPr>
      <w:rPr>
        <w:b w:val="0"/>
        <w:bCs w:val="0"/>
      </w:rPr>
    </w:lvl>
    <w:lvl w:ilvl="3" w:tplc="4C360710" w:tentative="1">
      <w:start w:val="1"/>
      <w:numFmt w:val="decimal"/>
      <w:lvlText w:val="%4."/>
      <w:lvlJc w:val="left"/>
      <w:pPr>
        <w:ind w:left="3240" w:hanging="360"/>
      </w:pPr>
    </w:lvl>
    <w:lvl w:ilvl="4" w:tplc="29AAD51C" w:tentative="1">
      <w:start w:val="1"/>
      <w:numFmt w:val="lowerLetter"/>
      <w:lvlText w:val="%5."/>
      <w:lvlJc w:val="left"/>
      <w:pPr>
        <w:ind w:left="3960" w:hanging="360"/>
      </w:pPr>
    </w:lvl>
    <w:lvl w:ilvl="5" w:tplc="0BCCE658" w:tentative="1">
      <w:start w:val="1"/>
      <w:numFmt w:val="lowerRoman"/>
      <w:lvlText w:val="%6."/>
      <w:lvlJc w:val="right"/>
      <w:pPr>
        <w:ind w:left="4680" w:hanging="180"/>
      </w:pPr>
    </w:lvl>
    <w:lvl w:ilvl="6" w:tplc="45924028" w:tentative="1">
      <w:start w:val="1"/>
      <w:numFmt w:val="decimal"/>
      <w:lvlText w:val="%7."/>
      <w:lvlJc w:val="left"/>
      <w:pPr>
        <w:ind w:left="5400" w:hanging="360"/>
      </w:pPr>
    </w:lvl>
    <w:lvl w:ilvl="7" w:tplc="D3BC572C" w:tentative="1">
      <w:start w:val="1"/>
      <w:numFmt w:val="lowerLetter"/>
      <w:lvlText w:val="%8."/>
      <w:lvlJc w:val="left"/>
      <w:pPr>
        <w:ind w:left="6120" w:hanging="360"/>
      </w:pPr>
    </w:lvl>
    <w:lvl w:ilvl="8" w:tplc="C4EE757A" w:tentative="1">
      <w:start w:val="1"/>
      <w:numFmt w:val="lowerRoman"/>
      <w:lvlText w:val="%9."/>
      <w:lvlJc w:val="right"/>
      <w:pPr>
        <w:ind w:left="6840" w:hanging="180"/>
      </w:pPr>
    </w:lvl>
  </w:abstractNum>
  <w:abstractNum w:abstractNumId="1" w15:restartNumberingAfterBreak="0">
    <w:nsid w:val="07730651"/>
    <w:multiLevelType w:val="hybridMultilevel"/>
    <w:tmpl w:val="36CE0180"/>
    <w:lvl w:ilvl="0" w:tplc="08948262">
      <w:start w:val="1"/>
      <w:numFmt w:val="upperLetter"/>
      <w:lvlText w:val="%1."/>
      <w:lvlJc w:val="left"/>
      <w:pPr>
        <w:ind w:left="720" w:hanging="360"/>
      </w:pPr>
    </w:lvl>
    <w:lvl w:ilvl="1" w:tplc="62BE77E0" w:tentative="1">
      <w:start w:val="1"/>
      <w:numFmt w:val="lowerLetter"/>
      <w:lvlText w:val="%2."/>
      <w:lvlJc w:val="left"/>
      <w:pPr>
        <w:ind w:left="1440" w:hanging="360"/>
      </w:pPr>
    </w:lvl>
    <w:lvl w:ilvl="2" w:tplc="491400D8" w:tentative="1">
      <w:start w:val="1"/>
      <w:numFmt w:val="lowerRoman"/>
      <w:lvlText w:val="%3."/>
      <w:lvlJc w:val="right"/>
      <w:pPr>
        <w:ind w:left="2160" w:hanging="180"/>
      </w:pPr>
    </w:lvl>
    <w:lvl w:ilvl="3" w:tplc="9AEA9A40" w:tentative="1">
      <w:start w:val="1"/>
      <w:numFmt w:val="decimal"/>
      <w:lvlText w:val="%4."/>
      <w:lvlJc w:val="left"/>
      <w:pPr>
        <w:ind w:left="2880" w:hanging="360"/>
      </w:pPr>
    </w:lvl>
    <w:lvl w:ilvl="4" w:tplc="35D47318" w:tentative="1">
      <w:start w:val="1"/>
      <w:numFmt w:val="lowerLetter"/>
      <w:lvlText w:val="%5."/>
      <w:lvlJc w:val="left"/>
      <w:pPr>
        <w:ind w:left="3600" w:hanging="360"/>
      </w:pPr>
    </w:lvl>
    <w:lvl w:ilvl="5" w:tplc="DB68AEC2" w:tentative="1">
      <w:start w:val="1"/>
      <w:numFmt w:val="lowerRoman"/>
      <w:lvlText w:val="%6."/>
      <w:lvlJc w:val="right"/>
      <w:pPr>
        <w:ind w:left="4320" w:hanging="180"/>
      </w:pPr>
    </w:lvl>
    <w:lvl w:ilvl="6" w:tplc="E1344304" w:tentative="1">
      <w:start w:val="1"/>
      <w:numFmt w:val="decimal"/>
      <w:lvlText w:val="%7."/>
      <w:lvlJc w:val="left"/>
      <w:pPr>
        <w:ind w:left="5040" w:hanging="360"/>
      </w:pPr>
    </w:lvl>
    <w:lvl w:ilvl="7" w:tplc="7F323506" w:tentative="1">
      <w:start w:val="1"/>
      <w:numFmt w:val="lowerLetter"/>
      <w:lvlText w:val="%8."/>
      <w:lvlJc w:val="left"/>
      <w:pPr>
        <w:ind w:left="5760" w:hanging="360"/>
      </w:pPr>
    </w:lvl>
    <w:lvl w:ilvl="8" w:tplc="78F6F3FC" w:tentative="1">
      <w:start w:val="1"/>
      <w:numFmt w:val="lowerRoman"/>
      <w:lvlText w:val="%9."/>
      <w:lvlJc w:val="right"/>
      <w:pPr>
        <w:ind w:left="6480" w:hanging="180"/>
      </w:pPr>
    </w:lvl>
  </w:abstractNum>
  <w:abstractNum w:abstractNumId="2" w15:restartNumberingAfterBreak="0">
    <w:nsid w:val="07F1807C"/>
    <w:multiLevelType w:val="hybridMultilevel"/>
    <w:tmpl w:val="07300C5E"/>
    <w:lvl w:ilvl="0" w:tplc="8140D850">
      <w:start w:val="1"/>
      <w:numFmt w:val="upperLetter"/>
      <w:lvlText w:val="%1."/>
      <w:lvlJc w:val="left"/>
      <w:pPr>
        <w:ind w:left="1080" w:hanging="360"/>
      </w:pPr>
    </w:lvl>
    <w:lvl w:ilvl="1" w:tplc="F4284722">
      <w:start w:val="1"/>
      <w:numFmt w:val="lowerLetter"/>
      <w:lvlText w:val="%2."/>
      <w:lvlJc w:val="left"/>
      <w:pPr>
        <w:ind w:left="1800" w:hanging="360"/>
      </w:pPr>
    </w:lvl>
    <w:lvl w:ilvl="2" w:tplc="2ED049E6">
      <w:start w:val="1"/>
      <w:numFmt w:val="lowerRoman"/>
      <w:lvlText w:val="%3."/>
      <w:lvlJc w:val="right"/>
      <w:pPr>
        <w:ind w:left="2520" w:hanging="180"/>
      </w:pPr>
    </w:lvl>
    <w:lvl w:ilvl="3" w:tplc="87EE1EF0">
      <w:start w:val="1"/>
      <w:numFmt w:val="decimal"/>
      <w:lvlText w:val="%4."/>
      <w:lvlJc w:val="left"/>
      <w:pPr>
        <w:ind w:left="3240" w:hanging="360"/>
      </w:pPr>
    </w:lvl>
    <w:lvl w:ilvl="4" w:tplc="373671BA">
      <w:start w:val="1"/>
      <w:numFmt w:val="lowerLetter"/>
      <w:lvlText w:val="%5."/>
      <w:lvlJc w:val="left"/>
      <w:pPr>
        <w:ind w:left="3960" w:hanging="360"/>
      </w:pPr>
    </w:lvl>
    <w:lvl w:ilvl="5" w:tplc="4DEE0118">
      <w:start w:val="1"/>
      <w:numFmt w:val="lowerRoman"/>
      <w:lvlText w:val="%6."/>
      <w:lvlJc w:val="right"/>
      <w:pPr>
        <w:ind w:left="4680" w:hanging="180"/>
      </w:pPr>
    </w:lvl>
    <w:lvl w:ilvl="6" w:tplc="5CB89CA0">
      <w:start w:val="1"/>
      <w:numFmt w:val="decimal"/>
      <w:lvlText w:val="%7."/>
      <w:lvlJc w:val="left"/>
      <w:pPr>
        <w:ind w:left="5400" w:hanging="360"/>
      </w:pPr>
    </w:lvl>
    <w:lvl w:ilvl="7" w:tplc="17BE446E">
      <w:start w:val="1"/>
      <w:numFmt w:val="lowerLetter"/>
      <w:lvlText w:val="%8."/>
      <w:lvlJc w:val="left"/>
      <w:pPr>
        <w:ind w:left="6120" w:hanging="360"/>
      </w:pPr>
    </w:lvl>
    <w:lvl w:ilvl="8" w:tplc="C4885280">
      <w:start w:val="1"/>
      <w:numFmt w:val="lowerRoman"/>
      <w:lvlText w:val="%9."/>
      <w:lvlJc w:val="right"/>
      <w:pPr>
        <w:ind w:left="6840" w:hanging="180"/>
      </w:pPr>
    </w:lvl>
  </w:abstractNum>
  <w:abstractNum w:abstractNumId="3" w15:restartNumberingAfterBreak="0">
    <w:nsid w:val="08E145D0"/>
    <w:multiLevelType w:val="hybridMultilevel"/>
    <w:tmpl w:val="FB4AE424"/>
    <w:lvl w:ilvl="0" w:tplc="CD223030">
      <w:start w:val="1"/>
      <w:numFmt w:val="upperLetter"/>
      <w:lvlText w:val="%1."/>
      <w:lvlJc w:val="left"/>
      <w:pPr>
        <w:ind w:left="720" w:hanging="360"/>
      </w:pPr>
    </w:lvl>
    <w:lvl w:ilvl="1" w:tplc="1DD00E3E" w:tentative="1">
      <w:start w:val="1"/>
      <w:numFmt w:val="lowerLetter"/>
      <w:lvlText w:val="%2."/>
      <w:lvlJc w:val="left"/>
      <w:pPr>
        <w:ind w:left="1440" w:hanging="360"/>
      </w:pPr>
    </w:lvl>
    <w:lvl w:ilvl="2" w:tplc="CEFAD282" w:tentative="1">
      <w:start w:val="1"/>
      <w:numFmt w:val="lowerRoman"/>
      <w:lvlText w:val="%3."/>
      <w:lvlJc w:val="right"/>
      <w:pPr>
        <w:ind w:left="2160" w:hanging="180"/>
      </w:pPr>
    </w:lvl>
    <w:lvl w:ilvl="3" w:tplc="58CA93C8" w:tentative="1">
      <w:start w:val="1"/>
      <w:numFmt w:val="decimal"/>
      <w:lvlText w:val="%4."/>
      <w:lvlJc w:val="left"/>
      <w:pPr>
        <w:ind w:left="2880" w:hanging="360"/>
      </w:pPr>
    </w:lvl>
    <w:lvl w:ilvl="4" w:tplc="0CFEF23A" w:tentative="1">
      <w:start w:val="1"/>
      <w:numFmt w:val="lowerLetter"/>
      <w:lvlText w:val="%5."/>
      <w:lvlJc w:val="left"/>
      <w:pPr>
        <w:ind w:left="3600" w:hanging="360"/>
      </w:pPr>
    </w:lvl>
    <w:lvl w:ilvl="5" w:tplc="2B64E938" w:tentative="1">
      <w:start w:val="1"/>
      <w:numFmt w:val="lowerRoman"/>
      <w:lvlText w:val="%6."/>
      <w:lvlJc w:val="right"/>
      <w:pPr>
        <w:ind w:left="4320" w:hanging="180"/>
      </w:pPr>
    </w:lvl>
    <w:lvl w:ilvl="6" w:tplc="B5201408" w:tentative="1">
      <w:start w:val="1"/>
      <w:numFmt w:val="decimal"/>
      <w:lvlText w:val="%7."/>
      <w:lvlJc w:val="left"/>
      <w:pPr>
        <w:ind w:left="5040" w:hanging="360"/>
      </w:pPr>
    </w:lvl>
    <w:lvl w:ilvl="7" w:tplc="D2B4B948" w:tentative="1">
      <w:start w:val="1"/>
      <w:numFmt w:val="lowerLetter"/>
      <w:lvlText w:val="%8."/>
      <w:lvlJc w:val="left"/>
      <w:pPr>
        <w:ind w:left="5760" w:hanging="360"/>
      </w:pPr>
    </w:lvl>
    <w:lvl w:ilvl="8" w:tplc="9EC6809A" w:tentative="1">
      <w:start w:val="1"/>
      <w:numFmt w:val="lowerRoman"/>
      <w:lvlText w:val="%9."/>
      <w:lvlJc w:val="right"/>
      <w:pPr>
        <w:ind w:left="6480" w:hanging="180"/>
      </w:pPr>
    </w:lvl>
  </w:abstractNum>
  <w:abstractNum w:abstractNumId="4" w15:restartNumberingAfterBreak="0">
    <w:nsid w:val="10A420E8"/>
    <w:multiLevelType w:val="hybridMultilevel"/>
    <w:tmpl w:val="3410D54C"/>
    <w:lvl w:ilvl="0" w:tplc="61EAC37A">
      <w:start w:val="1"/>
      <w:numFmt w:val="lowerLetter"/>
      <w:lvlText w:val="%1."/>
      <w:lvlJc w:val="left"/>
      <w:pPr>
        <w:ind w:left="1800" w:hanging="360"/>
      </w:pPr>
    </w:lvl>
    <w:lvl w:ilvl="1" w:tplc="9236A064" w:tentative="1">
      <w:start w:val="1"/>
      <w:numFmt w:val="lowerLetter"/>
      <w:lvlText w:val="%2."/>
      <w:lvlJc w:val="left"/>
      <w:pPr>
        <w:ind w:left="2520" w:hanging="360"/>
      </w:pPr>
    </w:lvl>
    <w:lvl w:ilvl="2" w:tplc="9634C27A" w:tentative="1">
      <w:start w:val="1"/>
      <w:numFmt w:val="lowerRoman"/>
      <w:lvlText w:val="%3."/>
      <w:lvlJc w:val="right"/>
      <w:pPr>
        <w:ind w:left="3240" w:hanging="180"/>
      </w:pPr>
    </w:lvl>
    <w:lvl w:ilvl="3" w:tplc="7BA0402E" w:tentative="1">
      <w:start w:val="1"/>
      <w:numFmt w:val="decimal"/>
      <w:lvlText w:val="%4."/>
      <w:lvlJc w:val="left"/>
      <w:pPr>
        <w:ind w:left="3960" w:hanging="360"/>
      </w:pPr>
    </w:lvl>
    <w:lvl w:ilvl="4" w:tplc="7CAE8EC6" w:tentative="1">
      <w:start w:val="1"/>
      <w:numFmt w:val="lowerLetter"/>
      <w:lvlText w:val="%5."/>
      <w:lvlJc w:val="left"/>
      <w:pPr>
        <w:ind w:left="4680" w:hanging="360"/>
      </w:pPr>
    </w:lvl>
    <w:lvl w:ilvl="5" w:tplc="D8582AD6" w:tentative="1">
      <w:start w:val="1"/>
      <w:numFmt w:val="lowerRoman"/>
      <w:lvlText w:val="%6."/>
      <w:lvlJc w:val="right"/>
      <w:pPr>
        <w:ind w:left="5400" w:hanging="180"/>
      </w:pPr>
    </w:lvl>
    <w:lvl w:ilvl="6" w:tplc="BED43DD0" w:tentative="1">
      <w:start w:val="1"/>
      <w:numFmt w:val="decimal"/>
      <w:lvlText w:val="%7."/>
      <w:lvlJc w:val="left"/>
      <w:pPr>
        <w:ind w:left="6120" w:hanging="360"/>
      </w:pPr>
    </w:lvl>
    <w:lvl w:ilvl="7" w:tplc="DAFEF8BA" w:tentative="1">
      <w:start w:val="1"/>
      <w:numFmt w:val="lowerLetter"/>
      <w:lvlText w:val="%8."/>
      <w:lvlJc w:val="left"/>
      <w:pPr>
        <w:ind w:left="6840" w:hanging="360"/>
      </w:pPr>
    </w:lvl>
    <w:lvl w:ilvl="8" w:tplc="90C2DC38" w:tentative="1">
      <w:start w:val="1"/>
      <w:numFmt w:val="lowerRoman"/>
      <w:lvlText w:val="%9."/>
      <w:lvlJc w:val="right"/>
      <w:pPr>
        <w:ind w:left="7560" w:hanging="180"/>
      </w:pPr>
    </w:lvl>
  </w:abstractNum>
  <w:abstractNum w:abstractNumId="5" w15:restartNumberingAfterBreak="0">
    <w:nsid w:val="122D6F80"/>
    <w:multiLevelType w:val="hybridMultilevel"/>
    <w:tmpl w:val="A48C0346"/>
    <w:lvl w:ilvl="0" w:tplc="064A8600">
      <w:start w:val="1"/>
      <w:numFmt w:val="bullet"/>
      <w:lvlText w:val=""/>
      <w:lvlJc w:val="left"/>
      <w:pPr>
        <w:ind w:left="720" w:hanging="360"/>
      </w:pPr>
      <w:rPr>
        <w:rFonts w:ascii="Symbol" w:hAnsi="Symbol" w:hint="default"/>
      </w:rPr>
    </w:lvl>
    <w:lvl w:ilvl="1" w:tplc="0E9CF024" w:tentative="1">
      <w:start w:val="1"/>
      <w:numFmt w:val="bullet"/>
      <w:lvlText w:val="o"/>
      <w:lvlJc w:val="left"/>
      <w:pPr>
        <w:ind w:left="1440" w:hanging="360"/>
      </w:pPr>
      <w:rPr>
        <w:rFonts w:ascii="Courier New" w:hAnsi="Courier New" w:cs="Courier New" w:hint="default"/>
      </w:rPr>
    </w:lvl>
    <w:lvl w:ilvl="2" w:tplc="1B7A8AB4" w:tentative="1">
      <w:start w:val="1"/>
      <w:numFmt w:val="bullet"/>
      <w:lvlText w:val=""/>
      <w:lvlJc w:val="left"/>
      <w:pPr>
        <w:ind w:left="2160" w:hanging="360"/>
      </w:pPr>
      <w:rPr>
        <w:rFonts w:ascii="Wingdings" w:hAnsi="Wingdings" w:hint="default"/>
      </w:rPr>
    </w:lvl>
    <w:lvl w:ilvl="3" w:tplc="B7782852" w:tentative="1">
      <w:start w:val="1"/>
      <w:numFmt w:val="bullet"/>
      <w:lvlText w:val=""/>
      <w:lvlJc w:val="left"/>
      <w:pPr>
        <w:ind w:left="2880" w:hanging="360"/>
      </w:pPr>
      <w:rPr>
        <w:rFonts w:ascii="Symbol" w:hAnsi="Symbol" w:hint="default"/>
      </w:rPr>
    </w:lvl>
    <w:lvl w:ilvl="4" w:tplc="57ACB7AA" w:tentative="1">
      <w:start w:val="1"/>
      <w:numFmt w:val="bullet"/>
      <w:lvlText w:val="o"/>
      <w:lvlJc w:val="left"/>
      <w:pPr>
        <w:ind w:left="3600" w:hanging="360"/>
      </w:pPr>
      <w:rPr>
        <w:rFonts w:ascii="Courier New" w:hAnsi="Courier New" w:cs="Courier New" w:hint="default"/>
      </w:rPr>
    </w:lvl>
    <w:lvl w:ilvl="5" w:tplc="966AD0A4" w:tentative="1">
      <w:start w:val="1"/>
      <w:numFmt w:val="bullet"/>
      <w:lvlText w:val=""/>
      <w:lvlJc w:val="left"/>
      <w:pPr>
        <w:ind w:left="4320" w:hanging="360"/>
      </w:pPr>
      <w:rPr>
        <w:rFonts w:ascii="Wingdings" w:hAnsi="Wingdings" w:hint="default"/>
      </w:rPr>
    </w:lvl>
    <w:lvl w:ilvl="6" w:tplc="D8A00D06" w:tentative="1">
      <w:start w:val="1"/>
      <w:numFmt w:val="bullet"/>
      <w:lvlText w:val=""/>
      <w:lvlJc w:val="left"/>
      <w:pPr>
        <w:ind w:left="5040" w:hanging="360"/>
      </w:pPr>
      <w:rPr>
        <w:rFonts w:ascii="Symbol" w:hAnsi="Symbol" w:hint="default"/>
      </w:rPr>
    </w:lvl>
    <w:lvl w:ilvl="7" w:tplc="FD5A2F18" w:tentative="1">
      <w:start w:val="1"/>
      <w:numFmt w:val="bullet"/>
      <w:lvlText w:val="o"/>
      <w:lvlJc w:val="left"/>
      <w:pPr>
        <w:ind w:left="5760" w:hanging="360"/>
      </w:pPr>
      <w:rPr>
        <w:rFonts w:ascii="Courier New" w:hAnsi="Courier New" w:cs="Courier New" w:hint="default"/>
      </w:rPr>
    </w:lvl>
    <w:lvl w:ilvl="8" w:tplc="3B86F784" w:tentative="1">
      <w:start w:val="1"/>
      <w:numFmt w:val="bullet"/>
      <w:lvlText w:val=""/>
      <w:lvlJc w:val="left"/>
      <w:pPr>
        <w:ind w:left="6480" w:hanging="360"/>
      </w:pPr>
      <w:rPr>
        <w:rFonts w:ascii="Wingdings" w:hAnsi="Wingdings" w:hint="default"/>
      </w:rPr>
    </w:lvl>
  </w:abstractNum>
  <w:abstractNum w:abstractNumId="6" w15:restartNumberingAfterBreak="0">
    <w:nsid w:val="1D3942FD"/>
    <w:multiLevelType w:val="hybridMultilevel"/>
    <w:tmpl w:val="B08214B0"/>
    <w:lvl w:ilvl="0" w:tplc="46ACCAFA">
      <w:start w:val="1"/>
      <w:numFmt w:val="upperLetter"/>
      <w:lvlText w:val="%1."/>
      <w:lvlJc w:val="left"/>
      <w:pPr>
        <w:ind w:left="1080" w:hanging="360"/>
      </w:pPr>
    </w:lvl>
    <w:lvl w:ilvl="1" w:tplc="75CECD08">
      <w:start w:val="1"/>
      <w:numFmt w:val="lowerLetter"/>
      <w:lvlText w:val="%2."/>
      <w:lvlJc w:val="left"/>
      <w:pPr>
        <w:ind w:left="1800" w:hanging="360"/>
      </w:pPr>
    </w:lvl>
    <w:lvl w:ilvl="2" w:tplc="37A29BD4" w:tentative="1">
      <w:start w:val="1"/>
      <w:numFmt w:val="lowerRoman"/>
      <w:lvlText w:val="%3."/>
      <w:lvlJc w:val="right"/>
      <w:pPr>
        <w:ind w:left="2520" w:hanging="180"/>
      </w:pPr>
    </w:lvl>
    <w:lvl w:ilvl="3" w:tplc="9886E8B2" w:tentative="1">
      <w:start w:val="1"/>
      <w:numFmt w:val="decimal"/>
      <w:lvlText w:val="%4."/>
      <w:lvlJc w:val="left"/>
      <w:pPr>
        <w:ind w:left="3240" w:hanging="360"/>
      </w:pPr>
    </w:lvl>
    <w:lvl w:ilvl="4" w:tplc="7FA0A738" w:tentative="1">
      <w:start w:val="1"/>
      <w:numFmt w:val="lowerLetter"/>
      <w:lvlText w:val="%5."/>
      <w:lvlJc w:val="left"/>
      <w:pPr>
        <w:ind w:left="3960" w:hanging="360"/>
      </w:pPr>
    </w:lvl>
    <w:lvl w:ilvl="5" w:tplc="BF408C30" w:tentative="1">
      <w:start w:val="1"/>
      <w:numFmt w:val="lowerRoman"/>
      <w:lvlText w:val="%6."/>
      <w:lvlJc w:val="right"/>
      <w:pPr>
        <w:ind w:left="4680" w:hanging="180"/>
      </w:pPr>
    </w:lvl>
    <w:lvl w:ilvl="6" w:tplc="77A09A7E" w:tentative="1">
      <w:start w:val="1"/>
      <w:numFmt w:val="decimal"/>
      <w:lvlText w:val="%7."/>
      <w:lvlJc w:val="left"/>
      <w:pPr>
        <w:ind w:left="5400" w:hanging="360"/>
      </w:pPr>
    </w:lvl>
    <w:lvl w:ilvl="7" w:tplc="66FC6748" w:tentative="1">
      <w:start w:val="1"/>
      <w:numFmt w:val="lowerLetter"/>
      <w:lvlText w:val="%8."/>
      <w:lvlJc w:val="left"/>
      <w:pPr>
        <w:ind w:left="6120" w:hanging="360"/>
      </w:pPr>
    </w:lvl>
    <w:lvl w:ilvl="8" w:tplc="9EFCC2A6" w:tentative="1">
      <w:start w:val="1"/>
      <w:numFmt w:val="lowerRoman"/>
      <w:lvlText w:val="%9."/>
      <w:lvlJc w:val="right"/>
      <w:pPr>
        <w:ind w:left="6840" w:hanging="180"/>
      </w:pPr>
    </w:lvl>
  </w:abstractNum>
  <w:abstractNum w:abstractNumId="7" w15:restartNumberingAfterBreak="0">
    <w:nsid w:val="21CA7A4C"/>
    <w:multiLevelType w:val="hybridMultilevel"/>
    <w:tmpl w:val="2F92796C"/>
    <w:lvl w:ilvl="0" w:tplc="3D7E7286">
      <w:start w:val="1"/>
      <w:numFmt w:val="lowerLetter"/>
      <w:lvlText w:val="%1."/>
      <w:lvlJc w:val="left"/>
      <w:pPr>
        <w:ind w:left="1530" w:hanging="360"/>
      </w:pPr>
      <w:rPr>
        <w:b w:val="0"/>
        <w:bCs w:val="0"/>
      </w:rPr>
    </w:lvl>
    <w:lvl w:ilvl="1" w:tplc="E3B88B40" w:tentative="1">
      <w:start w:val="1"/>
      <w:numFmt w:val="lowerLetter"/>
      <w:lvlText w:val="%2."/>
      <w:lvlJc w:val="left"/>
      <w:pPr>
        <w:ind w:left="1440" w:hanging="360"/>
      </w:pPr>
    </w:lvl>
    <w:lvl w:ilvl="2" w:tplc="B6E6296A" w:tentative="1">
      <w:start w:val="1"/>
      <w:numFmt w:val="lowerRoman"/>
      <w:lvlText w:val="%3."/>
      <w:lvlJc w:val="right"/>
      <w:pPr>
        <w:ind w:left="2160" w:hanging="180"/>
      </w:pPr>
    </w:lvl>
    <w:lvl w:ilvl="3" w:tplc="1ABACDB6" w:tentative="1">
      <w:start w:val="1"/>
      <w:numFmt w:val="decimal"/>
      <w:lvlText w:val="%4."/>
      <w:lvlJc w:val="left"/>
      <w:pPr>
        <w:ind w:left="2880" w:hanging="360"/>
      </w:pPr>
    </w:lvl>
    <w:lvl w:ilvl="4" w:tplc="4224CB98" w:tentative="1">
      <w:start w:val="1"/>
      <w:numFmt w:val="lowerLetter"/>
      <w:lvlText w:val="%5."/>
      <w:lvlJc w:val="left"/>
      <w:pPr>
        <w:ind w:left="3600" w:hanging="360"/>
      </w:pPr>
    </w:lvl>
    <w:lvl w:ilvl="5" w:tplc="41B673B8" w:tentative="1">
      <w:start w:val="1"/>
      <w:numFmt w:val="lowerRoman"/>
      <w:lvlText w:val="%6."/>
      <w:lvlJc w:val="right"/>
      <w:pPr>
        <w:ind w:left="4320" w:hanging="180"/>
      </w:pPr>
    </w:lvl>
    <w:lvl w:ilvl="6" w:tplc="EAB00C66" w:tentative="1">
      <w:start w:val="1"/>
      <w:numFmt w:val="decimal"/>
      <w:lvlText w:val="%7."/>
      <w:lvlJc w:val="left"/>
      <w:pPr>
        <w:ind w:left="5040" w:hanging="360"/>
      </w:pPr>
    </w:lvl>
    <w:lvl w:ilvl="7" w:tplc="061813B4" w:tentative="1">
      <w:start w:val="1"/>
      <w:numFmt w:val="lowerLetter"/>
      <w:lvlText w:val="%8."/>
      <w:lvlJc w:val="left"/>
      <w:pPr>
        <w:ind w:left="5760" w:hanging="360"/>
      </w:pPr>
    </w:lvl>
    <w:lvl w:ilvl="8" w:tplc="3EFC9D4E" w:tentative="1">
      <w:start w:val="1"/>
      <w:numFmt w:val="lowerRoman"/>
      <w:lvlText w:val="%9."/>
      <w:lvlJc w:val="right"/>
      <w:pPr>
        <w:ind w:left="6480" w:hanging="180"/>
      </w:pPr>
    </w:lvl>
  </w:abstractNum>
  <w:abstractNum w:abstractNumId="8" w15:restartNumberingAfterBreak="0">
    <w:nsid w:val="25086760"/>
    <w:multiLevelType w:val="hybridMultilevel"/>
    <w:tmpl w:val="136C5704"/>
    <w:lvl w:ilvl="0" w:tplc="75CECD08">
      <w:start w:val="1"/>
      <w:numFmt w:val="lowerLetter"/>
      <w:lvlText w:val="%1."/>
      <w:lvlJc w:val="left"/>
      <w:pPr>
        <w:ind w:left="18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A125DF"/>
    <w:multiLevelType w:val="hybridMultilevel"/>
    <w:tmpl w:val="0B4227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068CF"/>
    <w:multiLevelType w:val="hybridMultilevel"/>
    <w:tmpl w:val="0FCC7C80"/>
    <w:lvl w:ilvl="0" w:tplc="B54837AA">
      <w:start w:val="1"/>
      <w:numFmt w:val="lowerRoman"/>
      <w:lvlText w:val="%1."/>
      <w:lvlJc w:val="right"/>
      <w:pPr>
        <w:ind w:left="2520" w:hanging="180"/>
      </w:pPr>
      <w:rPr>
        <w:b w:val="0"/>
        <w:bCs w:val="0"/>
      </w:rPr>
    </w:lvl>
    <w:lvl w:ilvl="1" w:tplc="F584553C" w:tentative="1">
      <w:start w:val="1"/>
      <w:numFmt w:val="lowerLetter"/>
      <w:lvlText w:val="%2."/>
      <w:lvlJc w:val="left"/>
      <w:pPr>
        <w:ind w:left="1440" w:hanging="360"/>
      </w:pPr>
    </w:lvl>
    <w:lvl w:ilvl="2" w:tplc="4016DA10" w:tentative="1">
      <w:start w:val="1"/>
      <w:numFmt w:val="lowerRoman"/>
      <w:lvlText w:val="%3."/>
      <w:lvlJc w:val="right"/>
      <w:pPr>
        <w:ind w:left="2160" w:hanging="180"/>
      </w:pPr>
    </w:lvl>
    <w:lvl w:ilvl="3" w:tplc="55D0821C" w:tentative="1">
      <w:start w:val="1"/>
      <w:numFmt w:val="decimal"/>
      <w:lvlText w:val="%4."/>
      <w:lvlJc w:val="left"/>
      <w:pPr>
        <w:ind w:left="2880" w:hanging="360"/>
      </w:pPr>
    </w:lvl>
    <w:lvl w:ilvl="4" w:tplc="01F6B5B0" w:tentative="1">
      <w:start w:val="1"/>
      <w:numFmt w:val="lowerLetter"/>
      <w:lvlText w:val="%5."/>
      <w:lvlJc w:val="left"/>
      <w:pPr>
        <w:ind w:left="3600" w:hanging="360"/>
      </w:pPr>
    </w:lvl>
    <w:lvl w:ilvl="5" w:tplc="9F282B30" w:tentative="1">
      <w:start w:val="1"/>
      <w:numFmt w:val="lowerRoman"/>
      <w:lvlText w:val="%6."/>
      <w:lvlJc w:val="right"/>
      <w:pPr>
        <w:ind w:left="4320" w:hanging="180"/>
      </w:pPr>
    </w:lvl>
    <w:lvl w:ilvl="6" w:tplc="29D65AEC" w:tentative="1">
      <w:start w:val="1"/>
      <w:numFmt w:val="decimal"/>
      <w:lvlText w:val="%7."/>
      <w:lvlJc w:val="left"/>
      <w:pPr>
        <w:ind w:left="5040" w:hanging="360"/>
      </w:pPr>
    </w:lvl>
    <w:lvl w:ilvl="7" w:tplc="A7FCE696" w:tentative="1">
      <w:start w:val="1"/>
      <w:numFmt w:val="lowerLetter"/>
      <w:lvlText w:val="%8."/>
      <w:lvlJc w:val="left"/>
      <w:pPr>
        <w:ind w:left="5760" w:hanging="360"/>
      </w:pPr>
    </w:lvl>
    <w:lvl w:ilvl="8" w:tplc="8780A518" w:tentative="1">
      <w:start w:val="1"/>
      <w:numFmt w:val="lowerRoman"/>
      <w:lvlText w:val="%9."/>
      <w:lvlJc w:val="right"/>
      <w:pPr>
        <w:ind w:left="6480" w:hanging="180"/>
      </w:pPr>
    </w:lvl>
  </w:abstractNum>
  <w:abstractNum w:abstractNumId="11" w15:restartNumberingAfterBreak="0">
    <w:nsid w:val="2CEF1677"/>
    <w:multiLevelType w:val="hybridMultilevel"/>
    <w:tmpl w:val="6074AD4A"/>
    <w:lvl w:ilvl="0" w:tplc="0D4463FA">
      <w:start w:val="2"/>
      <w:numFmt w:val="lowerRoman"/>
      <w:lvlText w:val="%1."/>
      <w:lvlJc w:val="right"/>
      <w:pPr>
        <w:ind w:left="2520" w:hanging="360"/>
      </w:pPr>
      <w:rPr>
        <w:rFonts w:hint="default"/>
      </w:rPr>
    </w:lvl>
    <w:lvl w:ilvl="1" w:tplc="E8BE62E0" w:tentative="1">
      <w:start w:val="1"/>
      <w:numFmt w:val="lowerLetter"/>
      <w:lvlText w:val="%2."/>
      <w:lvlJc w:val="left"/>
      <w:pPr>
        <w:ind w:left="3240" w:hanging="360"/>
      </w:pPr>
    </w:lvl>
    <w:lvl w:ilvl="2" w:tplc="7FDEF43A" w:tentative="1">
      <w:start w:val="1"/>
      <w:numFmt w:val="lowerRoman"/>
      <w:lvlText w:val="%3."/>
      <w:lvlJc w:val="right"/>
      <w:pPr>
        <w:ind w:left="3960" w:hanging="180"/>
      </w:pPr>
    </w:lvl>
    <w:lvl w:ilvl="3" w:tplc="01C0815E" w:tentative="1">
      <w:start w:val="1"/>
      <w:numFmt w:val="decimal"/>
      <w:lvlText w:val="%4."/>
      <w:lvlJc w:val="left"/>
      <w:pPr>
        <w:ind w:left="4680" w:hanging="360"/>
      </w:pPr>
    </w:lvl>
    <w:lvl w:ilvl="4" w:tplc="8C946F2C" w:tentative="1">
      <w:start w:val="1"/>
      <w:numFmt w:val="lowerLetter"/>
      <w:lvlText w:val="%5."/>
      <w:lvlJc w:val="left"/>
      <w:pPr>
        <w:ind w:left="5400" w:hanging="360"/>
      </w:pPr>
    </w:lvl>
    <w:lvl w:ilvl="5" w:tplc="7A626400" w:tentative="1">
      <w:start w:val="1"/>
      <w:numFmt w:val="lowerRoman"/>
      <w:lvlText w:val="%6."/>
      <w:lvlJc w:val="right"/>
      <w:pPr>
        <w:ind w:left="6120" w:hanging="180"/>
      </w:pPr>
    </w:lvl>
    <w:lvl w:ilvl="6" w:tplc="AFAE28F4" w:tentative="1">
      <w:start w:val="1"/>
      <w:numFmt w:val="decimal"/>
      <w:lvlText w:val="%7."/>
      <w:lvlJc w:val="left"/>
      <w:pPr>
        <w:ind w:left="6840" w:hanging="360"/>
      </w:pPr>
    </w:lvl>
    <w:lvl w:ilvl="7" w:tplc="7CDECE90" w:tentative="1">
      <w:start w:val="1"/>
      <w:numFmt w:val="lowerLetter"/>
      <w:lvlText w:val="%8."/>
      <w:lvlJc w:val="left"/>
      <w:pPr>
        <w:ind w:left="7560" w:hanging="360"/>
      </w:pPr>
    </w:lvl>
    <w:lvl w:ilvl="8" w:tplc="FE14DDB2" w:tentative="1">
      <w:start w:val="1"/>
      <w:numFmt w:val="lowerRoman"/>
      <w:lvlText w:val="%9."/>
      <w:lvlJc w:val="right"/>
      <w:pPr>
        <w:ind w:left="8280" w:hanging="180"/>
      </w:pPr>
    </w:lvl>
  </w:abstractNum>
  <w:abstractNum w:abstractNumId="12" w15:restartNumberingAfterBreak="0">
    <w:nsid w:val="2F004366"/>
    <w:multiLevelType w:val="hybridMultilevel"/>
    <w:tmpl w:val="CC86ECC2"/>
    <w:lvl w:ilvl="0" w:tplc="006EE178">
      <w:start w:val="1"/>
      <w:numFmt w:val="upperLetter"/>
      <w:lvlText w:val="%1."/>
      <w:lvlJc w:val="left"/>
      <w:pPr>
        <w:ind w:left="720" w:hanging="360"/>
      </w:pPr>
    </w:lvl>
    <w:lvl w:ilvl="1" w:tplc="39B09E5E" w:tentative="1">
      <w:start w:val="1"/>
      <w:numFmt w:val="lowerLetter"/>
      <w:lvlText w:val="%2."/>
      <w:lvlJc w:val="left"/>
      <w:pPr>
        <w:ind w:left="1440" w:hanging="360"/>
      </w:pPr>
    </w:lvl>
    <w:lvl w:ilvl="2" w:tplc="05E8F2E0" w:tentative="1">
      <w:start w:val="1"/>
      <w:numFmt w:val="lowerRoman"/>
      <w:lvlText w:val="%3."/>
      <w:lvlJc w:val="right"/>
      <w:pPr>
        <w:ind w:left="2160" w:hanging="180"/>
      </w:pPr>
    </w:lvl>
    <w:lvl w:ilvl="3" w:tplc="2F6821E8" w:tentative="1">
      <w:start w:val="1"/>
      <w:numFmt w:val="decimal"/>
      <w:lvlText w:val="%4."/>
      <w:lvlJc w:val="left"/>
      <w:pPr>
        <w:ind w:left="2880" w:hanging="360"/>
      </w:pPr>
    </w:lvl>
    <w:lvl w:ilvl="4" w:tplc="1DE084E0" w:tentative="1">
      <w:start w:val="1"/>
      <w:numFmt w:val="lowerLetter"/>
      <w:lvlText w:val="%5."/>
      <w:lvlJc w:val="left"/>
      <w:pPr>
        <w:ind w:left="3600" w:hanging="360"/>
      </w:pPr>
    </w:lvl>
    <w:lvl w:ilvl="5" w:tplc="21844CE4" w:tentative="1">
      <w:start w:val="1"/>
      <w:numFmt w:val="lowerRoman"/>
      <w:lvlText w:val="%6."/>
      <w:lvlJc w:val="right"/>
      <w:pPr>
        <w:ind w:left="4320" w:hanging="180"/>
      </w:pPr>
    </w:lvl>
    <w:lvl w:ilvl="6" w:tplc="56D8FBEE" w:tentative="1">
      <w:start w:val="1"/>
      <w:numFmt w:val="decimal"/>
      <w:lvlText w:val="%7."/>
      <w:lvlJc w:val="left"/>
      <w:pPr>
        <w:ind w:left="5040" w:hanging="360"/>
      </w:pPr>
    </w:lvl>
    <w:lvl w:ilvl="7" w:tplc="88907CF4" w:tentative="1">
      <w:start w:val="1"/>
      <w:numFmt w:val="lowerLetter"/>
      <w:lvlText w:val="%8."/>
      <w:lvlJc w:val="left"/>
      <w:pPr>
        <w:ind w:left="5760" w:hanging="360"/>
      </w:pPr>
    </w:lvl>
    <w:lvl w:ilvl="8" w:tplc="13A86B36" w:tentative="1">
      <w:start w:val="1"/>
      <w:numFmt w:val="lowerRoman"/>
      <w:lvlText w:val="%9."/>
      <w:lvlJc w:val="right"/>
      <w:pPr>
        <w:ind w:left="6480" w:hanging="180"/>
      </w:pPr>
    </w:lvl>
  </w:abstractNum>
  <w:abstractNum w:abstractNumId="13" w15:restartNumberingAfterBreak="0">
    <w:nsid w:val="30D22348"/>
    <w:multiLevelType w:val="hybridMultilevel"/>
    <w:tmpl w:val="02340388"/>
    <w:lvl w:ilvl="0" w:tplc="180602A0">
      <w:start w:val="1"/>
      <w:numFmt w:val="bullet"/>
      <w:lvlText w:val="●"/>
      <w:lvlJc w:val="left"/>
      <w:pPr>
        <w:ind w:left="720" w:hanging="360"/>
      </w:pPr>
    </w:lvl>
    <w:lvl w:ilvl="1" w:tplc="FC3654C4">
      <w:start w:val="1"/>
      <w:numFmt w:val="bullet"/>
      <w:lvlText w:val="○"/>
      <w:lvlJc w:val="left"/>
      <w:pPr>
        <w:ind w:left="1440" w:hanging="360"/>
      </w:pPr>
    </w:lvl>
    <w:lvl w:ilvl="2" w:tplc="778EFACA">
      <w:start w:val="1"/>
      <w:numFmt w:val="bullet"/>
      <w:lvlText w:val="■"/>
      <w:lvlJc w:val="left"/>
      <w:pPr>
        <w:ind w:left="2160" w:hanging="360"/>
      </w:pPr>
    </w:lvl>
    <w:lvl w:ilvl="3" w:tplc="D14C0378">
      <w:start w:val="1"/>
      <w:numFmt w:val="bullet"/>
      <w:lvlText w:val="●"/>
      <w:lvlJc w:val="left"/>
      <w:pPr>
        <w:ind w:left="2880" w:hanging="360"/>
      </w:pPr>
    </w:lvl>
    <w:lvl w:ilvl="4" w:tplc="73F0186A">
      <w:start w:val="1"/>
      <w:numFmt w:val="bullet"/>
      <w:lvlText w:val="○"/>
      <w:lvlJc w:val="left"/>
      <w:pPr>
        <w:ind w:left="3600" w:hanging="360"/>
      </w:pPr>
    </w:lvl>
    <w:lvl w:ilvl="5" w:tplc="E6F01732">
      <w:start w:val="1"/>
      <w:numFmt w:val="bullet"/>
      <w:lvlText w:val="■"/>
      <w:lvlJc w:val="left"/>
      <w:pPr>
        <w:ind w:left="4320" w:hanging="360"/>
      </w:pPr>
    </w:lvl>
    <w:lvl w:ilvl="6" w:tplc="545CE922">
      <w:start w:val="1"/>
      <w:numFmt w:val="bullet"/>
      <w:lvlText w:val="●"/>
      <w:lvlJc w:val="left"/>
      <w:pPr>
        <w:ind w:left="5040" w:hanging="360"/>
      </w:pPr>
    </w:lvl>
    <w:lvl w:ilvl="7" w:tplc="7012F00C">
      <w:start w:val="1"/>
      <w:numFmt w:val="bullet"/>
      <w:lvlText w:val="●"/>
      <w:lvlJc w:val="left"/>
      <w:pPr>
        <w:ind w:left="5760" w:hanging="360"/>
      </w:pPr>
    </w:lvl>
    <w:lvl w:ilvl="8" w:tplc="82AC665E">
      <w:start w:val="1"/>
      <w:numFmt w:val="bullet"/>
      <w:lvlText w:val="●"/>
      <w:lvlJc w:val="left"/>
      <w:pPr>
        <w:ind w:left="6480" w:hanging="360"/>
      </w:pPr>
    </w:lvl>
  </w:abstractNum>
  <w:abstractNum w:abstractNumId="14" w15:restartNumberingAfterBreak="0">
    <w:nsid w:val="33586777"/>
    <w:multiLevelType w:val="hybridMultilevel"/>
    <w:tmpl w:val="B17445C8"/>
    <w:lvl w:ilvl="0" w:tplc="8E48CD5C">
      <w:start w:val="2"/>
      <w:numFmt w:val="lowerRoman"/>
      <w:lvlText w:val="%1."/>
      <w:lvlJc w:val="right"/>
      <w:pPr>
        <w:ind w:left="2520" w:hanging="360"/>
      </w:pPr>
      <w:rPr>
        <w:rFonts w:hint="default"/>
      </w:rPr>
    </w:lvl>
    <w:lvl w:ilvl="1" w:tplc="CC602A78" w:tentative="1">
      <w:start w:val="1"/>
      <w:numFmt w:val="lowerLetter"/>
      <w:lvlText w:val="%2."/>
      <w:lvlJc w:val="left"/>
      <w:pPr>
        <w:ind w:left="3240" w:hanging="360"/>
      </w:pPr>
    </w:lvl>
    <w:lvl w:ilvl="2" w:tplc="AC3C0416" w:tentative="1">
      <w:start w:val="1"/>
      <w:numFmt w:val="lowerRoman"/>
      <w:lvlText w:val="%3."/>
      <w:lvlJc w:val="right"/>
      <w:pPr>
        <w:ind w:left="3960" w:hanging="180"/>
      </w:pPr>
    </w:lvl>
    <w:lvl w:ilvl="3" w:tplc="0E540860" w:tentative="1">
      <w:start w:val="1"/>
      <w:numFmt w:val="decimal"/>
      <w:lvlText w:val="%4."/>
      <w:lvlJc w:val="left"/>
      <w:pPr>
        <w:ind w:left="4680" w:hanging="360"/>
      </w:pPr>
    </w:lvl>
    <w:lvl w:ilvl="4" w:tplc="88B89424" w:tentative="1">
      <w:start w:val="1"/>
      <w:numFmt w:val="lowerLetter"/>
      <w:lvlText w:val="%5."/>
      <w:lvlJc w:val="left"/>
      <w:pPr>
        <w:ind w:left="5400" w:hanging="360"/>
      </w:pPr>
    </w:lvl>
    <w:lvl w:ilvl="5" w:tplc="C3B806E2" w:tentative="1">
      <w:start w:val="1"/>
      <w:numFmt w:val="lowerRoman"/>
      <w:lvlText w:val="%6."/>
      <w:lvlJc w:val="right"/>
      <w:pPr>
        <w:ind w:left="6120" w:hanging="180"/>
      </w:pPr>
    </w:lvl>
    <w:lvl w:ilvl="6" w:tplc="48FE9468" w:tentative="1">
      <w:start w:val="1"/>
      <w:numFmt w:val="decimal"/>
      <w:lvlText w:val="%7."/>
      <w:lvlJc w:val="left"/>
      <w:pPr>
        <w:ind w:left="6840" w:hanging="360"/>
      </w:pPr>
    </w:lvl>
    <w:lvl w:ilvl="7" w:tplc="EF2E79BA" w:tentative="1">
      <w:start w:val="1"/>
      <w:numFmt w:val="lowerLetter"/>
      <w:lvlText w:val="%8."/>
      <w:lvlJc w:val="left"/>
      <w:pPr>
        <w:ind w:left="7560" w:hanging="360"/>
      </w:pPr>
    </w:lvl>
    <w:lvl w:ilvl="8" w:tplc="4FAE1FA6" w:tentative="1">
      <w:start w:val="1"/>
      <w:numFmt w:val="lowerRoman"/>
      <w:lvlText w:val="%9."/>
      <w:lvlJc w:val="right"/>
      <w:pPr>
        <w:ind w:left="8280" w:hanging="180"/>
      </w:pPr>
    </w:lvl>
  </w:abstractNum>
  <w:abstractNum w:abstractNumId="15" w15:restartNumberingAfterBreak="0">
    <w:nsid w:val="38514D76"/>
    <w:multiLevelType w:val="hybridMultilevel"/>
    <w:tmpl w:val="7960F586"/>
    <w:lvl w:ilvl="0" w:tplc="412A71D0">
      <w:start w:val="1"/>
      <w:numFmt w:val="lowerRoman"/>
      <w:lvlText w:val="%1."/>
      <w:lvlJc w:val="right"/>
      <w:pPr>
        <w:ind w:left="2520" w:hanging="360"/>
      </w:pPr>
      <w:rPr>
        <w:b/>
        <w:bCs/>
      </w:rPr>
    </w:lvl>
    <w:lvl w:ilvl="1" w:tplc="9604AF06" w:tentative="1">
      <w:start w:val="1"/>
      <w:numFmt w:val="lowerLetter"/>
      <w:lvlText w:val="%2."/>
      <w:lvlJc w:val="left"/>
      <w:pPr>
        <w:ind w:left="3240" w:hanging="360"/>
      </w:pPr>
    </w:lvl>
    <w:lvl w:ilvl="2" w:tplc="1574466C" w:tentative="1">
      <w:start w:val="1"/>
      <w:numFmt w:val="lowerRoman"/>
      <w:lvlText w:val="%3."/>
      <w:lvlJc w:val="right"/>
      <w:pPr>
        <w:ind w:left="3960" w:hanging="180"/>
      </w:pPr>
    </w:lvl>
    <w:lvl w:ilvl="3" w:tplc="33327ABA" w:tentative="1">
      <w:start w:val="1"/>
      <w:numFmt w:val="decimal"/>
      <w:lvlText w:val="%4."/>
      <w:lvlJc w:val="left"/>
      <w:pPr>
        <w:ind w:left="4680" w:hanging="360"/>
      </w:pPr>
    </w:lvl>
    <w:lvl w:ilvl="4" w:tplc="D8A4C310" w:tentative="1">
      <w:start w:val="1"/>
      <w:numFmt w:val="lowerLetter"/>
      <w:lvlText w:val="%5."/>
      <w:lvlJc w:val="left"/>
      <w:pPr>
        <w:ind w:left="5400" w:hanging="360"/>
      </w:pPr>
    </w:lvl>
    <w:lvl w:ilvl="5" w:tplc="B10CCCAC" w:tentative="1">
      <w:start w:val="1"/>
      <w:numFmt w:val="lowerRoman"/>
      <w:lvlText w:val="%6."/>
      <w:lvlJc w:val="right"/>
      <w:pPr>
        <w:ind w:left="6120" w:hanging="180"/>
      </w:pPr>
    </w:lvl>
    <w:lvl w:ilvl="6" w:tplc="883CD18A" w:tentative="1">
      <w:start w:val="1"/>
      <w:numFmt w:val="decimal"/>
      <w:lvlText w:val="%7."/>
      <w:lvlJc w:val="left"/>
      <w:pPr>
        <w:ind w:left="6840" w:hanging="360"/>
      </w:pPr>
    </w:lvl>
    <w:lvl w:ilvl="7" w:tplc="410482C2" w:tentative="1">
      <w:start w:val="1"/>
      <w:numFmt w:val="lowerLetter"/>
      <w:lvlText w:val="%8."/>
      <w:lvlJc w:val="left"/>
      <w:pPr>
        <w:ind w:left="7560" w:hanging="360"/>
      </w:pPr>
    </w:lvl>
    <w:lvl w:ilvl="8" w:tplc="AE7C4BAC" w:tentative="1">
      <w:start w:val="1"/>
      <w:numFmt w:val="lowerRoman"/>
      <w:lvlText w:val="%9."/>
      <w:lvlJc w:val="right"/>
      <w:pPr>
        <w:ind w:left="8280" w:hanging="180"/>
      </w:pPr>
    </w:lvl>
  </w:abstractNum>
  <w:abstractNum w:abstractNumId="16" w15:restartNumberingAfterBreak="0">
    <w:nsid w:val="45A04D22"/>
    <w:multiLevelType w:val="hybridMultilevel"/>
    <w:tmpl w:val="A5901464"/>
    <w:lvl w:ilvl="0" w:tplc="D44E2CD4">
      <w:start w:val="1"/>
      <w:numFmt w:val="upperLetter"/>
      <w:lvlText w:val="%1."/>
      <w:lvlJc w:val="left"/>
      <w:pPr>
        <w:ind w:left="1440" w:hanging="360"/>
      </w:pPr>
    </w:lvl>
    <w:lvl w:ilvl="1" w:tplc="40964334" w:tentative="1">
      <w:start w:val="1"/>
      <w:numFmt w:val="lowerLetter"/>
      <w:lvlText w:val="%2."/>
      <w:lvlJc w:val="left"/>
      <w:pPr>
        <w:ind w:left="2160" w:hanging="360"/>
      </w:pPr>
    </w:lvl>
    <w:lvl w:ilvl="2" w:tplc="B776B964" w:tentative="1">
      <w:start w:val="1"/>
      <w:numFmt w:val="lowerRoman"/>
      <w:lvlText w:val="%3."/>
      <w:lvlJc w:val="right"/>
      <w:pPr>
        <w:ind w:left="2880" w:hanging="180"/>
      </w:pPr>
    </w:lvl>
    <w:lvl w:ilvl="3" w:tplc="D5C6B71C" w:tentative="1">
      <w:start w:val="1"/>
      <w:numFmt w:val="decimal"/>
      <w:lvlText w:val="%4."/>
      <w:lvlJc w:val="left"/>
      <w:pPr>
        <w:ind w:left="3600" w:hanging="360"/>
      </w:pPr>
    </w:lvl>
    <w:lvl w:ilvl="4" w:tplc="4686D8C0" w:tentative="1">
      <w:start w:val="1"/>
      <w:numFmt w:val="lowerLetter"/>
      <w:lvlText w:val="%5."/>
      <w:lvlJc w:val="left"/>
      <w:pPr>
        <w:ind w:left="4320" w:hanging="360"/>
      </w:pPr>
    </w:lvl>
    <w:lvl w:ilvl="5" w:tplc="B4FEF70E" w:tentative="1">
      <w:start w:val="1"/>
      <w:numFmt w:val="lowerRoman"/>
      <w:lvlText w:val="%6."/>
      <w:lvlJc w:val="right"/>
      <w:pPr>
        <w:ind w:left="5040" w:hanging="180"/>
      </w:pPr>
    </w:lvl>
    <w:lvl w:ilvl="6" w:tplc="6D166758" w:tentative="1">
      <w:start w:val="1"/>
      <w:numFmt w:val="decimal"/>
      <w:lvlText w:val="%7."/>
      <w:lvlJc w:val="left"/>
      <w:pPr>
        <w:ind w:left="5760" w:hanging="360"/>
      </w:pPr>
    </w:lvl>
    <w:lvl w:ilvl="7" w:tplc="3C4ED7BC" w:tentative="1">
      <w:start w:val="1"/>
      <w:numFmt w:val="lowerLetter"/>
      <w:lvlText w:val="%8."/>
      <w:lvlJc w:val="left"/>
      <w:pPr>
        <w:ind w:left="6480" w:hanging="360"/>
      </w:pPr>
    </w:lvl>
    <w:lvl w:ilvl="8" w:tplc="E7CE51D4" w:tentative="1">
      <w:start w:val="1"/>
      <w:numFmt w:val="lowerRoman"/>
      <w:lvlText w:val="%9."/>
      <w:lvlJc w:val="right"/>
      <w:pPr>
        <w:ind w:left="7200" w:hanging="180"/>
      </w:pPr>
    </w:lvl>
  </w:abstractNum>
  <w:abstractNum w:abstractNumId="17" w15:restartNumberingAfterBreak="0">
    <w:nsid w:val="479560FF"/>
    <w:multiLevelType w:val="hybridMultilevel"/>
    <w:tmpl w:val="D1F892F6"/>
    <w:lvl w:ilvl="0" w:tplc="7FB6FCEE">
      <w:start w:val="1"/>
      <w:numFmt w:val="lowerLetter"/>
      <w:lvlText w:val="%1."/>
      <w:lvlJc w:val="left"/>
      <w:pPr>
        <w:ind w:left="1530" w:hanging="360"/>
      </w:pPr>
      <w:rPr>
        <w:b w:val="0"/>
        <w:bCs w:val="0"/>
      </w:rPr>
    </w:lvl>
    <w:lvl w:ilvl="1" w:tplc="FDFEAE24" w:tentative="1">
      <w:start w:val="1"/>
      <w:numFmt w:val="lowerLetter"/>
      <w:lvlText w:val="%2."/>
      <w:lvlJc w:val="left"/>
      <w:pPr>
        <w:ind w:left="1440" w:hanging="360"/>
      </w:pPr>
    </w:lvl>
    <w:lvl w:ilvl="2" w:tplc="263AFE0A" w:tentative="1">
      <w:start w:val="1"/>
      <w:numFmt w:val="lowerRoman"/>
      <w:lvlText w:val="%3."/>
      <w:lvlJc w:val="right"/>
      <w:pPr>
        <w:ind w:left="2160" w:hanging="180"/>
      </w:pPr>
    </w:lvl>
    <w:lvl w:ilvl="3" w:tplc="71C4ED0C" w:tentative="1">
      <w:start w:val="1"/>
      <w:numFmt w:val="decimal"/>
      <w:lvlText w:val="%4."/>
      <w:lvlJc w:val="left"/>
      <w:pPr>
        <w:ind w:left="2880" w:hanging="360"/>
      </w:pPr>
    </w:lvl>
    <w:lvl w:ilvl="4" w:tplc="6F6C0EC8" w:tentative="1">
      <w:start w:val="1"/>
      <w:numFmt w:val="lowerLetter"/>
      <w:lvlText w:val="%5."/>
      <w:lvlJc w:val="left"/>
      <w:pPr>
        <w:ind w:left="3600" w:hanging="360"/>
      </w:pPr>
    </w:lvl>
    <w:lvl w:ilvl="5" w:tplc="932A4540" w:tentative="1">
      <w:start w:val="1"/>
      <w:numFmt w:val="lowerRoman"/>
      <w:lvlText w:val="%6."/>
      <w:lvlJc w:val="right"/>
      <w:pPr>
        <w:ind w:left="4320" w:hanging="180"/>
      </w:pPr>
    </w:lvl>
    <w:lvl w:ilvl="6" w:tplc="094050C2" w:tentative="1">
      <w:start w:val="1"/>
      <w:numFmt w:val="decimal"/>
      <w:lvlText w:val="%7."/>
      <w:lvlJc w:val="left"/>
      <w:pPr>
        <w:ind w:left="5040" w:hanging="360"/>
      </w:pPr>
    </w:lvl>
    <w:lvl w:ilvl="7" w:tplc="89F4EBBE" w:tentative="1">
      <w:start w:val="1"/>
      <w:numFmt w:val="lowerLetter"/>
      <w:lvlText w:val="%8."/>
      <w:lvlJc w:val="left"/>
      <w:pPr>
        <w:ind w:left="5760" w:hanging="360"/>
      </w:pPr>
    </w:lvl>
    <w:lvl w:ilvl="8" w:tplc="9746EE34" w:tentative="1">
      <w:start w:val="1"/>
      <w:numFmt w:val="lowerRoman"/>
      <w:lvlText w:val="%9."/>
      <w:lvlJc w:val="right"/>
      <w:pPr>
        <w:ind w:left="6480" w:hanging="180"/>
      </w:pPr>
    </w:lvl>
  </w:abstractNum>
  <w:abstractNum w:abstractNumId="18" w15:restartNumberingAfterBreak="0">
    <w:nsid w:val="4EF2689B"/>
    <w:multiLevelType w:val="hybridMultilevel"/>
    <w:tmpl w:val="7FA2FD9E"/>
    <w:lvl w:ilvl="0" w:tplc="0F58E156">
      <w:start w:val="1"/>
      <w:numFmt w:val="upperLetter"/>
      <w:lvlText w:val="%1."/>
      <w:lvlJc w:val="left"/>
      <w:pPr>
        <w:ind w:left="720" w:hanging="360"/>
      </w:pPr>
      <w:rPr>
        <w:b w:val="0"/>
        <w:bCs w:val="0"/>
      </w:rPr>
    </w:lvl>
    <w:lvl w:ilvl="1" w:tplc="1C4E33E2">
      <w:start w:val="1"/>
      <w:numFmt w:val="lowerLetter"/>
      <w:lvlText w:val="%2."/>
      <w:lvlJc w:val="left"/>
      <w:pPr>
        <w:ind w:left="1530" w:hanging="360"/>
      </w:pPr>
      <w:rPr>
        <w:b w:val="0"/>
        <w:bCs w:val="0"/>
      </w:rPr>
    </w:lvl>
    <w:lvl w:ilvl="2" w:tplc="D0BEAC3E">
      <w:start w:val="1"/>
      <w:numFmt w:val="lowerRoman"/>
      <w:lvlText w:val="%3."/>
      <w:lvlJc w:val="right"/>
      <w:pPr>
        <w:ind w:left="2160" w:hanging="180"/>
      </w:pPr>
    </w:lvl>
    <w:lvl w:ilvl="3" w:tplc="728E1FF2" w:tentative="1">
      <w:start w:val="1"/>
      <w:numFmt w:val="decimal"/>
      <w:lvlText w:val="%4."/>
      <w:lvlJc w:val="left"/>
      <w:pPr>
        <w:ind w:left="2880" w:hanging="360"/>
      </w:pPr>
    </w:lvl>
    <w:lvl w:ilvl="4" w:tplc="FC24B14C" w:tentative="1">
      <w:start w:val="1"/>
      <w:numFmt w:val="lowerLetter"/>
      <w:lvlText w:val="%5."/>
      <w:lvlJc w:val="left"/>
      <w:pPr>
        <w:ind w:left="3600" w:hanging="360"/>
      </w:pPr>
    </w:lvl>
    <w:lvl w:ilvl="5" w:tplc="6094A3CA" w:tentative="1">
      <w:start w:val="1"/>
      <w:numFmt w:val="lowerRoman"/>
      <w:lvlText w:val="%6."/>
      <w:lvlJc w:val="right"/>
      <w:pPr>
        <w:ind w:left="4320" w:hanging="180"/>
      </w:pPr>
    </w:lvl>
    <w:lvl w:ilvl="6" w:tplc="1E32D732" w:tentative="1">
      <w:start w:val="1"/>
      <w:numFmt w:val="decimal"/>
      <w:lvlText w:val="%7."/>
      <w:lvlJc w:val="left"/>
      <w:pPr>
        <w:ind w:left="5040" w:hanging="360"/>
      </w:pPr>
    </w:lvl>
    <w:lvl w:ilvl="7" w:tplc="3E18B16E" w:tentative="1">
      <w:start w:val="1"/>
      <w:numFmt w:val="lowerLetter"/>
      <w:lvlText w:val="%8."/>
      <w:lvlJc w:val="left"/>
      <w:pPr>
        <w:ind w:left="5760" w:hanging="360"/>
      </w:pPr>
    </w:lvl>
    <w:lvl w:ilvl="8" w:tplc="3D381166" w:tentative="1">
      <w:start w:val="1"/>
      <w:numFmt w:val="lowerRoman"/>
      <w:lvlText w:val="%9."/>
      <w:lvlJc w:val="right"/>
      <w:pPr>
        <w:ind w:left="6480" w:hanging="180"/>
      </w:pPr>
    </w:lvl>
  </w:abstractNum>
  <w:abstractNum w:abstractNumId="19" w15:restartNumberingAfterBreak="0">
    <w:nsid w:val="4F6757DD"/>
    <w:multiLevelType w:val="hybridMultilevel"/>
    <w:tmpl w:val="38B265BE"/>
    <w:lvl w:ilvl="0" w:tplc="3C9EE042">
      <w:start w:val="1"/>
      <w:numFmt w:val="upperLetter"/>
      <w:lvlText w:val="%1."/>
      <w:lvlJc w:val="left"/>
      <w:pPr>
        <w:ind w:left="720" w:hanging="360"/>
      </w:pPr>
    </w:lvl>
    <w:lvl w:ilvl="1" w:tplc="E44A7084" w:tentative="1">
      <w:start w:val="1"/>
      <w:numFmt w:val="lowerLetter"/>
      <w:lvlText w:val="%2."/>
      <w:lvlJc w:val="left"/>
      <w:pPr>
        <w:ind w:left="1440" w:hanging="360"/>
      </w:pPr>
    </w:lvl>
    <w:lvl w:ilvl="2" w:tplc="11344134" w:tentative="1">
      <w:start w:val="1"/>
      <w:numFmt w:val="lowerRoman"/>
      <w:lvlText w:val="%3."/>
      <w:lvlJc w:val="right"/>
      <w:pPr>
        <w:ind w:left="2160" w:hanging="180"/>
      </w:pPr>
    </w:lvl>
    <w:lvl w:ilvl="3" w:tplc="CA08199E" w:tentative="1">
      <w:start w:val="1"/>
      <w:numFmt w:val="decimal"/>
      <w:lvlText w:val="%4."/>
      <w:lvlJc w:val="left"/>
      <w:pPr>
        <w:ind w:left="2880" w:hanging="360"/>
      </w:pPr>
    </w:lvl>
    <w:lvl w:ilvl="4" w:tplc="04B0437C" w:tentative="1">
      <w:start w:val="1"/>
      <w:numFmt w:val="lowerLetter"/>
      <w:lvlText w:val="%5."/>
      <w:lvlJc w:val="left"/>
      <w:pPr>
        <w:ind w:left="3600" w:hanging="360"/>
      </w:pPr>
    </w:lvl>
    <w:lvl w:ilvl="5" w:tplc="36B2CFEE" w:tentative="1">
      <w:start w:val="1"/>
      <w:numFmt w:val="lowerRoman"/>
      <w:lvlText w:val="%6."/>
      <w:lvlJc w:val="right"/>
      <w:pPr>
        <w:ind w:left="4320" w:hanging="180"/>
      </w:pPr>
    </w:lvl>
    <w:lvl w:ilvl="6" w:tplc="9DF68EB0" w:tentative="1">
      <w:start w:val="1"/>
      <w:numFmt w:val="decimal"/>
      <w:lvlText w:val="%7."/>
      <w:lvlJc w:val="left"/>
      <w:pPr>
        <w:ind w:left="5040" w:hanging="360"/>
      </w:pPr>
    </w:lvl>
    <w:lvl w:ilvl="7" w:tplc="8522DD5C" w:tentative="1">
      <w:start w:val="1"/>
      <w:numFmt w:val="lowerLetter"/>
      <w:lvlText w:val="%8."/>
      <w:lvlJc w:val="left"/>
      <w:pPr>
        <w:ind w:left="5760" w:hanging="360"/>
      </w:pPr>
    </w:lvl>
    <w:lvl w:ilvl="8" w:tplc="D606584E" w:tentative="1">
      <w:start w:val="1"/>
      <w:numFmt w:val="lowerRoman"/>
      <w:lvlText w:val="%9."/>
      <w:lvlJc w:val="right"/>
      <w:pPr>
        <w:ind w:left="6480" w:hanging="180"/>
      </w:pPr>
    </w:lvl>
  </w:abstractNum>
  <w:abstractNum w:abstractNumId="20" w15:restartNumberingAfterBreak="0">
    <w:nsid w:val="53C904E6"/>
    <w:multiLevelType w:val="hybridMultilevel"/>
    <w:tmpl w:val="DDDAB13E"/>
    <w:lvl w:ilvl="0" w:tplc="32B6C1D4">
      <w:start w:val="1"/>
      <w:numFmt w:val="upperLetter"/>
      <w:lvlText w:val="%1."/>
      <w:lvlJc w:val="left"/>
      <w:pPr>
        <w:ind w:left="1080" w:hanging="360"/>
      </w:pPr>
      <w:rPr>
        <w:b/>
        <w:bCs/>
      </w:rPr>
    </w:lvl>
    <w:lvl w:ilvl="1" w:tplc="C0063A1A">
      <w:start w:val="3"/>
      <w:numFmt w:val="lowerLetter"/>
      <w:lvlText w:val="%2."/>
      <w:lvlJc w:val="left"/>
      <w:pPr>
        <w:ind w:left="1800" w:hanging="360"/>
      </w:pPr>
      <w:rPr>
        <w:rFonts w:hint="default"/>
        <w:b/>
        <w:bCs/>
      </w:rPr>
    </w:lvl>
    <w:lvl w:ilvl="2" w:tplc="A2DA24A0">
      <w:start w:val="1"/>
      <w:numFmt w:val="lowerRoman"/>
      <w:lvlText w:val="%3."/>
      <w:lvlJc w:val="right"/>
      <w:pPr>
        <w:ind w:left="2520" w:hanging="180"/>
      </w:pPr>
      <w:rPr>
        <w:b w:val="0"/>
        <w:bCs w:val="0"/>
      </w:rPr>
    </w:lvl>
    <w:lvl w:ilvl="3" w:tplc="6BBEB2F2" w:tentative="1">
      <w:start w:val="1"/>
      <w:numFmt w:val="decimal"/>
      <w:lvlText w:val="%4."/>
      <w:lvlJc w:val="left"/>
      <w:pPr>
        <w:ind w:left="3240" w:hanging="360"/>
      </w:pPr>
    </w:lvl>
    <w:lvl w:ilvl="4" w:tplc="9344107E" w:tentative="1">
      <w:start w:val="1"/>
      <w:numFmt w:val="lowerLetter"/>
      <w:lvlText w:val="%5."/>
      <w:lvlJc w:val="left"/>
      <w:pPr>
        <w:ind w:left="3960" w:hanging="360"/>
      </w:pPr>
    </w:lvl>
    <w:lvl w:ilvl="5" w:tplc="0994ECA6" w:tentative="1">
      <w:start w:val="1"/>
      <w:numFmt w:val="lowerRoman"/>
      <w:lvlText w:val="%6."/>
      <w:lvlJc w:val="right"/>
      <w:pPr>
        <w:ind w:left="4680" w:hanging="180"/>
      </w:pPr>
    </w:lvl>
    <w:lvl w:ilvl="6" w:tplc="3D5E8FD0" w:tentative="1">
      <w:start w:val="1"/>
      <w:numFmt w:val="decimal"/>
      <w:lvlText w:val="%7."/>
      <w:lvlJc w:val="left"/>
      <w:pPr>
        <w:ind w:left="5400" w:hanging="360"/>
      </w:pPr>
    </w:lvl>
    <w:lvl w:ilvl="7" w:tplc="C11CE82C" w:tentative="1">
      <w:start w:val="1"/>
      <w:numFmt w:val="lowerLetter"/>
      <w:lvlText w:val="%8."/>
      <w:lvlJc w:val="left"/>
      <w:pPr>
        <w:ind w:left="6120" w:hanging="360"/>
      </w:pPr>
    </w:lvl>
    <w:lvl w:ilvl="8" w:tplc="60A88150" w:tentative="1">
      <w:start w:val="1"/>
      <w:numFmt w:val="lowerRoman"/>
      <w:lvlText w:val="%9."/>
      <w:lvlJc w:val="right"/>
      <w:pPr>
        <w:ind w:left="6840" w:hanging="180"/>
      </w:pPr>
    </w:lvl>
  </w:abstractNum>
  <w:abstractNum w:abstractNumId="21" w15:restartNumberingAfterBreak="0">
    <w:nsid w:val="56623749"/>
    <w:multiLevelType w:val="hybridMultilevel"/>
    <w:tmpl w:val="8C761666"/>
    <w:lvl w:ilvl="0" w:tplc="D436D9EA">
      <w:start w:val="1"/>
      <w:numFmt w:val="upperLetter"/>
      <w:lvlText w:val="%1."/>
      <w:lvlJc w:val="left"/>
      <w:pPr>
        <w:ind w:left="720" w:hanging="360"/>
      </w:pPr>
    </w:lvl>
    <w:lvl w:ilvl="1" w:tplc="6BB0A88A">
      <w:start w:val="1"/>
      <w:numFmt w:val="lowerLetter"/>
      <w:lvlText w:val="%2."/>
      <w:lvlJc w:val="left"/>
      <w:pPr>
        <w:ind w:left="1440" w:hanging="360"/>
      </w:pPr>
    </w:lvl>
    <w:lvl w:ilvl="2" w:tplc="23303A94" w:tentative="1">
      <w:start w:val="1"/>
      <w:numFmt w:val="lowerRoman"/>
      <w:lvlText w:val="%3."/>
      <w:lvlJc w:val="right"/>
      <w:pPr>
        <w:ind w:left="2160" w:hanging="180"/>
      </w:pPr>
    </w:lvl>
    <w:lvl w:ilvl="3" w:tplc="AC06FBCC" w:tentative="1">
      <w:start w:val="1"/>
      <w:numFmt w:val="decimal"/>
      <w:lvlText w:val="%4."/>
      <w:lvlJc w:val="left"/>
      <w:pPr>
        <w:ind w:left="2880" w:hanging="360"/>
      </w:pPr>
    </w:lvl>
    <w:lvl w:ilvl="4" w:tplc="88F0D6FA" w:tentative="1">
      <w:start w:val="1"/>
      <w:numFmt w:val="lowerLetter"/>
      <w:lvlText w:val="%5."/>
      <w:lvlJc w:val="left"/>
      <w:pPr>
        <w:ind w:left="3600" w:hanging="360"/>
      </w:pPr>
    </w:lvl>
    <w:lvl w:ilvl="5" w:tplc="B920B7FC" w:tentative="1">
      <w:start w:val="1"/>
      <w:numFmt w:val="lowerRoman"/>
      <w:lvlText w:val="%6."/>
      <w:lvlJc w:val="right"/>
      <w:pPr>
        <w:ind w:left="4320" w:hanging="180"/>
      </w:pPr>
    </w:lvl>
    <w:lvl w:ilvl="6" w:tplc="CA607518" w:tentative="1">
      <w:start w:val="1"/>
      <w:numFmt w:val="decimal"/>
      <w:lvlText w:val="%7."/>
      <w:lvlJc w:val="left"/>
      <w:pPr>
        <w:ind w:left="5040" w:hanging="360"/>
      </w:pPr>
    </w:lvl>
    <w:lvl w:ilvl="7" w:tplc="813C4804" w:tentative="1">
      <w:start w:val="1"/>
      <w:numFmt w:val="lowerLetter"/>
      <w:lvlText w:val="%8."/>
      <w:lvlJc w:val="left"/>
      <w:pPr>
        <w:ind w:left="5760" w:hanging="360"/>
      </w:pPr>
    </w:lvl>
    <w:lvl w:ilvl="8" w:tplc="10B07196" w:tentative="1">
      <w:start w:val="1"/>
      <w:numFmt w:val="lowerRoman"/>
      <w:lvlText w:val="%9."/>
      <w:lvlJc w:val="right"/>
      <w:pPr>
        <w:ind w:left="6480" w:hanging="180"/>
      </w:pPr>
    </w:lvl>
  </w:abstractNum>
  <w:abstractNum w:abstractNumId="22" w15:restartNumberingAfterBreak="0">
    <w:nsid w:val="595C5BC5"/>
    <w:multiLevelType w:val="hybridMultilevel"/>
    <w:tmpl w:val="AF46B5A4"/>
    <w:lvl w:ilvl="0" w:tplc="9148EA40">
      <w:start w:val="1"/>
      <w:numFmt w:val="bullet"/>
      <w:lvlText w:val=""/>
      <w:lvlJc w:val="left"/>
      <w:pPr>
        <w:ind w:left="720" w:hanging="360"/>
      </w:pPr>
      <w:rPr>
        <w:rFonts w:ascii="Symbol" w:hAnsi="Symbol" w:hint="default"/>
      </w:rPr>
    </w:lvl>
    <w:lvl w:ilvl="1" w:tplc="58CC10CC" w:tentative="1">
      <w:start w:val="1"/>
      <w:numFmt w:val="bullet"/>
      <w:lvlText w:val="o"/>
      <w:lvlJc w:val="left"/>
      <w:pPr>
        <w:ind w:left="1440" w:hanging="360"/>
      </w:pPr>
      <w:rPr>
        <w:rFonts w:ascii="Courier New" w:hAnsi="Courier New" w:cs="Courier New" w:hint="default"/>
      </w:rPr>
    </w:lvl>
    <w:lvl w:ilvl="2" w:tplc="DA8A87B2" w:tentative="1">
      <w:start w:val="1"/>
      <w:numFmt w:val="bullet"/>
      <w:lvlText w:val=""/>
      <w:lvlJc w:val="left"/>
      <w:pPr>
        <w:ind w:left="2160" w:hanging="360"/>
      </w:pPr>
      <w:rPr>
        <w:rFonts w:ascii="Wingdings" w:hAnsi="Wingdings" w:hint="default"/>
      </w:rPr>
    </w:lvl>
    <w:lvl w:ilvl="3" w:tplc="39586A50" w:tentative="1">
      <w:start w:val="1"/>
      <w:numFmt w:val="bullet"/>
      <w:lvlText w:val=""/>
      <w:lvlJc w:val="left"/>
      <w:pPr>
        <w:ind w:left="2880" w:hanging="360"/>
      </w:pPr>
      <w:rPr>
        <w:rFonts w:ascii="Symbol" w:hAnsi="Symbol" w:hint="default"/>
      </w:rPr>
    </w:lvl>
    <w:lvl w:ilvl="4" w:tplc="F2A666C2" w:tentative="1">
      <w:start w:val="1"/>
      <w:numFmt w:val="bullet"/>
      <w:lvlText w:val="o"/>
      <w:lvlJc w:val="left"/>
      <w:pPr>
        <w:ind w:left="3600" w:hanging="360"/>
      </w:pPr>
      <w:rPr>
        <w:rFonts w:ascii="Courier New" w:hAnsi="Courier New" w:cs="Courier New" w:hint="default"/>
      </w:rPr>
    </w:lvl>
    <w:lvl w:ilvl="5" w:tplc="8E5E1964" w:tentative="1">
      <w:start w:val="1"/>
      <w:numFmt w:val="bullet"/>
      <w:lvlText w:val=""/>
      <w:lvlJc w:val="left"/>
      <w:pPr>
        <w:ind w:left="4320" w:hanging="360"/>
      </w:pPr>
      <w:rPr>
        <w:rFonts w:ascii="Wingdings" w:hAnsi="Wingdings" w:hint="default"/>
      </w:rPr>
    </w:lvl>
    <w:lvl w:ilvl="6" w:tplc="70D87CAA" w:tentative="1">
      <w:start w:val="1"/>
      <w:numFmt w:val="bullet"/>
      <w:lvlText w:val=""/>
      <w:lvlJc w:val="left"/>
      <w:pPr>
        <w:ind w:left="5040" w:hanging="360"/>
      </w:pPr>
      <w:rPr>
        <w:rFonts w:ascii="Symbol" w:hAnsi="Symbol" w:hint="default"/>
      </w:rPr>
    </w:lvl>
    <w:lvl w:ilvl="7" w:tplc="103AFF8C" w:tentative="1">
      <w:start w:val="1"/>
      <w:numFmt w:val="bullet"/>
      <w:lvlText w:val="o"/>
      <w:lvlJc w:val="left"/>
      <w:pPr>
        <w:ind w:left="5760" w:hanging="360"/>
      </w:pPr>
      <w:rPr>
        <w:rFonts w:ascii="Courier New" w:hAnsi="Courier New" w:cs="Courier New" w:hint="default"/>
      </w:rPr>
    </w:lvl>
    <w:lvl w:ilvl="8" w:tplc="6A6AF92C" w:tentative="1">
      <w:start w:val="1"/>
      <w:numFmt w:val="bullet"/>
      <w:lvlText w:val=""/>
      <w:lvlJc w:val="left"/>
      <w:pPr>
        <w:ind w:left="6480" w:hanging="360"/>
      </w:pPr>
      <w:rPr>
        <w:rFonts w:ascii="Wingdings" w:hAnsi="Wingdings" w:hint="default"/>
      </w:rPr>
    </w:lvl>
  </w:abstractNum>
  <w:abstractNum w:abstractNumId="23" w15:restartNumberingAfterBreak="0">
    <w:nsid w:val="59F2F987"/>
    <w:multiLevelType w:val="hybridMultilevel"/>
    <w:tmpl w:val="79947DCA"/>
    <w:lvl w:ilvl="0" w:tplc="42DC76B0">
      <w:start w:val="1"/>
      <w:numFmt w:val="lowerLetter"/>
      <w:lvlText w:val="%1."/>
      <w:lvlJc w:val="left"/>
      <w:pPr>
        <w:ind w:left="1440" w:hanging="360"/>
      </w:pPr>
    </w:lvl>
    <w:lvl w:ilvl="1" w:tplc="C65AFDF2">
      <w:start w:val="1"/>
      <w:numFmt w:val="lowerLetter"/>
      <w:lvlText w:val="%2."/>
      <w:lvlJc w:val="left"/>
      <w:pPr>
        <w:ind w:left="2160" w:hanging="360"/>
      </w:pPr>
    </w:lvl>
    <w:lvl w:ilvl="2" w:tplc="DA5C88AA">
      <w:start w:val="1"/>
      <w:numFmt w:val="lowerRoman"/>
      <w:lvlText w:val="%3."/>
      <w:lvlJc w:val="right"/>
      <w:pPr>
        <w:ind w:left="2880" w:hanging="180"/>
      </w:pPr>
    </w:lvl>
    <w:lvl w:ilvl="3" w:tplc="75B050A0">
      <w:start w:val="1"/>
      <w:numFmt w:val="decimal"/>
      <w:lvlText w:val="%4."/>
      <w:lvlJc w:val="left"/>
      <w:pPr>
        <w:ind w:left="3600" w:hanging="360"/>
      </w:pPr>
    </w:lvl>
    <w:lvl w:ilvl="4" w:tplc="6F4C559E">
      <w:start w:val="1"/>
      <w:numFmt w:val="lowerLetter"/>
      <w:lvlText w:val="%5."/>
      <w:lvlJc w:val="left"/>
      <w:pPr>
        <w:ind w:left="4320" w:hanging="360"/>
      </w:pPr>
    </w:lvl>
    <w:lvl w:ilvl="5" w:tplc="E1BC78C6">
      <w:start w:val="1"/>
      <w:numFmt w:val="lowerRoman"/>
      <w:lvlText w:val="%6."/>
      <w:lvlJc w:val="right"/>
      <w:pPr>
        <w:ind w:left="5040" w:hanging="180"/>
      </w:pPr>
    </w:lvl>
    <w:lvl w:ilvl="6" w:tplc="C1347DF4">
      <w:start w:val="1"/>
      <w:numFmt w:val="decimal"/>
      <w:lvlText w:val="%7."/>
      <w:lvlJc w:val="left"/>
      <w:pPr>
        <w:ind w:left="5760" w:hanging="360"/>
      </w:pPr>
    </w:lvl>
    <w:lvl w:ilvl="7" w:tplc="86F2918C">
      <w:start w:val="1"/>
      <w:numFmt w:val="lowerLetter"/>
      <w:lvlText w:val="%8."/>
      <w:lvlJc w:val="left"/>
      <w:pPr>
        <w:ind w:left="6480" w:hanging="360"/>
      </w:pPr>
    </w:lvl>
    <w:lvl w:ilvl="8" w:tplc="253CFC54">
      <w:start w:val="1"/>
      <w:numFmt w:val="lowerRoman"/>
      <w:lvlText w:val="%9."/>
      <w:lvlJc w:val="right"/>
      <w:pPr>
        <w:ind w:left="7200" w:hanging="180"/>
      </w:pPr>
    </w:lvl>
  </w:abstractNum>
  <w:abstractNum w:abstractNumId="24" w15:restartNumberingAfterBreak="0">
    <w:nsid w:val="5CC96724"/>
    <w:multiLevelType w:val="hybridMultilevel"/>
    <w:tmpl w:val="0B24AD80"/>
    <w:lvl w:ilvl="0" w:tplc="A70035FE">
      <w:start w:val="1"/>
      <w:numFmt w:val="upperLetter"/>
      <w:lvlText w:val="%1."/>
      <w:lvlJc w:val="left"/>
      <w:pPr>
        <w:ind w:left="720" w:hanging="360"/>
      </w:pPr>
    </w:lvl>
    <w:lvl w:ilvl="1" w:tplc="A4247FC6">
      <w:start w:val="1"/>
      <w:numFmt w:val="lowerLetter"/>
      <w:lvlText w:val="%2."/>
      <w:lvlJc w:val="left"/>
      <w:pPr>
        <w:ind w:left="1440" w:hanging="360"/>
      </w:pPr>
    </w:lvl>
    <w:lvl w:ilvl="2" w:tplc="565A370E" w:tentative="1">
      <w:start w:val="1"/>
      <w:numFmt w:val="lowerRoman"/>
      <w:lvlText w:val="%3."/>
      <w:lvlJc w:val="right"/>
      <w:pPr>
        <w:ind w:left="2160" w:hanging="180"/>
      </w:pPr>
    </w:lvl>
    <w:lvl w:ilvl="3" w:tplc="5F10469A" w:tentative="1">
      <w:start w:val="1"/>
      <w:numFmt w:val="decimal"/>
      <w:lvlText w:val="%4."/>
      <w:lvlJc w:val="left"/>
      <w:pPr>
        <w:ind w:left="2880" w:hanging="360"/>
      </w:pPr>
    </w:lvl>
    <w:lvl w:ilvl="4" w:tplc="F078C474" w:tentative="1">
      <w:start w:val="1"/>
      <w:numFmt w:val="lowerLetter"/>
      <w:lvlText w:val="%5."/>
      <w:lvlJc w:val="left"/>
      <w:pPr>
        <w:ind w:left="3600" w:hanging="360"/>
      </w:pPr>
    </w:lvl>
    <w:lvl w:ilvl="5" w:tplc="0F9AE68C" w:tentative="1">
      <w:start w:val="1"/>
      <w:numFmt w:val="lowerRoman"/>
      <w:lvlText w:val="%6."/>
      <w:lvlJc w:val="right"/>
      <w:pPr>
        <w:ind w:left="4320" w:hanging="180"/>
      </w:pPr>
    </w:lvl>
    <w:lvl w:ilvl="6" w:tplc="2A2E89FA" w:tentative="1">
      <w:start w:val="1"/>
      <w:numFmt w:val="decimal"/>
      <w:lvlText w:val="%7."/>
      <w:lvlJc w:val="left"/>
      <w:pPr>
        <w:ind w:left="5040" w:hanging="360"/>
      </w:pPr>
    </w:lvl>
    <w:lvl w:ilvl="7" w:tplc="C180E8AE" w:tentative="1">
      <w:start w:val="1"/>
      <w:numFmt w:val="lowerLetter"/>
      <w:lvlText w:val="%8."/>
      <w:lvlJc w:val="left"/>
      <w:pPr>
        <w:ind w:left="5760" w:hanging="360"/>
      </w:pPr>
    </w:lvl>
    <w:lvl w:ilvl="8" w:tplc="FF10BA8E" w:tentative="1">
      <w:start w:val="1"/>
      <w:numFmt w:val="lowerRoman"/>
      <w:lvlText w:val="%9."/>
      <w:lvlJc w:val="right"/>
      <w:pPr>
        <w:ind w:left="6480" w:hanging="180"/>
      </w:pPr>
    </w:lvl>
  </w:abstractNum>
  <w:abstractNum w:abstractNumId="25" w15:restartNumberingAfterBreak="0">
    <w:nsid w:val="5F355117"/>
    <w:multiLevelType w:val="hybridMultilevel"/>
    <w:tmpl w:val="5510B36A"/>
    <w:lvl w:ilvl="0" w:tplc="DB26FCFA">
      <w:start w:val="1"/>
      <w:numFmt w:val="bullet"/>
      <w:lvlText w:val=""/>
      <w:lvlJc w:val="left"/>
      <w:pPr>
        <w:ind w:left="720" w:hanging="360"/>
      </w:pPr>
      <w:rPr>
        <w:rFonts w:ascii="Symbol" w:hAnsi="Symbol" w:hint="default"/>
      </w:rPr>
    </w:lvl>
    <w:lvl w:ilvl="1" w:tplc="928A5AEC" w:tentative="1">
      <w:start w:val="1"/>
      <w:numFmt w:val="bullet"/>
      <w:lvlText w:val="o"/>
      <w:lvlJc w:val="left"/>
      <w:pPr>
        <w:ind w:left="1440" w:hanging="360"/>
      </w:pPr>
      <w:rPr>
        <w:rFonts w:ascii="Courier New" w:hAnsi="Courier New" w:cs="Courier New" w:hint="default"/>
      </w:rPr>
    </w:lvl>
    <w:lvl w:ilvl="2" w:tplc="815AEDEE" w:tentative="1">
      <w:start w:val="1"/>
      <w:numFmt w:val="bullet"/>
      <w:lvlText w:val=""/>
      <w:lvlJc w:val="left"/>
      <w:pPr>
        <w:ind w:left="2160" w:hanging="360"/>
      </w:pPr>
      <w:rPr>
        <w:rFonts w:ascii="Wingdings" w:hAnsi="Wingdings" w:hint="default"/>
      </w:rPr>
    </w:lvl>
    <w:lvl w:ilvl="3" w:tplc="6BB47080" w:tentative="1">
      <w:start w:val="1"/>
      <w:numFmt w:val="bullet"/>
      <w:lvlText w:val=""/>
      <w:lvlJc w:val="left"/>
      <w:pPr>
        <w:ind w:left="2880" w:hanging="360"/>
      </w:pPr>
      <w:rPr>
        <w:rFonts w:ascii="Symbol" w:hAnsi="Symbol" w:hint="default"/>
      </w:rPr>
    </w:lvl>
    <w:lvl w:ilvl="4" w:tplc="60AACC80" w:tentative="1">
      <w:start w:val="1"/>
      <w:numFmt w:val="bullet"/>
      <w:lvlText w:val="o"/>
      <w:lvlJc w:val="left"/>
      <w:pPr>
        <w:ind w:left="3600" w:hanging="360"/>
      </w:pPr>
      <w:rPr>
        <w:rFonts w:ascii="Courier New" w:hAnsi="Courier New" w:cs="Courier New" w:hint="default"/>
      </w:rPr>
    </w:lvl>
    <w:lvl w:ilvl="5" w:tplc="D3B2153A" w:tentative="1">
      <w:start w:val="1"/>
      <w:numFmt w:val="bullet"/>
      <w:lvlText w:val=""/>
      <w:lvlJc w:val="left"/>
      <w:pPr>
        <w:ind w:left="4320" w:hanging="360"/>
      </w:pPr>
      <w:rPr>
        <w:rFonts w:ascii="Wingdings" w:hAnsi="Wingdings" w:hint="default"/>
      </w:rPr>
    </w:lvl>
    <w:lvl w:ilvl="6" w:tplc="BB22C1B4" w:tentative="1">
      <w:start w:val="1"/>
      <w:numFmt w:val="bullet"/>
      <w:lvlText w:val=""/>
      <w:lvlJc w:val="left"/>
      <w:pPr>
        <w:ind w:left="5040" w:hanging="360"/>
      </w:pPr>
      <w:rPr>
        <w:rFonts w:ascii="Symbol" w:hAnsi="Symbol" w:hint="default"/>
      </w:rPr>
    </w:lvl>
    <w:lvl w:ilvl="7" w:tplc="C6E0FF32" w:tentative="1">
      <w:start w:val="1"/>
      <w:numFmt w:val="bullet"/>
      <w:lvlText w:val="o"/>
      <w:lvlJc w:val="left"/>
      <w:pPr>
        <w:ind w:left="5760" w:hanging="360"/>
      </w:pPr>
      <w:rPr>
        <w:rFonts w:ascii="Courier New" w:hAnsi="Courier New" w:cs="Courier New" w:hint="default"/>
      </w:rPr>
    </w:lvl>
    <w:lvl w:ilvl="8" w:tplc="D2FED0A2" w:tentative="1">
      <w:start w:val="1"/>
      <w:numFmt w:val="bullet"/>
      <w:lvlText w:val=""/>
      <w:lvlJc w:val="left"/>
      <w:pPr>
        <w:ind w:left="6480" w:hanging="360"/>
      </w:pPr>
      <w:rPr>
        <w:rFonts w:ascii="Wingdings" w:hAnsi="Wingdings" w:hint="default"/>
      </w:rPr>
    </w:lvl>
  </w:abstractNum>
  <w:abstractNum w:abstractNumId="26" w15:restartNumberingAfterBreak="0">
    <w:nsid w:val="62C70C70"/>
    <w:multiLevelType w:val="hybridMultilevel"/>
    <w:tmpl w:val="BB4857A2"/>
    <w:lvl w:ilvl="0" w:tplc="2552FE6C">
      <w:start w:val="1"/>
      <w:numFmt w:val="upperRoman"/>
      <w:lvlText w:val="%1."/>
      <w:lvlJc w:val="left"/>
      <w:pPr>
        <w:ind w:left="720" w:hanging="360"/>
      </w:pPr>
    </w:lvl>
    <w:lvl w:ilvl="1" w:tplc="372ACC66">
      <w:start w:val="1"/>
      <w:numFmt w:val="lowerLetter"/>
      <w:lvlText w:val="%2."/>
      <w:lvlJc w:val="left"/>
      <w:pPr>
        <w:ind w:left="1440" w:hanging="360"/>
      </w:pPr>
    </w:lvl>
    <w:lvl w:ilvl="2" w:tplc="13E22750">
      <w:start w:val="1"/>
      <w:numFmt w:val="lowerRoman"/>
      <w:lvlText w:val="%3."/>
      <w:lvlJc w:val="right"/>
      <w:pPr>
        <w:ind w:left="2160" w:hanging="180"/>
      </w:pPr>
    </w:lvl>
    <w:lvl w:ilvl="3" w:tplc="A6441654">
      <w:start w:val="1"/>
      <w:numFmt w:val="decimal"/>
      <w:lvlText w:val="%4."/>
      <w:lvlJc w:val="left"/>
      <w:pPr>
        <w:ind w:left="2880" w:hanging="360"/>
      </w:pPr>
    </w:lvl>
    <w:lvl w:ilvl="4" w:tplc="1DB85CFC">
      <w:start w:val="1"/>
      <w:numFmt w:val="lowerLetter"/>
      <w:lvlText w:val="%5."/>
      <w:lvlJc w:val="left"/>
      <w:pPr>
        <w:ind w:left="3600" w:hanging="360"/>
      </w:pPr>
    </w:lvl>
    <w:lvl w:ilvl="5" w:tplc="91EE0358">
      <w:start w:val="1"/>
      <w:numFmt w:val="lowerRoman"/>
      <w:lvlText w:val="%6."/>
      <w:lvlJc w:val="right"/>
      <w:pPr>
        <w:ind w:left="4320" w:hanging="180"/>
      </w:pPr>
    </w:lvl>
    <w:lvl w:ilvl="6" w:tplc="9B8265CC">
      <w:start w:val="1"/>
      <w:numFmt w:val="decimal"/>
      <w:lvlText w:val="%7."/>
      <w:lvlJc w:val="left"/>
      <w:pPr>
        <w:ind w:left="5040" w:hanging="360"/>
      </w:pPr>
    </w:lvl>
    <w:lvl w:ilvl="7" w:tplc="C43237F2">
      <w:start w:val="1"/>
      <w:numFmt w:val="lowerLetter"/>
      <w:lvlText w:val="%8."/>
      <w:lvlJc w:val="left"/>
      <w:pPr>
        <w:ind w:left="5760" w:hanging="360"/>
      </w:pPr>
    </w:lvl>
    <w:lvl w:ilvl="8" w:tplc="D266260C">
      <w:start w:val="1"/>
      <w:numFmt w:val="lowerRoman"/>
      <w:lvlText w:val="%9."/>
      <w:lvlJc w:val="right"/>
      <w:pPr>
        <w:ind w:left="6480" w:hanging="180"/>
      </w:pPr>
    </w:lvl>
  </w:abstractNum>
  <w:abstractNum w:abstractNumId="27" w15:restartNumberingAfterBreak="0">
    <w:nsid w:val="63A56BEF"/>
    <w:multiLevelType w:val="hybridMultilevel"/>
    <w:tmpl w:val="C8C0FD4A"/>
    <w:lvl w:ilvl="0" w:tplc="E1E230A2">
      <w:start w:val="1"/>
      <w:numFmt w:val="upperRoman"/>
      <w:lvlText w:val="%1."/>
      <w:lvlJc w:val="right"/>
      <w:pPr>
        <w:ind w:left="720" w:hanging="360"/>
      </w:pPr>
    </w:lvl>
    <w:lvl w:ilvl="1" w:tplc="2DA8EC0E">
      <w:start w:val="1"/>
      <w:numFmt w:val="lowerLetter"/>
      <w:lvlText w:val="%2."/>
      <w:lvlJc w:val="left"/>
      <w:pPr>
        <w:ind w:left="1440" w:hanging="360"/>
      </w:pPr>
    </w:lvl>
    <w:lvl w:ilvl="2" w:tplc="98765AB0" w:tentative="1">
      <w:start w:val="1"/>
      <w:numFmt w:val="lowerRoman"/>
      <w:lvlText w:val="%3."/>
      <w:lvlJc w:val="right"/>
      <w:pPr>
        <w:ind w:left="2160" w:hanging="180"/>
      </w:pPr>
    </w:lvl>
    <w:lvl w:ilvl="3" w:tplc="8584A4BC" w:tentative="1">
      <w:start w:val="1"/>
      <w:numFmt w:val="decimal"/>
      <w:lvlText w:val="%4."/>
      <w:lvlJc w:val="left"/>
      <w:pPr>
        <w:ind w:left="2880" w:hanging="360"/>
      </w:pPr>
    </w:lvl>
    <w:lvl w:ilvl="4" w:tplc="2C5ACE22" w:tentative="1">
      <w:start w:val="1"/>
      <w:numFmt w:val="lowerLetter"/>
      <w:lvlText w:val="%5."/>
      <w:lvlJc w:val="left"/>
      <w:pPr>
        <w:ind w:left="3600" w:hanging="360"/>
      </w:pPr>
    </w:lvl>
    <w:lvl w:ilvl="5" w:tplc="62887E28" w:tentative="1">
      <w:start w:val="1"/>
      <w:numFmt w:val="lowerRoman"/>
      <w:lvlText w:val="%6."/>
      <w:lvlJc w:val="right"/>
      <w:pPr>
        <w:ind w:left="4320" w:hanging="180"/>
      </w:pPr>
    </w:lvl>
    <w:lvl w:ilvl="6" w:tplc="215C2300" w:tentative="1">
      <w:start w:val="1"/>
      <w:numFmt w:val="decimal"/>
      <w:lvlText w:val="%7."/>
      <w:lvlJc w:val="left"/>
      <w:pPr>
        <w:ind w:left="5040" w:hanging="360"/>
      </w:pPr>
    </w:lvl>
    <w:lvl w:ilvl="7" w:tplc="42866490" w:tentative="1">
      <w:start w:val="1"/>
      <w:numFmt w:val="lowerLetter"/>
      <w:lvlText w:val="%8."/>
      <w:lvlJc w:val="left"/>
      <w:pPr>
        <w:ind w:left="5760" w:hanging="360"/>
      </w:pPr>
    </w:lvl>
    <w:lvl w:ilvl="8" w:tplc="57304E3C" w:tentative="1">
      <w:start w:val="1"/>
      <w:numFmt w:val="lowerRoman"/>
      <w:lvlText w:val="%9."/>
      <w:lvlJc w:val="right"/>
      <w:pPr>
        <w:ind w:left="6480" w:hanging="180"/>
      </w:pPr>
    </w:lvl>
  </w:abstractNum>
  <w:abstractNum w:abstractNumId="28" w15:restartNumberingAfterBreak="0">
    <w:nsid w:val="63CD91EB"/>
    <w:multiLevelType w:val="hybridMultilevel"/>
    <w:tmpl w:val="8AB84FE4"/>
    <w:lvl w:ilvl="0" w:tplc="297851DA">
      <w:start w:val="1"/>
      <w:numFmt w:val="lowerRoman"/>
      <w:lvlText w:val="%1."/>
      <w:lvlJc w:val="left"/>
      <w:pPr>
        <w:ind w:left="1800" w:hanging="360"/>
      </w:pPr>
      <w:rPr>
        <w:b/>
        <w:bCs/>
      </w:rPr>
    </w:lvl>
    <w:lvl w:ilvl="1" w:tplc="A9EEAA70">
      <w:start w:val="1"/>
      <w:numFmt w:val="lowerLetter"/>
      <w:lvlText w:val="%2."/>
      <w:lvlJc w:val="left"/>
      <w:pPr>
        <w:ind w:left="2520" w:hanging="360"/>
      </w:pPr>
    </w:lvl>
    <w:lvl w:ilvl="2" w:tplc="FBD028D4">
      <w:start w:val="1"/>
      <w:numFmt w:val="lowerRoman"/>
      <w:lvlText w:val="%3."/>
      <w:lvlJc w:val="right"/>
      <w:pPr>
        <w:ind w:left="3240" w:hanging="180"/>
      </w:pPr>
    </w:lvl>
    <w:lvl w:ilvl="3" w:tplc="B688EEB6">
      <w:start w:val="1"/>
      <w:numFmt w:val="decimal"/>
      <w:lvlText w:val="%4."/>
      <w:lvlJc w:val="left"/>
      <w:pPr>
        <w:ind w:left="3960" w:hanging="360"/>
      </w:pPr>
    </w:lvl>
    <w:lvl w:ilvl="4" w:tplc="6930CBBC">
      <w:start w:val="1"/>
      <w:numFmt w:val="lowerLetter"/>
      <w:lvlText w:val="%5."/>
      <w:lvlJc w:val="left"/>
      <w:pPr>
        <w:ind w:left="4680" w:hanging="360"/>
      </w:pPr>
    </w:lvl>
    <w:lvl w:ilvl="5" w:tplc="934E8500">
      <w:start w:val="1"/>
      <w:numFmt w:val="lowerRoman"/>
      <w:lvlText w:val="%6."/>
      <w:lvlJc w:val="right"/>
      <w:pPr>
        <w:ind w:left="5400" w:hanging="180"/>
      </w:pPr>
    </w:lvl>
    <w:lvl w:ilvl="6" w:tplc="E52A0FD0">
      <w:start w:val="1"/>
      <w:numFmt w:val="decimal"/>
      <w:lvlText w:val="%7."/>
      <w:lvlJc w:val="left"/>
      <w:pPr>
        <w:ind w:left="6120" w:hanging="360"/>
      </w:pPr>
    </w:lvl>
    <w:lvl w:ilvl="7" w:tplc="E050190A">
      <w:start w:val="1"/>
      <w:numFmt w:val="lowerLetter"/>
      <w:lvlText w:val="%8."/>
      <w:lvlJc w:val="left"/>
      <w:pPr>
        <w:ind w:left="6840" w:hanging="360"/>
      </w:pPr>
    </w:lvl>
    <w:lvl w:ilvl="8" w:tplc="E8D24F04">
      <w:start w:val="1"/>
      <w:numFmt w:val="lowerRoman"/>
      <w:lvlText w:val="%9."/>
      <w:lvlJc w:val="right"/>
      <w:pPr>
        <w:ind w:left="7560" w:hanging="180"/>
      </w:pPr>
    </w:lvl>
  </w:abstractNum>
  <w:abstractNum w:abstractNumId="29" w15:restartNumberingAfterBreak="0">
    <w:nsid w:val="6444521F"/>
    <w:multiLevelType w:val="hybridMultilevel"/>
    <w:tmpl w:val="80DA9BE8"/>
    <w:lvl w:ilvl="0" w:tplc="607E362C">
      <w:start w:val="1"/>
      <w:numFmt w:val="upperLetter"/>
      <w:lvlText w:val="%1."/>
      <w:lvlJc w:val="left"/>
      <w:pPr>
        <w:ind w:left="720" w:hanging="360"/>
      </w:pPr>
    </w:lvl>
    <w:lvl w:ilvl="1" w:tplc="7FB826B0" w:tentative="1">
      <w:start w:val="1"/>
      <w:numFmt w:val="lowerLetter"/>
      <w:lvlText w:val="%2."/>
      <w:lvlJc w:val="left"/>
      <w:pPr>
        <w:ind w:left="1440" w:hanging="360"/>
      </w:pPr>
    </w:lvl>
    <w:lvl w:ilvl="2" w:tplc="933AA7BC" w:tentative="1">
      <w:start w:val="1"/>
      <w:numFmt w:val="lowerRoman"/>
      <w:lvlText w:val="%3."/>
      <w:lvlJc w:val="right"/>
      <w:pPr>
        <w:ind w:left="2160" w:hanging="180"/>
      </w:pPr>
    </w:lvl>
    <w:lvl w:ilvl="3" w:tplc="60BC932A" w:tentative="1">
      <w:start w:val="1"/>
      <w:numFmt w:val="decimal"/>
      <w:lvlText w:val="%4."/>
      <w:lvlJc w:val="left"/>
      <w:pPr>
        <w:ind w:left="2880" w:hanging="360"/>
      </w:pPr>
    </w:lvl>
    <w:lvl w:ilvl="4" w:tplc="29DE9380" w:tentative="1">
      <w:start w:val="1"/>
      <w:numFmt w:val="lowerLetter"/>
      <w:lvlText w:val="%5."/>
      <w:lvlJc w:val="left"/>
      <w:pPr>
        <w:ind w:left="3600" w:hanging="360"/>
      </w:pPr>
    </w:lvl>
    <w:lvl w:ilvl="5" w:tplc="16A058F8" w:tentative="1">
      <w:start w:val="1"/>
      <w:numFmt w:val="lowerRoman"/>
      <w:lvlText w:val="%6."/>
      <w:lvlJc w:val="right"/>
      <w:pPr>
        <w:ind w:left="4320" w:hanging="180"/>
      </w:pPr>
    </w:lvl>
    <w:lvl w:ilvl="6" w:tplc="8B76AA18" w:tentative="1">
      <w:start w:val="1"/>
      <w:numFmt w:val="decimal"/>
      <w:lvlText w:val="%7."/>
      <w:lvlJc w:val="left"/>
      <w:pPr>
        <w:ind w:left="5040" w:hanging="360"/>
      </w:pPr>
    </w:lvl>
    <w:lvl w:ilvl="7" w:tplc="080AC5C6" w:tentative="1">
      <w:start w:val="1"/>
      <w:numFmt w:val="lowerLetter"/>
      <w:lvlText w:val="%8."/>
      <w:lvlJc w:val="left"/>
      <w:pPr>
        <w:ind w:left="5760" w:hanging="360"/>
      </w:pPr>
    </w:lvl>
    <w:lvl w:ilvl="8" w:tplc="D4BA91A8" w:tentative="1">
      <w:start w:val="1"/>
      <w:numFmt w:val="lowerRoman"/>
      <w:lvlText w:val="%9."/>
      <w:lvlJc w:val="right"/>
      <w:pPr>
        <w:ind w:left="6480" w:hanging="180"/>
      </w:pPr>
    </w:lvl>
  </w:abstractNum>
  <w:abstractNum w:abstractNumId="30" w15:restartNumberingAfterBreak="0">
    <w:nsid w:val="690D60A2"/>
    <w:multiLevelType w:val="hybridMultilevel"/>
    <w:tmpl w:val="ED349A68"/>
    <w:lvl w:ilvl="0" w:tplc="6D1EB338">
      <w:start w:val="1"/>
      <w:numFmt w:val="lowerLetter"/>
      <w:lvlText w:val="%1."/>
      <w:lvlJc w:val="left"/>
      <w:pPr>
        <w:ind w:left="720" w:hanging="360"/>
      </w:pPr>
    </w:lvl>
    <w:lvl w:ilvl="1" w:tplc="03EE0CD2" w:tentative="1">
      <w:start w:val="1"/>
      <w:numFmt w:val="lowerLetter"/>
      <w:lvlText w:val="%2."/>
      <w:lvlJc w:val="left"/>
      <w:pPr>
        <w:ind w:left="1440" w:hanging="360"/>
      </w:pPr>
    </w:lvl>
    <w:lvl w:ilvl="2" w:tplc="1CA07A7A" w:tentative="1">
      <w:start w:val="1"/>
      <w:numFmt w:val="lowerRoman"/>
      <w:lvlText w:val="%3."/>
      <w:lvlJc w:val="right"/>
      <w:pPr>
        <w:ind w:left="2160" w:hanging="180"/>
      </w:pPr>
    </w:lvl>
    <w:lvl w:ilvl="3" w:tplc="341462D8" w:tentative="1">
      <w:start w:val="1"/>
      <w:numFmt w:val="decimal"/>
      <w:lvlText w:val="%4."/>
      <w:lvlJc w:val="left"/>
      <w:pPr>
        <w:ind w:left="2880" w:hanging="360"/>
      </w:pPr>
    </w:lvl>
    <w:lvl w:ilvl="4" w:tplc="664A9466" w:tentative="1">
      <w:start w:val="1"/>
      <w:numFmt w:val="lowerLetter"/>
      <w:lvlText w:val="%5."/>
      <w:lvlJc w:val="left"/>
      <w:pPr>
        <w:ind w:left="3600" w:hanging="360"/>
      </w:pPr>
    </w:lvl>
    <w:lvl w:ilvl="5" w:tplc="919C745C" w:tentative="1">
      <w:start w:val="1"/>
      <w:numFmt w:val="lowerRoman"/>
      <w:lvlText w:val="%6."/>
      <w:lvlJc w:val="right"/>
      <w:pPr>
        <w:ind w:left="4320" w:hanging="180"/>
      </w:pPr>
    </w:lvl>
    <w:lvl w:ilvl="6" w:tplc="89285880" w:tentative="1">
      <w:start w:val="1"/>
      <w:numFmt w:val="decimal"/>
      <w:lvlText w:val="%7."/>
      <w:lvlJc w:val="left"/>
      <w:pPr>
        <w:ind w:left="5040" w:hanging="360"/>
      </w:pPr>
    </w:lvl>
    <w:lvl w:ilvl="7" w:tplc="A9C099B6" w:tentative="1">
      <w:start w:val="1"/>
      <w:numFmt w:val="lowerLetter"/>
      <w:lvlText w:val="%8."/>
      <w:lvlJc w:val="left"/>
      <w:pPr>
        <w:ind w:left="5760" w:hanging="360"/>
      </w:pPr>
    </w:lvl>
    <w:lvl w:ilvl="8" w:tplc="54BACD78" w:tentative="1">
      <w:start w:val="1"/>
      <w:numFmt w:val="lowerRoman"/>
      <w:lvlText w:val="%9."/>
      <w:lvlJc w:val="right"/>
      <w:pPr>
        <w:ind w:left="6480" w:hanging="180"/>
      </w:pPr>
    </w:lvl>
  </w:abstractNum>
  <w:abstractNum w:abstractNumId="31" w15:restartNumberingAfterBreak="0">
    <w:nsid w:val="6A4231C9"/>
    <w:multiLevelType w:val="hybridMultilevel"/>
    <w:tmpl w:val="5FDCE2F6"/>
    <w:lvl w:ilvl="0" w:tplc="8EEED5DA">
      <w:start w:val="1"/>
      <w:numFmt w:val="lowerLetter"/>
      <w:lvlText w:val="%1."/>
      <w:lvlJc w:val="left"/>
      <w:pPr>
        <w:ind w:left="1440" w:hanging="360"/>
      </w:pPr>
    </w:lvl>
    <w:lvl w:ilvl="1" w:tplc="C624C716" w:tentative="1">
      <w:start w:val="1"/>
      <w:numFmt w:val="lowerLetter"/>
      <w:lvlText w:val="%2."/>
      <w:lvlJc w:val="left"/>
      <w:pPr>
        <w:ind w:left="2160" w:hanging="360"/>
      </w:pPr>
    </w:lvl>
    <w:lvl w:ilvl="2" w:tplc="45CE67F2" w:tentative="1">
      <w:start w:val="1"/>
      <w:numFmt w:val="lowerRoman"/>
      <w:lvlText w:val="%3."/>
      <w:lvlJc w:val="right"/>
      <w:pPr>
        <w:ind w:left="2880" w:hanging="180"/>
      </w:pPr>
    </w:lvl>
    <w:lvl w:ilvl="3" w:tplc="3D2E9F7E" w:tentative="1">
      <w:start w:val="1"/>
      <w:numFmt w:val="decimal"/>
      <w:lvlText w:val="%4."/>
      <w:lvlJc w:val="left"/>
      <w:pPr>
        <w:ind w:left="3600" w:hanging="360"/>
      </w:pPr>
    </w:lvl>
    <w:lvl w:ilvl="4" w:tplc="19A6701E" w:tentative="1">
      <w:start w:val="1"/>
      <w:numFmt w:val="lowerLetter"/>
      <w:lvlText w:val="%5."/>
      <w:lvlJc w:val="left"/>
      <w:pPr>
        <w:ind w:left="4320" w:hanging="360"/>
      </w:pPr>
    </w:lvl>
    <w:lvl w:ilvl="5" w:tplc="90B4F2A0" w:tentative="1">
      <w:start w:val="1"/>
      <w:numFmt w:val="lowerRoman"/>
      <w:lvlText w:val="%6."/>
      <w:lvlJc w:val="right"/>
      <w:pPr>
        <w:ind w:left="5040" w:hanging="180"/>
      </w:pPr>
    </w:lvl>
    <w:lvl w:ilvl="6" w:tplc="87EE30C2" w:tentative="1">
      <w:start w:val="1"/>
      <w:numFmt w:val="decimal"/>
      <w:lvlText w:val="%7."/>
      <w:lvlJc w:val="left"/>
      <w:pPr>
        <w:ind w:left="5760" w:hanging="360"/>
      </w:pPr>
    </w:lvl>
    <w:lvl w:ilvl="7" w:tplc="05AE2C90" w:tentative="1">
      <w:start w:val="1"/>
      <w:numFmt w:val="lowerLetter"/>
      <w:lvlText w:val="%8."/>
      <w:lvlJc w:val="left"/>
      <w:pPr>
        <w:ind w:left="6480" w:hanging="360"/>
      </w:pPr>
    </w:lvl>
    <w:lvl w:ilvl="8" w:tplc="EB326872" w:tentative="1">
      <w:start w:val="1"/>
      <w:numFmt w:val="lowerRoman"/>
      <w:lvlText w:val="%9."/>
      <w:lvlJc w:val="right"/>
      <w:pPr>
        <w:ind w:left="7200" w:hanging="180"/>
      </w:pPr>
    </w:lvl>
  </w:abstractNum>
  <w:abstractNum w:abstractNumId="32" w15:restartNumberingAfterBreak="0">
    <w:nsid w:val="784366FE"/>
    <w:multiLevelType w:val="hybridMultilevel"/>
    <w:tmpl w:val="F4A4D460"/>
    <w:lvl w:ilvl="0" w:tplc="0938F846">
      <w:start w:val="1"/>
      <w:numFmt w:val="bullet"/>
      <w:lvlText w:val=""/>
      <w:lvlJc w:val="left"/>
      <w:pPr>
        <w:ind w:left="1080" w:hanging="360"/>
      </w:pPr>
      <w:rPr>
        <w:rFonts w:ascii="Symbol" w:hAnsi="Symbol" w:hint="default"/>
      </w:rPr>
    </w:lvl>
    <w:lvl w:ilvl="1" w:tplc="5D44690E" w:tentative="1">
      <w:start w:val="1"/>
      <w:numFmt w:val="bullet"/>
      <w:lvlText w:val="o"/>
      <w:lvlJc w:val="left"/>
      <w:pPr>
        <w:ind w:left="1800" w:hanging="360"/>
      </w:pPr>
      <w:rPr>
        <w:rFonts w:ascii="Courier New" w:hAnsi="Courier New" w:cs="Courier New" w:hint="default"/>
      </w:rPr>
    </w:lvl>
    <w:lvl w:ilvl="2" w:tplc="DC68252E" w:tentative="1">
      <w:start w:val="1"/>
      <w:numFmt w:val="bullet"/>
      <w:lvlText w:val=""/>
      <w:lvlJc w:val="left"/>
      <w:pPr>
        <w:ind w:left="2520" w:hanging="360"/>
      </w:pPr>
      <w:rPr>
        <w:rFonts w:ascii="Wingdings" w:hAnsi="Wingdings" w:hint="default"/>
      </w:rPr>
    </w:lvl>
    <w:lvl w:ilvl="3" w:tplc="9F1C9EB0" w:tentative="1">
      <w:start w:val="1"/>
      <w:numFmt w:val="bullet"/>
      <w:lvlText w:val=""/>
      <w:lvlJc w:val="left"/>
      <w:pPr>
        <w:ind w:left="3240" w:hanging="360"/>
      </w:pPr>
      <w:rPr>
        <w:rFonts w:ascii="Symbol" w:hAnsi="Symbol" w:hint="default"/>
      </w:rPr>
    </w:lvl>
    <w:lvl w:ilvl="4" w:tplc="60622D66" w:tentative="1">
      <w:start w:val="1"/>
      <w:numFmt w:val="bullet"/>
      <w:lvlText w:val="o"/>
      <w:lvlJc w:val="left"/>
      <w:pPr>
        <w:ind w:left="3960" w:hanging="360"/>
      </w:pPr>
      <w:rPr>
        <w:rFonts w:ascii="Courier New" w:hAnsi="Courier New" w:cs="Courier New" w:hint="default"/>
      </w:rPr>
    </w:lvl>
    <w:lvl w:ilvl="5" w:tplc="19148EC2" w:tentative="1">
      <w:start w:val="1"/>
      <w:numFmt w:val="bullet"/>
      <w:lvlText w:val=""/>
      <w:lvlJc w:val="left"/>
      <w:pPr>
        <w:ind w:left="4680" w:hanging="360"/>
      </w:pPr>
      <w:rPr>
        <w:rFonts w:ascii="Wingdings" w:hAnsi="Wingdings" w:hint="default"/>
      </w:rPr>
    </w:lvl>
    <w:lvl w:ilvl="6" w:tplc="2F60FD14" w:tentative="1">
      <w:start w:val="1"/>
      <w:numFmt w:val="bullet"/>
      <w:lvlText w:val=""/>
      <w:lvlJc w:val="left"/>
      <w:pPr>
        <w:ind w:left="5400" w:hanging="360"/>
      </w:pPr>
      <w:rPr>
        <w:rFonts w:ascii="Symbol" w:hAnsi="Symbol" w:hint="default"/>
      </w:rPr>
    </w:lvl>
    <w:lvl w:ilvl="7" w:tplc="81B21B84" w:tentative="1">
      <w:start w:val="1"/>
      <w:numFmt w:val="bullet"/>
      <w:lvlText w:val="o"/>
      <w:lvlJc w:val="left"/>
      <w:pPr>
        <w:ind w:left="6120" w:hanging="360"/>
      </w:pPr>
      <w:rPr>
        <w:rFonts w:ascii="Courier New" w:hAnsi="Courier New" w:cs="Courier New" w:hint="default"/>
      </w:rPr>
    </w:lvl>
    <w:lvl w:ilvl="8" w:tplc="0630A7D6" w:tentative="1">
      <w:start w:val="1"/>
      <w:numFmt w:val="bullet"/>
      <w:lvlText w:val=""/>
      <w:lvlJc w:val="left"/>
      <w:pPr>
        <w:ind w:left="6840" w:hanging="360"/>
      </w:pPr>
      <w:rPr>
        <w:rFonts w:ascii="Wingdings" w:hAnsi="Wingdings" w:hint="default"/>
      </w:rPr>
    </w:lvl>
  </w:abstractNum>
  <w:abstractNum w:abstractNumId="33" w15:restartNumberingAfterBreak="0">
    <w:nsid w:val="7C3726E1"/>
    <w:multiLevelType w:val="hybridMultilevel"/>
    <w:tmpl w:val="7B806696"/>
    <w:lvl w:ilvl="0" w:tplc="E8A6BD18">
      <w:start w:val="1"/>
      <w:numFmt w:val="decimal"/>
      <w:lvlText w:val="%1."/>
      <w:lvlJc w:val="left"/>
      <w:pPr>
        <w:ind w:left="1800" w:hanging="360"/>
      </w:pPr>
    </w:lvl>
    <w:lvl w:ilvl="1" w:tplc="D5163C98" w:tentative="1">
      <w:start w:val="1"/>
      <w:numFmt w:val="lowerLetter"/>
      <w:lvlText w:val="%2."/>
      <w:lvlJc w:val="left"/>
      <w:pPr>
        <w:ind w:left="2520" w:hanging="360"/>
      </w:pPr>
    </w:lvl>
    <w:lvl w:ilvl="2" w:tplc="0FB29AFC" w:tentative="1">
      <w:start w:val="1"/>
      <w:numFmt w:val="lowerRoman"/>
      <w:lvlText w:val="%3."/>
      <w:lvlJc w:val="right"/>
      <w:pPr>
        <w:ind w:left="3240" w:hanging="180"/>
      </w:pPr>
    </w:lvl>
    <w:lvl w:ilvl="3" w:tplc="4E9AD53A" w:tentative="1">
      <w:start w:val="1"/>
      <w:numFmt w:val="decimal"/>
      <w:lvlText w:val="%4."/>
      <w:lvlJc w:val="left"/>
      <w:pPr>
        <w:ind w:left="3960" w:hanging="360"/>
      </w:pPr>
    </w:lvl>
    <w:lvl w:ilvl="4" w:tplc="CB56336A" w:tentative="1">
      <w:start w:val="1"/>
      <w:numFmt w:val="lowerLetter"/>
      <w:lvlText w:val="%5."/>
      <w:lvlJc w:val="left"/>
      <w:pPr>
        <w:ind w:left="4680" w:hanging="360"/>
      </w:pPr>
    </w:lvl>
    <w:lvl w:ilvl="5" w:tplc="B8D4327C" w:tentative="1">
      <w:start w:val="1"/>
      <w:numFmt w:val="lowerRoman"/>
      <w:lvlText w:val="%6."/>
      <w:lvlJc w:val="right"/>
      <w:pPr>
        <w:ind w:left="5400" w:hanging="180"/>
      </w:pPr>
    </w:lvl>
    <w:lvl w:ilvl="6" w:tplc="04D84E60" w:tentative="1">
      <w:start w:val="1"/>
      <w:numFmt w:val="decimal"/>
      <w:lvlText w:val="%7."/>
      <w:lvlJc w:val="left"/>
      <w:pPr>
        <w:ind w:left="6120" w:hanging="360"/>
      </w:pPr>
    </w:lvl>
    <w:lvl w:ilvl="7" w:tplc="16B6A664" w:tentative="1">
      <w:start w:val="1"/>
      <w:numFmt w:val="lowerLetter"/>
      <w:lvlText w:val="%8."/>
      <w:lvlJc w:val="left"/>
      <w:pPr>
        <w:ind w:left="6840" w:hanging="360"/>
      </w:pPr>
    </w:lvl>
    <w:lvl w:ilvl="8" w:tplc="D0BC4152" w:tentative="1">
      <w:start w:val="1"/>
      <w:numFmt w:val="lowerRoman"/>
      <w:lvlText w:val="%9."/>
      <w:lvlJc w:val="right"/>
      <w:pPr>
        <w:ind w:left="7560" w:hanging="180"/>
      </w:pPr>
    </w:lvl>
  </w:abstractNum>
  <w:abstractNum w:abstractNumId="34" w15:restartNumberingAfterBreak="0">
    <w:nsid w:val="7DD771F2"/>
    <w:multiLevelType w:val="hybridMultilevel"/>
    <w:tmpl w:val="44084182"/>
    <w:lvl w:ilvl="0" w:tplc="CEE84698">
      <w:start w:val="1"/>
      <w:numFmt w:val="upperLetter"/>
      <w:lvlText w:val="%1."/>
      <w:lvlJc w:val="left"/>
      <w:pPr>
        <w:ind w:left="1800" w:hanging="360"/>
      </w:pPr>
    </w:lvl>
    <w:lvl w:ilvl="1" w:tplc="ACBAD35C" w:tentative="1">
      <w:start w:val="1"/>
      <w:numFmt w:val="lowerLetter"/>
      <w:lvlText w:val="%2."/>
      <w:lvlJc w:val="left"/>
      <w:pPr>
        <w:ind w:left="2520" w:hanging="360"/>
      </w:pPr>
    </w:lvl>
    <w:lvl w:ilvl="2" w:tplc="17DCA74C" w:tentative="1">
      <w:start w:val="1"/>
      <w:numFmt w:val="lowerRoman"/>
      <w:lvlText w:val="%3."/>
      <w:lvlJc w:val="right"/>
      <w:pPr>
        <w:ind w:left="3240" w:hanging="180"/>
      </w:pPr>
    </w:lvl>
    <w:lvl w:ilvl="3" w:tplc="94B43348" w:tentative="1">
      <w:start w:val="1"/>
      <w:numFmt w:val="decimal"/>
      <w:lvlText w:val="%4."/>
      <w:lvlJc w:val="left"/>
      <w:pPr>
        <w:ind w:left="3960" w:hanging="360"/>
      </w:pPr>
    </w:lvl>
    <w:lvl w:ilvl="4" w:tplc="B446589E" w:tentative="1">
      <w:start w:val="1"/>
      <w:numFmt w:val="lowerLetter"/>
      <w:lvlText w:val="%5."/>
      <w:lvlJc w:val="left"/>
      <w:pPr>
        <w:ind w:left="4680" w:hanging="360"/>
      </w:pPr>
    </w:lvl>
    <w:lvl w:ilvl="5" w:tplc="08AA9DFC" w:tentative="1">
      <w:start w:val="1"/>
      <w:numFmt w:val="lowerRoman"/>
      <w:lvlText w:val="%6."/>
      <w:lvlJc w:val="right"/>
      <w:pPr>
        <w:ind w:left="5400" w:hanging="180"/>
      </w:pPr>
    </w:lvl>
    <w:lvl w:ilvl="6" w:tplc="457AB058" w:tentative="1">
      <w:start w:val="1"/>
      <w:numFmt w:val="decimal"/>
      <w:lvlText w:val="%7."/>
      <w:lvlJc w:val="left"/>
      <w:pPr>
        <w:ind w:left="6120" w:hanging="360"/>
      </w:pPr>
    </w:lvl>
    <w:lvl w:ilvl="7" w:tplc="95FEBA44" w:tentative="1">
      <w:start w:val="1"/>
      <w:numFmt w:val="lowerLetter"/>
      <w:lvlText w:val="%8."/>
      <w:lvlJc w:val="left"/>
      <w:pPr>
        <w:ind w:left="6840" w:hanging="360"/>
      </w:pPr>
    </w:lvl>
    <w:lvl w:ilvl="8" w:tplc="6E229DAE" w:tentative="1">
      <w:start w:val="1"/>
      <w:numFmt w:val="lowerRoman"/>
      <w:lvlText w:val="%9."/>
      <w:lvlJc w:val="right"/>
      <w:pPr>
        <w:ind w:left="7560" w:hanging="180"/>
      </w:pPr>
    </w:lvl>
  </w:abstractNum>
  <w:abstractNum w:abstractNumId="35" w15:restartNumberingAfterBreak="0">
    <w:nsid w:val="7FA356BC"/>
    <w:multiLevelType w:val="hybridMultilevel"/>
    <w:tmpl w:val="CA165CDE"/>
    <w:lvl w:ilvl="0" w:tplc="BB787064">
      <w:start w:val="1"/>
      <w:numFmt w:val="lowerLetter"/>
      <w:lvlText w:val="%1."/>
      <w:lvlJc w:val="left"/>
      <w:pPr>
        <w:ind w:left="1800" w:hanging="360"/>
      </w:pPr>
    </w:lvl>
    <w:lvl w:ilvl="1" w:tplc="0EF2C842" w:tentative="1">
      <w:start w:val="1"/>
      <w:numFmt w:val="lowerLetter"/>
      <w:lvlText w:val="%2."/>
      <w:lvlJc w:val="left"/>
      <w:pPr>
        <w:ind w:left="2520" w:hanging="360"/>
      </w:pPr>
    </w:lvl>
    <w:lvl w:ilvl="2" w:tplc="22127D2E" w:tentative="1">
      <w:start w:val="1"/>
      <w:numFmt w:val="lowerRoman"/>
      <w:lvlText w:val="%3."/>
      <w:lvlJc w:val="right"/>
      <w:pPr>
        <w:ind w:left="3240" w:hanging="180"/>
      </w:pPr>
    </w:lvl>
    <w:lvl w:ilvl="3" w:tplc="ECA2C88E" w:tentative="1">
      <w:start w:val="1"/>
      <w:numFmt w:val="decimal"/>
      <w:lvlText w:val="%4."/>
      <w:lvlJc w:val="left"/>
      <w:pPr>
        <w:ind w:left="3960" w:hanging="360"/>
      </w:pPr>
    </w:lvl>
    <w:lvl w:ilvl="4" w:tplc="653ADE46" w:tentative="1">
      <w:start w:val="1"/>
      <w:numFmt w:val="lowerLetter"/>
      <w:lvlText w:val="%5."/>
      <w:lvlJc w:val="left"/>
      <w:pPr>
        <w:ind w:left="4680" w:hanging="360"/>
      </w:pPr>
    </w:lvl>
    <w:lvl w:ilvl="5" w:tplc="BAA4CAB4" w:tentative="1">
      <w:start w:val="1"/>
      <w:numFmt w:val="lowerRoman"/>
      <w:lvlText w:val="%6."/>
      <w:lvlJc w:val="right"/>
      <w:pPr>
        <w:ind w:left="5400" w:hanging="180"/>
      </w:pPr>
    </w:lvl>
    <w:lvl w:ilvl="6" w:tplc="04163C54" w:tentative="1">
      <w:start w:val="1"/>
      <w:numFmt w:val="decimal"/>
      <w:lvlText w:val="%7."/>
      <w:lvlJc w:val="left"/>
      <w:pPr>
        <w:ind w:left="6120" w:hanging="360"/>
      </w:pPr>
    </w:lvl>
    <w:lvl w:ilvl="7" w:tplc="D2CEC6F4" w:tentative="1">
      <w:start w:val="1"/>
      <w:numFmt w:val="lowerLetter"/>
      <w:lvlText w:val="%8."/>
      <w:lvlJc w:val="left"/>
      <w:pPr>
        <w:ind w:left="6840" w:hanging="360"/>
      </w:pPr>
    </w:lvl>
    <w:lvl w:ilvl="8" w:tplc="29B670F0" w:tentative="1">
      <w:start w:val="1"/>
      <w:numFmt w:val="lowerRoman"/>
      <w:lvlText w:val="%9."/>
      <w:lvlJc w:val="right"/>
      <w:pPr>
        <w:ind w:left="7560" w:hanging="180"/>
      </w:pPr>
    </w:lvl>
  </w:abstractNum>
  <w:num w:numId="1" w16cid:durableId="633606240">
    <w:abstractNumId w:val="26"/>
  </w:num>
  <w:num w:numId="2" w16cid:durableId="1475371501">
    <w:abstractNumId w:val="28"/>
  </w:num>
  <w:num w:numId="3" w16cid:durableId="1295722057">
    <w:abstractNumId w:val="23"/>
  </w:num>
  <w:num w:numId="4" w16cid:durableId="348335481">
    <w:abstractNumId w:val="2"/>
  </w:num>
  <w:num w:numId="5" w16cid:durableId="677342433">
    <w:abstractNumId w:val="13"/>
    <w:lvlOverride w:ilvl="0">
      <w:startOverride w:val="1"/>
    </w:lvlOverride>
  </w:num>
  <w:num w:numId="6" w16cid:durableId="1086878169">
    <w:abstractNumId w:val="21"/>
  </w:num>
  <w:num w:numId="7" w16cid:durableId="1203177777">
    <w:abstractNumId w:val="16"/>
  </w:num>
  <w:num w:numId="8" w16cid:durableId="1691948591">
    <w:abstractNumId w:val="18"/>
  </w:num>
  <w:num w:numId="9" w16cid:durableId="5256250">
    <w:abstractNumId w:val="22"/>
  </w:num>
  <w:num w:numId="10" w16cid:durableId="757137994">
    <w:abstractNumId w:val="3"/>
  </w:num>
  <w:num w:numId="11" w16cid:durableId="1019551214">
    <w:abstractNumId w:val="33"/>
  </w:num>
  <w:num w:numId="12" w16cid:durableId="1256743425">
    <w:abstractNumId w:val="35"/>
  </w:num>
  <w:num w:numId="13" w16cid:durableId="1111582742">
    <w:abstractNumId w:val="24"/>
  </w:num>
  <w:num w:numId="14" w16cid:durableId="332341699">
    <w:abstractNumId w:val="30"/>
  </w:num>
  <w:num w:numId="15" w16cid:durableId="1879589424">
    <w:abstractNumId w:val="29"/>
  </w:num>
  <w:num w:numId="16" w16cid:durableId="120223310">
    <w:abstractNumId w:val="31"/>
  </w:num>
  <w:num w:numId="17" w16cid:durableId="474883593">
    <w:abstractNumId w:val="19"/>
  </w:num>
  <w:num w:numId="18" w16cid:durableId="487942923">
    <w:abstractNumId w:val="20"/>
  </w:num>
  <w:num w:numId="19" w16cid:durableId="73089228">
    <w:abstractNumId w:val="7"/>
  </w:num>
  <w:num w:numId="20" w16cid:durableId="2145348943">
    <w:abstractNumId w:val="17"/>
  </w:num>
  <w:num w:numId="21" w16cid:durableId="1287345323">
    <w:abstractNumId w:val="32"/>
  </w:num>
  <w:num w:numId="22" w16cid:durableId="355036835">
    <w:abstractNumId w:val="12"/>
  </w:num>
  <w:num w:numId="23" w16cid:durableId="819350083">
    <w:abstractNumId w:val="10"/>
  </w:num>
  <w:num w:numId="24" w16cid:durableId="1708867483">
    <w:abstractNumId w:val="25"/>
  </w:num>
  <w:num w:numId="25" w16cid:durableId="1541933879">
    <w:abstractNumId w:val="34"/>
  </w:num>
  <w:num w:numId="26" w16cid:durableId="966276376">
    <w:abstractNumId w:val="5"/>
  </w:num>
  <w:num w:numId="27" w16cid:durableId="763571536">
    <w:abstractNumId w:val="1"/>
  </w:num>
  <w:num w:numId="28" w16cid:durableId="678778103">
    <w:abstractNumId w:val="0"/>
  </w:num>
  <w:num w:numId="29" w16cid:durableId="1443569034">
    <w:abstractNumId w:val="27"/>
  </w:num>
  <w:num w:numId="30" w16cid:durableId="1709574127">
    <w:abstractNumId w:val="6"/>
  </w:num>
  <w:num w:numId="31" w16cid:durableId="1442451326">
    <w:abstractNumId w:val="4"/>
  </w:num>
  <w:num w:numId="32" w16cid:durableId="899091821">
    <w:abstractNumId w:val="15"/>
  </w:num>
  <w:num w:numId="33" w16cid:durableId="309023890">
    <w:abstractNumId w:val="14"/>
  </w:num>
  <w:num w:numId="34" w16cid:durableId="174421397">
    <w:abstractNumId w:val="11"/>
  </w:num>
  <w:num w:numId="35" w16cid:durableId="474106164">
    <w:abstractNumId w:val="9"/>
  </w:num>
  <w:num w:numId="36" w16cid:durableId="15555816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FB7"/>
    <w:rsid w:val="00002852"/>
    <w:rsid w:val="000058AD"/>
    <w:rsid w:val="00012C1A"/>
    <w:rsid w:val="00013FFB"/>
    <w:rsid w:val="00014389"/>
    <w:rsid w:val="00014A98"/>
    <w:rsid w:val="00014C1E"/>
    <w:rsid w:val="000241B1"/>
    <w:rsid w:val="000254AC"/>
    <w:rsid w:val="0003617E"/>
    <w:rsid w:val="00044FB7"/>
    <w:rsid w:val="000506DA"/>
    <w:rsid w:val="00051907"/>
    <w:rsid w:val="00052548"/>
    <w:rsid w:val="00054C73"/>
    <w:rsid w:val="00055D2D"/>
    <w:rsid w:val="000618F9"/>
    <w:rsid w:val="00063B39"/>
    <w:rsid w:val="00065D3C"/>
    <w:rsid w:val="0007271D"/>
    <w:rsid w:val="000749C8"/>
    <w:rsid w:val="00080F92"/>
    <w:rsid w:val="00091011"/>
    <w:rsid w:val="00094B1C"/>
    <w:rsid w:val="00094B5F"/>
    <w:rsid w:val="00096241"/>
    <w:rsid w:val="00096D1A"/>
    <w:rsid w:val="000A0939"/>
    <w:rsid w:val="000A30D4"/>
    <w:rsid w:val="000A46C8"/>
    <w:rsid w:val="000ACA20"/>
    <w:rsid w:val="000B2EF7"/>
    <w:rsid w:val="000C31FF"/>
    <w:rsid w:val="000C6D42"/>
    <w:rsid w:val="000D143B"/>
    <w:rsid w:val="000D591B"/>
    <w:rsid w:val="000D63EB"/>
    <w:rsid w:val="000E386F"/>
    <w:rsid w:val="000E6860"/>
    <w:rsid w:val="000E7111"/>
    <w:rsid w:val="000F445B"/>
    <w:rsid w:val="000F5044"/>
    <w:rsid w:val="000F56DB"/>
    <w:rsid w:val="000F5AA7"/>
    <w:rsid w:val="000F72FB"/>
    <w:rsid w:val="0010624B"/>
    <w:rsid w:val="001069FC"/>
    <w:rsid w:val="00111522"/>
    <w:rsid w:val="00111BBB"/>
    <w:rsid w:val="001147D3"/>
    <w:rsid w:val="00122A33"/>
    <w:rsid w:val="00123729"/>
    <w:rsid w:val="00125106"/>
    <w:rsid w:val="00125F11"/>
    <w:rsid w:val="00127BFB"/>
    <w:rsid w:val="0013247E"/>
    <w:rsid w:val="00141104"/>
    <w:rsid w:val="00144DE8"/>
    <w:rsid w:val="00145F88"/>
    <w:rsid w:val="001479BB"/>
    <w:rsid w:val="00151E96"/>
    <w:rsid w:val="00154ED4"/>
    <w:rsid w:val="00155773"/>
    <w:rsid w:val="001611F3"/>
    <w:rsid w:val="0016173C"/>
    <w:rsid w:val="00162152"/>
    <w:rsid w:val="00166AD6"/>
    <w:rsid w:val="0017008D"/>
    <w:rsid w:val="0017163B"/>
    <w:rsid w:val="00176358"/>
    <w:rsid w:val="00176E77"/>
    <w:rsid w:val="00180A8F"/>
    <w:rsid w:val="00183491"/>
    <w:rsid w:val="001842F0"/>
    <w:rsid w:val="00185EA7"/>
    <w:rsid w:val="001866F3"/>
    <w:rsid w:val="00187A30"/>
    <w:rsid w:val="00187F23"/>
    <w:rsid w:val="001949F8"/>
    <w:rsid w:val="001A2D15"/>
    <w:rsid w:val="001A50F1"/>
    <w:rsid w:val="001A705D"/>
    <w:rsid w:val="001A7C27"/>
    <w:rsid w:val="001B017B"/>
    <w:rsid w:val="001B18C7"/>
    <w:rsid w:val="001B20EE"/>
    <w:rsid w:val="001B28B7"/>
    <w:rsid w:val="001B7086"/>
    <w:rsid w:val="001B7C60"/>
    <w:rsid w:val="001C04F1"/>
    <w:rsid w:val="001C14CB"/>
    <w:rsid w:val="001C1C91"/>
    <w:rsid w:val="001C2978"/>
    <w:rsid w:val="001C33F2"/>
    <w:rsid w:val="001C3CDE"/>
    <w:rsid w:val="001C7991"/>
    <w:rsid w:val="001D47D7"/>
    <w:rsid w:val="001D6899"/>
    <w:rsid w:val="001E0CB5"/>
    <w:rsid w:val="001E20ED"/>
    <w:rsid w:val="001E225B"/>
    <w:rsid w:val="001E7706"/>
    <w:rsid w:val="00201CC9"/>
    <w:rsid w:val="00202FFE"/>
    <w:rsid w:val="00205178"/>
    <w:rsid w:val="0021020C"/>
    <w:rsid w:val="00210D95"/>
    <w:rsid w:val="0021157D"/>
    <w:rsid w:val="0021769E"/>
    <w:rsid w:val="00217F43"/>
    <w:rsid w:val="002236A1"/>
    <w:rsid w:val="0022372E"/>
    <w:rsid w:val="0022622E"/>
    <w:rsid w:val="00226328"/>
    <w:rsid w:val="002317EF"/>
    <w:rsid w:val="00233856"/>
    <w:rsid w:val="0023485B"/>
    <w:rsid w:val="00235CFC"/>
    <w:rsid w:val="002413CA"/>
    <w:rsid w:val="00241CA3"/>
    <w:rsid w:val="00242123"/>
    <w:rsid w:val="0024327C"/>
    <w:rsid w:val="00247AE1"/>
    <w:rsid w:val="00261451"/>
    <w:rsid w:val="002619D9"/>
    <w:rsid w:val="00262A22"/>
    <w:rsid w:val="002638C8"/>
    <w:rsid w:val="00265B7A"/>
    <w:rsid w:val="00265E0D"/>
    <w:rsid w:val="002669F1"/>
    <w:rsid w:val="00272619"/>
    <w:rsid w:val="00276DD9"/>
    <w:rsid w:val="00280F0C"/>
    <w:rsid w:val="00281D23"/>
    <w:rsid w:val="002857F4"/>
    <w:rsid w:val="0028625E"/>
    <w:rsid w:val="00290908"/>
    <w:rsid w:val="00293E90"/>
    <w:rsid w:val="00294F34"/>
    <w:rsid w:val="00295547"/>
    <w:rsid w:val="002A17BE"/>
    <w:rsid w:val="002A3994"/>
    <w:rsid w:val="002A432B"/>
    <w:rsid w:val="002A6914"/>
    <w:rsid w:val="002B05BF"/>
    <w:rsid w:val="002B2D70"/>
    <w:rsid w:val="002B4910"/>
    <w:rsid w:val="002B7576"/>
    <w:rsid w:val="002C322E"/>
    <w:rsid w:val="002C4707"/>
    <w:rsid w:val="002C7E0A"/>
    <w:rsid w:val="002D0C96"/>
    <w:rsid w:val="002D29B7"/>
    <w:rsid w:val="002D35DE"/>
    <w:rsid w:val="002D6D81"/>
    <w:rsid w:val="002D7131"/>
    <w:rsid w:val="002E2A86"/>
    <w:rsid w:val="002E6096"/>
    <w:rsid w:val="003120E0"/>
    <w:rsid w:val="00313542"/>
    <w:rsid w:val="00313CAC"/>
    <w:rsid w:val="00320FC5"/>
    <w:rsid w:val="00321D4C"/>
    <w:rsid w:val="00322552"/>
    <w:rsid w:val="0032280F"/>
    <w:rsid w:val="00323CF5"/>
    <w:rsid w:val="0032524F"/>
    <w:rsid w:val="00327908"/>
    <w:rsid w:val="00327BE8"/>
    <w:rsid w:val="00331C9A"/>
    <w:rsid w:val="00332E22"/>
    <w:rsid w:val="0033367F"/>
    <w:rsid w:val="00336331"/>
    <w:rsid w:val="0035080B"/>
    <w:rsid w:val="003517DD"/>
    <w:rsid w:val="00352647"/>
    <w:rsid w:val="00352A55"/>
    <w:rsid w:val="00356858"/>
    <w:rsid w:val="00357356"/>
    <w:rsid w:val="003614E9"/>
    <w:rsid w:val="0036191E"/>
    <w:rsid w:val="0036797B"/>
    <w:rsid w:val="0037279B"/>
    <w:rsid w:val="0037446E"/>
    <w:rsid w:val="00376BAD"/>
    <w:rsid w:val="00380485"/>
    <w:rsid w:val="003830F0"/>
    <w:rsid w:val="003836EE"/>
    <w:rsid w:val="0038451B"/>
    <w:rsid w:val="00386370"/>
    <w:rsid w:val="0038F06F"/>
    <w:rsid w:val="00390487"/>
    <w:rsid w:val="0039058F"/>
    <w:rsid w:val="00395052"/>
    <w:rsid w:val="00395178"/>
    <w:rsid w:val="003963FC"/>
    <w:rsid w:val="003A46A1"/>
    <w:rsid w:val="003A4BE0"/>
    <w:rsid w:val="003A72F3"/>
    <w:rsid w:val="003B1E7F"/>
    <w:rsid w:val="003B697C"/>
    <w:rsid w:val="003C1718"/>
    <w:rsid w:val="003C2671"/>
    <w:rsid w:val="003C7EE5"/>
    <w:rsid w:val="003D06B0"/>
    <w:rsid w:val="003D751D"/>
    <w:rsid w:val="003D79C4"/>
    <w:rsid w:val="003E5D27"/>
    <w:rsid w:val="003E718F"/>
    <w:rsid w:val="003F2CF5"/>
    <w:rsid w:val="003F4F98"/>
    <w:rsid w:val="00400FBC"/>
    <w:rsid w:val="0040289C"/>
    <w:rsid w:val="004063B4"/>
    <w:rsid w:val="00406E60"/>
    <w:rsid w:val="004171CB"/>
    <w:rsid w:val="00421066"/>
    <w:rsid w:val="004216C7"/>
    <w:rsid w:val="00422A24"/>
    <w:rsid w:val="00422D53"/>
    <w:rsid w:val="00423025"/>
    <w:rsid w:val="00423652"/>
    <w:rsid w:val="00427280"/>
    <w:rsid w:val="00433682"/>
    <w:rsid w:val="0043504A"/>
    <w:rsid w:val="00435E0F"/>
    <w:rsid w:val="004434E3"/>
    <w:rsid w:val="0045067C"/>
    <w:rsid w:val="00451307"/>
    <w:rsid w:val="00453562"/>
    <w:rsid w:val="00453FE1"/>
    <w:rsid w:val="00454E54"/>
    <w:rsid w:val="0046499A"/>
    <w:rsid w:val="0046784D"/>
    <w:rsid w:val="0047023A"/>
    <w:rsid w:val="004748FC"/>
    <w:rsid w:val="00474AD4"/>
    <w:rsid w:val="00474AF1"/>
    <w:rsid w:val="0047A838"/>
    <w:rsid w:val="00480403"/>
    <w:rsid w:val="00480BA3"/>
    <w:rsid w:val="00481E1B"/>
    <w:rsid w:val="00490115"/>
    <w:rsid w:val="00490A02"/>
    <w:rsid w:val="0049311F"/>
    <w:rsid w:val="004948AC"/>
    <w:rsid w:val="004A1FD8"/>
    <w:rsid w:val="004A2213"/>
    <w:rsid w:val="004A4F3F"/>
    <w:rsid w:val="004A6A5F"/>
    <w:rsid w:val="004A78F3"/>
    <w:rsid w:val="004B016F"/>
    <w:rsid w:val="004B2768"/>
    <w:rsid w:val="004B7339"/>
    <w:rsid w:val="004B7AD5"/>
    <w:rsid w:val="004C00D7"/>
    <w:rsid w:val="004C528A"/>
    <w:rsid w:val="004C54DA"/>
    <w:rsid w:val="004C69B9"/>
    <w:rsid w:val="004C7356"/>
    <w:rsid w:val="004D0474"/>
    <w:rsid w:val="004D13F2"/>
    <w:rsid w:val="004D1A74"/>
    <w:rsid w:val="004D3BCB"/>
    <w:rsid w:val="004E072A"/>
    <w:rsid w:val="004E2C76"/>
    <w:rsid w:val="004E5533"/>
    <w:rsid w:val="004E614E"/>
    <w:rsid w:val="004E73F5"/>
    <w:rsid w:val="004F09D9"/>
    <w:rsid w:val="004F0F5E"/>
    <w:rsid w:val="004F6A20"/>
    <w:rsid w:val="004F6DE5"/>
    <w:rsid w:val="00500930"/>
    <w:rsid w:val="00500D8B"/>
    <w:rsid w:val="00500EA9"/>
    <w:rsid w:val="00501725"/>
    <w:rsid w:val="005040AF"/>
    <w:rsid w:val="00504E14"/>
    <w:rsid w:val="00505104"/>
    <w:rsid w:val="00507FB6"/>
    <w:rsid w:val="00512275"/>
    <w:rsid w:val="00512512"/>
    <w:rsid w:val="00513514"/>
    <w:rsid w:val="00513A7F"/>
    <w:rsid w:val="0051451C"/>
    <w:rsid w:val="005146AD"/>
    <w:rsid w:val="00514A7F"/>
    <w:rsid w:val="0051515F"/>
    <w:rsid w:val="00517EF1"/>
    <w:rsid w:val="0052389A"/>
    <w:rsid w:val="00526896"/>
    <w:rsid w:val="00526F04"/>
    <w:rsid w:val="005321A5"/>
    <w:rsid w:val="00532C72"/>
    <w:rsid w:val="0053642C"/>
    <w:rsid w:val="005405B6"/>
    <w:rsid w:val="0054153B"/>
    <w:rsid w:val="005416C5"/>
    <w:rsid w:val="005449E2"/>
    <w:rsid w:val="0055000E"/>
    <w:rsid w:val="00551C6D"/>
    <w:rsid w:val="00552729"/>
    <w:rsid w:val="00552DF5"/>
    <w:rsid w:val="0055389A"/>
    <w:rsid w:val="005612F7"/>
    <w:rsid w:val="005624AB"/>
    <w:rsid w:val="00570CE3"/>
    <w:rsid w:val="00571C0E"/>
    <w:rsid w:val="0057241E"/>
    <w:rsid w:val="005730B4"/>
    <w:rsid w:val="00573824"/>
    <w:rsid w:val="00580196"/>
    <w:rsid w:val="005805F4"/>
    <w:rsid w:val="0058199F"/>
    <w:rsid w:val="00583FC8"/>
    <w:rsid w:val="00586E42"/>
    <w:rsid w:val="00586FAF"/>
    <w:rsid w:val="0058747B"/>
    <w:rsid w:val="00591A6E"/>
    <w:rsid w:val="00593429"/>
    <w:rsid w:val="005A1110"/>
    <w:rsid w:val="005A4D53"/>
    <w:rsid w:val="005A4F75"/>
    <w:rsid w:val="005A7D26"/>
    <w:rsid w:val="005A7EF0"/>
    <w:rsid w:val="005B08CB"/>
    <w:rsid w:val="005B168C"/>
    <w:rsid w:val="005C0530"/>
    <w:rsid w:val="005C2314"/>
    <w:rsid w:val="005C8AE0"/>
    <w:rsid w:val="005D373E"/>
    <w:rsid w:val="005D644C"/>
    <w:rsid w:val="005E1B31"/>
    <w:rsid w:val="005E7C64"/>
    <w:rsid w:val="005F0EEC"/>
    <w:rsid w:val="005F2BDC"/>
    <w:rsid w:val="005F7385"/>
    <w:rsid w:val="00600210"/>
    <w:rsid w:val="006072FE"/>
    <w:rsid w:val="00611074"/>
    <w:rsid w:val="00616412"/>
    <w:rsid w:val="006279DA"/>
    <w:rsid w:val="00631F69"/>
    <w:rsid w:val="00632282"/>
    <w:rsid w:val="00633E10"/>
    <w:rsid w:val="00634849"/>
    <w:rsid w:val="00634AB2"/>
    <w:rsid w:val="00634C65"/>
    <w:rsid w:val="00647132"/>
    <w:rsid w:val="006542B8"/>
    <w:rsid w:val="006545E0"/>
    <w:rsid w:val="00660A7D"/>
    <w:rsid w:val="006636EC"/>
    <w:rsid w:val="00666CC3"/>
    <w:rsid w:val="006709E0"/>
    <w:rsid w:val="006761B0"/>
    <w:rsid w:val="00677311"/>
    <w:rsid w:val="00683053"/>
    <w:rsid w:val="00685646"/>
    <w:rsid w:val="00686D2B"/>
    <w:rsid w:val="00687345"/>
    <w:rsid w:val="00690065"/>
    <w:rsid w:val="006919BE"/>
    <w:rsid w:val="006937EA"/>
    <w:rsid w:val="00694B40"/>
    <w:rsid w:val="00696361"/>
    <w:rsid w:val="006966EB"/>
    <w:rsid w:val="006A1238"/>
    <w:rsid w:val="006A506C"/>
    <w:rsid w:val="006B154F"/>
    <w:rsid w:val="006C2433"/>
    <w:rsid w:val="006C2D77"/>
    <w:rsid w:val="006C3EDC"/>
    <w:rsid w:val="006C470F"/>
    <w:rsid w:val="006D5DBC"/>
    <w:rsid w:val="006D7D6C"/>
    <w:rsid w:val="006E02E1"/>
    <w:rsid w:val="006E757C"/>
    <w:rsid w:val="006F1B38"/>
    <w:rsid w:val="006F2C1E"/>
    <w:rsid w:val="006F3AE4"/>
    <w:rsid w:val="006F59D3"/>
    <w:rsid w:val="006F5E52"/>
    <w:rsid w:val="007016F9"/>
    <w:rsid w:val="007102EB"/>
    <w:rsid w:val="00710CAA"/>
    <w:rsid w:val="00715FEB"/>
    <w:rsid w:val="00720EE8"/>
    <w:rsid w:val="00721077"/>
    <w:rsid w:val="007226F7"/>
    <w:rsid w:val="00725B91"/>
    <w:rsid w:val="00732998"/>
    <w:rsid w:val="00733764"/>
    <w:rsid w:val="0074018E"/>
    <w:rsid w:val="00743DF8"/>
    <w:rsid w:val="007503FC"/>
    <w:rsid w:val="0075398C"/>
    <w:rsid w:val="00761760"/>
    <w:rsid w:val="00761AAF"/>
    <w:rsid w:val="007640C8"/>
    <w:rsid w:val="00764974"/>
    <w:rsid w:val="00766B26"/>
    <w:rsid w:val="007670E2"/>
    <w:rsid w:val="00771468"/>
    <w:rsid w:val="00775D46"/>
    <w:rsid w:val="007811B6"/>
    <w:rsid w:val="00782BDC"/>
    <w:rsid w:val="00785295"/>
    <w:rsid w:val="007925CA"/>
    <w:rsid w:val="00796049"/>
    <w:rsid w:val="00796331"/>
    <w:rsid w:val="00796878"/>
    <w:rsid w:val="007A065D"/>
    <w:rsid w:val="007A1C8E"/>
    <w:rsid w:val="007A32C1"/>
    <w:rsid w:val="007A3B93"/>
    <w:rsid w:val="007A50C3"/>
    <w:rsid w:val="007A581A"/>
    <w:rsid w:val="007B04A7"/>
    <w:rsid w:val="007B1F12"/>
    <w:rsid w:val="007B243D"/>
    <w:rsid w:val="007B2CB4"/>
    <w:rsid w:val="007B7A94"/>
    <w:rsid w:val="007C0DC5"/>
    <w:rsid w:val="007C1491"/>
    <w:rsid w:val="007C1C7C"/>
    <w:rsid w:val="007C207D"/>
    <w:rsid w:val="007C4CD9"/>
    <w:rsid w:val="007C5FB9"/>
    <w:rsid w:val="007C75E8"/>
    <w:rsid w:val="007D0180"/>
    <w:rsid w:val="007D18EF"/>
    <w:rsid w:val="007D469E"/>
    <w:rsid w:val="007D50AF"/>
    <w:rsid w:val="007D64BD"/>
    <w:rsid w:val="007D6BF2"/>
    <w:rsid w:val="007E0986"/>
    <w:rsid w:val="007E1CC1"/>
    <w:rsid w:val="007F05E0"/>
    <w:rsid w:val="007F1FEC"/>
    <w:rsid w:val="007F2CAE"/>
    <w:rsid w:val="007F2EDC"/>
    <w:rsid w:val="007F3387"/>
    <w:rsid w:val="007F40E2"/>
    <w:rsid w:val="008008C3"/>
    <w:rsid w:val="0080951F"/>
    <w:rsid w:val="008118D3"/>
    <w:rsid w:val="008131CD"/>
    <w:rsid w:val="00815715"/>
    <w:rsid w:val="00816445"/>
    <w:rsid w:val="00820D06"/>
    <w:rsid w:val="00821957"/>
    <w:rsid w:val="0082234C"/>
    <w:rsid w:val="008269A1"/>
    <w:rsid w:val="0083031B"/>
    <w:rsid w:val="0083050D"/>
    <w:rsid w:val="00835140"/>
    <w:rsid w:val="008361BD"/>
    <w:rsid w:val="0084288B"/>
    <w:rsid w:val="00850BD9"/>
    <w:rsid w:val="00853CE5"/>
    <w:rsid w:val="00855ABE"/>
    <w:rsid w:val="00856145"/>
    <w:rsid w:val="00857341"/>
    <w:rsid w:val="00861FCF"/>
    <w:rsid w:val="008625CA"/>
    <w:rsid w:val="00864356"/>
    <w:rsid w:val="0086445E"/>
    <w:rsid w:val="008647F5"/>
    <w:rsid w:val="00865C51"/>
    <w:rsid w:val="00877C02"/>
    <w:rsid w:val="008818DA"/>
    <w:rsid w:val="00883190"/>
    <w:rsid w:val="00884F2E"/>
    <w:rsid w:val="00887A47"/>
    <w:rsid w:val="0089206E"/>
    <w:rsid w:val="00893525"/>
    <w:rsid w:val="00895A0E"/>
    <w:rsid w:val="00896BEB"/>
    <w:rsid w:val="008972E6"/>
    <w:rsid w:val="00897381"/>
    <w:rsid w:val="008A3A20"/>
    <w:rsid w:val="008A3EC9"/>
    <w:rsid w:val="008A4191"/>
    <w:rsid w:val="008B5F80"/>
    <w:rsid w:val="008B7AB1"/>
    <w:rsid w:val="008B7F89"/>
    <w:rsid w:val="008C2F50"/>
    <w:rsid w:val="008D14B2"/>
    <w:rsid w:val="008D14E8"/>
    <w:rsid w:val="008E6766"/>
    <w:rsid w:val="008F2790"/>
    <w:rsid w:val="008F3FF7"/>
    <w:rsid w:val="008F5F38"/>
    <w:rsid w:val="008F7B6E"/>
    <w:rsid w:val="00900CF8"/>
    <w:rsid w:val="0090199B"/>
    <w:rsid w:val="009034EA"/>
    <w:rsid w:val="0090542B"/>
    <w:rsid w:val="00907AAF"/>
    <w:rsid w:val="0091177E"/>
    <w:rsid w:val="00912665"/>
    <w:rsid w:val="00914E89"/>
    <w:rsid w:val="00916776"/>
    <w:rsid w:val="009211E1"/>
    <w:rsid w:val="00923073"/>
    <w:rsid w:val="009231ED"/>
    <w:rsid w:val="009235E0"/>
    <w:rsid w:val="00923C79"/>
    <w:rsid w:val="00923CB6"/>
    <w:rsid w:val="00924C1E"/>
    <w:rsid w:val="00924F94"/>
    <w:rsid w:val="009257BB"/>
    <w:rsid w:val="00926753"/>
    <w:rsid w:val="00926951"/>
    <w:rsid w:val="009366F4"/>
    <w:rsid w:val="00937FBC"/>
    <w:rsid w:val="009414CE"/>
    <w:rsid w:val="00942ECF"/>
    <w:rsid w:val="00946711"/>
    <w:rsid w:val="00957253"/>
    <w:rsid w:val="00957A97"/>
    <w:rsid w:val="00957AFB"/>
    <w:rsid w:val="00961EEB"/>
    <w:rsid w:val="009658CB"/>
    <w:rsid w:val="009713D0"/>
    <w:rsid w:val="00972718"/>
    <w:rsid w:val="009807DF"/>
    <w:rsid w:val="00980EA5"/>
    <w:rsid w:val="0098379A"/>
    <w:rsid w:val="00991A28"/>
    <w:rsid w:val="0099384B"/>
    <w:rsid w:val="009942B4"/>
    <w:rsid w:val="00997BE3"/>
    <w:rsid w:val="009A09A7"/>
    <w:rsid w:val="009A235A"/>
    <w:rsid w:val="009A74D3"/>
    <w:rsid w:val="009B4532"/>
    <w:rsid w:val="009C4B03"/>
    <w:rsid w:val="009D1F23"/>
    <w:rsid w:val="009D55CA"/>
    <w:rsid w:val="009D68B3"/>
    <w:rsid w:val="009E3FBE"/>
    <w:rsid w:val="009F172B"/>
    <w:rsid w:val="009F2537"/>
    <w:rsid w:val="009F6E85"/>
    <w:rsid w:val="00A05E78"/>
    <w:rsid w:val="00A06D9D"/>
    <w:rsid w:val="00A21585"/>
    <w:rsid w:val="00A21F1B"/>
    <w:rsid w:val="00A2282E"/>
    <w:rsid w:val="00A361B5"/>
    <w:rsid w:val="00A40F8F"/>
    <w:rsid w:val="00A50B43"/>
    <w:rsid w:val="00A50D59"/>
    <w:rsid w:val="00A51C89"/>
    <w:rsid w:val="00A5415F"/>
    <w:rsid w:val="00A54E01"/>
    <w:rsid w:val="00A56495"/>
    <w:rsid w:val="00A620E3"/>
    <w:rsid w:val="00A638EB"/>
    <w:rsid w:val="00A642B0"/>
    <w:rsid w:val="00A65F35"/>
    <w:rsid w:val="00A67213"/>
    <w:rsid w:val="00A71637"/>
    <w:rsid w:val="00A762BB"/>
    <w:rsid w:val="00A809D7"/>
    <w:rsid w:val="00A82F07"/>
    <w:rsid w:val="00A862A1"/>
    <w:rsid w:val="00A87C9B"/>
    <w:rsid w:val="00A92B60"/>
    <w:rsid w:val="00AA1766"/>
    <w:rsid w:val="00AA7D54"/>
    <w:rsid w:val="00AB0D18"/>
    <w:rsid w:val="00AB1E46"/>
    <w:rsid w:val="00AB4494"/>
    <w:rsid w:val="00AB7267"/>
    <w:rsid w:val="00AC2597"/>
    <w:rsid w:val="00AD15C0"/>
    <w:rsid w:val="00AD1A50"/>
    <w:rsid w:val="00AD25F3"/>
    <w:rsid w:val="00AD45F4"/>
    <w:rsid w:val="00AD6F0E"/>
    <w:rsid w:val="00AE0D1D"/>
    <w:rsid w:val="00AE4F96"/>
    <w:rsid w:val="00AE6BE9"/>
    <w:rsid w:val="00AE7B82"/>
    <w:rsid w:val="00AF033C"/>
    <w:rsid w:val="00AF57E3"/>
    <w:rsid w:val="00AF69DF"/>
    <w:rsid w:val="00AF7770"/>
    <w:rsid w:val="00B05478"/>
    <w:rsid w:val="00B06C3F"/>
    <w:rsid w:val="00B10456"/>
    <w:rsid w:val="00B12685"/>
    <w:rsid w:val="00B15F83"/>
    <w:rsid w:val="00B16433"/>
    <w:rsid w:val="00B178FF"/>
    <w:rsid w:val="00B22C4A"/>
    <w:rsid w:val="00B23E73"/>
    <w:rsid w:val="00B3131B"/>
    <w:rsid w:val="00B333BD"/>
    <w:rsid w:val="00B34D28"/>
    <w:rsid w:val="00B363AE"/>
    <w:rsid w:val="00B376CA"/>
    <w:rsid w:val="00B402E1"/>
    <w:rsid w:val="00B40996"/>
    <w:rsid w:val="00B41910"/>
    <w:rsid w:val="00B42B3A"/>
    <w:rsid w:val="00B44A73"/>
    <w:rsid w:val="00B47ABA"/>
    <w:rsid w:val="00B47F7E"/>
    <w:rsid w:val="00B54F01"/>
    <w:rsid w:val="00B55879"/>
    <w:rsid w:val="00B56727"/>
    <w:rsid w:val="00B574BB"/>
    <w:rsid w:val="00B6319E"/>
    <w:rsid w:val="00B63B49"/>
    <w:rsid w:val="00B65DF4"/>
    <w:rsid w:val="00B6637A"/>
    <w:rsid w:val="00B665AC"/>
    <w:rsid w:val="00B755EB"/>
    <w:rsid w:val="00B75936"/>
    <w:rsid w:val="00B76776"/>
    <w:rsid w:val="00B83335"/>
    <w:rsid w:val="00B84D4F"/>
    <w:rsid w:val="00B8539C"/>
    <w:rsid w:val="00B95537"/>
    <w:rsid w:val="00B96A37"/>
    <w:rsid w:val="00BA2CD3"/>
    <w:rsid w:val="00BA2F57"/>
    <w:rsid w:val="00BA3E98"/>
    <w:rsid w:val="00BA3FA1"/>
    <w:rsid w:val="00BA415F"/>
    <w:rsid w:val="00BB22D4"/>
    <w:rsid w:val="00BB460E"/>
    <w:rsid w:val="00BB6764"/>
    <w:rsid w:val="00BB776D"/>
    <w:rsid w:val="00BC0475"/>
    <w:rsid w:val="00BC4E1E"/>
    <w:rsid w:val="00BC5362"/>
    <w:rsid w:val="00BC5A60"/>
    <w:rsid w:val="00BC6B75"/>
    <w:rsid w:val="00BD44BA"/>
    <w:rsid w:val="00BD46F3"/>
    <w:rsid w:val="00BD524F"/>
    <w:rsid w:val="00BE16E9"/>
    <w:rsid w:val="00BE1F9A"/>
    <w:rsid w:val="00BE3105"/>
    <w:rsid w:val="00BE5FE4"/>
    <w:rsid w:val="00BF0391"/>
    <w:rsid w:val="00BF2BA9"/>
    <w:rsid w:val="00BF3C6D"/>
    <w:rsid w:val="00BF3EE3"/>
    <w:rsid w:val="00BF50B3"/>
    <w:rsid w:val="00C00C1E"/>
    <w:rsid w:val="00C04F78"/>
    <w:rsid w:val="00C05858"/>
    <w:rsid w:val="00C058D5"/>
    <w:rsid w:val="00C07149"/>
    <w:rsid w:val="00C0715C"/>
    <w:rsid w:val="00C11DC7"/>
    <w:rsid w:val="00C1595B"/>
    <w:rsid w:val="00C178B1"/>
    <w:rsid w:val="00C26B1D"/>
    <w:rsid w:val="00C32EEB"/>
    <w:rsid w:val="00C3D1B1"/>
    <w:rsid w:val="00C44540"/>
    <w:rsid w:val="00C44E0F"/>
    <w:rsid w:val="00C46324"/>
    <w:rsid w:val="00C518E3"/>
    <w:rsid w:val="00C52274"/>
    <w:rsid w:val="00C527DD"/>
    <w:rsid w:val="00C559C7"/>
    <w:rsid w:val="00C6015E"/>
    <w:rsid w:val="00C655AF"/>
    <w:rsid w:val="00C741BC"/>
    <w:rsid w:val="00C7420E"/>
    <w:rsid w:val="00C75B79"/>
    <w:rsid w:val="00C80119"/>
    <w:rsid w:val="00C84FC5"/>
    <w:rsid w:val="00C851CA"/>
    <w:rsid w:val="00C85B09"/>
    <w:rsid w:val="00C86509"/>
    <w:rsid w:val="00C8729C"/>
    <w:rsid w:val="00C87E77"/>
    <w:rsid w:val="00CA1887"/>
    <w:rsid w:val="00CA27E3"/>
    <w:rsid w:val="00CA2F8C"/>
    <w:rsid w:val="00CA6EC3"/>
    <w:rsid w:val="00CB0B35"/>
    <w:rsid w:val="00CB41F8"/>
    <w:rsid w:val="00CB5CC2"/>
    <w:rsid w:val="00CB5F4E"/>
    <w:rsid w:val="00CC089C"/>
    <w:rsid w:val="00CC24F9"/>
    <w:rsid w:val="00CC6E1A"/>
    <w:rsid w:val="00CC70CF"/>
    <w:rsid w:val="00CC7415"/>
    <w:rsid w:val="00CD1D74"/>
    <w:rsid w:val="00CD4642"/>
    <w:rsid w:val="00CE263C"/>
    <w:rsid w:val="00CE28A5"/>
    <w:rsid w:val="00CE554A"/>
    <w:rsid w:val="00CE56C8"/>
    <w:rsid w:val="00CE5AFB"/>
    <w:rsid w:val="00CE77D1"/>
    <w:rsid w:val="00CF0ED8"/>
    <w:rsid w:val="00CF23B5"/>
    <w:rsid w:val="00CF3330"/>
    <w:rsid w:val="00CF6AE8"/>
    <w:rsid w:val="00D02533"/>
    <w:rsid w:val="00D02B45"/>
    <w:rsid w:val="00D03E09"/>
    <w:rsid w:val="00D04574"/>
    <w:rsid w:val="00D0702E"/>
    <w:rsid w:val="00D07D82"/>
    <w:rsid w:val="00D10298"/>
    <w:rsid w:val="00D102C6"/>
    <w:rsid w:val="00D11719"/>
    <w:rsid w:val="00D13F31"/>
    <w:rsid w:val="00D2033D"/>
    <w:rsid w:val="00D20B3D"/>
    <w:rsid w:val="00D22BE2"/>
    <w:rsid w:val="00D2361C"/>
    <w:rsid w:val="00D23EA6"/>
    <w:rsid w:val="00D30E73"/>
    <w:rsid w:val="00D32C61"/>
    <w:rsid w:val="00D3365E"/>
    <w:rsid w:val="00D40BC4"/>
    <w:rsid w:val="00D41A6F"/>
    <w:rsid w:val="00D43038"/>
    <w:rsid w:val="00D439A4"/>
    <w:rsid w:val="00D461C2"/>
    <w:rsid w:val="00D47141"/>
    <w:rsid w:val="00D52614"/>
    <w:rsid w:val="00D52FF1"/>
    <w:rsid w:val="00D53028"/>
    <w:rsid w:val="00D5310A"/>
    <w:rsid w:val="00D54EB4"/>
    <w:rsid w:val="00D570F1"/>
    <w:rsid w:val="00D70558"/>
    <w:rsid w:val="00D76D46"/>
    <w:rsid w:val="00D779C3"/>
    <w:rsid w:val="00D77EBC"/>
    <w:rsid w:val="00D835BC"/>
    <w:rsid w:val="00D90E74"/>
    <w:rsid w:val="00D93272"/>
    <w:rsid w:val="00D9602F"/>
    <w:rsid w:val="00D96DD9"/>
    <w:rsid w:val="00DA27FD"/>
    <w:rsid w:val="00DA3EC8"/>
    <w:rsid w:val="00DB01BE"/>
    <w:rsid w:val="00DB0757"/>
    <w:rsid w:val="00DB0879"/>
    <w:rsid w:val="00DB5E09"/>
    <w:rsid w:val="00DC0298"/>
    <w:rsid w:val="00DC0907"/>
    <w:rsid w:val="00DC22B8"/>
    <w:rsid w:val="00DC2BF3"/>
    <w:rsid w:val="00DC3108"/>
    <w:rsid w:val="00DD0874"/>
    <w:rsid w:val="00DD14BB"/>
    <w:rsid w:val="00DD1D19"/>
    <w:rsid w:val="00DD4105"/>
    <w:rsid w:val="00DD7456"/>
    <w:rsid w:val="00DE508E"/>
    <w:rsid w:val="00DF6E4F"/>
    <w:rsid w:val="00DF703C"/>
    <w:rsid w:val="00E00BC6"/>
    <w:rsid w:val="00E063F5"/>
    <w:rsid w:val="00E06F46"/>
    <w:rsid w:val="00E12C59"/>
    <w:rsid w:val="00E16177"/>
    <w:rsid w:val="00E20FBD"/>
    <w:rsid w:val="00E213E9"/>
    <w:rsid w:val="00E25A8E"/>
    <w:rsid w:val="00E272A0"/>
    <w:rsid w:val="00E33F6F"/>
    <w:rsid w:val="00E4289D"/>
    <w:rsid w:val="00E42E2A"/>
    <w:rsid w:val="00E455E5"/>
    <w:rsid w:val="00E50A6A"/>
    <w:rsid w:val="00E540D8"/>
    <w:rsid w:val="00E57A93"/>
    <w:rsid w:val="00E63E30"/>
    <w:rsid w:val="00E64891"/>
    <w:rsid w:val="00E6546B"/>
    <w:rsid w:val="00E67EC3"/>
    <w:rsid w:val="00E734C3"/>
    <w:rsid w:val="00E80994"/>
    <w:rsid w:val="00E81AD5"/>
    <w:rsid w:val="00E91922"/>
    <w:rsid w:val="00E925DF"/>
    <w:rsid w:val="00E92983"/>
    <w:rsid w:val="00E93E5D"/>
    <w:rsid w:val="00E94158"/>
    <w:rsid w:val="00EA5ADD"/>
    <w:rsid w:val="00EB3C1F"/>
    <w:rsid w:val="00EB5271"/>
    <w:rsid w:val="00EB616B"/>
    <w:rsid w:val="00EB69D9"/>
    <w:rsid w:val="00EC05A8"/>
    <w:rsid w:val="00EC1666"/>
    <w:rsid w:val="00EC4470"/>
    <w:rsid w:val="00EC4C3D"/>
    <w:rsid w:val="00EC5DC1"/>
    <w:rsid w:val="00EC70A1"/>
    <w:rsid w:val="00EC7BDD"/>
    <w:rsid w:val="00EE233A"/>
    <w:rsid w:val="00EE292C"/>
    <w:rsid w:val="00EE55CF"/>
    <w:rsid w:val="00EF0252"/>
    <w:rsid w:val="00EF2338"/>
    <w:rsid w:val="00EF2879"/>
    <w:rsid w:val="00EF431B"/>
    <w:rsid w:val="00EF6F1C"/>
    <w:rsid w:val="00F053F9"/>
    <w:rsid w:val="00F05F00"/>
    <w:rsid w:val="00F06EB6"/>
    <w:rsid w:val="00F07D1E"/>
    <w:rsid w:val="00F138DA"/>
    <w:rsid w:val="00F13D80"/>
    <w:rsid w:val="00F1555A"/>
    <w:rsid w:val="00F215F3"/>
    <w:rsid w:val="00F3740B"/>
    <w:rsid w:val="00F412F2"/>
    <w:rsid w:val="00F4ED3D"/>
    <w:rsid w:val="00F54FA3"/>
    <w:rsid w:val="00F60B6C"/>
    <w:rsid w:val="00F61497"/>
    <w:rsid w:val="00F662D7"/>
    <w:rsid w:val="00F679B5"/>
    <w:rsid w:val="00F701E5"/>
    <w:rsid w:val="00F70848"/>
    <w:rsid w:val="00F70F71"/>
    <w:rsid w:val="00F73465"/>
    <w:rsid w:val="00F77132"/>
    <w:rsid w:val="00F81D5E"/>
    <w:rsid w:val="00F8203C"/>
    <w:rsid w:val="00F861B4"/>
    <w:rsid w:val="00F90277"/>
    <w:rsid w:val="00F9383C"/>
    <w:rsid w:val="00F93F81"/>
    <w:rsid w:val="00F9588F"/>
    <w:rsid w:val="00F979AA"/>
    <w:rsid w:val="00FA1AEE"/>
    <w:rsid w:val="00FA1E6F"/>
    <w:rsid w:val="00FA2397"/>
    <w:rsid w:val="00FA31EC"/>
    <w:rsid w:val="00FA68F9"/>
    <w:rsid w:val="00FA6BDE"/>
    <w:rsid w:val="00FB235B"/>
    <w:rsid w:val="00FB5354"/>
    <w:rsid w:val="00FB76B8"/>
    <w:rsid w:val="00FC14B4"/>
    <w:rsid w:val="00FC16E5"/>
    <w:rsid w:val="00FC547B"/>
    <w:rsid w:val="00FD16FD"/>
    <w:rsid w:val="00FD367D"/>
    <w:rsid w:val="00FD41A1"/>
    <w:rsid w:val="00FD60E6"/>
    <w:rsid w:val="00FE05A0"/>
    <w:rsid w:val="00FE218C"/>
    <w:rsid w:val="00FE2337"/>
    <w:rsid w:val="00FE258C"/>
    <w:rsid w:val="00FE3A77"/>
    <w:rsid w:val="00FE77C5"/>
    <w:rsid w:val="00FF5481"/>
    <w:rsid w:val="010293DB"/>
    <w:rsid w:val="01067077"/>
    <w:rsid w:val="010E92D7"/>
    <w:rsid w:val="010FB108"/>
    <w:rsid w:val="0110A034"/>
    <w:rsid w:val="011265C1"/>
    <w:rsid w:val="012537FA"/>
    <w:rsid w:val="01310A1E"/>
    <w:rsid w:val="014A251C"/>
    <w:rsid w:val="0162E523"/>
    <w:rsid w:val="0168335D"/>
    <w:rsid w:val="01915271"/>
    <w:rsid w:val="0192C6A3"/>
    <w:rsid w:val="0198FB95"/>
    <w:rsid w:val="01A489C8"/>
    <w:rsid w:val="01A49101"/>
    <w:rsid w:val="01A49AEF"/>
    <w:rsid w:val="01BCC03F"/>
    <w:rsid w:val="01C85CBE"/>
    <w:rsid w:val="01CAC14D"/>
    <w:rsid w:val="0218278E"/>
    <w:rsid w:val="022292FB"/>
    <w:rsid w:val="022B8974"/>
    <w:rsid w:val="024EE0EF"/>
    <w:rsid w:val="025AB882"/>
    <w:rsid w:val="029D93A8"/>
    <w:rsid w:val="02A0FF12"/>
    <w:rsid w:val="02B5CC79"/>
    <w:rsid w:val="02C51535"/>
    <w:rsid w:val="02CD33E8"/>
    <w:rsid w:val="02CD95E7"/>
    <w:rsid w:val="02D00EBE"/>
    <w:rsid w:val="02F20B70"/>
    <w:rsid w:val="02F2FE5C"/>
    <w:rsid w:val="03405458"/>
    <w:rsid w:val="034BEA3B"/>
    <w:rsid w:val="034C155C"/>
    <w:rsid w:val="0354D7AA"/>
    <w:rsid w:val="0375630F"/>
    <w:rsid w:val="038B807F"/>
    <w:rsid w:val="038CA2F3"/>
    <w:rsid w:val="03A2F6DE"/>
    <w:rsid w:val="03AB60EC"/>
    <w:rsid w:val="03CB0AEB"/>
    <w:rsid w:val="03E43E9C"/>
    <w:rsid w:val="040BEE67"/>
    <w:rsid w:val="042E91DB"/>
    <w:rsid w:val="04398A64"/>
    <w:rsid w:val="043B844C"/>
    <w:rsid w:val="044A16CF"/>
    <w:rsid w:val="044A5CBF"/>
    <w:rsid w:val="045F7A51"/>
    <w:rsid w:val="048955DA"/>
    <w:rsid w:val="0491AA4E"/>
    <w:rsid w:val="04A694B4"/>
    <w:rsid w:val="04BEFE4A"/>
    <w:rsid w:val="04C6C759"/>
    <w:rsid w:val="04E868CC"/>
    <w:rsid w:val="04FAB0A5"/>
    <w:rsid w:val="0512D72F"/>
    <w:rsid w:val="051369B5"/>
    <w:rsid w:val="0516EDAC"/>
    <w:rsid w:val="051C406A"/>
    <w:rsid w:val="054200A5"/>
    <w:rsid w:val="05531686"/>
    <w:rsid w:val="0579EE4F"/>
    <w:rsid w:val="058CC9D2"/>
    <w:rsid w:val="05963C4A"/>
    <w:rsid w:val="05A35E08"/>
    <w:rsid w:val="05A87C19"/>
    <w:rsid w:val="05AA8012"/>
    <w:rsid w:val="05B1EEFD"/>
    <w:rsid w:val="05B778CB"/>
    <w:rsid w:val="05BAA21E"/>
    <w:rsid w:val="05BB6503"/>
    <w:rsid w:val="05D10909"/>
    <w:rsid w:val="05D835CB"/>
    <w:rsid w:val="05E0E6C6"/>
    <w:rsid w:val="05F8A55F"/>
    <w:rsid w:val="05FA4716"/>
    <w:rsid w:val="05FA557F"/>
    <w:rsid w:val="0612F8B8"/>
    <w:rsid w:val="06227F1B"/>
    <w:rsid w:val="06247A8A"/>
    <w:rsid w:val="06449C9F"/>
    <w:rsid w:val="06566C5D"/>
    <w:rsid w:val="066A3CF7"/>
    <w:rsid w:val="0672CEB4"/>
    <w:rsid w:val="068B487E"/>
    <w:rsid w:val="06969E47"/>
    <w:rsid w:val="06B04735"/>
    <w:rsid w:val="06B2A5B1"/>
    <w:rsid w:val="06BAB524"/>
    <w:rsid w:val="06E52DD7"/>
    <w:rsid w:val="06FA9D39"/>
    <w:rsid w:val="0704CECB"/>
    <w:rsid w:val="0710DE07"/>
    <w:rsid w:val="071E5C27"/>
    <w:rsid w:val="0745B323"/>
    <w:rsid w:val="0756129A"/>
    <w:rsid w:val="0760F223"/>
    <w:rsid w:val="0771DE7C"/>
    <w:rsid w:val="077BD946"/>
    <w:rsid w:val="078B31D3"/>
    <w:rsid w:val="078B4EC7"/>
    <w:rsid w:val="079138F1"/>
    <w:rsid w:val="07A4C64F"/>
    <w:rsid w:val="07B811A2"/>
    <w:rsid w:val="07BCAE84"/>
    <w:rsid w:val="07C151AB"/>
    <w:rsid w:val="07C9DA13"/>
    <w:rsid w:val="07CF6439"/>
    <w:rsid w:val="07D0913D"/>
    <w:rsid w:val="07D3EA03"/>
    <w:rsid w:val="07D6CF6F"/>
    <w:rsid w:val="07DDA09B"/>
    <w:rsid w:val="07F92BFF"/>
    <w:rsid w:val="080EDB46"/>
    <w:rsid w:val="08170D46"/>
    <w:rsid w:val="081CBD5C"/>
    <w:rsid w:val="082426F7"/>
    <w:rsid w:val="082B0B47"/>
    <w:rsid w:val="083D1478"/>
    <w:rsid w:val="083DDCB1"/>
    <w:rsid w:val="0851D8CD"/>
    <w:rsid w:val="086CE36F"/>
    <w:rsid w:val="086D24FE"/>
    <w:rsid w:val="086F2544"/>
    <w:rsid w:val="0870119C"/>
    <w:rsid w:val="08832903"/>
    <w:rsid w:val="088DB6C4"/>
    <w:rsid w:val="08950A8C"/>
    <w:rsid w:val="08963595"/>
    <w:rsid w:val="08B3647E"/>
    <w:rsid w:val="08B3FF9E"/>
    <w:rsid w:val="08C3E7C7"/>
    <w:rsid w:val="08C491A7"/>
    <w:rsid w:val="08E68659"/>
    <w:rsid w:val="090409C9"/>
    <w:rsid w:val="0910997C"/>
    <w:rsid w:val="093CFA7C"/>
    <w:rsid w:val="09414441"/>
    <w:rsid w:val="094F52DF"/>
    <w:rsid w:val="09687157"/>
    <w:rsid w:val="096D07A7"/>
    <w:rsid w:val="097BCB4F"/>
    <w:rsid w:val="097DF1A5"/>
    <w:rsid w:val="097E22A8"/>
    <w:rsid w:val="097FD545"/>
    <w:rsid w:val="098A2FD5"/>
    <w:rsid w:val="09A5D24D"/>
    <w:rsid w:val="09A647BA"/>
    <w:rsid w:val="09AD94D6"/>
    <w:rsid w:val="09B9F25E"/>
    <w:rsid w:val="09C601F2"/>
    <w:rsid w:val="09E7CCF7"/>
    <w:rsid w:val="09EB4B5A"/>
    <w:rsid w:val="09F48E74"/>
    <w:rsid w:val="09F66BB4"/>
    <w:rsid w:val="09FB92CA"/>
    <w:rsid w:val="0A0BD3B1"/>
    <w:rsid w:val="0A255510"/>
    <w:rsid w:val="0A337794"/>
    <w:rsid w:val="0A4E1029"/>
    <w:rsid w:val="0A5FF629"/>
    <w:rsid w:val="0A6D358E"/>
    <w:rsid w:val="0A6FC69B"/>
    <w:rsid w:val="0A79AF66"/>
    <w:rsid w:val="0A7AABB8"/>
    <w:rsid w:val="0A7AAEEF"/>
    <w:rsid w:val="0A82CE43"/>
    <w:rsid w:val="0AA2CAB2"/>
    <w:rsid w:val="0AADA186"/>
    <w:rsid w:val="0AC87359"/>
    <w:rsid w:val="0AECC1B2"/>
    <w:rsid w:val="0AFA3281"/>
    <w:rsid w:val="0AFB7AFB"/>
    <w:rsid w:val="0B12B0E4"/>
    <w:rsid w:val="0B464E8E"/>
    <w:rsid w:val="0B4C6035"/>
    <w:rsid w:val="0B5B6532"/>
    <w:rsid w:val="0B63D030"/>
    <w:rsid w:val="0B6BDC43"/>
    <w:rsid w:val="0B8D3F86"/>
    <w:rsid w:val="0B8FFDC3"/>
    <w:rsid w:val="0B9D873D"/>
    <w:rsid w:val="0BA83C97"/>
    <w:rsid w:val="0BAA8180"/>
    <w:rsid w:val="0BAC412B"/>
    <w:rsid w:val="0BBA03F8"/>
    <w:rsid w:val="0BBB5DEA"/>
    <w:rsid w:val="0BBD13AC"/>
    <w:rsid w:val="0BC10997"/>
    <w:rsid w:val="0BD45519"/>
    <w:rsid w:val="0BF25C98"/>
    <w:rsid w:val="0BFDA5BE"/>
    <w:rsid w:val="0C17EC60"/>
    <w:rsid w:val="0C65ACA0"/>
    <w:rsid w:val="0C74C7F6"/>
    <w:rsid w:val="0C8E8C50"/>
    <w:rsid w:val="0CBA727E"/>
    <w:rsid w:val="0CCF89D2"/>
    <w:rsid w:val="0CE06030"/>
    <w:rsid w:val="0CE3FC9E"/>
    <w:rsid w:val="0D0AD05A"/>
    <w:rsid w:val="0D1ADBD8"/>
    <w:rsid w:val="0D3D8DEF"/>
    <w:rsid w:val="0D424BF9"/>
    <w:rsid w:val="0D5DB89C"/>
    <w:rsid w:val="0D6144E9"/>
    <w:rsid w:val="0D687086"/>
    <w:rsid w:val="0D6B275B"/>
    <w:rsid w:val="0D77C994"/>
    <w:rsid w:val="0D8AED4F"/>
    <w:rsid w:val="0D955403"/>
    <w:rsid w:val="0DB13415"/>
    <w:rsid w:val="0DB1FEDB"/>
    <w:rsid w:val="0DB7FBA6"/>
    <w:rsid w:val="0DBF9D57"/>
    <w:rsid w:val="0DC10FEA"/>
    <w:rsid w:val="0DC5DBE3"/>
    <w:rsid w:val="0DC96759"/>
    <w:rsid w:val="0DC9742E"/>
    <w:rsid w:val="0DCC4E9E"/>
    <w:rsid w:val="0DCD8CA3"/>
    <w:rsid w:val="0DE74B30"/>
    <w:rsid w:val="0E09A401"/>
    <w:rsid w:val="0E17EE45"/>
    <w:rsid w:val="0E1BCC11"/>
    <w:rsid w:val="0E2C589C"/>
    <w:rsid w:val="0E6570AA"/>
    <w:rsid w:val="0E73A82E"/>
    <w:rsid w:val="0E7EA8E9"/>
    <w:rsid w:val="0E94772B"/>
    <w:rsid w:val="0E983A05"/>
    <w:rsid w:val="0EA7F40B"/>
    <w:rsid w:val="0EAA5829"/>
    <w:rsid w:val="0EB9002D"/>
    <w:rsid w:val="0EBD0BE5"/>
    <w:rsid w:val="0EC80A28"/>
    <w:rsid w:val="0EE9DDA5"/>
    <w:rsid w:val="0EF36B0C"/>
    <w:rsid w:val="0F082D54"/>
    <w:rsid w:val="0F1DABD1"/>
    <w:rsid w:val="0F211693"/>
    <w:rsid w:val="0F2E21DD"/>
    <w:rsid w:val="0F37FF10"/>
    <w:rsid w:val="0F412472"/>
    <w:rsid w:val="0F4362C1"/>
    <w:rsid w:val="0F5BE370"/>
    <w:rsid w:val="0F6F3CB7"/>
    <w:rsid w:val="0F76F096"/>
    <w:rsid w:val="0F9A6ECB"/>
    <w:rsid w:val="0FB61158"/>
    <w:rsid w:val="0FB75CD5"/>
    <w:rsid w:val="0FBF8B9D"/>
    <w:rsid w:val="0FC9F9E3"/>
    <w:rsid w:val="0FE224E2"/>
    <w:rsid w:val="0FE962DB"/>
    <w:rsid w:val="0FF8D2EE"/>
    <w:rsid w:val="1010C433"/>
    <w:rsid w:val="101A5A54"/>
    <w:rsid w:val="102741CB"/>
    <w:rsid w:val="102BA276"/>
    <w:rsid w:val="10613820"/>
    <w:rsid w:val="10643945"/>
    <w:rsid w:val="107567F3"/>
    <w:rsid w:val="10A990BC"/>
    <w:rsid w:val="10AE98CA"/>
    <w:rsid w:val="10DCD081"/>
    <w:rsid w:val="10E5EEAF"/>
    <w:rsid w:val="110313D8"/>
    <w:rsid w:val="1106ECD2"/>
    <w:rsid w:val="1106F80D"/>
    <w:rsid w:val="110EB058"/>
    <w:rsid w:val="11288C0C"/>
    <w:rsid w:val="113CE1B8"/>
    <w:rsid w:val="1142D6FF"/>
    <w:rsid w:val="11439F34"/>
    <w:rsid w:val="114A8322"/>
    <w:rsid w:val="118061AF"/>
    <w:rsid w:val="118C8DAC"/>
    <w:rsid w:val="118EB5CD"/>
    <w:rsid w:val="1199BB5F"/>
    <w:rsid w:val="119B73E0"/>
    <w:rsid w:val="119EA5B6"/>
    <w:rsid w:val="11BB28E4"/>
    <w:rsid w:val="11DBA9A1"/>
    <w:rsid w:val="11DDDA3A"/>
    <w:rsid w:val="11E791B1"/>
    <w:rsid w:val="1211FDDC"/>
    <w:rsid w:val="12188442"/>
    <w:rsid w:val="12282D98"/>
    <w:rsid w:val="12297D48"/>
    <w:rsid w:val="123F3A17"/>
    <w:rsid w:val="1245676E"/>
    <w:rsid w:val="124C2B54"/>
    <w:rsid w:val="1260C2CE"/>
    <w:rsid w:val="1272C4DD"/>
    <w:rsid w:val="12819F62"/>
    <w:rsid w:val="128F3B6A"/>
    <w:rsid w:val="1293A168"/>
    <w:rsid w:val="1297297D"/>
    <w:rsid w:val="12998292"/>
    <w:rsid w:val="129EECD1"/>
    <w:rsid w:val="12A65E62"/>
    <w:rsid w:val="12B1EB28"/>
    <w:rsid w:val="12C17CDF"/>
    <w:rsid w:val="12C93541"/>
    <w:rsid w:val="12E158D3"/>
    <w:rsid w:val="12E9438B"/>
    <w:rsid w:val="12EB8AD8"/>
    <w:rsid w:val="1313F295"/>
    <w:rsid w:val="131965BE"/>
    <w:rsid w:val="13267FB1"/>
    <w:rsid w:val="132DF03A"/>
    <w:rsid w:val="134B29E0"/>
    <w:rsid w:val="134D64E2"/>
    <w:rsid w:val="1357F5CC"/>
    <w:rsid w:val="13607F4C"/>
    <w:rsid w:val="13662AE9"/>
    <w:rsid w:val="136E3622"/>
    <w:rsid w:val="1385C1B1"/>
    <w:rsid w:val="1390CA6E"/>
    <w:rsid w:val="1392DA86"/>
    <w:rsid w:val="13AF1016"/>
    <w:rsid w:val="13E4B40E"/>
    <w:rsid w:val="13EA730C"/>
    <w:rsid w:val="13F45C7F"/>
    <w:rsid w:val="1403D94C"/>
    <w:rsid w:val="140BCFFE"/>
    <w:rsid w:val="141339A5"/>
    <w:rsid w:val="142192F7"/>
    <w:rsid w:val="143571EC"/>
    <w:rsid w:val="143889AB"/>
    <w:rsid w:val="145CB311"/>
    <w:rsid w:val="1471376A"/>
    <w:rsid w:val="1486EEF5"/>
    <w:rsid w:val="1499D694"/>
    <w:rsid w:val="14AF7D22"/>
    <w:rsid w:val="150036B5"/>
    <w:rsid w:val="154F2DA4"/>
    <w:rsid w:val="15549325"/>
    <w:rsid w:val="1559E938"/>
    <w:rsid w:val="156A73BE"/>
    <w:rsid w:val="157D9C31"/>
    <w:rsid w:val="158F8914"/>
    <w:rsid w:val="15BC342E"/>
    <w:rsid w:val="15D0D94A"/>
    <w:rsid w:val="15D20EAB"/>
    <w:rsid w:val="15DB1CB0"/>
    <w:rsid w:val="15EED3ED"/>
    <w:rsid w:val="16002E32"/>
    <w:rsid w:val="160246E3"/>
    <w:rsid w:val="16028508"/>
    <w:rsid w:val="16222B34"/>
    <w:rsid w:val="16341FF6"/>
    <w:rsid w:val="163A3733"/>
    <w:rsid w:val="163B3192"/>
    <w:rsid w:val="164EA58B"/>
    <w:rsid w:val="1654AD4D"/>
    <w:rsid w:val="165708D5"/>
    <w:rsid w:val="167DF431"/>
    <w:rsid w:val="16810D17"/>
    <w:rsid w:val="1684363D"/>
    <w:rsid w:val="1687AE72"/>
    <w:rsid w:val="168963F3"/>
    <w:rsid w:val="16919AE3"/>
    <w:rsid w:val="169717B8"/>
    <w:rsid w:val="16A0B58E"/>
    <w:rsid w:val="16AAE90B"/>
    <w:rsid w:val="16B9F64B"/>
    <w:rsid w:val="16C758E8"/>
    <w:rsid w:val="16D28BA7"/>
    <w:rsid w:val="16D8CCFD"/>
    <w:rsid w:val="16EA0CC0"/>
    <w:rsid w:val="16EF2305"/>
    <w:rsid w:val="16F06ACF"/>
    <w:rsid w:val="1716C680"/>
    <w:rsid w:val="171F1564"/>
    <w:rsid w:val="1725D98B"/>
    <w:rsid w:val="1732EB3F"/>
    <w:rsid w:val="173761F9"/>
    <w:rsid w:val="173892D8"/>
    <w:rsid w:val="176BB486"/>
    <w:rsid w:val="17A3F842"/>
    <w:rsid w:val="17AC7897"/>
    <w:rsid w:val="17BA5DDB"/>
    <w:rsid w:val="17E67B12"/>
    <w:rsid w:val="17F8CF3C"/>
    <w:rsid w:val="17F93051"/>
    <w:rsid w:val="17F97A0B"/>
    <w:rsid w:val="1808F297"/>
    <w:rsid w:val="180A35C0"/>
    <w:rsid w:val="1823CC8B"/>
    <w:rsid w:val="18279062"/>
    <w:rsid w:val="1831433E"/>
    <w:rsid w:val="183CA17F"/>
    <w:rsid w:val="183E3BB0"/>
    <w:rsid w:val="1846B1D1"/>
    <w:rsid w:val="1847100A"/>
    <w:rsid w:val="184FB0A0"/>
    <w:rsid w:val="1857870F"/>
    <w:rsid w:val="18663F8B"/>
    <w:rsid w:val="186C7831"/>
    <w:rsid w:val="1888E074"/>
    <w:rsid w:val="18A3F97F"/>
    <w:rsid w:val="18A4E1C4"/>
    <w:rsid w:val="18AA40B7"/>
    <w:rsid w:val="18AFB765"/>
    <w:rsid w:val="18BBC59D"/>
    <w:rsid w:val="18C5C8F7"/>
    <w:rsid w:val="18C726AA"/>
    <w:rsid w:val="1903FB10"/>
    <w:rsid w:val="1911B98A"/>
    <w:rsid w:val="191DE4D0"/>
    <w:rsid w:val="193B94C1"/>
    <w:rsid w:val="193F160B"/>
    <w:rsid w:val="195EEB7E"/>
    <w:rsid w:val="195F7239"/>
    <w:rsid w:val="19782647"/>
    <w:rsid w:val="19799B2A"/>
    <w:rsid w:val="19855409"/>
    <w:rsid w:val="1986CACE"/>
    <w:rsid w:val="198A71F5"/>
    <w:rsid w:val="198F6F03"/>
    <w:rsid w:val="19C8C27A"/>
    <w:rsid w:val="19CC362D"/>
    <w:rsid w:val="19E34C74"/>
    <w:rsid w:val="19E64FA6"/>
    <w:rsid w:val="19FAFB17"/>
    <w:rsid w:val="1A2D2430"/>
    <w:rsid w:val="1A3CAE29"/>
    <w:rsid w:val="1A419BB0"/>
    <w:rsid w:val="1A4E1E80"/>
    <w:rsid w:val="1A59BA21"/>
    <w:rsid w:val="1A6700F5"/>
    <w:rsid w:val="1A6AEABC"/>
    <w:rsid w:val="1A742282"/>
    <w:rsid w:val="1A89A4D0"/>
    <w:rsid w:val="1AAEE13F"/>
    <w:rsid w:val="1AC71E35"/>
    <w:rsid w:val="1AD4A018"/>
    <w:rsid w:val="1AEDA2D1"/>
    <w:rsid w:val="1AF1F24D"/>
    <w:rsid w:val="1AF6B7EF"/>
    <w:rsid w:val="1B1F0B1B"/>
    <w:rsid w:val="1B2997EC"/>
    <w:rsid w:val="1B2FCD68"/>
    <w:rsid w:val="1B421498"/>
    <w:rsid w:val="1B42FEBF"/>
    <w:rsid w:val="1B803398"/>
    <w:rsid w:val="1B9D1695"/>
    <w:rsid w:val="1BA690FC"/>
    <w:rsid w:val="1BB3FF6B"/>
    <w:rsid w:val="1BB71335"/>
    <w:rsid w:val="1BCB301D"/>
    <w:rsid w:val="1BDDC903"/>
    <w:rsid w:val="1BE8BB05"/>
    <w:rsid w:val="1C15F06E"/>
    <w:rsid w:val="1C219136"/>
    <w:rsid w:val="1C55B4F4"/>
    <w:rsid w:val="1C791E9F"/>
    <w:rsid w:val="1C85573D"/>
    <w:rsid w:val="1C874A81"/>
    <w:rsid w:val="1CA4F1EB"/>
    <w:rsid w:val="1CA56387"/>
    <w:rsid w:val="1CB33D64"/>
    <w:rsid w:val="1CB4CB26"/>
    <w:rsid w:val="1CCBEDDF"/>
    <w:rsid w:val="1CD3C9A7"/>
    <w:rsid w:val="1CDD9DB6"/>
    <w:rsid w:val="1CE4D6C7"/>
    <w:rsid w:val="1CE57105"/>
    <w:rsid w:val="1CE7AF6B"/>
    <w:rsid w:val="1CEA5985"/>
    <w:rsid w:val="1D377200"/>
    <w:rsid w:val="1D3EDE99"/>
    <w:rsid w:val="1D6A9A6C"/>
    <w:rsid w:val="1D886A09"/>
    <w:rsid w:val="1D98277A"/>
    <w:rsid w:val="1DA1E52D"/>
    <w:rsid w:val="1DA935C2"/>
    <w:rsid w:val="1DBD3417"/>
    <w:rsid w:val="1DD42F51"/>
    <w:rsid w:val="1DE38868"/>
    <w:rsid w:val="1DF03829"/>
    <w:rsid w:val="1DF16D03"/>
    <w:rsid w:val="1E168894"/>
    <w:rsid w:val="1E1DE600"/>
    <w:rsid w:val="1E37D23A"/>
    <w:rsid w:val="1E388665"/>
    <w:rsid w:val="1E3AB33F"/>
    <w:rsid w:val="1E3B86D2"/>
    <w:rsid w:val="1E43033E"/>
    <w:rsid w:val="1E68B79A"/>
    <w:rsid w:val="1E786348"/>
    <w:rsid w:val="1E93BCFB"/>
    <w:rsid w:val="1EBB596A"/>
    <w:rsid w:val="1EDEE93B"/>
    <w:rsid w:val="1EEBFF90"/>
    <w:rsid w:val="1F023963"/>
    <w:rsid w:val="1F0C9078"/>
    <w:rsid w:val="1F13BFE6"/>
    <w:rsid w:val="1F3C7D8E"/>
    <w:rsid w:val="1F3F6633"/>
    <w:rsid w:val="1F5E4709"/>
    <w:rsid w:val="1F64B246"/>
    <w:rsid w:val="1F6A48A6"/>
    <w:rsid w:val="1F72FB70"/>
    <w:rsid w:val="1F74C433"/>
    <w:rsid w:val="1F7761C2"/>
    <w:rsid w:val="1FA01441"/>
    <w:rsid w:val="1FB172C4"/>
    <w:rsid w:val="1FD2A113"/>
    <w:rsid w:val="1FFB5507"/>
    <w:rsid w:val="201F2F26"/>
    <w:rsid w:val="20214F1B"/>
    <w:rsid w:val="20254284"/>
    <w:rsid w:val="202EEA35"/>
    <w:rsid w:val="203D3213"/>
    <w:rsid w:val="203ED9E9"/>
    <w:rsid w:val="205D0562"/>
    <w:rsid w:val="2060F23F"/>
    <w:rsid w:val="2067B2D7"/>
    <w:rsid w:val="20955CBB"/>
    <w:rsid w:val="20AFFE12"/>
    <w:rsid w:val="20C42DE8"/>
    <w:rsid w:val="20C71C26"/>
    <w:rsid w:val="20D524E6"/>
    <w:rsid w:val="20F41AA3"/>
    <w:rsid w:val="21109DF9"/>
    <w:rsid w:val="21195F47"/>
    <w:rsid w:val="212B4219"/>
    <w:rsid w:val="212EBC5E"/>
    <w:rsid w:val="214BD0B3"/>
    <w:rsid w:val="2156B86C"/>
    <w:rsid w:val="216E9550"/>
    <w:rsid w:val="2176ACBB"/>
    <w:rsid w:val="218A71F5"/>
    <w:rsid w:val="218E8E1F"/>
    <w:rsid w:val="218E95B7"/>
    <w:rsid w:val="2191E5E1"/>
    <w:rsid w:val="21B795F6"/>
    <w:rsid w:val="21C4186B"/>
    <w:rsid w:val="21C8EB00"/>
    <w:rsid w:val="21E49C7D"/>
    <w:rsid w:val="21F6D059"/>
    <w:rsid w:val="21F7C0E5"/>
    <w:rsid w:val="21F9D065"/>
    <w:rsid w:val="22042734"/>
    <w:rsid w:val="220A8C3C"/>
    <w:rsid w:val="221B13C6"/>
    <w:rsid w:val="2227B83F"/>
    <w:rsid w:val="222A7D01"/>
    <w:rsid w:val="222AD5B7"/>
    <w:rsid w:val="223B2407"/>
    <w:rsid w:val="224710FC"/>
    <w:rsid w:val="22714877"/>
    <w:rsid w:val="22777616"/>
    <w:rsid w:val="228FC481"/>
    <w:rsid w:val="22A7FAD2"/>
    <w:rsid w:val="22C0FF69"/>
    <w:rsid w:val="22C377C1"/>
    <w:rsid w:val="22D3644E"/>
    <w:rsid w:val="22D81EC2"/>
    <w:rsid w:val="22EAD4D1"/>
    <w:rsid w:val="22F00CCF"/>
    <w:rsid w:val="23099158"/>
    <w:rsid w:val="23208808"/>
    <w:rsid w:val="2332A678"/>
    <w:rsid w:val="23358772"/>
    <w:rsid w:val="236A8779"/>
    <w:rsid w:val="23755EEF"/>
    <w:rsid w:val="238B114F"/>
    <w:rsid w:val="239FE084"/>
    <w:rsid w:val="23B3890E"/>
    <w:rsid w:val="23B44577"/>
    <w:rsid w:val="23C02AAE"/>
    <w:rsid w:val="23EBEAEF"/>
    <w:rsid w:val="23F885B8"/>
    <w:rsid w:val="240315F6"/>
    <w:rsid w:val="24069DAE"/>
    <w:rsid w:val="24080418"/>
    <w:rsid w:val="240D770C"/>
    <w:rsid w:val="2426D0C2"/>
    <w:rsid w:val="242AF21F"/>
    <w:rsid w:val="24512471"/>
    <w:rsid w:val="2459F7FC"/>
    <w:rsid w:val="2473B973"/>
    <w:rsid w:val="247898D9"/>
    <w:rsid w:val="247C9A50"/>
    <w:rsid w:val="247EAA80"/>
    <w:rsid w:val="24A7FFD9"/>
    <w:rsid w:val="24E40D87"/>
    <w:rsid w:val="24E908D8"/>
    <w:rsid w:val="24F56129"/>
    <w:rsid w:val="24FC46FB"/>
    <w:rsid w:val="2507542B"/>
    <w:rsid w:val="25436B30"/>
    <w:rsid w:val="2544E585"/>
    <w:rsid w:val="2549DC7E"/>
    <w:rsid w:val="254FD8EC"/>
    <w:rsid w:val="255B2E16"/>
    <w:rsid w:val="256F9FB7"/>
    <w:rsid w:val="25A10CBB"/>
    <w:rsid w:val="25AEF29B"/>
    <w:rsid w:val="25B4C642"/>
    <w:rsid w:val="25C303C5"/>
    <w:rsid w:val="25C31B48"/>
    <w:rsid w:val="25DCB58B"/>
    <w:rsid w:val="25F519EE"/>
    <w:rsid w:val="25F5ADB1"/>
    <w:rsid w:val="25FB004D"/>
    <w:rsid w:val="26053E56"/>
    <w:rsid w:val="26059A3F"/>
    <w:rsid w:val="260A621D"/>
    <w:rsid w:val="260E1BEE"/>
    <w:rsid w:val="261430C6"/>
    <w:rsid w:val="26370949"/>
    <w:rsid w:val="263D54CC"/>
    <w:rsid w:val="264703EA"/>
    <w:rsid w:val="264D4840"/>
    <w:rsid w:val="267E6E8F"/>
    <w:rsid w:val="2691B6F6"/>
    <w:rsid w:val="26A766B2"/>
    <w:rsid w:val="26B543BB"/>
    <w:rsid w:val="26BC8628"/>
    <w:rsid w:val="26FBD416"/>
    <w:rsid w:val="27057CB4"/>
    <w:rsid w:val="2714814D"/>
    <w:rsid w:val="27175CA2"/>
    <w:rsid w:val="272AA9BA"/>
    <w:rsid w:val="2733700F"/>
    <w:rsid w:val="273E2697"/>
    <w:rsid w:val="2740ADC5"/>
    <w:rsid w:val="27419C69"/>
    <w:rsid w:val="275F89F4"/>
    <w:rsid w:val="2761E703"/>
    <w:rsid w:val="27627DDE"/>
    <w:rsid w:val="276D4C62"/>
    <w:rsid w:val="27796F52"/>
    <w:rsid w:val="27E1F6D0"/>
    <w:rsid w:val="27EE53CE"/>
    <w:rsid w:val="27F88C25"/>
    <w:rsid w:val="27FE6613"/>
    <w:rsid w:val="280C1417"/>
    <w:rsid w:val="282572B6"/>
    <w:rsid w:val="2838F3A8"/>
    <w:rsid w:val="283CE3B7"/>
    <w:rsid w:val="283F05DC"/>
    <w:rsid w:val="2860D19A"/>
    <w:rsid w:val="2874795F"/>
    <w:rsid w:val="287BD70C"/>
    <w:rsid w:val="287D5A1F"/>
    <w:rsid w:val="287F5CA1"/>
    <w:rsid w:val="288D73AB"/>
    <w:rsid w:val="288F5D7D"/>
    <w:rsid w:val="28C630CE"/>
    <w:rsid w:val="28D9B0BD"/>
    <w:rsid w:val="28E0AB89"/>
    <w:rsid w:val="28EFC7FC"/>
    <w:rsid w:val="28FD7921"/>
    <w:rsid w:val="2901B1B9"/>
    <w:rsid w:val="2905D70F"/>
    <w:rsid w:val="29436738"/>
    <w:rsid w:val="296D5255"/>
    <w:rsid w:val="297AA64D"/>
    <w:rsid w:val="2982F896"/>
    <w:rsid w:val="2988E654"/>
    <w:rsid w:val="2992C9A6"/>
    <w:rsid w:val="29C103E0"/>
    <w:rsid w:val="29D88E4B"/>
    <w:rsid w:val="29DECC6B"/>
    <w:rsid w:val="2A357EAD"/>
    <w:rsid w:val="2A3D6688"/>
    <w:rsid w:val="2A3F160F"/>
    <w:rsid w:val="2A44F7D5"/>
    <w:rsid w:val="2A561C79"/>
    <w:rsid w:val="2A5F09F7"/>
    <w:rsid w:val="2A75A163"/>
    <w:rsid w:val="2A783198"/>
    <w:rsid w:val="2A97C55F"/>
    <w:rsid w:val="2AA97C19"/>
    <w:rsid w:val="2AA9E930"/>
    <w:rsid w:val="2AB6ED5E"/>
    <w:rsid w:val="2ABDE3C7"/>
    <w:rsid w:val="2AC25B30"/>
    <w:rsid w:val="2AC34335"/>
    <w:rsid w:val="2AC997B3"/>
    <w:rsid w:val="2AF134F4"/>
    <w:rsid w:val="2AF509A2"/>
    <w:rsid w:val="2AF5BA59"/>
    <w:rsid w:val="2B090904"/>
    <w:rsid w:val="2B10AB00"/>
    <w:rsid w:val="2B14FB0D"/>
    <w:rsid w:val="2B1F0D6F"/>
    <w:rsid w:val="2B278DB4"/>
    <w:rsid w:val="2B291A29"/>
    <w:rsid w:val="2B2BFA2C"/>
    <w:rsid w:val="2B6F09DF"/>
    <w:rsid w:val="2B833E01"/>
    <w:rsid w:val="2B891ED2"/>
    <w:rsid w:val="2BB91720"/>
    <w:rsid w:val="2BC34D58"/>
    <w:rsid w:val="2BDC07A2"/>
    <w:rsid w:val="2BE4B5F1"/>
    <w:rsid w:val="2BEF0886"/>
    <w:rsid w:val="2BF14ED8"/>
    <w:rsid w:val="2BF97E8E"/>
    <w:rsid w:val="2C06F37C"/>
    <w:rsid w:val="2C0A009D"/>
    <w:rsid w:val="2C10D5C6"/>
    <w:rsid w:val="2C1DABE0"/>
    <w:rsid w:val="2C2E2A4F"/>
    <w:rsid w:val="2C49D238"/>
    <w:rsid w:val="2C4B9011"/>
    <w:rsid w:val="2C4F731C"/>
    <w:rsid w:val="2C601ED3"/>
    <w:rsid w:val="2C636BD4"/>
    <w:rsid w:val="2C640345"/>
    <w:rsid w:val="2C656B96"/>
    <w:rsid w:val="2C74B839"/>
    <w:rsid w:val="2C826F43"/>
    <w:rsid w:val="2C93E761"/>
    <w:rsid w:val="2C968EB6"/>
    <w:rsid w:val="2C9A8156"/>
    <w:rsid w:val="2C9C7FDD"/>
    <w:rsid w:val="2CBF6167"/>
    <w:rsid w:val="2CD24EBA"/>
    <w:rsid w:val="2CF92854"/>
    <w:rsid w:val="2CFBEF80"/>
    <w:rsid w:val="2D050CB2"/>
    <w:rsid w:val="2D091F9F"/>
    <w:rsid w:val="2D1E2380"/>
    <w:rsid w:val="2D22066B"/>
    <w:rsid w:val="2D288E37"/>
    <w:rsid w:val="2D2D9531"/>
    <w:rsid w:val="2D30C6D6"/>
    <w:rsid w:val="2D377A0A"/>
    <w:rsid w:val="2D5CC2C3"/>
    <w:rsid w:val="2D64718C"/>
    <w:rsid w:val="2D64C474"/>
    <w:rsid w:val="2D6B5F54"/>
    <w:rsid w:val="2D6D0077"/>
    <w:rsid w:val="2D766C76"/>
    <w:rsid w:val="2D7713B6"/>
    <w:rsid w:val="2D7C2C67"/>
    <w:rsid w:val="2D7DA5BC"/>
    <w:rsid w:val="2D8ABE22"/>
    <w:rsid w:val="2D8CB631"/>
    <w:rsid w:val="2DA0E484"/>
    <w:rsid w:val="2DD7860B"/>
    <w:rsid w:val="2DDA4353"/>
    <w:rsid w:val="2DDDABCA"/>
    <w:rsid w:val="2DE9D83C"/>
    <w:rsid w:val="2DF29B20"/>
    <w:rsid w:val="2DF76BF2"/>
    <w:rsid w:val="2E172C1D"/>
    <w:rsid w:val="2E240E54"/>
    <w:rsid w:val="2E295104"/>
    <w:rsid w:val="2E4354A0"/>
    <w:rsid w:val="2E573D52"/>
    <w:rsid w:val="2E62C823"/>
    <w:rsid w:val="2E66867A"/>
    <w:rsid w:val="2E74EF98"/>
    <w:rsid w:val="2E811AE2"/>
    <w:rsid w:val="2E8636E1"/>
    <w:rsid w:val="2E8DBBFD"/>
    <w:rsid w:val="2E933F62"/>
    <w:rsid w:val="2EA32742"/>
    <w:rsid w:val="2EB71F01"/>
    <w:rsid w:val="2EB852E3"/>
    <w:rsid w:val="2ECB3CF7"/>
    <w:rsid w:val="2ED45A66"/>
    <w:rsid w:val="2ED95AD8"/>
    <w:rsid w:val="2F0AD5F8"/>
    <w:rsid w:val="2F0FD3E3"/>
    <w:rsid w:val="2F11F2DD"/>
    <w:rsid w:val="2F1D63C9"/>
    <w:rsid w:val="2F228C0F"/>
    <w:rsid w:val="2F22CADC"/>
    <w:rsid w:val="2F28D630"/>
    <w:rsid w:val="2F2D4E5A"/>
    <w:rsid w:val="2F345B52"/>
    <w:rsid w:val="2F3679F2"/>
    <w:rsid w:val="2F3C1085"/>
    <w:rsid w:val="2F5D5393"/>
    <w:rsid w:val="2F69C78F"/>
    <w:rsid w:val="2F73D132"/>
    <w:rsid w:val="2F812BF5"/>
    <w:rsid w:val="2F84796B"/>
    <w:rsid w:val="2F84FA42"/>
    <w:rsid w:val="2F882EA3"/>
    <w:rsid w:val="2F99A181"/>
    <w:rsid w:val="2FB7A70E"/>
    <w:rsid w:val="2FBA7776"/>
    <w:rsid w:val="2FBC8E92"/>
    <w:rsid w:val="2FD25DE4"/>
    <w:rsid w:val="2FE01CAF"/>
    <w:rsid w:val="2FE3FE0D"/>
    <w:rsid w:val="2FE83DB1"/>
    <w:rsid w:val="2FF36D01"/>
    <w:rsid w:val="2FFFC1ED"/>
    <w:rsid w:val="300F7D3D"/>
    <w:rsid w:val="3011377C"/>
    <w:rsid w:val="30183BF0"/>
    <w:rsid w:val="30259AA1"/>
    <w:rsid w:val="3038BE48"/>
    <w:rsid w:val="303A7424"/>
    <w:rsid w:val="304AB260"/>
    <w:rsid w:val="3053E4CD"/>
    <w:rsid w:val="3076313C"/>
    <w:rsid w:val="30823B97"/>
    <w:rsid w:val="308C7661"/>
    <w:rsid w:val="3097AC72"/>
    <w:rsid w:val="30A17529"/>
    <w:rsid w:val="30A20028"/>
    <w:rsid w:val="30A4A31B"/>
    <w:rsid w:val="30C06490"/>
    <w:rsid w:val="30CD0C8A"/>
    <w:rsid w:val="30CF8B4B"/>
    <w:rsid w:val="30DCD1A9"/>
    <w:rsid w:val="30EC5978"/>
    <w:rsid w:val="30F568E2"/>
    <w:rsid w:val="30FFDF56"/>
    <w:rsid w:val="31026452"/>
    <w:rsid w:val="311E348B"/>
    <w:rsid w:val="3124A31C"/>
    <w:rsid w:val="31302C9B"/>
    <w:rsid w:val="3136F8F7"/>
    <w:rsid w:val="313EA2D6"/>
    <w:rsid w:val="313F2132"/>
    <w:rsid w:val="31585ABC"/>
    <w:rsid w:val="3177CCD4"/>
    <w:rsid w:val="3192758D"/>
    <w:rsid w:val="319764CE"/>
    <w:rsid w:val="31A53408"/>
    <w:rsid w:val="31A72569"/>
    <w:rsid w:val="31B3FAAC"/>
    <w:rsid w:val="31B6BC09"/>
    <w:rsid w:val="31BF5212"/>
    <w:rsid w:val="31C9349F"/>
    <w:rsid w:val="31FEC8BA"/>
    <w:rsid w:val="32038D28"/>
    <w:rsid w:val="32089925"/>
    <w:rsid w:val="3209F285"/>
    <w:rsid w:val="320A7C38"/>
    <w:rsid w:val="321C7A45"/>
    <w:rsid w:val="3225A629"/>
    <w:rsid w:val="322A579E"/>
    <w:rsid w:val="322ACA76"/>
    <w:rsid w:val="32421406"/>
    <w:rsid w:val="3242B8DF"/>
    <w:rsid w:val="324EE724"/>
    <w:rsid w:val="32519F42"/>
    <w:rsid w:val="325F6E51"/>
    <w:rsid w:val="3296D54C"/>
    <w:rsid w:val="329BC3E3"/>
    <w:rsid w:val="32B6E34F"/>
    <w:rsid w:val="32BEFFE4"/>
    <w:rsid w:val="32F2EC11"/>
    <w:rsid w:val="32F931D8"/>
    <w:rsid w:val="331C73F1"/>
    <w:rsid w:val="331D2E06"/>
    <w:rsid w:val="3329166E"/>
    <w:rsid w:val="33343ECA"/>
    <w:rsid w:val="3367DD55"/>
    <w:rsid w:val="336A82F9"/>
    <w:rsid w:val="337E45B4"/>
    <w:rsid w:val="337E49D7"/>
    <w:rsid w:val="338AB108"/>
    <w:rsid w:val="33974CA6"/>
    <w:rsid w:val="33AA300A"/>
    <w:rsid w:val="33AEA721"/>
    <w:rsid w:val="33AF6D0D"/>
    <w:rsid w:val="33C1D1AA"/>
    <w:rsid w:val="33C22138"/>
    <w:rsid w:val="33CD862F"/>
    <w:rsid w:val="33D4D3FD"/>
    <w:rsid w:val="33DC0257"/>
    <w:rsid w:val="33DDBC9E"/>
    <w:rsid w:val="33FCA2B6"/>
    <w:rsid w:val="3415DC55"/>
    <w:rsid w:val="34239C65"/>
    <w:rsid w:val="3434E858"/>
    <w:rsid w:val="3437A149"/>
    <w:rsid w:val="34444745"/>
    <w:rsid w:val="345232A2"/>
    <w:rsid w:val="3461DD89"/>
    <w:rsid w:val="346549A5"/>
    <w:rsid w:val="3493F583"/>
    <w:rsid w:val="34976A59"/>
    <w:rsid w:val="34C7348F"/>
    <w:rsid w:val="34CC1D0E"/>
    <w:rsid w:val="34D7237E"/>
    <w:rsid w:val="34EB2BEC"/>
    <w:rsid w:val="34EEE2CB"/>
    <w:rsid w:val="34EEF639"/>
    <w:rsid w:val="34FC7CD1"/>
    <w:rsid w:val="3522C4B8"/>
    <w:rsid w:val="352562F3"/>
    <w:rsid w:val="3538A39F"/>
    <w:rsid w:val="3541C681"/>
    <w:rsid w:val="35440D1D"/>
    <w:rsid w:val="355DEDFF"/>
    <w:rsid w:val="355EB96D"/>
    <w:rsid w:val="356C2DBB"/>
    <w:rsid w:val="357B470E"/>
    <w:rsid w:val="35823618"/>
    <w:rsid w:val="359CB4F0"/>
    <w:rsid w:val="359E9B89"/>
    <w:rsid w:val="35A59D0E"/>
    <w:rsid w:val="35BF6C79"/>
    <w:rsid w:val="35D048B2"/>
    <w:rsid w:val="35D54F21"/>
    <w:rsid w:val="35D8D810"/>
    <w:rsid w:val="35E872CF"/>
    <w:rsid w:val="35F8F8E4"/>
    <w:rsid w:val="35FA5603"/>
    <w:rsid w:val="35FBA34F"/>
    <w:rsid w:val="360F307F"/>
    <w:rsid w:val="361AE7AC"/>
    <w:rsid w:val="3637EF1C"/>
    <w:rsid w:val="365F4176"/>
    <w:rsid w:val="3670CC2D"/>
    <w:rsid w:val="36725BE4"/>
    <w:rsid w:val="3678590E"/>
    <w:rsid w:val="368051B4"/>
    <w:rsid w:val="368B7EFB"/>
    <w:rsid w:val="369C5EEB"/>
    <w:rsid w:val="36A72AC3"/>
    <w:rsid w:val="36B0CD3A"/>
    <w:rsid w:val="36B17B34"/>
    <w:rsid w:val="36B22CFC"/>
    <w:rsid w:val="36B4F8CE"/>
    <w:rsid w:val="36CF0724"/>
    <w:rsid w:val="36CF9398"/>
    <w:rsid w:val="36F11FEB"/>
    <w:rsid w:val="36FAE92D"/>
    <w:rsid w:val="3701CF0C"/>
    <w:rsid w:val="37274F66"/>
    <w:rsid w:val="3732E8BC"/>
    <w:rsid w:val="3736A533"/>
    <w:rsid w:val="373A2AEB"/>
    <w:rsid w:val="373C3F66"/>
    <w:rsid w:val="374B1526"/>
    <w:rsid w:val="37545C50"/>
    <w:rsid w:val="3759B936"/>
    <w:rsid w:val="376B4992"/>
    <w:rsid w:val="37719E2A"/>
    <w:rsid w:val="379C3E2F"/>
    <w:rsid w:val="379CA356"/>
    <w:rsid w:val="37A57614"/>
    <w:rsid w:val="37C8BD68"/>
    <w:rsid w:val="37D3E4FF"/>
    <w:rsid w:val="37E32B9B"/>
    <w:rsid w:val="37E51A6F"/>
    <w:rsid w:val="37EC1CEF"/>
    <w:rsid w:val="37F024DB"/>
    <w:rsid w:val="37F35D78"/>
    <w:rsid w:val="37F82098"/>
    <w:rsid w:val="380036B0"/>
    <w:rsid w:val="38113D60"/>
    <w:rsid w:val="381E847C"/>
    <w:rsid w:val="3834EAAF"/>
    <w:rsid w:val="38473F91"/>
    <w:rsid w:val="386BFF67"/>
    <w:rsid w:val="3874694C"/>
    <w:rsid w:val="38823375"/>
    <w:rsid w:val="389AF5F3"/>
    <w:rsid w:val="38A0446A"/>
    <w:rsid w:val="38A6BBE3"/>
    <w:rsid w:val="38A759BE"/>
    <w:rsid w:val="38B8B08B"/>
    <w:rsid w:val="38D3AE8F"/>
    <w:rsid w:val="38E04682"/>
    <w:rsid w:val="38F9485D"/>
    <w:rsid w:val="38FEDC92"/>
    <w:rsid w:val="39063DFE"/>
    <w:rsid w:val="39163E05"/>
    <w:rsid w:val="39220595"/>
    <w:rsid w:val="392DEF49"/>
    <w:rsid w:val="392FA4DE"/>
    <w:rsid w:val="39414EF2"/>
    <w:rsid w:val="3943D8A1"/>
    <w:rsid w:val="3946CFED"/>
    <w:rsid w:val="394E73AA"/>
    <w:rsid w:val="3959ECC8"/>
    <w:rsid w:val="395C7E24"/>
    <w:rsid w:val="395E5FA0"/>
    <w:rsid w:val="399F42A7"/>
    <w:rsid w:val="39A163C5"/>
    <w:rsid w:val="39BABD34"/>
    <w:rsid w:val="39D19A04"/>
    <w:rsid w:val="39DBB7F0"/>
    <w:rsid w:val="39DDB0A3"/>
    <w:rsid w:val="39E9CE7C"/>
    <w:rsid w:val="39F6A0D3"/>
    <w:rsid w:val="3A0504A4"/>
    <w:rsid w:val="3A0510B1"/>
    <w:rsid w:val="3A1C775D"/>
    <w:rsid w:val="3A245AE8"/>
    <w:rsid w:val="3A41619D"/>
    <w:rsid w:val="3A4579A5"/>
    <w:rsid w:val="3A4CBAD4"/>
    <w:rsid w:val="3A4EB4AD"/>
    <w:rsid w:val="3A5EB772"/>
    <w:rsid w:val="3A625A5C"/>
    <w:rsid w:val="3A64A1AF"/>
    <w:rsid w:val="3A65CDC6"/>
    <w:rsid w:val="3A7C1DF8"/>
    <w:rsid w:val="3A7F18FB"/>
    <w:rsid w:val="3A8B412B"/>
    <w:rsid w:val="3A8F26DC"/>
    <w:rsid w:val="3A8F983E"/>
    <w:rsid w:val="3A9F762F"/>
    <w:rsid w:val="3ACA25D9"/>
    <w:rsid w:val="3AD8E7EC"/>
    <w:rsid w:val="3AE2A743"/>
    <w:rsid w:val="3AEBD390"/>
    <w:rsid w:val="3AF54939"/>
    <w:rsid w:val="3AFAA477"/>
    <w:rsid w:val="3B0A0DAE"/>
    <w:rsid w:val="3B0A60E7"/>
    <w:rsid w:val="3B11905B"/>
    <w:rsid w:val="3B43B449"/>
    <w:rsid w:val="3B48CCB3"/>
    <w:rsid w:val="3B5AF598"/>
    <w:rsid w:val="3B62917D"/>
    <w:rsid w:val="3B62C199"/>
    <w:rsid w:val="3B6D0550"/>
    <w:rsid w:val="3B765B84"/>
    <w:rsid w:val="3B981523"/>
    <w:rsid w:val="3B9D7BD5"/>
    <w:rsid w:val="3BA81884"/>
    <w:rsid w:val="3BB0E480"/>
    <w:rsid w:val="3BC12E5B"/>
    <w:rsid w:val="3BCA3C83"/>
    <w:rsid w:val="3BD8A4E6"/>
    <w:rsid w:val="3BE82C91"/>
    <w:rsid w:val="3BE9FD42"/>
    <w:rsid w:val="3BED44CC"/>
    <w:rsid w:val="3C18B22C"/>
    <w:rsid w:val="3C2E4B21"/>
    <w:rsid w:val="3C310AAB"/>
    <w:rsid w:val="3C3E0CC3"/>
    <w:rsid w:val="3C61E8F8"/>
    <w:rsid w:val="3C73E6DA"/>
    <w:rsid w:val="3C865924"/>
    <w:rsid w:val="3C8D32FD"/>
    <w:rsid w:val="3C935C59"/>
    <w:rsid w:val="3CA4CD76"/>
    <w:rsid w:val="3CA9D687"/>
    <w:rsid w:val="3CAFF1BD"/>
    <w:rsid w:val="3CB2FFD1"/>
    <w:rsid w:val="3CB3C31F"/>
    <w:rsid w:val="3CC940AB"/>
    <w:rsid w:val="3CD560BB"/>
    <w:rsid w:val="3CF10C06"/>
    <w:rsid w:val="3CF3EC51"/>
    <w:rsid w:val="3D00A3E7"/>
    <w:rsid w:val="3D05FC35"/>
    <w:rsid w:val="3D12E9F1"/>
    <w:rsid w:val="3D260582"/>
    <w:rsid w:val="3D2A9B79"/>
    <w:rsid w:val="3D3B0340"/>
    <w:rsid w:val="3D3CD7CB"/>
    <w:rsid w:val="3D530670"/>
    <w:rsid w:val="3D7A0A53"/>
    <w:rsid w:val="3D7D9239"/>
    <w:rsid w:val="3D8B279B"/>
    <w:rsid w:val="3DB57EBE"/>
    <w:rsid w:val="3DC1E02C"/>
    <w:rsid w:val="3DC4A939"/>
    <w:rsid w:val="3DCF54E2"/>
    <w:rsid w:val="3DD68284"/>
    <w:rsid w:val="3DD84482"/>
    <w:rsid w:val="3DFF1A63"/>
    <w:rsid w:val="3E250802"/>
    <w:rsid w:val="3E31E1D3"/>
    <w:rsid w:val="3E321BB3"/>
    <w:rsid w:val="3E3B872C"/>
    <w:rsid w:val="3E4E2C40"/>
    <w:rsid w:val="3E53ACE4"/>
    <w:rsid w:val="3E5E30A5"/>
    <w:rsid w:val="3E6A40E0"/>
    <w:rsid w:val="3E772104"/>
    <w:rsid w:val="3E812779"/>
    <w:rsid w:val="3E831EC8"/>
    <w:rsid w:val="3EAA2186"/>
    <w:rsid w:val="3EAA6AFA"/>
    <w:rsid w:val="3EAADED3"/>
    <w:rsid w:val="3EB3935F"/>
    <w:rsid w:val="3EBB4546"/>
    <w:rsid w:val="3ED2DEEA"/>
    <w:rsid w:val="3EE6E550"/>
    <w:rsid w:val="3EFA1B85"/>
    <w:rsid w:val="3EFAC2AB"/>
    <w:rsid w:val="3F00C5BE"/>
    <w:rsid w:val="3F1BF35E"/>
    <w:rsid w:val="3F21B108"/>
    <w:rsid w:val="3F2669CD"/>
    <w:rsid w:val="3F358AB5"/>
    <w:rsid w:val="3F421A6F"/>
    <w:rsid w:val="3F4A74B1"/>
    <w:rsid w:val="3F556337"/>
    <w:rsid w:val="3F55D5B4"/>
    <w:rsid w:val="3F5C1F1A"/>
    <w:rsid w:val="3F6B1613"/>
    <w:rsid w:val="3F8DB0A5"/>
    <w:rsid w:val="3F8DF3ED"/>
    <w:rsid w:val="3F8F0871"/>
    <w:rsid w:val="3F94E35E"/>
    <w:rsid w:val="3F9B27FE"/>
    <w:rsid w:val="3FA4351D"/>
    <w:rsid w:val="3FB43699"/>
    <w:rsid w:val="3FCC1130"/>
    <w:rsid w:val="3FDD5CB3"/>
    <w:rsid w:val="3FE35030"/>
    <w:rsid w:val="3FEA59F4"/>
    <w:rsid w:val="3FEE7ADC"/>
    <w:rsid w:val="4002FA32"/>
    <w:rsid w:val="4011FA37"/>
    <w:rsid w:val="4027ED3F"/>
    <w:rsid w:val="4033A5A5"/>
    <w:rsid w:val="403D5C46"/>
    <w:rsid w:val="4074356F"/>
    <w:rsid w:val="4074920A"/>
    <w:rsid w:val="4091AA57"/>
    <w:rsid w:val="40999901"/>
    <w:rsid w:val="409B2DAC"/>
    <w:rsid w:val="40A05616"/>
    <w:rsid w:val="40A0F194"/>
    <w:rsid w:val="40C4EBE1"/>
    <w:rsid w:val="40CCF535"/>
    <w:rsid w:val="40E0668B"/>
    <w:rsid w:val="41127BAD"/>
    <w:rsid w:val="41380D0E"/>
    <w:rsid w:val="4159F696"/>
    <w:rsid w:val="415A5198"/>
    <w:rsid w:val="415AC1EC"/>
    <w:rsid w:val="415DED9C"/>
    <w:rsid w:val="416EB1E0"/>
    <w:rsid w:val="418EE4DE"/>
    <w:rsid w:val="419B329C"/>
    <w:rsid w:val="41A730CF"/>
    <w:rsid w:val="41AEB07D"/>
    <w:rsid w:val="41B397D3"/>
    <w:rsid w:val="41BF90F8"/>
    <w:rsid w:val="41C67972"/>
    <w:rsid w:val="41C8445C"/>
    <w:rsid w:val="41CF2941"/>
    <w:rsid w:val="41D1E2CD"/>
    <w:rsid w:val="41D4B80C"/>
    <w:rsid w:val="41D7E8A2"/>
    <w:rsid w:val="41E0ACB8"/>
    <w:rsid w:val="421DBF7A"/>
    <w:rsid w:val="422CF8C9"/>
    <w:rsid w:val="4247F50C"/>
    <w:rsid w:val="42583B41"/>
    <w:rsid w:val="427A5A95"/>
    <w:rsid w:val="427E8A5C"/>
    <w:rsid w:val="4280A8F2"/>
    <w:rsid w:val="429168B6"/>
    <w:rsid w:val="429A7F15"/>
    <w:rsid w:val="429E1ED6"/>
    <w:rsid w:val="42A5CB15"/>
    <w:rsid w:val="42CAC97E"/>
    <w:rsid w:val="42CC7B62"/>
    <w:rsid w:val="42CEABE8"/>
    <w:rsid w:val="42D65E5D"/>
    <w:rsid w:val="42EF0923"/>
    <w:rsid w:val="42FB0C1B"/>
    <w:rsid w:val="4303F77F"/>
    <w:rsid w:val="4313F479"/>
    <w:rsid w:val="431AD1A5"/>
    <w:rsid w:val="434D810F"/>
    <w:rsid w:val="435E8475"/>
    <w:rsid w:val="4366EE07"/>
    <w:rsid w:val="43760C55"/>
    <w:rsid w:val="43795005"/>
    <w:rsid w:val="4382BE78"/>
    <w:rsid w:val="43A7E14E"/>
    <w:rsid w:val="43B2DCDF"/>
    <w:rsid w:val="43CFAC8E"/>
    <w:rsid w:val="43D25038"/>
    <w:rsid w:val="43F2466F"/>
    <w:rsid w:val="43F35182"/>
    <w:rsid w:val="4413B94C"/>
    <w:rsid w:val="441F5C49"/>
    <w:rsid w:val="4425485C"/>
    <w:rsid w:val="44524CB4"/>
    <w:rsid w:val="445251E2"/>
    <w:rsid w:val="447E6BFC"/>
    <w:rsid w:val="448316A9"/>
    <w:rsid w:val="44BC550E"/>
    <w:rsid w:val="44CEA34D"/>
    <w:rsid w:val="44F66733"/>
    <w:rsid w:val="45047A19"/>
    <w:rsid w:val="451583F0"/>
    <w:rsid w:val="4520442F"/>
    <w:rsid w:val="45287AD0"/>
    <w:rsid w:val="452C88A7"/>
    <w:rsid w:val="4531EB13"/>
    <w:rsid w:val="453B11C9"/>
    <w:rsid w:val="455222A7"/>
    <w:rsid w:val="4557C33B"/>
    <w:rsid w:val="455E932B"/>
    <w:rsid w:val="456399AD"/>
    <w:rsid w:val="457472A3"/>
    <w:rsid w:val="45A05719"/>
    <w:rsid w:val="45B7ED8D"/>
    <w:rsid w:val="45BAEE85"/>
    <w:rsid w:val="45FC373C"/>
    <w:rsid w:val="460701AB"/>
    <w:rsid w:val="46128D94"/>
    <w:rsid w:val="4617D55A"/>
    <w:rsid w:val="4638EF20"/>
    <w:rsid w:val="46437375"/>
    <w:rsid w:val="4655482D"/>
    <w:rsid w:val="4668BA4D"/>
    <w:rsid w:val="467EBE81"/>
    <w:rsid w:val="46808976"/>
    <w:rsid w:val="46B04051"/>
    <w:rsid w:val="46C7CD45"/>
    <w:rsid w:val="46EB2D52"/>
    <w:rsid w:val="46EEE72D"/>
    <w:rsid w:val="471C19BF"/>
    <w:rsid w:val="473AA156"/>
    <w:rsid w:val="47474023"/>
    <w:rsid w:val="476182B0"/>
    <w:rsid w:val="4769619B"/>
    <w:rsid w:val="476F128B"/>
    <w:rsid w:val="47884064"/>
    <w:rsid w:val="47905676"/>
    <w:rsid w:val="479B8DE1"/>
    <w:rsid w:val="47BD64F6"/>
    <w:rsid w:val="47C212F4"/>
    <w:rsid w:val="47C4AA85"/>
    <w:rsid w:val="47E6E5B6"/>
    <w:rsid w:val="47F09FCC"/>
    <w:rsid w:val="480012EF"/>
    <w:rsid w:val="4807AA2A"/>
    <w:rsid w:val="4811CCAA"/>
    <w:rsid w:val="4812F7A8"/>
    <w:rsid w:val="481C1C21"/>
    <w:rsid w:val="4820E1F2"/>
    <w:rsid w:val="4829EDB3"/>
    <w:rsid w:val="482C00C1"/>
    <w:rsid w:val="48362010"/>
    <w:rsid w:val="484C6773"/>
    <w:rsid w:val="4867E4FD"/>
    <w:rsid w:val="486E8284"/>
    <w:rsid w:val="48727948"/>
    <w:rsid w:val="487A7275"/>
    <w:rsid w:val="48818144"/>
    <w:rsid w:val="48823B45"/>
    <w:rsid w:val="488B8E22"/>
    <w:rsid w:val="488E23FA"/>
    <w:rsid w:val="4894F53E"/>
    <w:rsid w:val="48C0531D"/>
    <w:rsid w:val="48CC5420"/>
    <w:rsid w:val="48CF69E8"/>
    <w:rsid w:val="48D044C9"/>
    <w:rsid w:val="48D8EF88"/>
    <w:rsid w:val="48EFD63A"/>
    <w:rsid w:val="48F2B9AC"/>
    <w:rsid w:val="48F9D8EF"/>
    <w:rsid w:val="49003A17"/>
    <w:rsid w:val="4944BEA5"/>
    <w:rsid w:val="4957F771"/>
    <w:rsid w:val="495AA43E"/>
    <w:rsid w:val="497FA5E1"/>
    <w:rsid w:val="499D6924"/>
    <w:rsid w:val="49B1D74E"/>
    <w:rsid w:val="49BAE447"/>
    <w:rsid w:val="49D7CE1E"/>
    <w:rsid w:val="49DBCD5D"/>
    <w:rsid w:val="49EF2EAC"/>
    <w:rsid w:val="49F2A0BF"/>
    <w:rsid w:val="4A02255F"/>
    <w:rsid w:val="4A07C3D0"/>
    <w:rsid w:val="4A1CB0AD"/>
    <w:rsid w:val="4A1E4545"/>
    <w:rsid w:val="4A31F56B"/>
    <w:rsid w:val="4A3662B2"/>
    <w:rsid w:val="4A5F37A3"/>
    <w:rsid w:val="4A67EBC1"/>
    <w:rsid w:val="4A79D187"/>
    <w:rsid w:val="4A7C976C"/>
    <w:rsid w:val="4A9CE868"/>
    <w:rsid w:val="4AA6B366"/>
    <w:rsid w:val="4AC0E853"/>
    <w:rsid w:val="4ACAF486"/>
    <w:rsid w:val="4ACD2325"/>
    <w:rsid w:val="4AEF3084"/>
    <w:rsid w:val="4AFFAF74"/>
    <w:rsid w:val="4B08B568"/>
    <w:rsid w:val="4B0D6D3F"/>
    <w:rsid w:val="4B1715D7"/>
    <w:rsid w:val="4B253D80"/>
    <w:rsid w:val="4B2ACA19"/>
    <w:rsid w:val="4B3894D6"/>
    <w:rsid w:val="4B455B01"/>
    <w:rsid w:val="4B538FFA"/>
    <w:rsid w:val="4B644D85"/>
    <w:rsid w:val="4B6E263F"/>
    <w:rsid w:val="4B74C64F"/>
    <w:rsid w:val="4B9A4A9C"/>
    <w:rsid w:val="4BAFFE22"/>
    <w:rsid w:val="4BCE8409"/>
    <w:rsid w:val="4BD141FD"/>
    <w:rsid w:val="4C0D1E96"/>
    <w:rsid w:val="4C13C52A"/>
    <w:rsid w:val="4C366DAA"/>
    <w:rsid w:val="4C391C3A"/>
    <w:rsid w:val="4C3C6799"/>
    <w:rsid w:val="4C3DE978"/>
    <w:rsid w:val="4C5B8EE3"/>
    <w:rsid w:val="4C6786EC"/>
    <w:rsid w:val="4C694620"/>
    <w:rsid w:val="4C7CEA05"/>
    <w:rsid w:val="4CFB1A06"/>
    <w:rsid w:val="4D010E60"/>
    <w:rsid w:val="4D076F39"/>
    <w:rsid w:val="4D3BB758"/>
    <w:rsid w:val="4D505C88"/>
    <w:rsid w:val="4D71C1FF"/>
    <w:rsid w:val="4D849013"/>
    <w:rsid w:val="4DA2FDFE"/>
    <w:rsid w:val="4DBFAF4D"/>
    <w:rsid w:val="4DC4B75F"/>
    <w:rsid w:val="4DC54702"/>
    <w:rsid w:val="4DCC5FD1"/>
    <w:rsid w:val="4DEEF9A0"/>
    <w:rsid w:val="4DFBEBC6"/>
    <w:rsid w:val="4E027A15"/>
    <w:rsid w:val="4E17FB1C"/>
    <w:rsid w:val="4E280973"/>
    <w:rsid w:val="4E297321"/>
    <w:rsid w:val="4E29D0A0"/>
    <w:rsid w:val="4E2F8DEB"/>
    <w:rsid w:val="4E6E556F"/>
    <w:rsid w:val="4E9ED611"/>
    <w:rsid w:val="4EB74D22"/>
    <w:rsid w:val="4EC1C2A4"/>
    <w:rsid w:val="4ECEF337"/>
    <w:rsid w:val="4ED5C9F9"/>
    <w:rsid w:val="4ED74376"/>
    <w:rsid w:val="4EE4A324"/>
    <w:rsid w:val="4EEEBBBF"/>
    <w:rsid w:val="4EF1CF23"/>
    <w:rsid w:val="4F1E17A3"/>
    <w:rsid w:val="4F2E9797"/>
    <w:rsid w:val="4F32B39E"/>
    <w:rsid w:val="4F39FDBB"/>
    <w:rsid w:val="4F42877A"/>
    <w:rsid w:val="4F56C5BE"/>
    <w:rsid w:val="4F582834"/>
    <w:rsid w:val="4F6220E3"/>
    <w:rsid w:val="4F67EE5F"/>
    <w:rsid w:val="4F71604D"/>
    <w:rsid w:val="4F8A8AD4"/>
    <w:rsid w:val="4F8C273D"/>
    <w:rsid w:val="4FB93E81"/>
    <w:rsid w:val="4FCFB61F"/>
    <w:rsid w:val="4FE399B6"/>
    <w:rsid w:val="4FE5ACD9"/>
    <w:rsid w:val="4FF5C613"/>
    <w:rsid w:val="4FFB4217"/>
    <w:rsid w:val="500D3601"/>
    <w:rsid w:val="5014690F"/>
    <w:rsid w:val="502BD614"/>
    <w:rsid w:val="503D4268"/>
    <w:rsid w:val="50466693"/>
    <w:rsid w:val="50504548"/>
    <w:rsid w:val="5058F6B2"/>
    <w:rsid w:val="508652D1"/>
    <w:rsid w:val="5090F268"/>
    <w:rsid w:val="50B4C4E7"/>
    <w:rsid w:val="50CC4FEA"/>
    <w:rsid w:val="50CD5746"/>
    <w:rsid w:val="510E2167"/>
    <w:rsid w:val="5119AE6B"/>
    <w:rsid w:val="512EFCA1"/>
    <w:rsid w:val="51486157"/>
    <w:rsid w:val="515388E6"/>
    <w:rsid w:val="517FE8BB"/>
    <w:rsid w:val="5182C15F"/>
    <w:rsid w:val="51B0F436"/>
    <w:rsid w:val="51B2B65E"/>
    <w:rsid w:val="51D2E3EF"/>
    <w:rsid w:val="51D4618D"/>
    <w:rsid w:val="51DF9F5B"/>
    <w:rsid w:val="521CBDEE"/>
    <w:rsid w:val="5221886F"/>
    <w:rsid w:val="523BF54A"/>
    <w:rsid w:val="524031B2"/>
    <w:rsid w:val="52469C97"/>
    <w:rsid w:val="524A5FF5"/>
    <w:rsid w:val="524C63B9"/>
    <w:rsid w:val="524E5E37"/>
    <w:rsid w:val="525D3917"/>
    <w:rsid w:val="526432C4"/>
    <w:rsid w:val="52783D3B"/>
    <w:rsid w:val="52824DBA"/>
    <w:rsid w:val="52976CF0"/>
    <w:rsid w:val="5298EF6C"/>
    <w:rsid w:val="529FB33F"/>
    <w:rsid w:val="52B4FF0D"/>
    <w:rsid w:val="52C4F055"/>
    <w:rsid w:val="52CA5A01"/>
    <w:rsid w:val="52E598B7"/>
    <w:rsid w:val="53165C62"/>
    <w:rsid w:val="531D86E2"/>
    <w:rsid w:val="5327AE91"/>
    <w:rsid w:val="537FA74F"/>
    <w:rsid w:val="5382FF4A"/>
    <w:rsid w:val="5384F2C6"/>
    <w:rsid w:val="53908426"/>
    <w:rsid w:val="53BECA84"/>
    <w:rsid w:val="53DD7164"/>
    <w:rsid w:val="53DF116C"/>
    <w:rsid w:val="53F9A6E6"/>
    <w:rsid w:val="5422F210"/>
    <w:rsid w:val="5427A47D"/>
    <w:rsid w:val="5447D719"/>
    <w:rsid w:val="54857755"/>
    <w:rsid w:val="549CFE2F"/>
    <w:rsid w:val="54D66696"/>
    <w:rsid w:val="54D886AE"/>
    <w:rsid w:val="54DCD8A5"/>
    <w:rsid w:val="54DE4705"/>
    <w:rsid w:val="54E641AA"/>
    <w:rsid w:val="5517EC61"/>
    <w:rsid w:val="551CC85F"/>
    <w:rsid w:val="553AA549"/>
    <w:rsid w:val="553AEEAD"/>
    <w:rsid w:val="55439567"/>
    <w:rsid w:val="556C83CF"/>
    <w:rsid w:val="5578B34D"/>
    <w:rsid w:val="558E8E84"/>
    <w:rsid w:val="55911C48"/>
    <w:rsid w:val="55911E6C"/>
    <w:rsid w:val="55AB9304"/>
    <w:rsid w:val="55E455DA"/>
    <w:rsid w:val="55FDC40B"/>
    <w:rsid w:val="5608AEAD"/>
    <w:rsid w:val="564AED1C"/>
    <w:rsid w:val="56515075"/>
    <w:rsid w:val="56524E97"/>
    <w:rsid w:val="5659D9C7"/>
    <w:rsid w:val="5660E198"/>
    <w:rsid w:val="566D01A2"/>
    <w:rsid w:val="567F3238"/>
    <w:rsid w:val="56837E27"/>
    <w:rsid w:val="5692BD58"/>
    <w:rsid w:val="56ACE1E9"/>
    <w:rsid w:val="56EE2DB2"/>
    <w:rsid w:val="5701DE8A"/>
    <w:rsid w:val="57098791"/>
    <w:rsid w:val="570A086F"/>
    <w:rsid w:val="572C2AC9"/>
    <w:rsid w:val="57327065"/>
    <w:rsid w:val="5743DCAE"/>
    <w:rsid w:val="57523A5E"/>
    <w:rsid w:val="5781B4D0"/>
    <w:rsid w:val="578F37BA"/>
    <w:rsid w:val="5796030D"/>
    <w:rsid w:val="57A01655"/>
    <w:rsid w:val="57A0B131"/>
    <w:rsid w:val="57A3D4C8"/>
    <w:rsid w:val="57AE53C0"/>
    <w:rsid w:val="57BBF490"/>
    <w:rsid w:val="57C73F6E"/>
    <w:rsid w:val="57D861CC"/>
    <w:rsid w:val="57DE2A0D"/>
    <w:rsid w:val="57E93DFD"/>
    <w:rsid w:val="58099EE2"/>
    <w:rsid w:val="5809DB54"/>
    <w:rsid w:val="580D2512"/>
    <w:rsid w:val="58255EAA"/>
    <w:rsid w:val="58290377"/>
    <w:rsid w:val="5830B238"/>
    <w:rsid w:val="5837B930"/>
    <w:rsid w:val="5839A7C5"/>
    <w:rsid w:val="583B5DB5"/>
    <w:rsid w:val="583C55C5"/>
    <w:rsid w:val="5847AB98"/>
    <w:rsid w:val="58516C08"/>
    <w:rsid w:val="58552BA1"/>
    <w:rsid w:val="586FA5D1"/>
    <w:rsid w:val="587CED34"/>
    <w:rsid w:val="587DF90E"/>
    <w:rsid w:val="587F65F2"/>
    <w:rsid w:val="5883FC2E"/>
    <w:rsid w:val="58A3BC2A"/>
    <w:rsid w:val="58AB7AA9"/>
    <w:rsid w:val="58CBC021"/>
    <w:rsid w:val="58DB192F"/>
    <w:rsid w:val="5908C3E3"/>
    <w:rsid w:val="59110111"/>
    <w:rsid w:val="5937D2E4"/>
    <w:rsid w:val="5938309D"/>
    <w:rsid w:val="5947669E"/>
    <w:rsid w:val="594AFE87"/>
    <w:rsid w:val="5982CA63"/>
    <w:rsid w:val="59938586"/>
    <w:rsid w:val="599CD6E6"/>
    <w:rsid w:val="59AB666E"/>
    <w:rsid w:val="59D3FCB8"/>
    <w:rsid w:val="59E16AE4"/>
    <w:rsid w:val="59F52FAF"/>
    <w:rsid w:val="59FF32AD"/>
    <w:rsid w:val="5A08378F"/>
    <w:rsid w:val="5A1E2DD9"/>
    <w:rsid w:val="5A39FA77"/>
    <w:rsid w:val="5A3A4745"/>
    <w:rsid w:val="5A3CAEFD"/>
    <w:rsid w:val="5A44C930"/>
    <w:rsid w:val="5A55DEA5"/>
    <w:rsid w:val="5A6183DB"/>
    <w:rsid w:val="5A6C04B5"/>
    <w:rsid w:val="5A6C3EE5"/>
    <w:rsid w:val="5A78971B"/>
    <w:rsid w:val="5A87021C"/>
    <w:rsid w:val="5A89966B"/>
    <w:rsid w:val="5AA2BFDF"/>
    <w:rsid w:val="5AB64539"/>
    <w:rsid w:val="5AC5FF3B"/>
    <w:rsid w:val="5AD3649D"/>
    <w:rsid w:val="5ADE15BF"/>
    <w:rsid w:val="5AEE6776"/>
    <w:rsid w:val="5B11D2AD"/>
    <w:rsid w:val="5B151ABF"/>
    <w:rsid w:val="5B2235A3"/>
    <w:rsid w:val="5B23F6D1"/>
    <w:rsid w:val="5B419431"/>
    <w:rsid w:val="5B41B3FA"/>
    <w:rsid w:val="5B489B0C"/>
    <w:rsid w:val="5B595FF7"/>
    <w:rsid w:val="5B65ADE9"/>
    <w:rsid w:val="5B6D9C72"/>
    <w:rsid w:val="5B79A35F"/>
    <w:rsid w:val="5B7F548B"/>
    <w:rsid w:val="5B86FDA0"/>
    <w:rsid w:val="5B8EBE8B"/>
    <w:rsid w:val="5B8FF159"/>
    <w:rsid w:val="5BA14F32"/>
    <w:rsid w:val="5BA3C465"/>
    <w:rsid w:val="5BA8783E"/>
    <w:rsid w:val="5BC01B6C"/>
    <w:rsid w:val="5BD24F53"/>
    <w:rsid w:val="5BFAE5CE"/>
    <w:rsid w:val="5C022560"/>
    <w:rsid w:val="5C078920"/>
    <w:rsid w:val="5C0B6456"/>
    <w:rsid w:val="5C2E2D35"/>
    <w:rsid w:val="5C7AE80A"/>
    <w:rsid w:val="5C7F7849"/>
    <w:rsid w:val="5C803A34"/>
    <w:rsid w:val="5C8531E0"/>
    <w:rsid w:val="5C93DE41"/>
    <w:rsid w:val="5C9E91F2"/>
    <w:rsid w:val="5CA41F8C"/>
    <w:rsid w:val="5CA56418"/>
    <w:rsid w:val="5CAB268E"/>
    <w:rsid w:val="5CE3D8C5"/>
    <w:rsid w:val="5CE5755A"/>
    <w:rsid w:val="5D060910"/>
    <w:rsid w:val="5D0F4F00"/>
    <w:rsid w:val="5D3F8F89"/>
    <w:rsid w:val="5D402243"/>
    <w:rsid w:val="5D57A3ED"/>
    <w:rsid w:val="5D6FD53F"/>
    <w:rsid w:val="5D7B2F92"/>
    <w:rsid w:val="5D7F5A26"/>
    <w:rsid w:val="5D997D01"/>
    <w:rsid w:val="5DA5CD06"/>
    <w:rsid w:val="5DAE440E"/>
    <w:rsid w:val="5DBCAF50"/>
    <w:rsid w:val="5DE95A8A"/>
    <w:rsid w:val="5DE97A1B"/>
    <w:rsid w:val="5E0C8936"/>
    <w:rsid w:val="5E129D46"/>
    <w:rsid w:val="5E1CEF42"/>
    <w:rsid w:val="5E2B6A90"/>
    <w:rsid w:val="5E37E2A9"/>
    <w:rsid w:val="5E47614A"/>
    <w:rsid w:val="5E4ADD37"/>
    <w:rsid w:val="5E51873C"/>
    <w:rsid w:val="5E55A7F1"/>
    <w:rsid w:val="5E668455"/>
    <w:rsid w:val="5E7413E1"/>
    <w:rsid w:val="5E97D61F"/>
    <w:rsid w:val="5EA4AF26"/>
    <w:rsid w:val="5ED30BFA"/>
    <w:rsid w:val="5EFDAAE0"/>
    <w:rsid w:val="5F0F34C2"/>
    <w:rsid w:val="5F192849"/>
    <w:rsid w:val="5F272E42"/>
    <w:rsid w:val="5F2D5147"/>
    <w:rsid w:val="5F30854E"/>
    <w:rsid w:val="5F3134D7"/>
    <w:rsid w:val="5F4E0523"/>
    <w:rsid w:val="5F61D691"/>
    <w:rsid w:val="5F65104F"/>
    <w:rsid w:val="5F6E1A38"/>
    <w:rsid w:val="5F7515C2"/>
    <w:rsid w:val="5F8B00B5"/>
    <w:rsid w:val="5F8DFD73"/>
    <w:rsid w:val="5F905EA7"/>
    <w:rsid w:val="5F91B2B0"/>
    <w:rsid w:val="5F999F2D"/>
    <w:rsid w:val="5F9B34A3"/>
    <w:rsid w:val="5FAA86DF"/>
    <w:rsid w:val="5FCA29BB"/>
    <w:rsid w:val="5FCAB084"/>
    <w:rsid w:val="5FE0C020"/>
    <w:rsid w:val="5FEC0B50"/>
    <w:rsid w:val="5FF67A59"/>
    <w:rsid w:val="5FF6B869"/>
    <w:rsid w:val="60083460"/>
    <w:rsid w:val="6010DFDD"/>
    <w:rsid w:val="602B6406"/>
    <w:rsid w:val="60373D95"/>
    <w:rsid w:val="603FF594"/>
    <w:rsid w:val="607BD5B9"/>
    <w:rsid w:val="608C983F"/>
    <w:rsid w:val="608E35F7"/>
    <w:rsid w:val="6090A851"/>
    <w:rsid w:val="6092A28D"/>
    <w:rsid w:val="60C60BD3"/>
    <w:rsid w:val="60CD144A"/>
    <w:rsid w:val="60D29989"/>
    <w:rsid w:val="60E270B2"/>
    <w:rsid w:val="60E42789"/>
    <w:rsid w:val="60F725C2"/>
    <w:rsid w:val="60FA9049"/>
    <w:rsid w:val="61548414"/>
    <w:rsid w:val="6157FDED"/>
    <w:rsid w:val="617615A9"/>
    <w:rsid w:val="619938BA"/>
    <w:rsid w:val="61A1AD48"/>
    <w:rsid w:val="61BFB157"/>
    <w:rsid w:val="61DE683B"/>
    <w:rsid w:val="61ED8452"/>
    <w:rsid w:val="61FB540A"/>
    <w:rsid w:val="6201B1AE"/>
    <w:rsid w:val="620BAD3E"/>
    <w:rsid w:val="6215E80D"/>
    <w:rsid w:val="62220410"/>
    <w:rsid w:val="623EF55C"/>
    <w:rsid w:val="62599D2A"/>
    <w:rsid w:val="625C1EF6"/>
    <w:rsid w:val="625FAC95"/>
    <w:rsid w:val="6261562F"/>
    <w:rsid w:val="627DDB0C"/>
    <w:rsid w:val="6281BBB6"/>
    <w:rsid w:val="628A4F90"/>
    <w:rsid w:val="629743FD"/>
    <w:rsid w:val="62B15872"/>
    <w:rsid w:val="62C22A11"/>
    <w:rsid w:val="62C23761"/>
    <w:rsid w:val="62DDCFFE"/>
    <w:rsid w:val="62E88143"/>
    <w:rsid w:val="62F5DA22"/>
    <w:rsid w:val="62F676F1"/>
    <w:rsid w:val="62FC080F"/>
    <w:rsid w:val="6303DA74"/>
    <w:rsid w:val="6307EE84"/>
    <w:rsid w:val="63169041"/>
    <w:rsid w:val="6316E63C"/>
    <w:rsid w:val="633326A1"/>
    <w:rsid w:val="63419711"/>
    <w:rsid w:val="635C7FFF"/>
    <w:rsid w:val="6361B436"/>
    <w:rsid w:val="636EE5D7"/>
    <w:rsid w:val="636F394D"/>
    <w:rsid w:val="63883F7B"/>
    <w:rsid w:val="638BEC3A"/>
    <w:rsid w:val="639F23DB"/>
    <w:rsid w:val="63A2C8A6"/>
    <w:rsid w:val="63A58642"/>
    <w:rsid w:val="63BA0ECC"/>
    <w:rsid w:val="63BBECDA"/>
    <w:rsid w:val="63CB0048"/>
    <w:rsid w:val="63CF622C"/>
    <w:rsid w:val="63E63EC4"/>
    <w:rsid w:val="644A26F3"/>
    <w:rsid w:val="644D51E8"/>
    <w:rsid w:val="6498356F"/>
    <w:rsid w:val="64A11796"/>
    <w:rsid w:val="64A1EA9B"/>
    <w:rsid w:val="64AA48F6"/>
    <w:rsid w:val="64B4E3CA"/>
    <w:rsid w:val="64BCD08E"/>
    <w:rsid w:val="64C002B9"/>
    <w:rsid w:val="64C2A8A6"/>
    <w:rsid w:val="64CD2DDB"/>
    <w:rsid w:val="64D8081D"/>
    <w:rsid w:val="650D198A"/>
    <w:rsid w:val="653AED2B"/>
    <w:rsid w:val="653DD721"/>
    <w:rsid w:val="655183EB"/>
    <w:rsid w:val="657E6DA7"/>
    <w:rsid w:val="6586926D"/>
    <w:rsid w:val="65A058F9"/>
    <w:rsid w:val="65A8E697"/>
    <w:rsid w:val="65C7439C"/>
    <w:rsid w:val="65D3DE9D"/>
    <w:rsid w:val="65D40FD9"/>
    <w:rsid w:val="65D9AD8C"/>
    <w:rsid w:val="65E519D2"/>
    <w:rsid w:val="65E6D250"/>
    <w:rsid w:val="65EED7A1"/>
    <w:rsid w:val="6634EDBB"/>
    <w:rsid w:val="663736CA"/>
    <w:rsid w:val="663861AC"/>
    <w:rsid w:val="663A7D0A"/>
    <w:rsid w:val="663C991D"/>
    <w:rsid w:val="663DEB8E"/>
    <w:rsid w:val="664376BD"/>
    <w:rsid w:val="66496A2C"/>
    <w:rsid w:val="66538CA5"/>
    <w:rsid w:val="66820E9D"/>
    <w:rsid w:val="669D44F8"/>
    <w:rsid w:val="66A8FE9F"/>
    <w:rsid w:val="66C55CFF"/>
    <w:rsid w:val="66CE5240"/>
    <w:rsid w:val="66CFE3EE"/>
    <w:rsid w:val="66D85DD0"/>
    <w:rsid w:val="66DF4AA3"/>
    <w:rsid w:val="66E37424"/>
    <w:rsid w:val="66EB5EA8"/>
    <w:rsid w:val="6701805A"/>
    <w:rsid w:val="670B7A1F"/>
    <w:rsid w:val="670CB58D"/>
    <w:rsid w:val="671986FD"/>
    <w:rsid w:val="672436F1"/>
    <w:rsid w:val="673FAB8E"/>
    <w:rsid w:val="674734A8"/>
    <w:rsid w:val="67528CF4"/>
    <w:rsid w:val="67619EDC"/>
    <w:rsid w:val="67716207"/>
    <w:rsid w:val="67855561"/>
    <w:rsid w:val="67A57CBC"/>
    <w:rsid w:val="67DC0AAC"/>
    <w:rsid w:val="67DE0AA7"/>
    <w:rsid w:val="67DECAB6"/>
    <w:rsid w:val="67E03D15"/>
    <w:rsid w:val="67F10269"/>
    <w:rsid w:val="68176945"/>
    <w:rsid w:val="68179644"/>
    <w:rsid w:val="683109D4"/>
    <w:rsid w:val="6831E652"/>
    <w:rsid w:val="6834AC7E"/>
    <w:rsid w:val="684C99EE"/>
    <w:rsid w:val="685BAD14"/>
    <w:rsid w:val="685C7723"/>
    <w:rsid w:val="68818457"/>
    <w:rsid w:val="6888482A"/>
    <w:rsid w:val="6898B4C4"/>
    <w:rsid w:val="68A8AD51"/>
    <w:rsid w:val="68C98BD9"/>
    <w:rsid w:val="68E89F9D"/>
    <w:rsid w:val="692E60DB"/>
    <w:rsid w:val="69559207"/>
    <w:rsid w:val="6977538E"/>
    <w:rsid w:val="697A99F2"/>
    <w:rsid w:val="697CB00F"/>
    <w:rsid w:val="69810F4D"/>
    <w:rsid w:val="698212FC"/>
    <w:rsid w:val="69955CB7"/>
    <w:rsid w:val="699E99CA"/>
    <w:rsid w:val="69BCC3A6"/>
    <w:rsid w:val="69C45260"/>
    <w:rsid w:val="69F0D3C1"/>
    <w:rsid w:val="69F6FA00"/>
    <w:rsid w:val="69F78D8A"/>
    <w:rsid w:val="6A01026F"/>
    <w:rsid w:val="6A3424F9"/>
    <w:rsid w:val="6A47499A"/>
    <w:rsid w:val="6A49EE69"/>
    <w:rsid w:val="6A715072"/>
    <w:rsid w:val="6A78544F"/>
    <w:rsid w:val="6AA47D34"/>
    <w:rsid w:val="6AA579D1"/>
    <w:rsid w:val="6AB53B9C"/>
    <w:rsid w:val="6AD4BDF9"/>
    <w:rsid w:val="6AE18C7A"/>
    <w:rsid w:val="6AFCF020"/>
    <w:rsid w:val="6B1B87EE"/>
    <w:rsid w:val="6B1E924D"/>
    <w:rsid w:val="6B26CCA0"/>
    <w:rsid w:val="6B2EBA97"/>
    <w:rsid w:val="6B31C616"/>
    <w:rsid w:val="6B3E1629"/>
    <w:rsid w:val="6B3FF419"/>
    <w:rsid w:val="6B46E5BE"/>
    <w:rsid w:val="6B535E4D"/>
    <w:rsid w:val="6B6987F0"/>
    <w:rsid w:val="6B7E78D9"/>
    <w:rsid w:val="6BA244FB"/>
    <w:rsid w:val="6BB12E9C"/>
    <w:rsid w:val="6BBB47C9"/>
    <w:rsid w:val="6BE41F57"/>
    <w:rsid w:val="6BFB514A"/>
    <w:rsid w:val="6C2970C7"/>
    <w:rsid w:val="6C317EF2"/>
    <w:rsid w:val="6C391928"/>
    <w:rsid w:val="6C82214B"/>
    <w:rsid w:val="6C85F07B"/>
    <w:rsid w:val="6C8A1774"/>
    <w:rsid w:val="6C976F20"/>
    <w:rsid w:val="6CA507E5"/>
    <w:rsid w:val="6CB0C40D"/>
    <w:rsid w:val="6CCBD890"/>
    <w:rsid w:val="6CD727FF"/>
    <w:rsid w:val="6CE3B884"/>
    <w:rsid w:val="6CE4075B"/>
    <w:rsid w:val="6CE9BA44"/>
    <w:rsid w:val="6CF1DA06"/>
    <w:rsid w:val="6CF6E2D9"/>
    <w:rsid w:val="6CFF7D35"/>
    <w:rsid w:val="6D4A5344"/>
    <w:rsid w:val="6D508139"/>
    <w:rsid w:val="6D6029BD"/>
    <w:rsid w:val="6D64DD71"/>
    <w:rsid w:val="6D74CAFB"/>
    <w:rsid w:val="6D7B0BC2"/>
    <w:rsid w:val="6DB87A9F"/>
    <w:rsid w:val="6DD92558"/>
    <w:rsid w:val="6DE42045"/>
    <w:rsid w:val="6DF92E20"/>
    <w:rsid w:val="6E121011"/>
    <w:rsid w:val="6E13E748"/>
    <w:rsid w:val="6E31CFA8"/>
    <w:rsid w:val="6E3AB948"/>
    <w:rsid w:val="6E3ACD2D"/>
    <w:rsid w:val="6E653FC9"/>
    <w:rsid w:val="6E6CD543"/>
    <w:rsid w:val="6E6D8BD4"/>
    <w:rsid w:val="6E764C40"/>
    <w:rsid w:val="6E80B1C6"/>
    <w:rsid w:val="6EB12F50"/>
    <w:rsid w:val="6ED31353"/>
    <w:rsid w:val="6EDB9FFA"/>
    <w:rsid w:val="6EE65250"/>
    <w:rsid w:val="6EE7EB5F"/>
    <w:rsid w:val="6EE83632"/>
    <w:rsid w:val="6EF7F257"/>
    <w:rsid w:val="6F067AE9"/>
    <w:rsid w:val="6F0E452D"/>
    <w:rsid w:val="6F296147"/>
    <w:rsid w:val="6F31F32A"/>
    <w:rsid w:val="6F3BEC55"/>
    <w:rsid w:val="6F40B95E"/>
    <w:rsid w:val="6F57F450"/>
    <w:rsid w:val="6F5C13A4"/>
    <w:rsid w:val="6F65BD2F"/>
    <w:rsid w:val="6F665970"/>
    <w:rsid w:val="6F925D47"/>
    <w:rsid w:val="6FA3D345"/>
    <w:rsid w:val="6FA8D595"/>
    <w:rsid w:val="6FFD2809"/>
    <w:rsid w:val="7006CD31"/>
    <w:rsid w:val="7008D183"/>
    <w:rsid w:val="700A0877"/>
    <w:rsid w:val="701217CC"/>
    <w:rsid w:val="701BFE04"/>
    <w:rsid w:val="704537E1"/>
    <w:rsid w:val="705DB2F6"/>
    <w:rsid w:val="7082DC95"/>
    <w:rsid w:val="708FE24B"/>
    <w:rsid w:val="7099BE3E"/>
    <w:rsid w:val="709ADD1A"/>
    <w:rsid w:val="70A060A6"/>
    <w:rsid w:val="70A0A628"/>
    <w:rsid w:val="70A5DBBC"/>
    <w:rsid w:val="70B99924"/>
    <w:rsid w:val="70D74554"/>
    <w:rsid w:val="70E3BAC3"/>
    <w:rsid w:val="70EA87A4"/>
    <w:rsid w:val="70EB9FF9"/>
    <w:rsid w:val="7112DD50"/>
    <w:rsid w:val="711FB0DB"/>
    <w:rsid w:val="712FD01D"/>
    <w:rsid w:val="713DC49B"/>
    <w:rsid w:val="713FF4FA"/>
    <w:rsid w:val="71428675"/>
    <w:rsid w:val="714769EF"/>
    <w:rsid w:val="7148FCBD"/>
    <w:rsid w:val="714937B2"/>
    <w:rsid w:val="716F08DB"/>
    <w:rsid w:val="7176C5F9"/>
    <w:rsid w:val="7180A580"/>
    <w:rsid w:val="718798B3"/>
    <w:rsid w:val="718AD3FB"/>
    <w:rsid w:val="7193E8CB"/>
    <w:rsid w:val="71B7A24D"/>
    <w:rsid w:val="71BD901E"/>
    <w:rsid w:val="71D1846D"/>
    <w:rsid w:val="71F33959"/>
    <w:rsid w:val="7205996B"/>
    <w:rsid w:val="721BCB89"/>
    <w:rsid w:val="722FB72C"/>
    <w:rsid w:val="7235D6A7"/>
    <w:rsid w:val="723D6C46"/>
    <w:rsid w:val="7246D479"/>
    <w:rsid w:val="724F4642"/>
    <w:rsid w:val="72526A58"/>
    <w:rsid w:val="72588794"/>
    <w:rsid w:val="72639246"/>
    <w:rsid w:val="726D3807"/>
    <w:rsid w:val="726FD82A"/>
    <w:rsid w:val="7271CABC"/>
    <w:rsid w:val="727DA8BE"/>
    <w:rsid w:val="7280EC3C"/>
    <w:rsid w:val="72858AD3"/>
    <w:rsid w:val="728EE645"/>
    <w:rsid w:val="7293F5EF"/>
    <w:rsid w:val="7295F59C"/>
    <w:rsid w:val="72B17F14"/>
    <w:rsid w:val="72B31ABE"/>
    <w:rsid w:val="72B4D9FA"/>
    <w:rsid w:val="72C9F4C3"/>
    <w:rsid w:val="72E3FAEB"/>
    <w:rsid w:val="72E6DB68"/>
    <w:rsid w:val="72E92B4B"/>
    <w:rsid w:val="72EF901A"/>
    <w:rsid w:val="72FC237B"/>
    <w:rsid w:val="7312D965"/>
    <w:rsid w:val="7319894A"/>
    <w:rsid w:val="735442FF"/>
    <w:rsid w:val="73697A98"/>
    <w:rsid w:val="736FBA8A"/>
    <w:rsid w:val="73779F84"/>
    <w:rsid w:val="737D0D05"/>
    <w:rsid w:val="73976F27"/>
    <w:rsid w:val="739928A2"/>
    <w:rsid w:val="739ABB4F"/>
    <w:rsid w:val="73A9EDB1"/>
    <w:rsid w:val="73C16D1D"/>
    <w:rsid w:val="73C42E54"/>
    <w:rsid w:val="73C6E4AD"/>
    <w:rsid w:val="73D12382"/>
    <w:rsid w:val="73E9ABCC"/>
    <w:rsid w:val="73F0F1AC"/>
    <w:rsid w:val="73F5FB41"/>
    <w:rsid w:val="73F6D298"/>
    <w:rsid w:val="74075086"/>
    <w:rsid w:val="74089055"/>
    <w:rsid w:val="741A9DFC"/>
    <w:rsid w:val="744F823F"/>
    <w:rsid w:val="74556633"/>
    <w:rsid w:val="746CBC8B"/>
    <w:rsid w:val="747594D4"/>
    <w:rsid w:val="7475AEF9"/>
    <w:rsid w:val="747DA318"/>
    <w:rsid w:val="74BFB343"/>
    <w:rsid w:val="74CBB5FB"/>
    <w:rsid w:val="74D69C2A"/>
    <w:rsid w:val="74E4EDD5"/>
    <w:rsid w:val="74FFF484"/>
    <w:rsid w:val="7500272E"/>
    <w:rsid w:val="7501A112"/>
    <w:rsid w:val="751122DA"/>
    <w:rsid w:val="75128602"/>
    <w:rsid w:val="7514F9AA"/>
    <w:rsid w:val="751D2AE5"/>
    <w:rsid w:val="751DADBA"/>
    <w:rsid w:val="75369331"/>
    <w:rsid w:val="7552CA36"/>
    <w:rsid w:val="755879B4"/>
    <w:rsid w:val="756473ED"/>
    <w:rsid w:val="756A6931"/>
    <w:rsid w:val="7578A39B"/>
    <w:rsid w:val="758AFDB8"/>
    <w:rsid w:val="758DECEF"/>
    <w:rsid w:val="75A25808"/>
    <w:rsid w:val="75B261F5"/>
    <w:rsid w:val="75E40E0E"/>
    <w:rsid w:val="75F082BB"/>
    <w:rsid w:val="760BB21F"/>
    <w:rsid w:val="7613F25C"/>
    <w:rsid w:val="7622A839"/>
    <w:rsid w:val="7632743E"/>
    <w:rsid w:val="76343517"/>
    <w:rsid w:val="7663D2CE"/>
    <w:rsid w:val="7677F3CD"/>
    <w:rsid w:val="768DF2C0"/>
    <w:rsid w:val="76926174"/>
    <w:rsid w:val="7692CD1E"/>
    <w:rsid w:val="769BCD38"/>
    <w:rsid w:val="76CC4FCB"/>
    <w:rsid w:val="76D9644A"/>
    <w:rsid w:val="76E10A12"/>
    <w:rsid w:val="76F93E5C"/>
    <w:rsid w:val="7723D430"/>
    <w:rsid w:val="772841A5"/>
    <w:rsid w:val="772B4E6B"/>
    <w:rsid w:val="773BE470"/>
    <w:rsid w:val="777C23E0"/>
    <w:rsid w:val="778EFCEA"/>
    <w:rsid w:val="7798FD40"/>
    <w:rsid w:val="779F1C21"/>
    <w:rsid w:val="77A8B9BB"/>
    <w:rsid w:val="77CAFD25"/>
    <w:rsid w:val="77CD6955"/>
    <w:rsid w:val="77E99BD8"/>
    <w:rsid w:val="77F79CA9"/>
    <w:rsid w:val="7810E519"/>
    <w:rsid w:val="783483E3"/>
    <w:rsid w:val="7848C402"/>
    <w:rsid w:val="784CE382"/>
    <w:rsid w:val="785601FF"/>
    <w:rsid w:val="787717DA"/>
    <w:rsid w:val="7888F329"/>
    <w:rsid w:val="789B32D0"/>
    <w:rsid w:val="789D34FD"/>
    <w:rsid w:val="78B3CF99"/>
    <w:rsid w:val="78C8A73F"/>
    <w:rsid w:val="78CBCE46"/>
    <w:rsid w:val="78ED31F1"/>
    <w:rsid w:val="794D677B"/>
    <w:rsid w:val="79522E10"/>
    <w:rsid w:val="795D388C"/>
    <w:rsid w:val="795DA974"/>
    <w:rsid w:val="7961BD79"/>
    <w:rsid w:val="79667141"/>
    <w:rsid w:val="79929308"/>
    <w:rsid w:val="79AFDF53"/>
    <w:rsid w:val="79B87794"/>
    <w:rsid w:val="79BC9B38"/>
    <w:rsid w:val="79BF4D96"/>
    <w:rsid w:val="79C04909"/>
    <w:rsid w:val="79C84AE7"/>
    <w:rsid w:val="79DC3C6E"/>
    <w:rsid w:val="79E2A6A8"/>
    <w:rsid w:val="79E71F33"/>
    <w:rsid w:val="79FC664E"/>
    <w:rsid w:val="7A138313"/>
    <w:rsid w:val="7A1C374A"/>
    <w:rsid w:val="7A1FFA67"/>
    <w:rsid w:val="7A293F54"/>
    <w:rsid w:val="7A2CFB34"/>
    <w:rsid w:val="7A339A46"/>
    <w:rsid w:val="7A3EDAE2"/>
    <w:rsid w:val="7A4CEFCE"/>
    <w:rsid w:val="7A5FFC67"/>
    <w:rsid w:val="7A625390"/>
    <w:rsid w:val="7A6A37E2"/>
    <w:rsid w:val="7A6F52F3"/>
    <w:rsid w:val="7A89C6A5"/>
    <w:rsid w:val="7A968B74"/>
    <w:rsid w:val="7AA1F8C2"/>
    <w:rsid w:val="7AC5E095"/>
    <w:rsid w:val="7AC926A3"/>
    <w:rsid w:val="7ACE3A85"/>
    <w:rsid w:val="7AF4BCB4"/>
    <w:rsid w:val="7AF67CE7"/>
    <w:rsid w:val="7AFC192C"/>
    <w:rsid w:val="7B10E11E"/>
    <w:rsid w:val="7B3FB08D"/>
    <w:rsid w:val="7B514B71"/>
    <w:rsid w:val="7B649001"/>
    <w:rsid w:val="7B7583E7"/>
    <w:rsid w:val="7B85B3DC"/>
    <w:rsid w:val="7B88501D"/>
    <w:rsid w:val="7BA26233"/>
    <w:rsid w:val="7BAA1CFE"/>
    <w:rsid w:val="7BB242E3"/>
    <w:rsid w:val="7BBEA2D1"/>
    <w:rsid w:val="7BC628BD"/>
    <w:rsid w:val="7BC7D722"/>
    <w:rsid w:val="7BF39BF7"/>
    <w:rsid w:val="7BFCCB94"/>
    <w:rsid w:val="7C022111"/>
    <w:rsid w:val="7C0B0119"/>
    <w:rsid w:val="7C30E6A9"/>
    <w:rsid w:val="7C337808"/>
    <w:rsid w:val="7C35D978"/>
    <w:rsid w:val="7C7F244C"/>
    <w:rsid w:val="7C9193AD"/>
    <w:rsid w:val="7C9F665C"/>
    <w:rsid w:val="7CBA04CF"/>
    <w:rsid w:val="7CBEDC5A"/>
    <w:rsid w:val="7CC5DFB3"/>
    <w:rsid w:val="7CC8FD9E"/>
    <w:rsid w:val="7CCDF21E"/>
    <w:rsid w:val="7CD02A2B"/>
    <w:rsid w:val="7CD123B0"/>
    <w:rsid w:val="7CEE1252"/>
    <w:rsid w:val="7CEE1DC6"/>
    <w:rsid w:val="7CF8D24C"/>
    <w:rsid w:val="7D10D7A9"/>
    <w:rsid w:val="7D3C5FF0"/>
    <w:rsid w:val="7D40939D"/>
    <w:rsid w:val="7D444243"/>
    <w:rsid w:val="7D454C16"/>
    <w:rsid w:val="7D503AA7"/>
    <w:rsid w:val="7D56FB1C"/>
    <w:rsid w:val="7D6B0DEC"/>
    <w:rsid w:val="7D71A9A8"/>
    <w:rsid w:val="7D7B6163"/>
    <w:rsid w:val="7D7F58EF"/>
    <w:rsid w:val="7D822C31"/>
    <w:rsid w:val="7D957D6A"/>
    <w:rsid w:val="7DABB3A4"/>
    <w:rsid w:val="7DCFBFBE"/>
    <w:rsid w:val="7DDD71D6"/>
    <w:rsid w:val="7E036413"/>
    <w:rsid w:val="7E1C6A29"/>
    <w:rsid w:val="7E25F397"/>
    <w:rsid w:val="7E2C0114"/>
    <w:rsid w:val="7E4A9156"/>
    <w:rsid w:val="7E4B3509"/>
    <w:rsid w:val="7E4CED9F"/>
    <w:rsid w:val="7E878993"/>
    <w:rsid w:val="7E9808AB"/>
    <w:rsid w:val="7E9B326B"/>
    <w:rsid w:val="7EC90E84"/>
    <w:rsid w:val="7F0DCDFF"/>
    <w:rsid w:val="7F126B85"/>
    <w:rsid w:val="7F19F58D"/>
    <w:rsid w:val="7F2FF248"/>
    <w:rsid w:val="7F413ECB"/>
    <w:rsid w:val="7F4CA9E5"/>
    <w:rsid w:val="7F4F2047"/>
    <w:rsid w:val="7F4FCDBF"/>
    <w:rsid w:val="7F54902E"/>
    <w:rsid w:val="7F593EEE"/>
    <w:rsid w:val="7F84DE8E"/>
    <w:rsid w:val="7FA423D2"/>
    <w:rsid w:val="7FAA0DBC"/>
    <w:rsid w:val="7FAB748B"/>
    <w:rsid w:val="7FCEB630"/>
    <w:rsid w:val="7FD0666B"/>
    <w:rsid w:val="7FD3BE05"/>
    <w:rsid w:val="7FE056CF"/>
    <w:rsid w:val="7FE40DBE"/>
    <w:rsid w:val="7FEA2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65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rPr>
  </w:style>
  <w:style w:type="paragraph" w:styleId="Heading2">
    <w:name w:val="heading 2"/>
    <w:link w:val="Heading2Char"/>
    <w:uiPriority w:val="9"/>
    <w:unhideWhenUsed/>
    <w:qFormat/>
    <w:pPr>
      <w:outlineLvl w:val="1"/>
    </w:pPr>
    <w:rPr>
      <w:b/>
      <w:bCs/>
      <w:color w:val="000000"/>
    </w:rPr>
  </w:style>
  <w:style w:type="paragraph" w:styleId="Heading3">
    <w:name w:val="heading 3"/>
    <w:uiPriority w:val="9"/>
    <w:unhideWhenUsed/>
    <w:qFormat/>
    <w:pPr>
      <w:outlineLvl w:val="2"/>
    </w:pPr>
    <w:rPr>
      <w:b/>
      <w:bCs/>
      <w:color w:val="000000"/>
    </w:rPr>
  </w:style>
  <w:style w:type="paragraph" w:styleId="Heading4">
    <w:name w:val="heading 4"/>
    <w:uiPriority w:val="9"/>
    <w:semiHidden/>
    <w:unhideWhenUsed/>
    <w:qFormat/>
    <w:pPr>
      <w:outlineLvl w:val="3"/>
    </w:pPr>
    <w:rPr>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2Char">
    <w:name w:val="Heading 2 Char"/>
    <w:basedOn w:val="DefaultParagraphFont"/>
    <w:link w:val="Heading2"/>
    <w:uiPriority w:val="9"/>
    <w:rsid w:val="00262A22"/>
    <w:rPr>
      <w:b/>
      <w:bCs/>
      <w:color w:val="000000"/>
    </w:rPr>
  </w:style>
  <w:style w:type="character" w:styleId="UnresolvedMention">
    <w:name w:val="Unresolved Mention"/>
    <w:basedOn w:val="DefaultParagraphFont"/>
    <w:uiPriority w:val="99"/>
    <w:semiHidden/>
    <w:unhideWhenUsed/>
    <w:rsid w:val="00B8539C"/>
    <w:rPr>
      <w:color w:val="605E5C"/>
      <w:shd w:val="clear" w:color="auto" w:fill="E1DFDD"/>
    </w:rPr>
  </w:style>
  <w:style w:type="character" w:styleId="Emphasis">
    <w:name w:val="Emphasis"/>
    <w:basedOn w:val="DefaultParagraphFont"/>
    <w:uiPriority w:val="20"/>
    <w:qFormat/>
    <w:rsid w:val="00C6015E"/>
    <w:rPr>
      <w:i/>
      <w:iCs/>
    </w:rPr>
  </w:style>
  <w:style w:type="paragraph" w:styleId="Header">
    <w:name w:val="header"/>
    <w:basedOn w:val="Normal"/>
    <w:link w:val="HeaderChar"/>
    <w:uiPriority w:val="99"/>
    <w:unhideWhenUsed/>
    <w:rsid w:val="00631F69"/>
    <w:pPr>
      <w:tabs>
        <w:tab w:val="center" w:pos="4680"/>
        <w:tab w:val="right" w:pos="9360"/>
      </w:tabs>
    </w:pPr>
  </w:style>
  <w:style w:type="character" w:customStyle="1" w:styleId="HeaderChar">
    <w:name w:val="Header Char"/>
    <w:basedOn w:val="DefaultParagraphFont"/>
    <w:link w:val="Header"/>
    <w:uiPriority w:val="99"/>
    <w:rsid w:val="00631F69"/>
  </w:style>
  <w:style w:type="paragraph" w:styleId="Footer">
    <w:name w:val="footer"/>
    <w:basedOn w:val="Normal"/>
    <w:link w:val="FooterChar"/>
    <w:uiPriority w:val="99"/>
    <w:unhideWhenUsed/>
    <w:rsid w:val="00631F69"/>
    <w:pPr>
      <w:tabs>
        <w:tab w:val="center" w:pos="4680"/>
        <w:tab w:val="right" w:pos="9360"/>
      </w:tabs>
    </w:pPr>
  </w:style>
  <w:style w:type="character" w:customStyle="1" w:styleId="FooterChar">
    <w:name w:val="Footer Char"/>
    <w:basedOn w:val="DefaultParagraphFont"/>
    <w:link w:val="Footer"/>
    <w:uiPriority w:val="99"/>
    <w:rsid w:val="00631F69"/>
  </w:style>
  <w:style w:type="character" w:customStyle="1" w:styleId="coconcept37">
    <w:name w:val="co_concept_3_7"/>
    <w:basedOn w:val="DefaultParagraphFont"/>
    <w:rsid w:val="00D3365E"/>
  </w:style>
  <w:style w:type="character" w:styleId="CommentReference">
    <w:name w:val="annotation reference"/>
    <w:basedOn w:val="DefaultParagraphFont"/>
    <w:uiPriority w:val="99"/>
    <w:semiHidden/>
    <w:unhideWhenUsed/>
    <w:rsid w:val="008625CA"/>
    <w:rPr>
      <w:sz w:val="16"/>
      <w:szCs w:val="16"/>
    </w:rPr>
  </w:style>
  <w:style w:type="paragraph" w:styleId="CommentText">
    <w:name w:val="annotation text"/>
    <w:basedOn w:val="Normal"/>
    <w:link w:val="CommentTextChar"/>
    <w:uiPriority w:val="99"/>
    <w:unhideWhenUsed/>
    <w:rsid w:val="008625CA"/>
    <w:rPr>
      <w:sz w:val="20"/>
      <w:szCs w:val="20"/>
    </w:rPr>
  </w:style>
  <w:style w:type="character" w:customStyle="1" w:styleId="CommentTextChar">
    <w:name w:val="Comment Text Char"/>
    <w:basedOn w:val="DefaultParagraphFont"/>
    <w:link w:val="CommentText"/>
    <w:uiPriority w:val="99"/>
    <w:rsid w:val="008625CA"/>
    <w:rPr>
      <w:sz w:val="20"/>
      <w:szCs w:val="20"/>
    </w:rPr>
  </w:style>
  <w:style w:type="paragraph" w:styleId="CommentSubject">
    <w:name w:val="annotation subject"/>
    <w:basedOn w:val="CommentText"/>
    <w:next w:val="CommentText"/>
    <w:link w:val="CommentSubjectChar"/>
    <w:uiPriority w:val="99"/>
    <w:semiHidden/>
    <w:unhideWhenUsed/>
    <w:rsid w:val="008625CA"/>
    <w:rPr>
      <w:b/>
      <w:bCs/>
    </w:rPr>
  </w:style>
  <w:style w:type="character" w:customStyle="1" w:styleId="CommentSubjectChar">
    <w:name w:val="Comment Subject Char"/>
    <w:basedOn w:val="CommentTextChar"/>
    <w:link w:val="CommentSubject"/>
    <w:uiPriority w:val="99"/>
    <w:semiHidden/>
    <w:rsid w:val="008625CA"/>
    <w:rPr>
      <w:b/>
      <w:bCs/>
      <w:sz w:val="20"/>
      <w:szCs w:val="20"/>
    </w:rPr>
  </w:style>
  <w:style w:type="paragraph" w:styleId="TOCHeading">
    <w:name w:val="TOC Heading"/>
    <w:basedOn w:val="Heading1"/>
    <w:next w:val="Normal"/>
    <w:uiPriority w:val="39"/>
    <w:unhideWhenUsed/>
    <w:qFormat/>
    <w:rsid w:val="009B4532"/>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2D29B7"/>
    <w:pPr>
      <w:tabs>
        <w:tab w:val="left" w:pos="360"/>
        <w:tab w:val="left" w:pos="480"/>
        <w:tab w:val="right" w:leader="dot" w:pos="9350"/>
      </w:tabs>
      <w:spacing w:before="240" w:after="100"/>
      <w:ind w:left="410" w:hanging="410"/>
      <w:jc w:val="both"/>
    </w:pPr>
  </w:style>
  <w:style w:type="paragraph" w:styleId="TOC2">
    <w:name w:val="toc 2"/>
    <w:basedOn w:val="Normal"/>
    <w:next w:val="Normal"/>
    <w:autoRedefine/>
    <w:uiPriority w:val="39"/>
    <w:unhideWhenUsed/>
    <w:rsid w:val="006636EC"/>
    <w:pPr>
      <w:tabs>
        <w:tab w:val="left" w:pos="810"/>
        <w:tab w:val="left" w:pos="1200"/>
        <w:tab w:val="left" w:pos="1350"/>
        <w:tab w:val="right" w:leader="dot" w:pos="9350"/>
      </w:tabs>
      <w:spacing w:before="240" w:after="100"/>
      <w:ind w:left="810" w:hanging="450"/>
    </w:pPr>
    <w:rPr>
      <w:noProof/>
    </w:rPr>
  </w:style>
  <w:style w:type="paragraph" w:styleId="TOC3">
    <w:name w:val="toc 3"/>
    <w:basedOn w:val="Normal"/>
    <w:next w:val="Normal"/>
    <w:autoRedefine/>
    <w:uiPriority w:val="39"/>
    <w:unhideWhenUsed/>
    <w:rsid w:val="006636EC"/>
    <w:pPr>
      <w:tabs>
        <w:tab w:val="left" w:pos="900"/>
        <w:tab w:val="left" w:pos="990"/>
        <w:tab w:val="left" w:pos="1080"/>
        <w:tab w:val="left" w:pos="1170"/>
        <w:tab w:val="left" w:pos="1350"/>
        <w:tab w:val="left" w:pos="1440"/>
        <w:tab w:val="right" w:leader="dot" w:pos="9350"/>
      </w:tabs>
      <w:spacing w:before="240" w:after="100"/>
      <w:ind w:left="1350" w:hanging="660"/>
    </w:pPr>
  </w:style>
  <w:style w:type="paragraph" w:styleId="NoSpacing">
    <w:name w:val="No Spacing"/>
    <w:link w:val="NoSpacingChar"/>
    <w:uiPriority w:val="1"/>
    <w:qFormat/>
    <w:rsid w:val="00E20FBD"/>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E20FBD"/>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3A369C75-F458-4DBD-BC02-E7EBB3A373D3}"/>
</file>

<file path=customXml/itemProps2.xml><?xml version="1.0" encoding="utf-8"?>
<ds:datastoreItem xmlns:ds="http://schemas.openxmlformats.org/officeDocument/2006/customXml" ds:itemID="{C49884F9-F856-42BD-8B0D-ABC0986965BF}"/>
</file>

<file path=customXml/itemProps3.xml><?xml version="1.0" encoding="utf-8"?>
<ds:datastoreItem xmlns:ds="http://schemas.openxmlformats.org/officeDocument/2006/customXml" ds:itemID="{60DC4521-AF42-414D-82B6-3D5899990E65}"/>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25</Pages>
  <Words>5555</Words>
  <Characters>31669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2026-09-09T00:42:00Z</dcterms:created>
  <dcterms:modified xsi:type="dcterms:W3CDTF">2026-09-09T00:42:00Z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