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0396E" w14:textId="0F7CACDA" w:rsidR="00D40DC7" w:rsidRPr="00814D15" w:rsidRDefault="00FB4767" w:rsidP="002B7634">
      <w:pPr>
        <w:pBdr>
          <w:bottom w:val="thinThickThinMediumGap" w:sz="18" w:space="1" w:color="auto"/>
        </w:pBdr>
        <w:jc w:val="right"/>
        <w:rPr>
          <w:rFonts w:eastAsia="Times New Roman" w:cs="Times New Roman"/>
          <w:bCs/>
          <w:kern w:val="0"/>
          <w:sz w:val="26"/>
          <w:szCs w:val="26"/>
          <w14:ligatures w14:val="none"/>
        </w:rPr>
      </w:pPr>
      <w:bookmarkStart w:id="0" w:name="dabmch_2"/>
      <w:r w:rsidRPr="00814D15">
        <w:rPr>
          <w:rFonts w:eastAsia="Times New Roman" w:cs="Times New Roman"/>
          <w:bCs/>
          <w:kern w:val="0"/>
          <w:sz w:val="26"/>
          <w:szCs w:val="26"/>
          <w14:ligatures w14:val="none"/>
        </w:rPr>
        <w:t xml:space="preserve">Team </w:t>
      </w:r>
      <w:r w:rsidR="00B1653C">
        <w:rPr>
          <w:rFonts w:eastAsia="Times New Roman" w:cs="Times New Roman"/>
          <w:bCs/>
          <w:kern w:val="0"/>
          <w:sz w:val="26"/>
          <w:szCs w:val="26"/>
          <w14:ligatures w14:val="none"/>
        </w:rPr>
        <w:t>313</w:t>
      </w:r>
    </w:p>
    <w:p w14:paraId="2092B464" w14:textId="77777777" w:rsidR="00D40DC7" w:rsidRPr="00814D15" w:rsidRDefault="00D40DC7" w:rsidP="002B7634">
      <w:pPr>
        <w:pBdr>
          <w:bottom w:val="thinThickThinMediumGap" w:sz="18" w:space="1" w:color="auto"/>
        </w:pBdr>
        <w:rPr>
          <w:rFonts w:eastAsia="Times New Roman" w:cs="Times New Roman"/>
          <w:b/>
          <w:kern w:val="0"/>
          <w:sz w:val="26"/>
          <w:szCs w:val="26"/>
          <w14:ligatures w14:val="none"/>
        </w:rPr>
      </w:pPr>
    </w:p>
    <w:p w14:paraId="6C08545E" w14:textId="371F1DEC" w:rsidR="00D93356" w:rsidRPr="00814D15" w:rsidRDefault="00BD20C1" w:rsidP="002B7634">
      <w:pPr>
        <w:pBdr>
          <w:bottom w:val="thinThickThinMediumGap" w:sz="18" w:space="1" w:color="auto"/>
        </w:pBdr>
        <w:jc w:val="center"/>
        <w:rPr>
          <w:rFonts w:eastAsia="Times New Roman" w:cs="Times New Roman"/>
          <w:b/>
          <w:kern w:val="0"/>
          <w:sz w:val="26"/>
          <w:szCs w:val="26"/>
          <w14:ligatures w14:val="none"/>
        </w:rPr>
      </w:pPr>
      <w:r w:rsidRPr="00814D15">
        <w:rPr>
          <w:rFonts w:eastAsia="Times New Roman" w:cs="Times New Roman"/>
          <w:b/>
          <w:kern w:val="0"/>
          <w:sz w:val="26"/>
          <w:szCs w:val="26"/>
          <w14:ligatures w14:val="none"/>
        </w:rPr>
        <w:t xml:space="preserve">Case </w:t>
      </w:r>
      <w:r w:rsidR="00D93356" w:rsidRPr="00814D15">
        <w:rPr>
          <w:rFonts w:eastAsia="Times New Roman" w:cs="Times New Roman"/>
          <w:b/>
          <w:kern w:val="0"/>
          <w:sz w:val="26"/>
          <w:szCs w:val="26"/>
          <w14:ligatures w14:val="none"/>
        </w:rPr>
        <w:t xml:space="preserve">No. </w:t>
      </w:r>
      <w:r w:rsidRPr="00814D15">
        <w:rPr>
          <w:rFonts w:eastAsia="Times New Roman" w:cs="Times New Roman"/>
          <w:b/>
          <w:kern w:val="0"/>
          <w:sz w:val="26"/>
          <w:szCs w:val="26"/>
          <w14:ligatures w14:val="none"/>
        </w:rPr>
        <w:t>2025</w:t>
      </w:r>
      <w:r w:rsidR="00D93356" w:rsidRPr="00814D15">
        <w:rPr>
          <w:rFonts w:eastAsia="Times New Roman" w:cs="Times New Roman"/>
          <w:b/>
          <w:kern w:val="0"/>
          <w:sz w:val="26"/>
          <w:szCs w:val="26"/>
          <w14:ligatures w14:val="none"/>
        </w:rPr>
        <w:t>-</w:t>
      </w:r>
      <w:r w:rsidRPr="00814D15">
        <w:rPr>
          <w:rFonts w:eastAsia="Times New Roman" w:cs="Times New Roman"/>
          <w:b/>
          <w:kern w:val="0"/>
          <w:sz w:val="26"/>
          <w:szCs w:val="26"/>
          <w14:ligatures w14:val="none"/>
        </w:rPr>
        <w:t>CF</w:t>
      </w:r>
      <w:r w:rsidR="00D93356" w:rsidRPr="00814D15">
        <w:rPr>
          <w:rFonts w:eastAsia="Times New Roman" w:cs="Times New Roman"/>
          <w:b/>
          <w:kern w:val="0"/>
          <w:sz w:val="26"/>
          <w:szCs w:val="26"/>
          <w14:ligatures w14:val="none"/>
        </w:rPr>
        <w:t>-</w:t>
      </w:r>
      <w:bookmarkEnd w:id="0"/>
      <w:r w:rsidRPr="00814D15">
        <w:rPr>
          <w:rFonts w:eastAsia="Times New Roman" w:cs="Times New Roman"/>
          <w:b/>
          <w:kern w:val="0"/>
          <w:sz w:val="26"/>
          <w:szCs w:val="26"/>
          <w14:ligatures w14:val="none"/>
        </w:rPr>
        <w:t>00417</w:t>
      </w:r>
    </w:p>
    <w:p w14:paraId="16997E2E" w14:textId="77777777" w:rsidR="00D93356" w:rsidRPr="00814D15" w:rsidRDefault="00D93356" w:rsidP="002B7634">
      <w:pPr>
        <w:spacing w:line="240" w:lineRule="auto"/>
        <w:jc w:val="center"/>
        <w:rPr>
          <w:rFonts w:eastAsia="Times New Roman" w:cs="Times New Roman"/>
          <w:b/>
          <w:kern w:val="0"/>
          <w:sz w:val="26"/>
          <w:szCs w:val="26"/>
          <w14:ligatures w14:val="none"/>
        </w:rPr>
      </w:pPr>
    </w:p>
    <w:p w14:paraId="198A7112" w14:textId="77777777" w:rsidR="00D93356" w:rsidRPr="00814D15" w:rsidRDefault="00D93356" w:rsidP="002B7634">
      <w:pPr>
        <w:spacing w:line="240" w:lineRule="auto"/>
        <w:jc w:val="center"/>
        <w:rPr>
          <w:rFonts w:eastAsia="Times New Roman" w:cs="Times New Roman"/>
          <w:b/>
          <w:kern w:val="0"/>
          <w:sz w:val="26"/>
          <w:szCs w:val="26"/>
          <w14:ligatures w14:val="none"/>
        </w:rPr>
      </w:pPr>
      <w:bookmarkStart w:id="1" w:name="dabmch_3"/>
      <w:r w:rsidRPr="00814D15">
        <w:rPr>
          <w:rFonts w:eastAsia="Times New Roman" w:cs="Times New Roman"/>
          <w:b/>
          <w:kern w:val="0"/>
          <w:sz w:val="26"/>
          <w:szCs w:val="26"/>
          <w14:ligatures w14:val="none"/>
        </w:rPr>
        <w:t xml:space="preserve">IN THE UNITED STATES DISTRICT COURT </w:t>
      </w:r>
      <w:bookmarkEnd w:id="1"/>
    </w:p>
    <w:p w14:paraId="6F208884" w14:textId="29349862" w:rsidR="00D93356" w:rsidRPr="00814D15" w:rsidRDefault="00D93356" w:rsidP="002B7634">
      <w:pPr>
        <w:spacing w:line="240" w:lineRule="auto"/>
        <w:jc w:val="center"/>
        <w:rPr>
          <w:rFonts w:eastAsia="Times New Roman" w:cs="Times New Roman"/>
          <w:b/>
          <w:kern w:val="0"/>
          <w:sz w:val="26"/>
          <w:szCs w:val="26"/>
          <w14:ligatures w14:val="none"/>
        </w:rPr>
      </w:pPr>
      <w:bookmarkStart w:id="2" w:name="dabmch_4"/>
      <w:r w:rsidRPr="00814D15">
        <w:rPr>
          <w:rFonts w:eastAsia="Times New Roman" w:cs="Times New Roman"/>
          <w:b/>
          <w:kern w:val="0"/>
          <w:sz w:val="26"/>
          <w:szCs w:val="26"/>
          <w14:ligatures w14:val="none"/>
        </w:rPr>
        <w:t xml:space="preserve">FOR THE </w:t>
      </w:r>
      <w:r w:rsidR="00BD20C1" w:rsidRPr="00814D15">
        <w:rPr>
          <w:rFonts w:eastAsia="Times New Roman" w:cs="Times New Roman"/>
          <w:b/>
          <w:kern w:val="0"/>
          <w:sz w:val="26"/>
          <w:szCs w:val="26"/>
          <w14:ligatures w14:val="none"/>
        </w:rPr>
        <w:t>FOURTEENTH JUDICIAL DISTRICT</w:t>
      </w:r>
      <w:r w:rsidRPr="00814D15">
        <w:rPr>
          <w:rFonts w:eastAsia="Times New Roman" w:cs="Times New Roman"/>
          <w:b/>
          <w:kern w:val="0"/>
          <w:sz w:val="26"/>
          <w:szCs w:val="26"/>
          <w14:ligatures w14:val="none"/>
        </w:rPr>
        <w:t xml:space="preserve"> </w:t>
      </w:r>
      <w:bookmarkEnd w:id="2"/>
    </w:p>
    <w:p w14:paraId="4E222D02"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bookmarkStart w:id="3" w:name="dabmch_5"/>
      <w:r w:rsidRPr="00814D15">
        <w:rPr>
          <w:rFonts w:eastAsia="Times New Roman" w:cs="Times New Roman"/>
          <w:kern w:val="0"/>
          <w:sz w:val="26"/>
          <w:szCs w:val="26"/>
          <w14:ligatures w14:val="none"/>
        </w:rPr>
        <w:t>___________________________________________</w:t>
      </w:r>
      <w:bookmarkEnd w:id="3"/>
    </w:p>
    <w:p w14:paraId="102585B7" w14:textId="77777777" w:rsidR="00D93356" w:rsidRPr="00814D15" w:rsidRDefault="00D93356" w:rsidP="002B7634">
      <w:pPr>
        <w:widowControl w:val="0"/>
        <w:spacing w:line="240" w:lineRule="auto"/>
        <w:jc w:val="center"/>
        <w:rPr>
          <w:rFonts w:eastAsia="Times New Roman" w:cs="Times New Roman"/>
          <w:b/>
          <w:kern w:val="0"/>
          <w:sz w:val="26"/>
          <w:szCs w:val="26"/>
          <w14:ligatures w14:val="none"/>
        </w:rPr>
      </w:pPr>
    </w:p>
    <w:p w14:paraId="0A8764BF" w14:textId="77777777" w:rsidR="00D93356" w:rsidRPr="00814D15" w:rsidRDefault="00D93356" w:rsidP="002B7634">
      <w:pPr>
        <w:widowControl w:val="0"/>
        <w:spacing w:line="240" w:lineRule="auto"/>
        <w:jc w:val="center"/>
        <w:rPr>
          <w:rFonts w:eastAsia="Times New Roman" w:cs="Times New Roman"/>
          <w:b/>
          <w:kern w:val="0"/>
          <w:sz w:val="26"/>
          <w:szCs w:val="26"/>
          <w14:ligatures w14:val="none"/>
        </w:rPr>
      </w:pPr>
    </w:p>
    <w:p w14:paraId="0730ADC2" w14:textId="20695E8D" w:rsidR="00D93356" w:rsidRPr="00814D15" w:rsidRDefault="00D93356" w:rsidP="002B7634">
      <w:pPr>
        <w:widowControl w:val="0"/>
        <w:spacing w:line="240" w:lineRule="auto"/>
        <w:jc w:val="center"/>
        <w:rPr>
          <w:rFonts w:eastAsia="Times New Roman" w:cs="Times New Roman"/>
          <w:kern w:val="0"/>
          <w:sz w:val="26"/>
          <w:szCs w:val="26"/>
          <w14:ligatures w14:val="none"/>
        </w:rPr>
      </w:pPr>
      <w:r w:rsidRPr="00814D15">
        <w:rPr>
          <w:rFonts w:eastAsia="Times New Roman" w:cs="Times New Roman"/>
          <w:kern w:val="0"/>
          <w:sz w:val="26"/>
          <w:szCs w:val="26"/>
          <w14:ligatures w14:val="none"/>
        </w:rPr>
        <w:t>UNITED STATES OF AMERICA</w:t>
      </w:r>
    </w:p>
    <w:p w14:paraId="7186B20E"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5769C755" w14:textId="57FB5374" w:rsidR="00D93356" w:rsidRPr="00814D15" w:rsidRDefault="00D93356" w:rsidP="002B7634">
      <w:pPr>
        <w:widowControl w:val="0"/>
        <w:spacing w:line="240" w:lineRule="auto"/>
        <w:jc w:val="center"/>
        <w:rPr>
          <w:rFonts w:eastAsia="Times New Roman" w:cs="Times New Roman"/>
          <w:kern w:val="0"/>
          <w:sz w:val="26"/>
          <w:szCs w:val="26"/>
          <w14:ligatures w14:val="none"/>
        </w:rPr>
      </w:pPr>
      <w:bookmarkStart w:id="4" w:name="dabmch_7"/>
      <w:r w:rsidRPr="00814D15">
        <w:rPr>
          <w:rFonts w:eastAsia="Times New Roman" w:cs="Times New Roman"/>
          <w:i/>
          <w:kern w:val="0"/>
          <w:sz w:val="26"/>
          <w:szCs w:val="26"/>
          <w14:ligatures w14:val="none"/>
        </w:rPr>
        <w:t>Prosecution</w:t>
      </w:r>
      <w:r w:rsidRPr="00814D15">
        <w:rPr>
          <w:rFonts w:eastAsia="Times New Roman" w:cs="Times New Roman"/>
          <w:kern w:val="0"/>
          <w:sz w:val="26"/>
          <w:szCs w:val="26"/>
          <w14:ligatures w14:val="none"/>
        </w:rPr>
        <w:t>,</w:t>
      </w:r>
      <w:bookmarkEnd w:id="4"/>
    </w:p>
    <w:p w14:paraId="1010F8A6"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761FB9F0"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3A2D30E3"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72B94250"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bookmarkStart w:id="5" w:name="dabmch_8"/>
      <w:r w:rsidRPr="00814D15">
        <w:rPr>
          <w:rFonts w:eastAsia="Times New Roman" w:cs="Times New Roman"/>
          <w:kern w:val="0"/>
          <w:sz w:val="26"/>
          <w:szCs w:val="26"/>
          <w14:ligatures w14:val="none"/>
        </w:rPr>
        <w:t>v.</w:t>
      </w:r>
      <w:bookmarkEnd w:id="5"/>
    </w:p>
    <w:p w14:paraId="4831ECB3"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3E526FC3"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7B96526B"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50E4D71E" w14:textId="7197F833" w:rsidR="00D93356" w:rsidRPr="00814D15" w:rsidRDefault="00D93356" w:rsidP="002B7634">
      <w:pPr>
        <w:widowControl w:val="0"/>
        <w:spacing w:line="240" w:lineRule="auto"/>
        <w:jc w:val="center"/>
        <w:rPr>
          <w:rFonts w:eastAsia="Times New Roman" w:cs="Times New Roman"/>
          <w:kern w:val="0"/>
          <w:sz w:val="26"/>
          <w:szCs w:val="26"/>
          <w14:ligatures w14:val="none"/>
        </w:rPr>
      </w:pPr>
      <w:r w:rsidRPr="00814D15">
        <w:rPr>
          <w:rFonts w:eastAsia="Times New Roman" w:cs="Times New Roman"/>
          <w:kern w:val="0"/>
          <w:sz w:val="26"/>
          <w:szCs w:val="26"/>
          <w14:ligatures w14:val="none"/>
        </w:rPr>
        <w:t>EMILY CALLOWAY</w:t>
      </w:r>
    </w:p>
    <w:p w14:paraId="761D8AAA"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665D83C2" w14:textId="77777777" w:rsidR="00D93356" w:rsidRPr="00814D15" w:rsidRDefault="00D93356" w:rsidP="002B7634">
      <w:pPr>
        <w:widowControl w:val="0"/>
        <w:spacing w:line="240" w:lineRule="auto"/>
        <w:jc w:val="center"/>
        <w:rPr>
          <w:rFonts w:eastAsia="Times New Roman" w:cs="Times New Roman"/>
          <w:i/>
          <w:kern w:val="0"/>
          <w:sz w:val="26"/>
          <w:szCs w:val="26"/>
          <w14:ligatures w14:val="none"/>
        </w:rPr>
      </w:pPr>
      <w:bookmarkStart w:id="6" w:name="dabmch_10"/>
      <w:r w:rsidRPr="00814D15">
        <w:rPr>
          <w:rFonts w:eastAsia="Times New Roman" w:cs="Times New Roman"/>
          <w:i/>
          <w:kern w:val="0"/>
          <w:sz w:val="26"/>
          <w:szCs w:val="26"/>
          <w14:ligatures w14:val="none"/>
        </w:rPr>
        <w:t>Defendant.</w:t>
      </w:r>
      <w:bookmarkEnd w:id="6"/>
    </w:p>
    <w:p w14:paraId="2C9487D0" w14:textId="77777777" w:rsidR="00D93356" w:rsidRPr="00814D15" w:rsidRDefault="00D93356" w:rsidP="002B7634">
      <w:pPr>
        <w:widowControl w:val="0"/>
        <w:spacing w:line="240" w:lineRule="auto"/>
        <w:jc w:val="center"/>
        <w:rPr>
          <w:rFonts w:eastAsia="Times New Roman" w:cs="Times New Roman"/>
          <w:kern w:val="0"/>
          <w:sz w:val="26"/>
          <w:szCs w:val="26"/>
          <w14:ligatures w14:val="none"/>
        </w:rPr>
      </w:pPr>
    </w:p>
    <w:p w14:paraId="592B0456" w14:textId="77777777" w:rsidR="00D93356" w:rsidRPr="00814D15" w:rsidRDefault="00D93356" w:rsidP="002B7634">
      <w:pPr>
        <w:spacing w:line="240" w:lineRule="auto"/>
        <w:jc w:val="center"/>
        <w:rPr>
          <w:rFonts w:eastAsia="Times New Roman" w:cs="Times New Roman"/>
          <w:kern w:val="0"/>
          <w:sz w:val="26"/>
          <w:szCs w:val="26"/>
          <w14:ligatures w14:val="none"/>
        </w:rPr>
      </w:pPr>
      <w:bookmarkStart w:id="7" w:name="dabmch_11"/>
      <w:r w:rsidRPr="00814D15">
        <w:rPr>
          <w:rFonts w:eastAsia="Times New Roman" w:cs="Times New Roman"/>
          <w:kern w:val="0"/>
          <w:sz w:val="26"/>
          <w:szCs w:val="26"/>
          <w14:ligatures w14:val="none"/>
        </w:rPr>
        <w:t>________________________________________</w:t>
      </w:r>
      <w:bookmarkEnd w:id="7"/>
    </w:p>
    <w:p w14:paraId="625245E9" w14:textId="77777777" w:rsidR="00D93356" w:rsidRPr="00814D15" w:rsidRDefault="00D93356" w:rsidP="002B7634">
      <w:pPr>
        <w:spacing w:line="240" w:lineRule="auto"/>
        <w:ind w:right="720"/>
        <w:contextualSpacing/>
        <w:rPr>
          <w:rFonts w:eastAsia="Times New Roman" w:cs="Times New Roman"/>
          <w:i/>
          <w:kern w:val="0"/>
          <w:sz w:val="26"/>
          <w:szCs w:val="26"/>
          <w14:ligatures w14:val="none"/>
        </w:rPr>
      </w:pPr>
    </w:p>
    <w:p w14:paraId="0950E05A" w14:textId="0716426D" w:rsidR="00D93356" w:rsidRPr="00814D15" w:rsidRDefault="00E8142D" w:rsidP="002B7634">
      <w:pPr>
        <w:spacing w:line="240" w:lineRule="auto"/>
        <w:ind w:left="540" w:right="540"/>
        <w:contextualSpacing/>
        <w:jc w:val="center"/>
        <w:rPr>
          <w:rFonts w:eastAsia="Times New Roman" w:cs="Times New Roman"/>
          <w:b/>
          <w:kern w:val="0"/>
          <w:sz w:val="26"/>
          <w:szCs w:val="26"/>
          <w14:ligatures w14:val="none"/>
        </w:rPr>
      </w:pPr>
      <w:bookmarkStart w:id="8" w:name="dabmch_12"/>
      <w:r w:rsidRPr="00814D15">
        <w:rPr>
          <w:rFonts w:eastAsia="Times New Roman" w:cs="Times New Roman"/>
          <w:b/>
          <w:kern w:val="0"/>
          <w:sz w:val="26"/>
          <w:szCs w:val="26"/>
          <w14:ligatures w14:val="none"/>
        </w:rPr>
        <w:t xml:space="preserve">PROSECUTION’S </w:t>
      </w:r>
      <w:r w:rsidR="00D93356" w:rsidRPr="00814D15">
        <w:rPr>
          <w:rFonts w:eastAsia="Times New Roman" w:cs="Times New Roman"/>
          <w:b/>
          <w:kern w:val="0"/>
          <w:sz w:val="26"/>
          <w:szCs w:val="26"/>
          <w14:ligatures w14:val="none"/>
        </w:rPr>
        <w:t xml:space="preserve">MEMORANDUM OF LAW </w:t>
      </w:r>
      <w:r w:rsidRPr="00814D15">
        <w:rPr>
          <w:rFonts w:eastAsia="Times New Roman" w:cs="Times New Roman"/>
          <w:b/>
          <w:kern w:val="0"/>
          <w:sz w:val="26"/>
          <w:szCs w:val="26"/>
          <w14:ligatures w14:val="none"/>
        </w:rPr>
        <w:t>IN OPPOSITION TO</w:t>
      </w:r>
      <w:r w:rsidR="00D93356" w:rsidRPr="00814D15">
        <w:rPr>
          <w:rFonts w:eastAsia="Times New Roman" w:cs="Times New Roman"/>
          <w:b/>
          <w:kern w:val="0"/>
          <w:sz w:val="26"/>
          <w:szCs w:val="26"/>
          <w14:ligatures w14:val="none"/>
        </w:rPr>
        <w:t xml:space="preserve"> </w:t>
      </w:r>
      <w:r w:rsidRPr="00814D15">
        <w:rPr>
          <w:rFonts w:eastAsia="Times New Roman" w:cs="Times New Roman"/>
          <w:b/>
          <w:kern w:val="0"/>
          <w:sz w:val="26"/>
          <w:szCs w:val="26"/>
          <w14:ligatures w14:val="none"/>
        </w:rPr>
        <w:t>DEFENDANT’S MOTION TO SUPPRESS AND MOTION TO</w:t>
      </w:r>
      <w:r w:rsidR="00DD5C5C" w:rsidRPr="00814D15">
        <w:rPr>
          <w:rFonts w:eastAsia="Times New Roman" w:cs="Times New Roman"/>
          <w:b/>
          <w:kern w:val="0"/>
          <w:sz w:val="26"/>
          <w:szCs w:val="26"/>
          <w14:ligatures w14:val="none"/>
        </w:rPr>
        <w:t xml:space="preserve"> </w:t>
      </w:r>
      <w:r w:rsidRPr="00814D15">
        <w:rPr>
          <w:rFonts w:eastAsia="Times New Roman" w:cs="Times New Roman"/>
          <w:b/>
          <w:kern w:val="0"/>
          <w:sz w:val="26"/>
          <w:szCs w:val="26"/>
          <w14:ligatures w14:val="none"/>
        </w:rPr>
        <w:t>QUASH</w:t>
      </w:r>
    </w:p>
    <w:p w14:paraId="4EF7B493" w14:textId="77777777" w:rsidR="00D93356" w:rsidRPr="00814D15" w:rsidRDefault="00D93356" w:rsidP="002B7634">
      <w:pPr>
        <w:spacing w:line="240" w:lineRule="auto"/>
        <w:jc w:val="center"/>
        <w:rPr>
          <w:rFonts w:eastAsia="Times New Roman" w:cs="Times New Roman"/>
          <w:kern w:val="0"/>
          <w:sz w:val="26"/>
          <w:szCs w:val="26"/>
          <w14:ligatures w14:val="none"/>
        </w:rPr>
      </w:pPr>
      <w:bookmarkStart w:id="9" w:name="dabmch_15"/>
      <w:bookmarkEnd w:id="8"/>
      <w:r w:rsidRPr="00814D15">
        <w:rPr>
          <w:rFonts w:eastAsia="Times New Roman" w:cs="Times New Roman"/>
          <w:kern w:val="0"/>
          <w:sz w:val="26"/>
          <w:szCs w:val="26"/>
          <w14:ligatures w14:val="none"/>
        </w:rPr>
        <w:t>________________________________________</w:t>
      </w:r>
      <w:bookmarkEnd w:id="9"/>
    </w:p>
    <w:p w14:paraId="1E292D47" w14:textId="77777777" w:rsidR="00D93356" w:rsidRPr="00814D15" w:rsidRDefault="00D93356" w:rsidP="002B7634">
      <w:pPr>
        <w:pBdr>
          <w:bottom w:val="thinThickThinMediumGap" w:sz="18" w:space="1" w:color="auto"/>
        </w:pBdr>
        <w:spacing w:line="240" w:lineRule="auto"/>
        <w:rPr>
          <w:rFonts w:eastAsia="Times New Roman" w:cs="Times New Roman"/>
          <w:i/>
          <w:kern w:val="0"/>
          <w:sz w:val="26"/>
          <w:szCs w:val="26"/>
          <w14:ligatures w14:val="none"/>
        </w:rPr>
      </w:pPr>
    </w:p>
    <w:p w14:paraId="2CBAC660" w14:textId="766D7D72" w:rsidR="00D93356" w:rsidRPr="00814D15" w:rsidRDefault="0060770E" w:rsidP="002B7634">
      <w:pPr>
        <w:pBdr>
          <w:bottom w:val="thinThickThinMediumGap" w:sz="18" w:space="1" w:color="auto"/>
        </w:pBdr>
        <w:spacing w:line="240" w:lineRule="auto"/>
        <w:ind w:firstLine="3600"/>
        <w:jc w:val="right"/>
        <w:rPr>
          <w:rFonts w:eastAsia="Times New Roman" w:cs="Times New Roman"/>
          <w:iCs/>
          <w:kern w:val="0"/>
          <w:sz w:val="26"/>
          <w:szCs w:val="26"/>
          <w:u w:val="single"/>
          <w14:ligatures w14:val="none"/>
        </w:rPr>
      </w:pPr>
      <w:r w:rsidRPr="00814D15">
        <w:rPr>
          <w:rFonts w:eastAsia="Times New Roman" w:cs="Times New Roman"/>
          <w:iCs/>
          <w:kern w:val="0"/>
          <w:sz w:val="26"/>
          <w:szCs w:val="26"/>
          <w:u w:val="single"/>
          <w14:ligatures w14:val="none"/>
        </w:rPr>
        <w:t xml:space="preserve">       </w:t>
      </w:r>
      <w:r w:rsidR="00356654" w:rsidRPr="00814D15">
        <w:rPr>
          <w:rFonts w:eastAsia="Times New Roman" w:cs="Times New Roman"/>
          <w:iCs/>
          <w:kern w:val="0"/>
          <w:sz w:val="26"/>
          <w:szCs w:val="26"/>
          <w:u w:val="single"/>
          <w14:ligatures w14:val="none"/>
        </w:rPr>
        <w:t>/s/ Tea</w:t>
      </w:r>
      <w:r w:rsidR="00B70789" w:rsidRPr="00814D15">
        <w:rPr>
          <w:rFonts w:eastAsia="Times New Roman" w:cs="Times New Roman"/>
          <w:iCs/>
          <w:kern w:val="0"/>
          <w:sz w:val="26"/>
          <w:szCs w:val="26"/>
          <w:u w:val="single"/>
          <w14:ligatures w14:val="none"/>
        </w:rPr>
        <w:t>m</w:t>
      </w:r>
      <w:r w:rsidR="00356654" w:rsidRPr="00814D15">
        <w:rPr>
          <w:rFonts w:eastAsia="Times New Roman" w:cs="Times New Roman"/>
          <w:iCs/>
          <w:kern w:val="0"/>
          <w:sz w:val="26"/>
          <w:szCs w:val="26"/>
          <w:u w:val="single"/>
          <w14:ligatures w14:val="none"/>
        </w:rPr>
        <w:t xml:space="preserve"> </w:t>
      </w:r>
      <w:r w:rsidR="00B1653C">
        <w:rPr>
          <w:rFonts w:eastAsia="Times New Roman" w:cs="Times New Roman"/>
          <w:iCs/>
          <w:kern w:val="0"/>
          <w:sz w:val="26"/>
          <w:szCs w:val="26"/>
          <w:u w:val="single"/>
          <w14:ligatures w14:val="none"/>
        </w:rPr>
        <w:t>313</w:t>
      </w:r>
    </w:p>
    <w:p w14:paraId="48BDF49E" w14:textId="6FB71124" w:rsidR="008C0E07" w:rsidRPr="00814D15" w:rsidRDefault="00C51DC3" w:rsidP="002B7634">
      <w:pPr>
        <w:pBdr>
          <w:bottom w:val="thinThickThinMediumGap" w:sz="18" w:space="1" w:color="auto"/>
        </w:pBdr>
        <w:spacing w:line="240" w:lineRule="auto"/>
        <w:ind w:firstLine="3600"/>
        <w:jc w:val="right"/>
        <w:rPr>
          <w:rFonts w:eastAsia="Times New Roman" w:cs="Times New Roman"/>
          <w:i/>
          <w:kern w:val="0"/>
          <w:sz w:val="26"/>
          <w:szCs w:val="26"/>
          <w14:ligatures w14:val="none"/>
        </w:rPr>
      </w:pPr>
      <w:r w:rsidRPr="00814D15">
        <w:rPr>
          <w:rFonts w:eastAsia="Times New Roman" w:cs="Times New Roman"/>
          <w:i/>
          <w:kern w:val="0"/>
          <w:sz w:val="26"/>
          <w:szCs w:val="26"/>
          <w14:ligatures w14:val="none"/>
        </w:rPr>
        <w:t>Counsel for the United States</w:t>
      </w:r>
      <w:r w:rsidR="00DD4A4D">
        <w:rPr>
          <w:rFonts w:eastAsia="Times New Roman" w:cs="Times New Roman"/>
          <w:i/>
          <w:kern w:val="0"/>
          <w:sz w:val="26"/>
          <w:szCs w:val="26"/>
          <w14:ligatures w14:val="none"/>
        </w:rPr>
        <w:t xml:space="preserve"> of </w:t>
      </w:r>
      <w:r w:rsidR="0073733C">
        <w:rPr>
          <w:rFonts w:eastAsia="Times New Roman" w:cs="Times New Roman"/>
          <w:i/>
          <w:kern w:val="0"/>
          <w:sz w:val="26"/>
          <w:szCs w:val="26"/>
          <w14:ligatures w14:val="none"/>
        </w:rPr>
        <w:t>America</w:t>
      </w:r>
    </w:p>
    <w:p w14:paraId="6D19C186" w14:textId="77777777" w:rsidR="0071219D" w:rsidRPr="00814D15" w:rsidRDefault="0071219D" w:rsidP="002B7634">
      <w:pPr>
        <w:pBdr>
          <w:bottom w:val="thinThickThinMediumGap" w:sz="18" w:space="1" w:color="auto"/>
        </w:pBdr>
        <w:spacing w:line="240" w:lineRule="auto"/>
        <w:jc w:val="center"/>
        <w:rPr>
          <w:rFonts w:eastAsia="Times New Roman" w:cs="Times New Roman"/>
          <w:i/>
          <w:kern w:val="0"/>
          <w:sz w:val="26"/>
          <w:szCs w:val="26"/>
          <w14:ligatures w14:val="none"/>
        </w:rPr>
      </w:pPr>
    </w:p>
    <w:p w14:paraId="14591297" w14:textId="77777777" w:rsidR="00D93356" w:rsidRPr="00814D15" w:rsidRDefault="00D93356" w:rsidP="002B7634">
      <w:pPr>
        <w:spacing w:line="240" w:lineRule="auto"/>
        <w:jc w:val="both"/>
        <w:rPr>
          <w:rFonts w:eastAsia="Times New Roman" w:cs="Times New Roman"/>
          <w:kern w:val="0"/>
          <w:sz w:val="26"/>
          <w:szCs w:val="26"/>
          <w14:ligatures w14:val="none"/>
        </w:rPr>
      </w:pPr>
    </w:p>
    <w:p w14:paraId="2848F674" w14:textId="77777777" w:rsidR="00597BDD" w:rsidRPr="00814D15" w:rsidRDefault="00597BDD" w:rsidP="002B7634">
      <w:pPr>
        <w:tabs>
          <w:tab w:val="center" w:pos="4680"/>
        </w:tabs>
        <w:rPr>
          <w:rFonts w:cs="Times New Roman"/>
          <w:sz w:val="26"/>
          <w:szCs w:val="26"/>
        </w:rPr>
      </w:pPr>
    </w:p>
    <w:p w14:paraId="762E1986" w14:textId="77777777" w:rsidR="00764A46" w:rsidRDefault="00764A46" w:rsidP="002B7634">
      <w:pPr>
        <w:tabs>
          <w:tab w:val="center" w:pos="4680"/>
        </w:tabs>
        <w:rPr>
          <w:rFonts w:cs="Times New Roman"/>
          <w:sz w:val="26"/>
          <w:szCs w:val="26"/>
        </w:rPr>
      </w:pPr>
    </w:p>
    <w:p w14:paraId="7DC2769C" w14:textId="77777777" w:rsidR="00C07AB0" w:rsidRDefault="00C07AB0" w:rsidP="002B7634">
      <w:pPr>
        <w:tabs>
          <w:tab w:val="center" w:pos="4680"/>
        </w:tabs>
        <w:rPr>
          <w:rFonts w:cs="Times New Roman"/>
          <w:sz w:val="26"/>
          <w:szCs w:val="26"/>
        </w:rPr>
      </w:pPr>
    </w:p>
    <w:p w14:paraId="37076266" w14:textId="77777777" w:rsidR="00C07AB0" w:rsidRPr="00814D15" w:rsidRDefault="00C07AB0" w:rsidP="002B7634">
      <w:pPr>
        <w:tabs>
          <w:tab w:val="center" w:pos="4680"/>
        </w:tabs>
        <w:rPr>
          <w:rFonts w:cs="Times New Roman"/>
          <w:sz w:val="26"/>
          <w:szCs w:val="26"/>
        </w:rPr>
      </w:pPr>
    </w:p>
    <w:p w14:paraId="56565181" w14:textId="77777777" w:rsidR="00764A46" w:rsidRPr="00814D15" w:rsidRDefault="00764A46" w:rsidP="002B7634">
      <w:pPr>
        <w:tabs>
          <w:tab w:val="center" w:pos="4680"/>
        </w:tabs>
        <w:rPr>
          <w:rFonts w:cs="Times New Roman"/>
          <w:sz w:val="26"/>
          <w:szCs w:val="26"/>
        </w:rPr>
      </w:pPr>
    </w:p>
    <w:p w14:paraId="5F1555FC" w14:textId="77777777" w:rsidR="00BE7DC9" w:rsidRPr="00814D15" w:rsidRDefault="00BE7DC9" w:rsidP="002B7634">
      <w:pPr>
        <w:pStyle w:val="Heading1"/>
        <w:jc w:val="left"/>
        <w:rPr>
          <w:rFonts w:cs="Times New Roman"/>
        </w:rPr>
        <w:sectPr w:rsidR="00BE7DC9" w:rsidRPr="00814D15" w:rsidSect="008E083D">
          <w:footerReference w:type="default" r:id="rId7"/>
          <w:pgSz w:w="12240" w:h="15840"/>
          <w:pgMar w:top="1440" w:right="1440" w:bottom="1440" w:left="1440" w:header="720" w:footer="720" w:gutter="0"/>
          <w:pgNumType w:fmt="lowerRoman" w:start="1"/>
          <w:cols w:space="720"/>
          <w:docGrid w:linePitch="360"/>
        </w:sectPr>
      </w:pPr>
    </w:p>
    <w:p w14:paraId="7C8192B5" w14:textId="285E13C8" w:rsidR="00462123" w:rsidRPr="00521165" w:rsidRDefault="000E74C8" w:rsidP="00521165">
      <w:pPr>
        <w:pStyle w:val="Heading1"/>
        <w:rPr>
          <w:rFonts w:cs="Times New Roman"/>
        </w:rPr>
      </w:pPr>
      <w:bookmarkStart w:id="10" w:name="_Toc239164081"/>
      <w:r w:rsidRPr="00814D15">
        <w:rPr>
          <w:rFonts w:cs="Times New Roman"/>
        </w:rPr>
        <w:lastRenderedPageBreak/>
        <w:t>TABLE OF CONTENTS</w:t>
      </w:r>
      <w:bookmarkEnd w:id="10"/>
    </w:p>
    <w:sdt>
      <w:sdtPr>
        <w:rPr>
          <w:rFonts w:cs="Times New Roman"/>
          <w:b w:val="0"/>
          <w:bCs w:val="0"/>
          <w:sz w:val="24"/>
          <w:szCs w:val="24"/>
        </w:rPr>
        <w:id w:val="1089746109"/>
        <w:docPartObj>
          <w:docPartGallery w:val="Table of Contents"/>
          <w:docPartUnique/>
        </w:docPartObj>
      </w:sdtPr>
      <w:sdtEndPr>
        <w:rPr>
          <w:noProof/>
        </w:rPr>
      </w:sdtEndPr>
      <w:sdtContent>
        <w:p w14:paraId="25E335F4" w14:textId="22A47062" w:rsidR="00B83A7E" w:rsidRPr="00814D15" w:rsidRDefault="00B83A7E" w:rsidP="002B7634">
          <w:pPr>
            <w:pStyle w:val="Heading1"/>
            <w:jc w:val="left"/>
            <w:rPr>
              <w:rFonts w:cs="Times New Roman"/>
            </w:rPr>
          </w:pPr>
        </w:p>
        <w:p w14:paraId="69E46C25" w14:textId="535ED0E9" w:rsidR="00FD6ADC" w:rsidRDefault="002E24F7" w:rsidP="00F936A3">
          <w:pPr>
            <w:pStyle w:val="TOC1"/>
            <w:tabs>
              <w:tab w:val="right" w:leader="dot" w:pos="9350"/>
            </w:tabs>
            <w:jc w:val="both"/>
            <w:rPr>
              <w:rFonts w:asciiTheme="minorHAnsi" w:eastAsiaTheme="minorEastAsia" w:hAnsiTheme="minorHAnsi"/>
              <w:noProof/>
            </w:rPr>
          </w:pPr>
          <w:r>
            <w:rPr>
              <w:rFonts w:cs="Times New Roman"/>
              <w:sz w:val="26"/>
              <w:szCs w:val="26"/>
            </w:rPr>
            <w:fldChar w:fldCharType="begin"/>
          </w:r>
          <w:r>
            <w:rPr>
              <w:rFonts w:cs="Times New Roman"/>
              <w:sz w:val="26"/>
              <w:szCs w:val="26"/>
            </w:rPr>
            <w:instrText xml:space="preserve"> TOC \o "1-4" \u </w:instrText>
          </w:r>
          <w:r>
            <w:rPr>
              <w:rFonts w:cs="Times New Roman"/>
              <w:sz w:val="26"/>
              <w:szCs w:val="26"/>
            </w:rPr>
            <w:fldChar w:fldCharType="separate"/>
          </w:r>
          <w:r w:rsidR="00FD6ADC" w:rsidRPr="00A905EE">
            <w:rPr>
              <w:rFonts w:cs="Times New Roman"/>
              <w:noProof/>
            </w:rPr>
            <w:t>TABLE OF CONTENTS</w:t>
          </w:r>
          <w:r w:rsidR="00FD6ADC">
            <w:rPr>
              <w:noProof/>
            </w:rPr>
            <w:tab/>
          </w:r>
          <w:r w:rsidR="00FD6ADC">
            <w:rPr>
              <w:noProof/>
            </w:rPr>
            <w:fldChar w:fldCharType="begin"/>
          </w:r>
          <w:r w:rsidR="00FD6ADC">
            <w:rPr>
              <w:noProof/>
            </w:rPr>
            <w:instrText xml:space="preserve"> PAGEREF _Toc239164081 \h </w:instrText>
          </w:r>
          <w:r w:rsidR="00FD6ADC">
            <w:rPr>
              <w:noProof/>
            </w:rPr>
          </w:r>
          <w:r w:rsidR="00FD6ADC">
            <w:rPr>
              <w:noProof/>
            </w:rPr>
            <w:fldChar w:fldCharType="separate"/>
          </w:r>
          <w:r w:rsidR="00F936A3">
            <w:rPr>
              <w:noProof/>
            </w:rPr>
            <w:t>ii</w:t>
          </w:r>
          <w:r w:rsidR="00FD6ADC">
            <w:rPr>
              <w:noProof/>
            </w:rPr>
            <w:fldChar w:fldCharType="end"/>
          </w:r>
        </w:p>
        <w:p w14:paraId="7B15C2FF" w14:textId="36793765" w:rsidR="00FD6ADC" w:rsidRDefault="00FD6ADC" w:rsidP="00F936A3">
          <w:pPr>
            <w:pStyle w:val="TOC1"/>
            <w:tabs>
              <w:tab w:val="right" w:leader="dot" w:pos="9350"/>
            </w:tabs>
            <w:jc w:val="both"/>
            <w:rPr>
              <w:rFonts w:asciiTheme="minorHAnsi" w:eastAsiaTheme="minorEastAsia" w:hAnsiTheme="minorHAnsi"/>
              <w:noProof/>
            </w:rPr>
          </w:pPr>
          <w:r>
            <w:rPr>
              <w:noProof/>
            </w:rPr>
            <w:t>TABLE OF AUTHORITIES</w:t>
          </w:r>
          <w:r>
            <w:rPr>
              <w:noProof/>
            </w:rPr>
            <w:tab/>
          </w:r>
          <w:r>
            <w:rPr>
              <w:noProof/>
            </w:rPr>
            <w:fldChar w:fldCharType="begin"/>
          </w:r>
          <w:r>
            <w:rPr>
              <w:noProof/>
            </w:rPr>
            <w:instrText xml:space="preserve"> PAGEREF _Toc239164082 \h </w:instrText>
          </w:r>
          <w:r>
            <w:rPr>
              <w:noProof/>
            </w:rPr>
          </w:r>
          <w:r>
            <w:rPr>
              <w:noProof/>
            </w:rPr>
            <w:fldChar w:fldCharType="separate"/>
          </w:r>
          <w:r w:rsidR="00F936A3">
            <w:rPr>
              <w:noProof/>
            </w:rPr>
            <w:t>iv</w:t>
          </w:r>
          <w:r>
            <w:rPr>
              <w:noProof/>
            </w:rPr>
            <w:fldChar w:fldCharType="end"/>
          </w:r>
        </w:p>
        <w:p w14:paraId="0CE69EA3" w14:textId="64B20E26" w:rsidR="00FD6ADC" w:rsidRDefault="00FD6ADC" w:rsidP="00F936A3">
          <w:pPr>
            <w:pStyle w:val="TOC1"/>
            <w:tabs>
              <w:tab w:val="right" w:leader="dot" w:pos="9350"/>
            </w:tabs>
            <w:jc w:val="both"/>
            <w:rPr>
              <w:rFonts w:asciiTheme="minorHAnsi" w:eastAsiaTheme="minorEastAsia" w:hAnsiTheme="minorHAnsi"/>
              <w:noProof/>
            </w:rPr>
          </w:pPr>
          <w:r w:rsidRPr="00A905EE">
            <w:rPr>
              <w:rFonts w:eastAsia="Times New Roman" w:cs="Times New Roman"/>
              <w:noProof/>
              <w:color w:val="000000" w:themeColor="text1"/>
            </w:rPr>
            <w:t>INTRODUCTION</w:t>
          </w:r>
          <w:r>
            <w:rPr>
              <w:noProof/>
            </w:rPr>
            <w:tab/>
          </w:r>
          <w:r>
            <w:rPr>
              <w:noProof/>
            </w:rPr>
            <w:fldChar w:fldCharType="begin"/>
          </w:r>
          <w:r>
            <w:rPr>
              <w:noProof/>
            </w:rPr>
            <w:instrText xml:space="preserve"> PAGEREF _Toc239164083 \h </w:instrText>
          </w:r>
          <w:r>
            <w:rPr>
              <w:noProof/>
            </w:rPr>
          </w:r>
          <w:r>
            <w:rPr>
              <w:noProof/>
            </w:rPr>
            <w:fldChar w:fldCharType="separate"/>
          </w:r>
          <w:r w:rsidR="00F936A3">
            <w:rPr>
              <w:noProof/>
            </w:rPr>
            <w:t>1</w:t>
          </w:r>
          <w:r>
            <w:rPr>
              <w:noProof/>
            </w:rPr>
            <w:fldChar w:fldCharType="end"/>
          </w:r>
        </w:p>
        <w:p w14:paraId="06607935" w14:textId="2B449EF9" w:rsidR="00FD6ADC" w:rsidRDefault="00FD6ADC" w:rsidP="00F936A3">
          <w:pPr>
            <w:pStyle w:val="TOC1"/>
            <w:tabs>
              <w:tab w:val="right" w:leader="dot" w:pos="9350"/>
            </w:tabs>
            <w:jc w:val="both"/>
            <w:rPr>
              <w:rFonts w:asciiTheme="minorHAnsi" w:eastAsiaTheme="minorEastAsia" w:hAnsiTheme="minorHAnsi"/>
              <w:noProof/>
            </w:rPr>
          </w:pPr>
          <w:r w:rsidRPr="00A905EE">
            <w:rPr>
              <w:rFonts w:eastAsia="Times New Roman" w:cs="Times New Roman"/>
              <w:noProof/>
              <w:color w:val="000000" w:themeColor="text1"/>
            </w:rPr>
            <w:t>STATEMENT OF FACTS</w:t>
          </w:r>
          <w:r>
            <w:rPr>
              <w:noProof/>
            </w:rPr>
            <w:tab/>
          </w:r>
          <w:r>
            <w:rPr>
              <w:noProof/>
            </w:rPr>
            <w:fldChar w:fldCharType="begin"/>
          </w:r>
          <w:r>
            <w:rPr>
              <w:noProof/>
            </w:rPr>
            <w:instrText xml:space="preserve"> PAGEREF _Toc239164084 \h </w:instrText>
          </w:r>
          <w:r>
            <w:rPr>
              <w:noProof/>
            </w:rPr>
          </w:r>
          <w:r>
            <w:rPr>
              <w:noProof/>
            </w:rPr>
            <w:fldChar w:fldCharType="separate"/>
          </w:r>
          <w:r w:rsidR="00F936A3">
            <w:rPr>
              <w:noProof/>
            </w:rPr>
            <w:t>2</w:t>
          </w:r>
          <w:r>
            <w:rPr>
              <w:noProof/>
            </w:rPr>
            <w:fldChar w:fldCharType="end"/>
          </w:r>
        </w:p>
        <w:p w14:paraId="3E169D40" w14:textId="6E9E2D1C" w:rsidR="00FD6ADC" w:rsidRDefault="00FD6ADC" w:rsidP="00F936A3">
          <w:pPr>
            <w:pStyle w:val="TOC1"/>
            <w:tabs>
              <w:tab w:val="right" w:leader="dot" w:pos="9350"/>
            </w:tabs>
            <w:jc w:val="both"/>
            <w:rPr>
              <w:rFonts w:asciiTheme="minorHAnsi" w:eastAsiaTheme="minorEastAsia" w:hAnsiTheme="minorHAnsi"/>
              <w:noProof/>
            </w:rPr>
          </w:pPr>
          <w:r w:rsidRPr="00A905EE">
            <w:rPr>
              <w:rFonts w:eastAsia="Times New Roman" w:cs="Times New Roman"/>
              <w:noProof/>
              <w:color w:val="000000" w:themeColor="text1"/>
            </w:rPr>
            <w:t>ARGUMENT</w:t>
          </w:r>
          <w:r>
            <w:rPr>
              <w:noProof/>
            </w:rPr>
            <w:tab/>
          </w:r>
          <w:r>
            <w:rPr>
              <w:noProof/>
            </w:rPr>
            <w:fldChar w:fldCharType="begin"/>
          </w:r>
          <w:r>
            <w:rPr>
              <w:noProof/>
            </w:rPr>
            <w:instrText xml:space="preserve"> PAGEREF _Toc239164085 \h </w:instrText>
          </w:r>
          <w:r>
            <w:rPr>
              <w:noProof/>
            </w:rPr>
          </w:r>
          <w:r>
            <w:rPr>
              <w:noProof/>
            </w:rPr>
            <w:fldChar w:fldCharType="separate"/>
          </w:r>
          <w:r w:rsidR="00F936A3">
            <w:rPr>
              <w:noProof/>
            </w:rPr>
            <w:t>5</w:t>
          </w:r>
          <w:r>
            <w:rPr>
              <w:noProof/>
            </w:rPr>
            <w:fldChar w:fldCharType="end"/>
          </w:r>
        </w:p>
        <w:p w14:paraId="049B8688" w14:textId="329E05A3" w:rsidR="00FD6ADC" w:rsidRDefault="00FD6ADC" w:rsidP="00F936A3">
          <w:pPr>
            <w:pStyle w:val="TOC2"/>
            <w:jc w:val="both"/>
            <w:rPr>
              <w:rFonts w:asciiTheme="minorHAnsi" w:eastAsiaTheme="minorEastAsia" w:hAnsiTheme="minorHAnsi"/>
              <w:b w:val="0"/>
              <w:bCs w:val="0"/>
            </w:rPr>
          </w:pPr>
          <w:r>
            <w:t>I.</w:t>
          </w:r>
          <w:r>
            <w:rPr>
              <w:rFonts w:asciiTheme="minorHAnsi" w:eastAsiaTheme="minorEastAsia" w:hAnsiTheme="minorHAnsi"/>
              <w:b w:val="0"/>
              <w:bCs w:val="0"/>
            </w:rPr>
            <w:tab/>
          </w:r>
          <w:r w:rsidRPr="00A905EE">
            <w:rPr>
              <w:color w:val="000000" w:themeColor="text1"/>
            </w:rPr>
            <w:t>This Court Should Deny Defendant’s Motion to Suppress Because Both the Evidence Discovered on November 5, 2023, and the Testimony of Kennedy Parker Were Discovered Wholly Independent of Defendant’s Compelled Testimony.</w:t>
          </w:r>
          <w:r>
            <w:tab/>
          </w:r>
          <w:r>
            <w:fldChar w:fldCharType="begin"/>
          </w:r>
          <w:r>
            <w:instrText xml:space="preserve"> PAGEREF _Toc239164086 \h </w:instrText>
          </w:r>
          <w:r>
            <w:fldChar w:fldCharType="separate"/>
          </w:r>
          <w:r w:rsidR="00F936A3">
            <w:t>5</w:t>
          </w:r>
          <w:r>
            <w:fldChar w:fldCharType="end"/>
          </w:r>
        </w:p>
        <w:p w14:paraId="5D84C08F" w14:textId="2100D89E" w:rsidR="00FD6ADC" w:rsidRDefault="00FD6ADC" w:rsidP="00F936A3">
          <w:pPr>
            <w:pStyle w:val="TOC3"/>
            <w:jc w:val="both"/>
            <w:rPr>
              <w:rFonts w:asciiTheme="minorHAnsi" w:eastAsiaTheme="minorEastAsia" w:hAnsiTheme="minorHAnsi"/>
              <w:i w:val="0"/>
              <w:iCs w:val="0"/>
            </w:rPr>
          </w:pPr>
          <w:r>
            <w:t>A.</w:t>
          </w:r>
          <w:r>
            <w:rPr>
              <w:rFonts w:asciiTheme="minorHAnsi" w:eastAsiaTheme="minorEastAsia" w:hAnsiTheme="minorHAnsi"/>
              <w:i w:val="0"/>
              <w:iCs w:val="0"/>
            </w:rPr>
            <w:tab/>
          </w:r>
          <w:r w:rsidRPr="00A905EE">
            <w:rPr>
              <w:color w:val="000000" w:themeColor="text1"/>
            </w:rPr>
            <w:t>The Investigators Planned to Interview Kennedy Parker Before the Decision to Compel Testimony was Reached and Followed the Prosecutorial Insulation Procedures to Prevent the Compelled Testimony from Tainting the Calloway Investigation.</w:t>
          </w:r>
          <w:r>
            <w:tab/>
          </w:r>
          <w:r w:rsidRPr="00044580">
            <w:rPr>
              <w:i w:val="0"/>
              <w:iCs w:val="0"/>
            </w:rPr>
            <w:fldChar w:fldCharType="begin"/>
          </w:r>
          <w:r w:rsidRPr="00044580">
            <w:rPr>
              <w:i w:val="0"/>
              <w:iCs w:val="0"/>
            </w:rPr>
            <w:instrText xml:space="preserve"> PAGEREF _Toc239164087 \h </w:instrText>
          </w:r>
          <w:r w:rsidRPr="00044580">
            <w:rPr>
              <w:i w:val="0"/>
              <w:iCs w:val="0"/>
            </w:rPr>
          </w:r>
          <w:r w:rsidRPr="00044580">
            <w:rPr>
              <w:i w:val="0"/>
              <w:iCs w:val="0"/>
            </w:rPr>
            <w:fldChar w:fldCharType="separate"/>
          </w:r>
          <w:r w:rsidR="00F936A3">
            <w:rPr>
              <w:i w:val="0"/>
              <w:iCs w:val="0"/>
            </w:rPr>
            <w:t>6</w:t>
          </w:r>
          <w:r w:rsidRPr="00044580">
            <w:rPr>
              <w:i w:val="0"/>
              <w:iCs w:val="0"/>
            </w:rPr>
            <w:fldChar w:fldCharType="end"/>
          </w:r>
        </w:p>
        <w:p w14:paraId="48DC0DC8" w14:textId="0F9B917B" w:rsidR="00FD6ADC" w:rsidRDefault="00FD6ADC" w:rsidP="00F936A3">
          <w:pPr>
            <w:pStyle w:val="TOC3"/>
            <w:jc w:val="both"/>
            <w:rPr>
              <w:rFonts w:asciiTheme="minorHAnsi" w:eastAsiaTheme="minorEastAsia" w:hAnsiTheme="minorHAnsi"/>
              <w:i w:val="0"/>
              <w:iCs w:val="0"/>
            </w:rPr>
          </w:pPr>
          <w:r>
            <w:t>B.</w:t>
          </w:r>
          <w:r>
            <w:rPr>
              <w:rFonts w:asciiTheme="minorHAnsi" w:eastAsiaTheme="minorEastAsia" w:hAnsiTheme="minorHAnsi"/>
              <w:i w:val="0"/>
              <w:iCs w:val="0"/>
            </w:rPr>
            <w:tab/>
          </w:r>
          <w:r w:rsidRPr="00A905EE">
            <w:rPr>
              <w:color w:val="000000" w:themeColor="text1"/>
            </w:rPr>
            <w:t>Kennedy Parker was Unaware of the Defendant’s Testimony at the Time Parker Spoke to Investigators and the Evidence Discovered on November 5, 2023, was Discovered Solely as a Result of Parker’s Testimony.</w:t>
          </w:r>
          <w:r>
            <w:tab/>
          </w:r>
          <w:r w:rsidRPr="00044580">
            <w:rPr>
              <w:i w:val="0"/>
              <w:iCs w:val="0"/>
            </w:rPr>
            <w:fldChar w:fldCharType="begin"/>
          </w:r>
          <w:r w:rsidRPr="00044580">
            <w:rPr>
              <w:i w:val="0"/>
              <w:iCs w:val="0"/>
            </w:rPr>
            <w:instrText xml:space="preserve"> PAGEREF _Toc239164088 \h </w:instrText>
          </w:r>
          <w:r w:rsidRPr="00044580">
            <w:rPr>
              <w:i w:val="0"/>
              <w:iCs w:val="0"/>
            </w:rPr>
          </w:r>
          <w:r w:rsidRPr="00044580">
            <w:rPr>
              <w:i w:val="0"/>
              <w:iCs w:val="0"/>
            </w:rPr>
            <w:fldChar w:fldCharType="separate"/>
          </w:r>
          <w:r w:rsidR="00F936A3">
            <w:rPr>
              <w:i w:val="0"/>
              <w:iCs w:val="0"/>
            </w:rPr>
            <w:t>8</w:t>
          </w:r>
          <w:r w:rsidRPr="00044580">
            <w:rPr>
              <w:i w:val="0"/>
              <w:iCs w:val="0"/>
            </w:rPr>
            <w:fldChar w:fldCharType="end"/>
          </w:r>
        </w:p>
        <w:p w14:paraId="3D0997B6" w14:textId="5ED9A6FA" w:rsidR="00FD6ADC" w:rsidRDefault="00FD6ADC" w:rsidP="00F936A3">
          <w:pPr>
            <w:pStyle w:val="TOC3"/>
            <w:jc w:val="both"/>
            <w:rPr>
              <w:rFonts w:asciiTheme="minorHAnsi" w:eastAsiaTheme="minorEastAsia" w:hAnsiTheme="minorHAnsi"/>
              <w:i w:val="0"/>
              <w:iCs w:val="0"/>
            </w:rPr>
          </w:pPr>
          <w:r>
            <w:t>C.</w:t>
          </w:r>
          <w:r>
            <w:rPr>
              <w:rFonts w:asciiTheme="minorHAnsi" w:eastAsiaTheme="minorEastAsia" w:hAnsiTheme="minorHAnsi"/>
              <w:i w:val="0"/>
              <w:iCs w:val="0"/>
            </w:rPr>
            <w:tab/>
          </w:r>
          <w:r w:rsidRPr="00A905EE">
            <w:rPr>
              <w:color w:val="000000" w:themeColor="text1"/>
            </w:rPr>
            <w:t>In the Alternative, a Harmless Error Analysis Shows That the Evidence Sought to Be Excluded Would Have Been Discovered Independently Such That Any Breach Is Merely a Harmless Error.</w:t>
          </w:r>
          <w:r>
            <w:tab/>
          </w:r>
          <w:r w:rsidRPr="00044580">
            <w:rPr>
              <w:i w:val="0"/>
              <w:iCs w:val="0"/>
            </w:rPr>
            <w:fldChar w:fldCharType="begin"/>
          </w:r>
          <w:r w:rsidRPr="00044580">
            <w:rPr>
              <w:i w:val="0"/>
              <w:iCs w:val="0"/>
            </w:rPr>
            <w:instrText xml:space="preserve"> PAGEREF _Toc239164089 \h </w:instrText>
          </w:r>
          <w:r w:rsidRPr="00044580">
            <w:rPr>
              <w:i w:val="0"/>
              <w:iCs w:val="0"/>
            </w:rPr>
          </w:r>
          <w:r w:rsidRPr="00044580">
            <w:rPr>
              <w:i w:val="0"/>
              <w:iCs w:val="0"/>
            </w:rPr>
            <w:fldChar w:fldCharType="separate"/>
          </w:r>
          <w:r w:rsidR="00F936A3">
            <w:rPr>
              <w:i w:val="0"/>
              <w:iCs w:val="0"/>
            </w:rPr>
            <w:t>9</w:t>
          </w:r>
          <w:r w:rsidRPr="00044580">
            <w:rPr>
              <w:i w:val="0"/>
              <w:iCs w:val="0"/>
            </w:rPr>
            <w:fldChar w:fldCharType="end"/>
          </w:r>
        </w:p>
        <w:p w14:paraId="340DE3BB" w14:textId="7B929374" w:rsidR="00FD6ADC" w:rsidRDefault="00FD6ADC" w:rsidP="00F936A3">
          <w:pPr>
            <w:pStyle w:val="TOC2"/>
            <w:jc w:val="both"/>
            <w:rPr>
              <w:rFonts w:asciiTheme="minorHAnsi" w:eastAsiaTheme="minorEastAsia" w:hAnsiTheme="minorHAnsi"/>
              <w:b w:val="0"/>
              <w:bCs w:val="0"/>
            </w:rPr>
          </w:pPr>
          <w:r>
            <w:t>II.</w:t>
          </w:r>
          <w:r>
            <w:rPr>
              <w:rFonts w:asciiTheme="minorHAnsi" w:eastAsiaTheme="minorEastAsia" w:hAnsiTheme="minorHAnsi"/>
              <w:b w:val="0"/>
              <w:bCs w:val="0"/>
            </w:rPr>
            <w:tab/>
          </w:r>
          <w:r w:rsidRPr="00A905EE">
            <w:rPr>
              <w:color w:val="000000" w:themeColor="text1"/>
            </w:rPr>
            <w:t>The Court Should Deny the Defense’s Motion to Quash the Production of Any and All Records of Maddox Armana’s Interview with Sierra Seton on February 15, 2024, Because the Evidence Sought Is Admissible.</w:t>
          </w:r>
          <w:r>
            <w:tab/>
          </w:r>
          <w:r>
            <w:fldChar w:fldCharType="begin"/>
          </w:r>
          <w:r>
            <w:instrText xml:space="preserve"> PAGEREF _Toc239164090 \h </w:instrText>
          </w:r>
          <w:r>
            <w:fldChar w:fldCharType="separate"/>
          </w:r>
          <w:r w:rsidR="00F936A3">
            <w:t>11</w:t>
          </w:r>
          <w:r>
            <w:fldChar w:fldCharType="end"/>
          </w:r>
        </w:p>
        <w:p w14:paraId="13E642C5" w14:textId="6021142A" w:rsidR="00FD6ADC" w:rsidRDefault="00FD6ADC" w:rsidP="00F936A3">
          <w:pPr>
            <w:pStyle w:val="TOC3"/>
            <w:jc w:val="both"/>
            <w:rPr>
              <w:rFonts w:asciiTheme="minorHAnsi" w:eastAsiaTheme="minorEastAsia" w:hAnsiTheme="minorHAnsi"/>
              <w:i w:val="0"/>
              <w:iCs w:val="0"/>
            </w:rPr>
          </w:pPr>
          <w:r>
            <w:t>A.</w:t>
          </w:r>
          <w:r>
            <w:rPr>
              <w:rFonts w:asciiTheme="minorHAnsi" w:eastAsiaTheme="minorEastAsia" w:hAnsiTheme="minorHAnsi"/>
              <w:i w:val="0"/>
              <w:iCs w:val="0"/>
            </w:rPr>
            <w:tab/>
          </w:r>
          <w:r>
            <w:t>The Defense Cannot Meet the Burden Required for the Motion to Quash Because This Subpoena Will Not Reveal the Defense’s Trial Strategy and the Information Sought Is Admissible.</w:t>
          </w:r>
          <w:r>
            <w:tab/>
          </w:r>
          <w:r w:rsidRPr="00044580">
            <w:rPr>
              <w:i w:val="0"/>
              <w:iCs w:val="0"/>
            </w:rPr>
            <w:fldChar w:fldCharType="begin"/>
          </w:r>
          <w:r w:rsidRPr="00044580">
            <w:rPr>
              <w:i w:val="0"/>
              <w:iCs w:val="0"/>
            </w:rPr>
            <w:instrText xml:space="preserve"> PAGEREF _Toc239164091 \h </w:instrText>
          </w:r>
          <w:r w:rsidRPr="00044580">
            <w:rPr>
              <w:i w:val="0"/>
              <w:iCs w:val="0"/>
            </w:rPr>
          </w:r>
          <w:r w:rsidRPr="00044580">
            <w:rPr>
              <w:i w:val="0"/>
              <w:iCs w:val="0"/>
            </w:rPr>
            <w:fldChar w:fldCharType="separate"/>
          </w:r>
          <w:r w:rsidR="00F936A3">
            <w:rPr>
              <w:i w:val="0"/>
              <w:iCs w:val="0"/>
            </w:rPr>
            <w:t>11</w:t>
          </w:r>
          <w:r w:rsidRPr="00044580">
            <w:rPr>
              <w:i w:val="0"/>
              <w:iCs w:val="0"/>
            </w:rPr>
            <w:fldChar w:fldCharType="end"/>
          </w:r>
        </w:p>
        <w:p w14:paraId="039C3E23" w14:textId="1C36BF20" w:rsidR="00FD6ADC" w:rsidRDefault="00FD6ADC" w:rsidP="00F936A3">
          <w:pPr>
            <w:pStyle w:val="TOC4"/>
            <w:jc w:val="both"/>
            <w:rPr>
              <w:rFonts w:asciiTheme="minorHAnsi" w:eastAsiaTheme="minorEastAsia" w:hAnsiTheme="minorHAnsi"/>
              <w:i w:val="0"/>
              <w:iCs w:val="0"/>
            </w:rPr>
          </w:pPr>
          <w:r>
            <w:t>i.</w:t>
          </w:r>
          <w:r>
            <w:rPr>
              <w:rFonts w:asciiTheme="minorHAnsi" w:eastAsiaTheme="minorEastAsia" w:hAnsiTheme="minorHAnsi"/>
              <w:i w:val="0"/>
              <w:iCs w:val="0"/>
            </w:rPr>
            <w:tab/>
          </w:r>
          <w:r>
            <w:t>The Defense Cannot Meet Its Burden to Demonstrate that the Subpoena Duces Tecum Is Inadmissible Due to Work Product Privilege.</w:t>
          </w:r>
          <w:r>
            <w:tab/>
          </w:r>
          <w:r w:rsidRPr="00044580">
            <w:rPr>
              <w:i w:val="0"/>
              <w:iCs w:val="0"/>
            </w:rPr>
            <w:fldChar w:fldCharType="begin"/>
          </w:r>
          <w:r w:rsidRPr="00044580">
            <w:rPr>
              <w:i w:val="0"/>
              <w:iCs w:val="0"/>
            </w:rPr>
            <w:instrText xml:space="preserve"> PAGEREF _Toc239164092 \h </w:instrText>
          </w:r>
          <w:r w:rsidRPr="00044580">
            <w:rPr>
              <w:i w:val="0"/>
              <w:iCs w:val="0"/>
            </w:rPr>
          </w:r>
          <w:r w:rsidRPr="00044580">
            <w:rPr>
              <w:i w:val="0"/>
              <w:iCs w:val="0"/>
            </w:rPr>
            <w:fldChar w:fldCharType="separate"/>
          </w:r>
          <w:r w:rsidR="00F936A3">
            <w:rPr>
              <w:i w:val="0"/>
              <w:iCs w:val="0"/>
            </w:rPr>
            <w:t>12</w:t>
          </w:r>
          <w:r w:rsidRPr="00044580">
            <w:rPr>
              <w:i w:val="0"/>
              <w:iCs w:val="0"/>
            </w:rPr>
            <w:fldChar w:fldCharType="end"/>
          </w:r>
        </w:p>
        <w:p w14:paraId="1C086B88" w14:textId="1D5E8472" w:rsidR="00FD6ADC" w:rsidRDefault="00FD6ADC" w:rsidP="00F936A3">
          <w:pPr>
            <w:pStyle w:val="TOC4"/>
            <w:jc w:val="both"/>
            <w:rPr>
              <w:rFonts w:asciiTheme="minorHAnsi" w:eastAsiaTheme="minorEastAsia" w:hAnsiTheme="minorHAnsi"/>
              <w:i w:val="0"/>
              <w:iCs w:val="0"/>
            </w:rPr>
          </w:pPr>
          <w:r>
            <w:t>ii.</w:t>
          </w:r>
          <w:r>
            <w:rPr>
              <w:rFonts w:asciiTheme="minorHAnsi" w:eastAsiaTheme="minorEastAsia" w:hAnsiTheme="minorHAnsi"/>
              <w:i w:val="0"/>
              <w:iCs w:val="0"/>
            </w:rPr>
            <w:tab/>
          </w:r>
          <w:r>
            <w:t>The Subpoena Will Not Reveal the Defense’s Trial Strategy Because the Court Can Review the Records In Camera and Strike Any Opinion Work Product.</w:t>
          </w:r>
          <w:r>
            <w:tab/>
          </w:r>
          <w:r w:rsidRPr="00044580">
            <w:rPr>
              <w:i w:val="0"/>
              <w:iCs w:val="0"/>
            </w:rPr>
            <w:fldChar w:fldCharType="begin"/>
          </w:r>
          <w:r w:rsidRPr="00044580">
            <w:rPr>
              <w:i w:val="0"/>
              <w:iCs w:val="0"/>
            </w:rPr>
            <w:instrText xml:space="preserve"> PAGEREF _Toc239164093 \h </w:instrText>
          </w:r>
          <w:r w:rsidRPr="00044580">
            <w:rPr>
              <w:i w:val="0"/>
              <w:iCs w:val="0"/>
            </w:rPr>
          </w:r>
          <w:r w:rsidRPr="00044580">
            <w:rPr>
              <w:i w:val="0"/>
              <w:iCs w:val="0"/>
            </w:rPr>
            <w:fldChar w:fldCharType="separate"/>
          </w:r>
          <w:r w:rsidR="00F936A3">
            <w:rPr>
              <w:i w:val="0"/>
              <w:iCs w:val="0"/>
            </w:rPr>
            <w:t>13</w:t>
          </w:r>
          <w:r w:rsidRPr="00044580">
            <w:rPr>
              <w:i w:val="0"/>
              <w:iCs w:val="0"/>
            </w:rPr>
            <w:fldChar w:fldCharType="end"/>
          </w:r>
        </w:p>
        <w:p w14:paraId="0A11F755" w14:textId="3600A9FB" w:rsidR="00FD6ADC" w:rsidRDefault="00FD6ADC" w:rsidP="00F936A3">
          <w:pPr>
            <w:pStyle w:val="TOC3"/>
            <w:jc w:val="both"/>
            <w:rPr>
              <w:rFonts w:asciiTheme="minorHAnsi" w:eastAsiaTheme="minorEastAsia" w:hAnsiTheme="minorHAnsi"/>
              <w:i w:val="0"/>
              <w:iCs w:val="0"/>
            </w:rPr>
          </w:pPr>
          <w:r w:rsidRPr="00A905EE">
            <w:rPr>
              <w:color w:val="000000" w:themeColor="text1"/>
            </w:rPr>
            <w:lastRenderedPageBreak/>
            <w:t>B.</w:t>
          </w:r>
          <w:r>
            <w:rPr>
              <w:rFonts w:asciiTheme="minorHAnsi" w:eastAsiaTheme="minorEastAsia" w:hAnsiTheme="minorHAnsi"/>
              <w:i w:val="0"/>
              <w:iCs w:val="0"/>
            </w:rPr>
            <w:tab/>
          </w:r>
          <w:r w:rsidRPr="00A905EE">
            <w:rPr>
              <w:color w:val="000000" w:themeColor="text1"/>
            </w:rPr>
            <w:t>The Defense’s Assertion of Attorney Work Product Privilege Does Not Prevent the Admissibility of the Factual Basis of Armana’s Interview Records.</w:t>
          </w:r>
          <w:r>
            <w:tab/>
          </w:r>
          <w:r w:rsidRPr="00044580">
            <w:rPr>
              <w:i w:val="0"/>
              <w:iCs w:val="0"/>
            </w:rPr>
            <w:fldChar w:fldCharType="begin"/>
          </w:r>
          <w:r w:rsidRPr="00044580">
            <w:rPr>
              <w:i w:val="0"/>
              <w:iCs w:val="0"/>
            </w:rPr>
            <w:instrText xml:space="preserve"> PAGEREF _Toc239164094 \h </w:instrText>
          </w:r>
          <w:r w:rsidRPr="00044580">
            <w:rPr>
              <w:i w:val="0"/>
              <w:iCs w:val="0"/>
            </w:rPr>
          </w:r>
          <w:r w:rsidRPr="00044580">
            <w:rPr>
              <w:i w:val="0"/>
              <w:iCs w:val="0"/>
            </w:rPr>
            <w:fldChar w:fldCharType="separate"/>
          </w:r>
          <w:r w:rsidR="00F936A3">
            <w:rPr>
              <w:i w:val="0"/>
              <w:iCs w:val="0"/>
            </w:rPr>
            <w:t>14</w:t>
          </w:r>
          <w:r w:rsidRPr="00044580">
            <w:rPr>
              <w:i w:val="0"/>
              <w:iCs w:val="0"/>
            </w:rPr>
            <w:fldChar w:fldCharType="end"/>
          </w:r>
        </w:p>
        <w:p w14:paraId="6E4A30D2" w14:textId="723FFBE7" w:rsidR="00FD6ADC" w:rsidRDefault="00FD6ADC" w:rsidP="00F936A3">
          <w:pPr>
            <w:pStyle w:val="TOC3"/>
            <w:jc w:val="both"/>
            <w:rPr>
              <w:rFonts w:asciiTheme="minorHAnsi" w:eastAsiaTheme="minorEastAsia" w:hAnsiTheme="minorHAnsi"/>
              <w:i w:val="0"/>
              <w:iCs w:val="0"/>
            </w:rPr>
          </w:pPr>
          <w:r w:rsidRPr="00A905EE">
            <w:rPr>
              <w:color w:val="000000" w:themeColor="text1"/>
            </w:rPr>
            <w:t>C.</w:t>
          </w:r>
          <w:r>
            <w:rPr>
              <w:rFonts w:asciiTheme="minorHAnsi" w:eastAsiaTheme="minorEastAsia" w:hAnsiTheme="minorHAnsi"/>
              <w:i w:val="0"/>
              <w:iCs w:val="0"/>
            </w:rPr>
            <w:tab/>
          </w:r>
          <w:r w:rsidRPr="00A905EE">
            <w:rPr>
              <w:color w:val="000000" w:themeColor="text1"/>
            </w:rPr>
            <w:t>Solely in the Alternative, if the Notes from Armana’s Interview are Protected Work Product, then Armana’s Testimony Regarding Any Aspect of those Interviews Waives Said Protection.</w:t>
          </w:r>
          <w:r>
            <w:tab/>
          </w:r>
          <w:r w:rsidRPr="00044580">
            <w:rPr>
              <w:i w:val="0"/>
              <w:iCs w:val="0"/>
            </w:rPr>
            <w:fldChar w:fldCharType="begin"/>
          </w:r>
          <w:r w:rsidRPr="00044580">
            <w:rPr>
              <w:i w:val="0"/>
              <w:iCs w:val="0"/>
            </w:rPr>
            <w:instrText xml:space="preserve"> PAGEREF _Toc239164095 \h </w:instrText>
          </w:r>
          <w:r w:rsidRPr="00044580">
            <w:rPr>
              <w:i w:val="0"/>
              <w:iCs w:val="0"/>
            </w:rPr>
          </w:r>
          <w:r w:rsidRPr="00044580">
            <w:rPr>
              <w:i w:val="0"/>
              <w:iCs w:val="0"/>
            </w:rPr>
            <w:fldChar w:fldCharType="separate"/>
          </w:r>
          <w:r w:rsidR="00F936A3">
            <w:rPr>
              <w:i w:val="0"/>
              <w:iCs w:val="0"/>
            </w:rPr>
            <w:t>16</w:t>
          </w:r>
          <w:r w:rsidRPr="00044580">
            <w:rPr>
              <w:i w:val="0"/>
              <w:iCs w:val="0"/>
            </w:rPr>
            <w:fldChar w:fldCharType="end"/>
          </w:r>
        </w:p>
        <w:p w14:paraId="2F3FEA4A" w14:textId="422EF214" w:rsidR="00FD6ADC" w:rsidRDefault="00FD6ADC" w:rsidP="00F936A3">
          <w:pPr>
            <w:pStyle w:val="TOC1"/>
            <w:tabs>
              <w:tab w:val="right" w:leader="dot" w:pos="9350"/>
            </w:tabs>
            <w:jc w:val="both"/>
            <w:rPr>
              <w:rFonts w:asciiTheme="minorHAnsi" w:eastAsiaTheme="minorEastAsia" w:hAnsiTheme="minorHAnsi"/>
              <w:noProof/>
            </w:rPr>
          </w:pPr>
          <w:r w:rsidRPr="00A905EE">
            <w:rPr>
              <w:rFonts w:eastAsia="Times New Roman" w:cs="Times New Roman"/>
              <w:noProof/>
              <w:color w:val="000000" w:themeColor="text1"/>
            </w:rPr>
            <w:t>CONCLUSION</w:t>
          </w:r>
          <w:r>
            <w:rPr>
              <w:noProof/>
            </w:rPr>
            <w:tab/>
          </w:r>
          <w:r>
            <w:rPr>
              <w:noProof/>
            </w:rPr>
            <w:fldChar w:fldCharType="begin"/>
          </w:r>
          <w:r>
            <w:rPr>
              <w:noProof/>
            </w:rPr>
            <w:instrText xml:space="preserve"> PAGEREF _Toc239164096 \h </w:instrText>
          </w:r>
          <w:r>
            <w:rPr>
              <w:noProof/>
            </w:rPr>
          </w:r>
          <w:r>
            <w:rPr>
              <w:noProof/>
            </w:rPr>
            <w:fldChar w:fldCharType="separate"/>
          </w:r>
          <w:r w:rsidR="00F936A3">
            <w:rPr>
              <w:noProof/>
            </w:rPr>
            <w:t>18</w:t>
          </w:r>
          <w:r>
            <w:rPr>
              <w:noProof/>
            </w:rPr>
            <w:fldChar w:fldCharType="end"/>
          </w:r>
        </w:p>
        <w:p w14:paraId="7FECF5BD" w14:textId="420BF86B" w:rsidR="00764A46" w:rsidRPr="00814D15" w:rsidRDefault="002E24F7" w:rsidP="002B7634">
          <w:pPr>
            <w:rPr>
              <w:rFonts w:cs="Times New Roman"/>
              <w:sz w:val="26"/>
              <w:szCs w:val="26"/>
            </w:rPr>
          </w:pPr>
          <w:r>
            <w:rPr>
              <w:rFonts w:cs="Times New Roman"/>
              <w:sz w:val="26"/>
              <w:szCs w:val="26"/>
            </w:rPr>
            <w:fldChar w:fldCharType="end"/>
          </w:r>
        </w:p>
      </w:sdtContent>
    </w:sdt>
    <w:p w14:paraId="1B467690" w14:textId="2EE2DD9E" w:rsidR="006A2C06" w:rsidRDefault="00AB20A1" w:rsidP="007B3872">
      <w:r>
        <w:br w:type="page"/>
      </w:r>
    </w:p>
    <w:p w14:paraId="7F5F9943" w14:textId="20136C53" w:rsidR="005F7415" w:rsidRDefault="00C95F48" w:rsidP="00C95F48">
      <w:pPr>
        <w:pStyle w:val="Heading1"/>
      </w:pPr>
      <w:bookmarkStart w:id="11" w:name="_Toc239164082"/>
      <w:r>
        <w:lastRenderedPageBreak/>
        <w:t>TABLE OF AUTHORITIES</w:t>
      </w:r>
      <w:bookmarkEnd w:id="11"/>
    </w:p>
    <w:p w14:paraId="63391130" w14:textId="77777777" w:rsidR="00BB4AB8" w:rsidRDefault="00BB4AB8">
      <w:pPr>
        <w:pStyle w:val="TOAHeading"/>
        <w:tabs>
          <w:tab w:val="right" w:leader="dot" w:pos="9350"/>
        </w:tabs>
        <w:rPr>
          <w:rFonts w:asciiTheme="minorHAnsi" w:eastAsiaTheme="minorEastAsia" w:hAnsiTheme="minorHAnsi" w:cstheme="minorBidi"/>
          <w:b w:val="0"/>
          <w:bCs w:val="0"/>
          <w:noProof/>
        </w:rPr>
      </w:pPr>
      <w:r>
        <w:fldChar w:fldCharType="begin"/>
      </w:r>
      <w:r>
        <w:instrText xml:space="preserve"> TOA \h \c "1" </w:instrText>
      </w:r>
      <w:r>
        <w:fldChar w:fldCharType="separate"/>
      </w:r>
      <w:r>
        <w:rPr>
          <w:noProof/>
        </w:rPr>
        <w:t>Cases</w:t>
      </w:r>
    </w:p>
    <w:p w14:paraId="1F554551"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Chapman v. California</w:t>
      </w:r>
      <w:r w:rsidRPr="002E4083">
        <w:rPr>
          <w:rFonts w:eastAsia="Times New Roman" w:cs="Times New Roman"/>
          <w:noProof/>
          <w:color w:val="000000" w:themeColor="text1"/>
        </w:rPr>
        <w:t>, 386 U.S. 18 (1967).</w:t>
      </w:r>
      <w:r>
        <w:rPr>
          <w:noProof/>
        </w:rPr>
        <w:tab/>
        <w:t>9</w:t>
      </w:r>
    </w:p>
    <w:p w14:paraId="2550F6F7"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Hickman v. Taylor</w:t>
      </w:r>
      <w:r w:rsidRPr="002E4083">
        <w:rPr>
          <w:rFonts w:eastAsia="Times New Roman" w:cs="Times New Roman"/>
          <w:noProof/>
          <w:color w:val="000000" w:themeColor="text1"/>
        </w:rPr>
        <w:t>, 329 U.S.495 (1947).</w:t>
      </w:r>
      <w:r>
        <w:rPr>
          <w:noProof/>
        </w:rPr>
        <w:tab/>
        <w:t>15</w:t>
      </w:r>
    </w:p>
    <w:p w14:paraId="2E1F2099"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In re Grand Jury Subpoenas Dated March 19, 2002 and August 2, 2002</w:t>
      </w:r>
      <w:r w:rsidRPr="002E4083">
        <w:rPr>
          <w:rFonts w:eastAsia="Times New Roman" w:cs="Times New Roman"/>
          <w:noProof/>
          <w:color w:val="000000" w:themeColor="text1"/>
        </w:rPr>
        <w:t>, 318 F.3d 379 (2d Cir. 2003).</w:t>
      </w:r>
      <w:r>
        <w:rPr>
          <w:noProof/>
        </w:rPr>
        <w:tab/>
        <w:t>12</w:t>
      </w:r>
    </w:p>
    <w:p w14:paraId="7B325044"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Kastigar v. United States</w:t>
      </w:r>
      <w:r w:rsidRPr="002E4083">
        <w:rPr>
          <w:rFonts w:eastAsia="Times New Roman" w:cs="Times New Roman"/>
          <w:noProof/>
          <w:color w:val="000000" w:themeColor="text1"/>
        </w:rPr>
        <w:t>, 406 U.S. 441 (1972).</w:t>
      </w:r>
      <w:r>
        <w:rPr>
          <w:noProof/>
        </w:rPr>
        <w:tab/>
        <w:t>5</w:t>
      </w:r>
    </w:p>
    <w:p w14:paraId="543E33DE"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Murray v. United States</w:t>
      </w:r>
      <w:r w:rsidRPr="002E4083">
        <w:rPr>
          <w:rFonts w:eastAsia="Times New Roman" w:cs="Times New Roman"/>
          <w:noProof/>
          <w:color w:val="000000" w:themeColor="text1"/>
        </w:rPr>
        <w:t>, 487 U.S. 537 (1988).</w:t>
      </w:r>
      <w:r>
        <w:rPr>
          <w:noProof/>
        </w:rPr>
        <w:tab/>
        <w:t>6</w:t>
      </w:r>
    </w:p>
    <w:p w14:paraId="7158AC87"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 xml:space="preserve">Nichols v. Bell, </w:t>
      </w:r>
      <w:r w:rsidRPr="002E4083">
        <w:rPr>
          <w:rFonts w:eastAsia="Times New Roman" w:cs="Times New Roman"/>
          <w:noProof/>
          <w:color w:val="000000" w:themeColor="text1"/>
        </w:rPr>
        <w:t>440 F.Supp.2d 730 (E.D. Tenn. 2006).</w:t>
      </w:r>
      <w:r>
        <w:rPr>
          <w:noProof/>
        </w:rPr>
        <w:tab/>
        <w:t>14, 15</w:t>
      </w:r>
    </w:p>
    <w:p w14:paraId="71DFB1EC"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U.S. Sec. &amp; Exch. Comm’n. v. Sentinel Mgmt. Grp., Inc.</w:t>
      </w:r>
      <w:r w:rsidRPr="002E4083">
        <w:rPr>
          <w:rFonts w:eastAsia="Times New Roman" w:cs="Times New Roman"/>
          <w:noProof/>
          <w:color w:val="000000" w:themeColor="text1"/>
        </w:rPr>
        <w:t>, No. 07 C 4684, 2010 WL 4977220 (N.D. Ill. Dec. 2, 2010).</w:t>
      </w:r>
      <w:r>
        <w:rPr>
          <w:noProof/>
        </w:rPr>
        <w:tab/>
        <w:t>13</w:t>
      </w:r>
    </w:p>
    <w:p w14:paraId="2DB9A6BE"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August</w:t>
      </w:r>
      <w:r w:rsidRPr="002E4083">
        <w:rPr>
          <w:rFonts w:eastAsia="Times New Roman" w:cs="Times New Roman"/>
          <w:noProof/>
          <w:color w:val="000000" w:themeColor="text1"/>
        </w:rPr>
        <w:t>, 136 F.4th 595 (5th Cir. 2025).</w:t>
      </w:r>
      <w:r>
        <w:rPr>
          <w:noProof/>
        </w:rPr>
        <w:tab/>
        <w:t>5, 6</w:t>
      </w:r>
    </w:p>
    <w:p w14:paraId="463E922D"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Gallo</w:t>
      </w:r>
      <w:r w:rsidRPr="002E4083">
        <w:rPr>
          <w:rFonts w:eastAsia="Times New Roman" w:cs="Times New Roman"/>
          <w:noProof/>
          <w:color w:val="000000" w:themeColor="text1"/>
        </w:rPr>
        <w:t>, 859 F.2d 1078 (2d Cir. 1988).</w:t>
      </w:r>
      <w:r>
        <w:rPr>
          <w:noProof/>
        </w:rPr>
        <w:tab/>
        <w:t>10</w:t>
      </w:r>
    </w:p>
    <w:p w14:paraId="697AA94D"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Hearn</w:t>
      </w:r>
      <w:r w:rsidRPr="002E4083">
        <w:rPr>
          <w:rFonts w:eastAsia="Times New Roman" w:cs="Times New Roman"/>
          <w:noProof/>
          <w:color w:val="000000" w:themeColor="text1"/>
        </w:rPr>
        <w:t>, 563 F.3d 95 (5th Cir. 2009).</w:t>
      </w:r>
      <w:r>
        <w:rPr>
          <w:noProof/>
        </w:rPr>
        <w:tab/>
        <w:t>6</w:t>
      </w:r>
    </w:p>
    <w:p w14:paraId="21BDF0D3"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Hill</w:t>
      </w:r>
      <w:r w:rsidRPr="002E4083">
        <w:rPr>
          <w:rFonts w:eastAsia="Times New Roman" w:cs="Times New Roman"/>
          <w:noProof/>
          <w:color w:val="000000" w:themeColor="text1"/>
        </w:rPr>
        <w:t>, 776 F.3d 243 (4th Cir. 2015)</w:t>
      </w:r>
      <w:r>
        <w:rPr>
          <w:noProof/>
        </w:rPr>
        <w:tab/>
        <w:t>6</w:t>
      </w:r>
    </w:p>
    <w:p w14:paraId="0ECCA02D"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Nixon</w:t>
      </w:r>
      <w:r w:rsidRPr="002E4083">
        <w:rPr>
          <w:rFonts w:eastAsia="Times New Roman" w:cs="Times New Roman"/>
          <w:noProof/>
          <w:color w:val="000000" w:themeColor="text1"/>
        </w:rPr>
        <w:t>, 418 U.S. 683 (1974).</w:t>
      </w:r>
      <w:r>
        <w:rPr>
          <w:noProof/>
        </w:rPr>
        <w:tab/>
        <w:t>11, 12</w:t>
      </w:r>
    </w:p>
    <w:p w14:paraId="5B29A9CD"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Nobles</w:t>
      </w:r>
      <w:r w:rsidRPr="002E4083">
        <w:rPr>
          <w:rFonts w:eastAsia="Times New Roman" w:cs="Times New Roman"/>
          <w:noProof/>
          <w:color w:val="000000" w:themeColor="text1"/>
        </w:rPr>
        <w:t>, 422 U.S. 225 (1975).</w:t>
      </w:r>
      <w:r>
        <w:rPr>
          <w:noProof/>
        </w:rPr>
        <w:tab/>
        <w:t>11, 13, 14, 15, 16</w:t>
      </w:r>
    </w:p>
    <w:p w14:paraId="6863F3F0"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North</w:t>
      </w:r>
      <w:r w:rsidRPr="002E4083">
        <w:rPr>
          <w:rFonts w:eastAsia="Times New Roman" w:cs="Times New Roman"/>
          <w:noProof/>
          <w:color w:val="000000" w:themeColor="text1"/>
        </w:rPr>
        <w:t>, 920 F.2d 940 (D.C. Cir. 1990).</w:t>
      </w:r>
      <w:r>
        <w:rPr>
          <w:noProof/>
        </w:rPr>
        <w:tab/>
        <w:t>5, 9</w:t>
      </w:r>
    </w:p>
    <w:p w14:paraId="5D922F8D"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Pelletier</w:t>
      </w:r>
      <w:r w:rsidRPr="002E4083">
        <w:rPr>
          <w:rFonts w:eastAsia="Times New Roman" w:cs="Times New Roman"/>
          <w:noProof/>
          <w:color w:val="000000" w:themeColor="text1"/>
        </w:rPr>
        <w:t>, 898 F.2d 297 (2d Cir. 1990).</w:t>
      </w:r>
      <w:r>
        <w:rPr>
          <w:noProof/>
        </w:rPr>
        <w:tab/>
        <w:t>9</w:t>
      </w:r>
    </w:p>
    <w:p w14:paraId="4C372D9B"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Ponds</w:t>
      </w:r>
      <w:r w:rsidRPr="002E4083">
        <w:rPr>
          <w:rFonts w:eastAsia="Times New Roman" w:cs="Times New Roman"/>
          <w:noProof/>
          <w:color w:val="000000" w:themeColor="text1"/>
        </w:rPr>
        <w:t>, 454 F.3d 313 (D.C. Cir. 2006).</w:t>
      </w:r>
      <w:r>
        <w:rPr>
          <w:noProof/>
        </w:rPr>
        <w:tab/>
        <w:t>9, 10</w:t>
      </w:r>
    </w:p>
    <w:p w14:paraId="7BDD7709" w14:textId="77777777" w:rsidR="00BB4AB8" w:rsidRDefault="00BB4AB8">
      <w:pPr>
        <w:pStyle w:val="TableofAuthorities"/>
        <w:tabs>
          <w:tab w:val="right" w:leader="dot" w:pos="9350"/>
        </w:tabs>
        <w:rPr>
          <w:noProof/>
        </w:rPr>
      </w:pPr>
      <w:r w:rsidRPr="002E4083">
        <w:rPr>
          <w:rFonts w:eastAsia="Times New Roman" w:cs="Times New Roman"/>
          <w:i/>
          <w:iCs/>
          <w:noProof/>
          <w:color w:val="000000" w:themeColor="text1"/>
        </w:rPr>
        <w:t>United States v. Slough</w:t>
      </w:r>
      <w:r w:rsidRPr="002E4083">
        <w:rPr>
          <w:rFonts w:eastAsia="Times New Roman" w:cs="Times New Roman"/>
          <w:noProof/>
          <w:color w:val="000000" w:themeColor="text1"/>
        </w:rPr>
        <w:t>, 641 F.3d 544 (D.C. Cir. 2011).</w:t>
      </w:r>
      <w:r>
        <w:rPr>
          <w:noProof/>
        </w:rPr>
        <w:tab/>
        <w:t>8</w:t>
      </w:r>
    </w:p>
    <w:p w14:paraId="6ECADAB7" w14:textId="77777777" w:rsidR="00BB4AB8" w:rsidRDefault="00BB4AB8">
      <w:pPr>
        <w:pStyle w:val="TOAHeading"/>
        <w:tabs>
          <w:tab w:val="right" w:leader="dot" w:pos="9350"/>
        </w:tabs>
        <w:rPr>
          <w:rFonts w:asciiTheme="minorHAnsi" w:eastAsiaTheme="minorEastAsia" w:hAnsiTheme="minorHAnsi" w:cstheme="minorBidi"/>
          <w:b w:val="0"/>
          <w:bCs w:val="0"/>
          <w:noProof/>
        </w:rPr>
      </w:pPr>
      <w:r>
        <w:fldChar w:fldCharType="end"/>
      </w:r>
      <w:r>
        <w:fldChar w:fldCharType="begin"/>
      </w:r>
      <w:r>
        <w:instrText xml:space="preserve"> TOA \h \c "2" </w:instrText>
      </w:r>
      <w:r>
        <w:fldChar w:fldCharType="separate"/>
      </w:r>
      <w:r>
        <w:rPr>
          <w:noProof/>
        </w:rPr>
        <w:t>Statutes</w:t>
      </w:r>
    </w:p>
    <w:p w14:paraId="77358C06" w14:textId="77777777" w:rsidR="00BB4AB8" w:rsidRDefault="00BB4AB8">
      <w:pPr>
        <w:pStyle w:val="TableofAuthorities"/>
        <w:tabs>
          <w:tab w:val="right" w:leader="dot" w:pos="9350"/>
        </w:tabs>
        <w:rPr>
          <w:noProof/>
        </w:rPr>
      </w:pPr>
      <w:r w:rsidRPr="00F30658">
        <w:rPr>
          <w:rFonts w:eastAsia="Times New Roman" w:cs="Times New Roman"/>
          <w:noProof/>
          <w:color w:val="000000" w:themeColor="text1"/>
        </w:rPr>
        <w:t>18 U.S.C. § 6002.</w:t>
      </w:r>
      <w:r>
        <w:rPr>
          <w:noProof/>
        </w:rPr>
        <w:tab/>
        <w:t>5</w:t>
      </w:r>
    </w:p>
    <w:p w14:paraId="5C49B199" w14:textId="77777777" w:rsidR="00BB4AB8" w:rsidRDefault="00BB4AB8">
      <w:pPr>
        <w:pStyle w:val="TableofAuthorities"/>
        <w:tabs>
          <w:tab w:val="right" w:leader="dot" w:pos="9350"/>
        </w:tabs>
        <w:rPr>
          <w:noProof/>
        </w:rPr>
      </w:pPr>
      <w:r w:rsidRPr="00F30658">
        <w:rPr>
          <w:rFonts w:eastAsia="Times New Roman" w:cs="Times New Roman"/>
          <w:noProof/>
          <w:color w:val="000000" w:themeColor="text1"/>
        </w:rPr>
        <w:t>18 U.S.C. § 6003.</w:t>
      </w:r>
      <w:r>
        <w:rPr>
          <w:noProof/>
        </w:rPr>
        <w:tab/>
        <w:t>5</w:t>
      </w:r>
    </w:p>
    <w:p w14:paraId="49D0323F" w14:textId="77777777" w:rsidR="00BB4AB8" w:rsidRDefault="00BB4AB8">
      <w:pPr>
        <w:pStyle w:val="TOAHeading"/>
        <w:tabs>
          <w:tab w:val="right" w:leader="dot" w:pos="9350"/>
        </w:tabs>
        <w:rPr>
          <w:rFonts w:asciiTheme="minorHAnsi" w:eastAsiaTheme="minorEastAsia" w:hAnsiTheme="minorHAnsi" w:cstheme="minorBidi"/>
          <w:b w:val="0"/>
          <w:bCs w:val="0"/>
          <w:noProof/>
        </w:rPr>
      </w:pPr>
      <w:r>
        <w:fldChar w:fldCharType="end"/>
      </w:r>
      <w:r>
        <w:fldChar w:fldCharType="begin"/>
      </w:r>
      <w:r>
        <w:instrText xml:space="preserve"> TOA \h \c "4" </w:instrText>
      </w:r>
      <w:r>
        <w:fldChar w:fldCharType="separate"/>
      </w:r>
      <w:r>
        <w:rPr>
          <w:noProof/>
        </w:rPr>
        <w:t>Rules</w:t>
      </w:r>
    </w:p>
    <w:p w14:paraId="532483A3" w14:textId="77777777" w:rsidR="00BB4AB8" w:rsidRDefault="00BB4AB8">
      <w:pPr>
        <w:pStyle w:val="TableofAuthorities"/>
        <w:tabs>
          <w:tab w:val="right" w:leader="dot" w:pos="9350"/>
        </w:tabs>
        <w:rPr>
          <w:noProof/>
        </w:rPr>
      </w:pPr>
      <w:r w:rsidRPr="005D52E7">
        <w:rPr>
          <w:rFonts w:eastAsia="Times New Roman" w:cs="Times New Roman"/>
          <w:noProof/>
          <w:color w:val="000000" w:themeColor="text1"/>
        </w:rPr>
        <w:t>Fed. R. Crim. P. 16(b)(2).</w:t>
      </w:r>
      <w:r>
        <w:rPr>
          <w:noProof/>
        </w:rPr>
        <w:tab/>
        <w:t>11, 14</w:t>
      </w:r>
    </w:p>
    <w:p w14:paraId="3ADADB82" w14:textId="77777777" w:rsidR="00BB4AB8" w:rsidRDefault="00BB4AB8">
      <w:pPr>
        <w:pStyle w:val="TableofAuthorities"/>
        <w:tabs>
          <w:tab w:val="right" w:leader="dot" w:pos="9350"/>
        </w:tabs>
        <w:rPr>
          <w:noProof/>
        </w:rPr>
      </w:pPr>
      <w:r w:rsidRPr="005D52E7">
        <w:rPr>
          <w:rFonts w:eastAsia="Times New Roman" w:cs="Times New Roman"/>
          <w:smallCaps/>
          <w:noProof/>
          <w:color w:val="000000" w:themeColor="text1"/>
        </w:rPr>
        <w:t>Fed. R. Crim. P</w:t>
      </w:r>
      <w:r w:rsidRPr="005D52E7">
        <w:rPr>
          <w:rFonts w:eastAsia="Times New Roman" w:cs="Times New Roman"/>
          <w:noProof/>
          <w:color w:val="000000" w:themeColor="text1"/>
        </w:rPr>
        <w:t>. 17.</w:t>
      </w:r>
      <w:r>
        <w:rPr>
          <w:noProof/>
        </w:rPr>
        <w:tab/>
        <w:t>11</w:t>
      </w:r>
    </w:p>
    <w:p w14:paraId="7923D527" w14:textId="77777777" w:rsidR="00BB4AB8" w:rsidRDefault="00BB4AB8">
      <w:pPr>
        <w:pStyle w:val="TableofAuthorities"/>
        <w:tabs>
          <w:tab w:val="right" w:leader="dot" w:pos="9350"/>
        </w:tabs>
        <w:rPr>
          <w:noProof/>
        </w:rPr>
      </w:pPr>
      <w:r w:rsidRPr="005D52E7">
        <w:rPr>
          <w:rFonts w:eastAsia="Times New Roman" w:cs="Times New Roman"/>
          <w:smallCaps/>
          <w:noProof/>
          <w:color w:val="000000" w:themeColor="text1"/>
        </w:rPr>
        <w:t>Fed. R. Evid</w:t>
      </w:r>
      <w:r w:rsidRPr="005D52E7">
        <w:rPr>
          <w:rFonts w:eastAsia="Times New Roman" w:cs="Times New Roman"/>
          <w:noProof/>
          <w:color w:val="000000" w:themeColor="text1"/>
        </w:rPr>
        <w:t>. 501(a).</w:t>
      </w:r>
      <w:r>
        <w:rPr>
          <w:noProof/>
        </w:rPr>
        <w:tab/>
        <w:t>14</w:t>
      </w:r>
    </w:p>
    <w:p w14:paraId="6EB52B95" w14:textId="77777777" w:rsidR="00BB4AB8" w:rsidRDefault="00BB4AB8">
      <w:pPr>
        <w:pStyle w:val="TableofAuthorities"/>
        <w:tabs>
          <w:tab w:val="right" w:leader="dot" w:pos="9350"/>
        </w:tabs>
        <w:rPr>
          <w:noProof/>
        </w:rPr>
      </w:pPr>
      <w:r w:rsidRPr="005D52E7">
        <w:rPr>
          <w:rFonts w:eastAsia="Times New Roman" w:cs="Times New Roman"/>
          <w:smallCaps/>
          <w:noProof/>
          <w:color w:val="000000" w:themeColor="text1"/>
        </w:rPr>
        <w:t>Fed. R. Evid</w:t>
      </w:r>
      <w:r w:rsidRPr="005D52E7">
        <w:rPr>
          <w:rFonts w:eastAsia="Times New Roman" w:cs="Times New Roman"/>
          <w:noProof/>
          <w:color w:val="000000" w:themeColor="text1"/>
        </w:rPr>
        <w:t>. 502(a).</w:t>
      </w:r>
      <w:r>
        <w:rPr>
          <w:noProof/>
        </w:rPr>
        <w:tab/>
        <w:t>16</w:t>
      </w:r>
    </w:p>
    <w:p w14:paraId="1F397FC9" w14:textId="24A11A09" w:rsidR="00BB4AB8" w:rsidRPr="00C95F48" w:rsidRDefault="00BB4AB8" w:rsidP="00C95F48">
      <w:r>
        <w:fldChar w:fldCharType="end"/>
      </w:r>
    </w:p>
    <w:p w14:paraId="2489DF53" w14:textId="28269503" w:rsidR="00C95F48" w:rsidRPr="005F7415" w:rsidRDefault="00C95F48" w:rsidP="005F7415">
      <w:pPr>
        <w:tabs>
          <w:tab w:val="left" w:pos="1551"/>
        </w:tabs>
        <w:rPr>
          <w:rFonts w:cs="Times New Roman"/>
          <w:sz w:val="26"/>
          <w:szCs w:val="26"/>
        </w:rPr>
        <w:sectPr w:rsidR="00C95F48" w:rsidRPr="005F7415" w:rsidSect="002A6DB2">
          <w:type w:val="continuous"/>
          <w:pgSz w:w="12240" w:h="15840"/>
          <w:pgMar w:top="1440" w:right="1440" w:bottom="1440" w:left="1440" w:header="720" w:footer="720" w:gutter="0"/>
          <w:pgNumType w:fmt="lowerRoman"/>
          <w:cols w:space="720"/>
          <w:docGrid w:linePitch="360"/>
        </w:sectPr>
      </w:pPr>
    </w:p>
    <w:p w14:paraId="6595E28F" w14:textId="1DB0A91C" w:rsidR="6C307211" w:rsidRDefault="6C307211" w:rsidP="6C307211">
      <w:pPr>
        <w:pStyle w:val="Heading1"/>
        <w:spacing w:line="520" w:lineRule="auto"/>
      </w:pPr>
      <w:bookmarkStart w:id="12" w:name="_Toc239164083"/>
      <w:r w:rsidRPr="6C307211">
        <w:rPr>
          <w:rFonts w:eastAsia="Times New Roman" w:cs="Times New Roman"/>
          <w:color w:val="000000" w:themeColor="text1"/>
        </w:rPr>
        <w:lastRenderedPageBreak/>
        <w:t>INTRODUCTION</w:t>
      </w:r>
      <w:bookmarkEnd w:id="12"/>
    </w:p>
    <w:p w14:paraId="53F83627" w14:textId="46CAE3D0" w:rsidR="6C307211" w:rsidRDefault="00FA4206" w:rsidP="00B01F75">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This court must deny both the Defendant’s Motion to Suppress and Motion to Quash. The Defendant’s Motion to Suppress the testimony of Kennedy Parker and the evidence obtained on November 5, 2023, must be denied because both were discovered wholly independent from Defendant Emily Calloway’s compelled, immunized testimony.  The United States thus meets its burden of establishing that the investigative strategy and process where not tainted by the defendant’s testimony. The United States further meets its burden of showing that Kennedy Parker’s testimony has not been shaped by the defendant’s testimony. Together, the United States establishes that the investigation into Emily Calloway remained untainted. </w:t>
      </w:r>
    </w:p>
    <w:p w14:paraId="278669B6" w14:textId="4431CF71" w:rsidR="6C307211" w:rsidRDefault="00FA4206" w:rsidP="00B01F75">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Defendant’s Motion to Quash must be denied. The United States filed a subpoena on Ms. Calloway’s investigator, Maddox Armana, seeking his interview report, which is the only source of the critical facts contained within. The information sought by the United States is relevant, specific and admissible. The subpoena does not seek facts that are inadmissible due to the work product privilege. To qualify for this protection, the Defense has the burden of proof to demonstrate that the subpoena will reveal its trial strategy. It will not be able to do so, and if there is any opinion work product present in the materials, it should be reviewed by this Court in camera and removed. Further, the United States Supreme Court has found the work product privilege to be a qualified privilege, subject to exceptions, which apply in this case. Solely in the alternative, Armana’s testimony regarding any factual undergirding of the interview waives protection over any material that would otherwise be protected by the work product privilege.</w:t>
      </w:r>
      <w:r w:rsidR="00B01F75">
        <w:rPr>
          <w:rFonts w:eastAsia="Times New Roman" w:cs="Times New Roman"/>
          <w:color w:val="000000" w:themeColor="text1"/>
        </w:rPr>
        <w:t xml:space="preserve"> </w:t>
      </w:r>
      <w:r w:rsidR="6C307211" w:rsidRPr="6C307211">
        <w:rPr>
          <w:rFonts w:eastAsia="Times New Roman" w:cs="Times New Roman"/>
          <w:color w:val="000000" w:themeColor="text1"/>
        </w:rPr>
        <w:t>Thus, both Defendant’s Motion to Suppress and Motion to Quash must be denied</w:t>
      </w:r>
      <w:r w:rsidR="00B01F75">
        <w:rPr>
          <w:rFonts w:eastAsia="Times New Roman" w:cs="Times New Roman"/>
          <w:color w:val="000000" w:themeColor="text1"/>
        </w:rPr>
        <w:t xml:space="preserve"> by this Court</w:t>
      </w:r>
      <w:r w:rsidR="6C307211" w:rsidRPr="6C307211">
        <w:rPr>
          <w:rFonts w:eastAsia="Times New Roman" w:cs="Times New Roman"/>
          <w:color w:val="000000" w:themeColor="text1"/>
        </w:rPr>
        <w:t>.</w:t>
      </w:r>
    </w:p>
    <w:p w14:paraId="4E9F26D2" w14:textId="77777777" w:rsidR="0098696C" w:rsidRDefault="0098696C" w:rsidP="00B83759">
      <w:pPr>
        <w:pStyle w:val="Heading1"/>
        <w:spacing w:line="520" w:lineRule="auto"/>
        <w:jc w:val="left"/>
        <w:rPr>
          <w:rFonts w:eastAsia="Times New Roman" w:cs="Times New Roman"/>
          <w:color w:val="000000" w:themeColor="text1"/>
        </w:rPr>
      </w:pPr>
      <w:r>
        <w:rPr>
          <w:rFonts w:eastAsia="Times New Roman" w:cs="Times New Roman"/>
          <w:color w:val="000000" w:themeColor="text1"/>
        </w:rPr>
        <w:br w:type="page"/>
      </w:r>
    </w:p>
    <w:p w14:paraId="067CFE86" w14:textId="716759C7" w:rsidR="6C307211" w:rsidRDefault="6C307211" w:rsidP="6C307211">
      <w:pPr>
        <w:pStyle w:val="Heading1"/>
        <w:spacing w:line="520" w:lineRule="auto"/>
      </w:pPr>
      <w:bookmarkStart w:id="13" w:name="_Toc239164084"/>
      <w:r w:rsidRPr="6C307211">
        <w:rPr>
          <w:rFonts w:eastAsia="Times New Roman" w:cs="Times New Roman"/>
          <w:color w:val="000000" w:themeColor="text1"/>
        </w:rPr>
        <w:lastRenderedPageBreak/>
        <w:t>STATEMENT OF FACTS</w:t>
      </w:r>
      <w:bookmarkEnd w:id="13"/>
    </w:p>
    <w:p w14:paraId="7BA872B2" w14:textId="4A200D54" w:rsidR="6C307211" w:rsidRDefault="00FA4206"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The issues before this court arise from actions by the United States </w:t>
      </w:r>
      <w:r w:rsidR="00B01F75">
        <w:rPr>
          <w:rFonts w:eastAsia="Times New Roman" w:cs="Times New Roman"/>
          <w:color w:val="000000" w:themeColor="text1"/>
        </w:rPr>
        <w:t>of America</w:t>
      </w:r>
      <w:r w:rsidR="6C307211" w:rsidRPr="6C307211">
        <w:rPr>
          <w:rFonts w:eastAsia="Times New Roman" w:cs="Times New Roman"/>
          <w:color w:val="000000" w:themeColor="text1"/>
        </w:rPr>
        <w:t xml:space="preserve"> in the prosecution of Emily Calloway for an indictment filed by a Grand Jury for </w:t>
      </w:r>
      <w:r w:rsidR="00B01F75">
        <w:rPr>
          <w:rFonts w:eastAsia="Times New Roman" w:cs="Times New Roman"/>
          <w:color w:val="000000" w:themeColor="text1"/>
        </w:rPr>
        <w:t xml:space="preserve">the </w:t>
      </w:r>
      <w:r w:rsidR="6C307211" w:rsidRPr="6C307211">
        <w:rPr>
          <w:rFonts w:eastAsia="Times New Roman" w:cs="Times New Roman"/>
          <w:color w:val="000000" w:themeColor="text1"/>
        </w:rPr>
        <w:t>Killing of a Witness under 18 U.S.C. § 1512(a)(1)(c) and Money Laundering Conspiracy under 18 U.S.C. § 1956(h). (R. 7). The factual underpinnings of this case begin in 2018, when Ms. Calloway entered a fifty</w:t>
      </w:r>
      <w:r w:rsidR="00B01F75">
        <w:rPr>
          <w:rFonts w:eastAsia="Times New Roman" w:cs="Times New Roman"/>
          <w:color w:val="000000" w:themeColor="text1"/>
        </w:rPr>
        <w:noBreakHyphen/>
      </w:r>
      <w:r w:rsidR="6C307211" w:rsidRPr="6C307211">
        <w:rPr>
          <w:rFonts w:eastAsia="Times New Roman" w:cs="Times New Roman"/>
          <w:color w:val="000000" w:themeColor="text1"/>
        </w:rPr>
        <w:t>fifty partnership arrangement with Saint Donovan to operate Silver Palms hotel. (R. 9</w:t>
      </w:r>
      <w:r w:rsidR="00696E6C">
        <w:rPr>
          <w:rFonts w:eastAsia="Times New Roman" w:cs="Times New Roman"/>
          <w:color w:val="000000" w:themeColor="text1"/>
        </w:rPr>
        <w:t>-</w:t>
      </w:r>
      <w:r w:rsidR="6C307211" w:rsidRPr="6C307211">
        <w:rPr>
          <w:rFonts w:eastAsia="Times New Roman" w:cs="Times New Roman"/>
          <w:color w:val="000000" w:themeColor="text1"/>
        </w:rPr>
        <w:t>10, lines 76</w:t>
      </w:r>
      <w:r w:rsidR="00696E6C">
        <w:rPr>
          <w:rFonts w:eastAsia="Times New Roman" w:cs="Times New Roman"/>
          <w:color w:val="000000" w:themeColor="text1"/>
        </w:rPr>
        <w:t>-</w:t>
      </w:r>
      <w:r w:rsidR="6C307211" w:rsidRPr="6C307211">
        <w:rPr>
          <w:rFonts w:eastAsia="Times New Roman" w:cs="Times New Roman"/>
          <w:color w:val="000000" w:themeColor="text1"/>
        </w:rPr>
        <w:t xml:space="preserve">78). Donavan took on the financial side of the business while Ms. Calloway was the public face of the business. (R. 10, line 87). </w:t>
      </w:r>
    </w:p>
    <w:p w14:paraId="5CCFA577" w14:textId="7BF98440" w:rsidR="6C307211" w:rsidRDefault="00FA4206"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Daniel Blake was employed at Silver Palms as an accountant. (R. 10, lines 96</w:t>
      </w:r>
      <w:r w:rsidR="00696E6C">
        <w:rPr>
          <w:rFonts w:eastAsia="Times New Roman" w:cs="Times New Roman"/>
          <w:color w:val="000000" w:themeColor="text1"/>
        </w:rPr>
        <w:t>-</w:t>
      </w:r>
      <w:r w:rsidR="6C307211" w:rsidRPr="6C307211">
        <w:rPr>
          <w:rFonts w:eastAsia="Times New Roman" w:cs="Times New Roman"/>
          <w:color w:val="000000" w:themeColor="text1"/>
        </w:rPr>
        <w:t xml:space="preserve">97). </w:t>
      </w:r>
      <w:r w:rsidR="002617BE">
        <w:rPr>
          <w:rFonts w:eastAsia="Times New Roman" w:cs="Times New Roman"/>
          <w:color w:val="000000" w:themeColor="text1"/>
        </w:rPr>
        <w:t>Blake</w:t>
      </w:r>
      <w:r w:rsidR="6C307211" w:rsidRPr="6C307211">
        <w:rPr>
          <w:rFonts w:eastAsia="Times New Roman" w:cs="Times New Roman"/>
          <w:color w:val="000000" w:themeColor="text1"/>
        </w:rPr>
        <w:t xml:space="preserve"> contacted the local law enforcement in October 2023 for discrepancies in the Silver Palms</w:t>
      </w:r>
      <w:r w:rsidR="002C2C2B" w:rsidRPr="002C2C2B">
        <w:rPr>
          <w:rFonts w:eastAsia="Times New Roman" w:cs="Times New Roman"/>
          <w:color w:val="000000" w:themeColor="text1"/>
        </w:rPr>
        <w:t xml:space="preserve"> </w:t>
      </w:r>
      <w:r w:rsidR="002C2C2B" w:rsidRPr="6C307211">
        <w:rPr>
          <w:rFonts w:eastAsia="Times New Roman" w:cs="Times New Roman"/>
          <w:color w:val="000000" w:themeColor="text1"/>
        </w:rPr>
        <w:t>accounts</w:t>
      </w:r>
      <w:r w:rsidR="008C12E0">
        <w:rPr>
          <w:rFonts w:eastAsia="Times New Roman" w:cs="Times New Roman"/>
          <w:color w:val="000000" w:themeColor="text1"/>
        </w:rPr>
        <w:t xml:space="preserve"> related to </w:t>
      </w:r>
      <w:r w:rsidR="00244220">
        <w:rPr>
          <w:rFonts w:eastAsia="Times New Roman" w:cs="Times New Roman"/>
          <w:color w:val="000000" w:themeColor="text1"/>
        </w:rPr>
        <w:t>a vendor,</w:t>
      </w:r>
      <w:r w:rsidR="00244220" w:rsidRPr="00244220">
        <w:rPr>
          <w:rFonts w:eastAsia="Times New Roman" w:cs="Times New Roman"/>
          <w:color w:val="000000" w:themeColor="text1"/>
        </w:rPr>
        <w:t xml:space="preserve"> </w:t>
      </w:r>
      <w:r w:rsidR="00244220" w:rsidRPr="6C307211">
        <w:rPr>
          <w:rFonts w:eastAsia="Times New Roman" w:cs="Times New Roman"/>
          <w:color w:val="000000" w:themeColor="text1"/>
        </w:rPr>
        <w:t>Emerald Coast Consulting, LLC (“Emerald”)</w:t>
      </w:r>
      <w:r w:rsidR="00244220">
        <w:rPr>
          <w:rFonts w:eastAsia="Times New Roman" w:cs="Times New Roman"/>
          <w:color w:val="000000" w:themeColor="text1"/>
        </w:rPr>
        <w:t>, and insufficient documentation of work Emerald allegedly performed</w:t>
      </w:r>
      <w:r w:rsidR="6C307211" w:rsidRPr="6C307211">
        <w:rPr>
          <w:rFonts w:eastAsia="Times New Roman" w:cs="Times New Roman"/>
          <w:color w:val="000000" w:themeColor="text1"/>
        </w:rPr>
        <w:t>. (R. 10, lines 96</w:t>
      </w:r>
      <w:r w:rsidR="00C952B4">
        <w:rPr>
          <w:rFonts w:eastAsia="Times New Roman" w:cs="Times New Roman"/>
          <w:color w:val="000000" w:themeColor="text1"/>
        </w:rPr>
        <w:t>-</w:t>
      </w:r>
      <w:r w:rsidR="6C307211" w:rsidRPr="6C307211">
        <w:rPr>
          <w:rFonts w:eastAsia="Times New Roman" w:cs="Times New Roman"/>
          <w:color w:val="000000" w:themeColor="text1"/>
        </w:rPr>
        <w:t>101</w:t>
      </w:r>
      <w:r w:rsidR="00DF7391">
        <w:rPr>
          <w:rFonts w:eastAsia="Times New Roman" w:cs="Times New Roman"/>
          <w:color w:val="000000" w:themeColor="text1"/>
        </w:rPr>
        <w:t xml:space="preserve">; </w:t>
      </w:r>
      <w:r w:rsidR="00AD462F">
        <w:rPr>
          <w:rFonts w:eastAsia="Times New Roman" w:cs="Times New Roman"/>
          <w:color w:val="000000" w:themeColor="text1"/>
        </w:rPr>
        <w:t>105</w:t>
      </w:r>
      <w:r w:rsidR="00C952B4">
        <w:rPr>
          <w:rFonts w:eastAsia="Times New Roman" w:cs="Times New Roman"/>
          <w:color w:val="000000" w:themeColor="text1"/>
        </w:rPr>
        <w:t>-0</w:t>
      </w:r>
      <w:r w:rsidR="00AD462F">
        <w:rPr>
          <w:rFonts w:eastAsia="Times New Roman" w:cs="Times New Roman"/>
          <w:color w:val="000000" w:themeColor="text1"/>
        </w:rPr>
        <w:t>6</w:t>
      </w:r>
      <w:r w:rsidR="6C307211" w:rsidRPr="6C307211">
        <w:rPr>
          <w:rFonts w:eastAsia="Times New Roman" w:cs="Times New Roman"/>
          <w:color w:val="000000" w:themeColor="text1"/>
        </w:rPr>
        <w:t>). On referral from local police, the FBI launched a financial investigation into Donovan’s financial misdeeds with the Silver Palms hotel. (R. 10, lines 100</w:t>
      </w:r>
      <w:r w:rsidR="00D375DD">
        <w:rPr>
          <w:rFonts w:eastAsia="Times New Roman" w:cs="Times New Roman"/>
          <w:color w:val="000000" w:themeColor="text1"/>
        </w:rPr>
        <w:t>-</w:t>
      </w:r>
      <w:r w:rsidR="6C307211" w:rsidRPr="6C307211">
        <w:rPr>
          <w:rFonts w:eastAsia="Times New Roman" w:cs="Times New Roman"/>
          <w:color w:val="000000" w:themeColor="text1"/>
        </w:rPr>
        <w:t xml:space="preserve">01). Shortly thereafter, on December 12, 2023, </w:t>
      </w:r>
      <w:r w:rsidR="00C702AD">
        <w:rPr>
          <w:rFonts w:eastAsia="Times New Roman" w:cs="Times New Roman"/>
          <w:color w:val="000000" w:themeColor="text1"/>
        </w:rPr>
        <w:t>Blake</w:t>
      </w:r>
      <w:r w:rsidR="6C307211" w:rsidRPr="6C307211">
        <w:rPr>
          <w:rFonts w:eastAsia="Times New Roman" w:cs="Times New Roman"/>
          <w:color w:val="000000" w:themeColor="text1"/>
        </w:rPr>
        <w:t xml:space="preserve"> was murdered in his office at Silver Palms</w:t>
      </w:r>
      <w:r w:rsidR="00AA2567">
        <w:rPr>
          <w:rFonts w:eastAsia="Times New Roman" w:cs="Times New Roman"/>
          <w:color w:val="000000" w:themeColor="text1"/>
        </w:rPr>
        <w:t xml:space="preserve">, expanding the financial investigation </w:t>
      </w:r>
      <w:r w:rsidR="000A60B9">
        <w:rPr>
          <w:rFonts w:eastAsia="Times New Roman" w:cs="Times New Roman"/>
          <w:color w:val="000000" w:themeColor="text1"/>
        </w:rPr>
        <w:t>into a homicide in</w:t>
      </w:r>
      <w:r w:rsidR="00C702AD">
        <w:rPr>
          <w:rFonts w:eastAsia="Times New Roman" w:cs="Times New Roman"/>
          <w:color w:val="000000" w:themeColor="text1"/>
        </w:rPr>
        <w:t>v</w:t>
      </w:r>
      <w:r w:rsidR="000A60B9">
        <w:rPr>
          <w:rFonts w:eastAsia="Times New Roman" w:cs="Times New Roman"/>
          <w:color w:val="000000" w:themeColor="text1"/>
        </w:rPr>
        <w:t>estigation</w:t>
      </w:r>
      <w:r w:rsidR="6C307211" w:rsidRPr="6C307211">
        <w:rPr>
          <w:rFonts w:eastAsia="Times New Roman" w:cs="Times New Roman"/>
          <w:color w:val="000000" w:themeColor="text1"/>
        </w:rPr>
        <w:t>. (R. 13, lines 216</w:t>
      </w:r>
      <w:r w:rsidR="000A60B9">
        <w:rPr>
          <w:rFonts w:eastAsia="Times New Roman" w:cs="Times New Roman"/>
          <w:color w:val="000000" w:themeColor="text1"/>
        </w:rPr>
        <w:t>; 227</w:t>
      </w:r>
      <w:r w:rsidR="00D375DD">
        <w:rPr>
          <w:rFonts w:eastAsia="Times New Roman" w:cs="Times New Roman"/>
          <w:color w:val="000000" w:themeColor="text1"/>
        </w:rPr>
        <w:t>-</w:t>
      </w:r>
      <w:r w:rsidR="00C702AD">
        <w:rPr>
          <w:rFonts w:eastAsia="Times New Roman" w:cs="Times New Roman"/>
          <w:color w:val="000000" w:themeColor="text1"/>
        </w:rPr>
        <w:t>28</w:t>
      </w:r>
      <w:r w:rsidR="6C307211" w:rsidRPr="6C307211">
        <w:rPr>
          <w:rFonts w:eastAsia="Times New Roman" w:cs="Times New Roman"/>
          <w:color w:val="000000" w:themeColor="text1"/>
        </w:rPr>
        <w:t xml:space="preserve">). </w:t>
      </w:r>
    </w:p>
    <w:p w14:paraId="2C3277E9" w14:textId="343B0A89" w:rsidR="6C307211" w:rsidRDefault="00FA4206"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The investigation into Donovan revealed a check made payable to Daniel’s killer</w:t>
      </w:r>
      <w:r w:rsidR="00C702AD">
        <w:rPr>
          <w:rFonts w:eastAsia="Times New Roman" w:cs="Times New Roman"/>
          <w:color w:val="000000" w:themeColor="text1"/>
        </w:rPr>
        <w:t>,</w:t>
      </w:r>
      <w:r w:rsidR="6C307211" w:rsidRPr="6C307211">
        <w:rPr>
          <w:rFonts w:eastAsia="Times New Roman" w:cs="Times New Roman"/>
          <w:color w:val="000000" w:themeColor="text1"/>
        </w:rPr>
        <w:t xml:space="preserve"> drawn from an account owned by Emerald and signed by Donovan. (R. 14, lines 265</w:t>
      </w:r>
      <w:r w:rsidR="00D375DD">
        <w:rPr>
          <w:rFonts w:eastAsia="Times New Roman" w:cs="Times New Roman"/>
          <w:color w:val="000000" w:themeColor="text1"/>
        </w:rPr>
        <w:t>-</w:t>
      </w:r>
      <w:r w:rsidR="6C307211" w:rsidRPr="6C307211">
        <w:rPr>
          <w:rFonts w:eastAsia="Times New Roman" w:cs="Times New Roman"/>
          <w:color w:val="000000" w:themeColor="text1"/>
        </w:rPr>
        <w:t>67). In addition to prosecuting Donovan for murder, the United States prosecuted Donovan for money laundering. (R. 21, line 513). The investigation grew to include Ms. Calloway because of suspicion involving the financial actions of Silver Palms hotel. (R. 17, lines 380</w:t>
      </w:r>
      <w:r w:rsidR="00AC1F3A">
        <w:rPr>
          <w:rFonts w:eastAsia="Times New Roman" w:cs="Times New Roman"/>
          <w:color w:val="000000" w:themeColor="text1"/>
        </w:rPr>
        <w:t>-</w:t>
      </w:r>
      <w:r w:rsidR="6C307211" w:rsidRPr="6C307211">
        <w:rPr>
          <w:rFonts w:eastAsia="Times New Roman" w:cs="Times New Roman"/>
          <w:color w:val="000000" w:themeColor="text1"/>
        </w:rPr>
        <w:t xml:space="preserve">86). At Donovan’s trial, the United States elected to subpoena Ms. Calloway, compelling her testimony and conferring use and derivative use immunity under 18 U.S.C. </w:t>
      </w:r>
      <w:r w:rsidR="00C702AD">
        <w:rPr>
          <w:rFonts w:eastAsia="Times New Roman" w:cs="Times New Roman"/>
          <w:color w:val="000000" w:themeColor="text1"/>
        </w:rPr>
        <w:t>§</w:t>
      </w:r>
      <w:r w:rsidR="6C307211" w:rsidRPr="6C307211">
        <w:rPr>
          <w:rFonts w:eastAsia="Times New Roman" w:cs="Times New Roman"/>
          <w:color w:val="000000" w:themeColor="text1"/>
        </w:rPr>
        <w:t>§ 6002 and 6003. (R. 21, lines 544</w:t>
      </w:r>
      <w:r w:rsidR="00AC1F3A">
        <w:rPr>
          <w:rFonts w:eastAsia="Times New Roman" w:cs="Times New Roman"/>
          <w:color w:val="000000" w:themeColor="text1"/>
        </w:rPr>
        <w:t>-</w:t>
      </w:r>
      <w:r w:rsidR="6C307211" w:rsidRPr="6C307211">
        <w:rPr>
          <w:rFonts w:eastAsia="Times New Roman" w:cs="Times New Roman"/>
          <w:color w:val="000000" w:themeColor="text1"/>
        </w:rPr>
        <w:t xml:space="preserve">46). The United </w:t>
      </w:r>
      <w:r w:rsidR="6C307211" w:rsidRPr="6C307211">
        <w:rPr>
          <w:rFonts w:eastAsia="Times New Roman" w:cs="Times New Roman"/>
          <w:color w:val="000000" w:themeColor="text1"/>
        </w:rPr>
        <w:lastRenderedPageBreak/>
        <w:t>States then split the investigation into two teams after compelling Ms. Calloway’s testimony. (R. 28</w:t>
      </w:r>
      <w:r w:rsidR="00AC1F3A">
        <w:rPr>
          <w:rFonts w:eastAsia="Times New Roman" w:cs="Times New Roman"/>
          <w:color w:val="000000" w:themeColor="text1"/>
        </w:rPr>
        <w:t>-</w:t>
      </w:r>
      <w:r w:rsidR="6C307211" w:rsidRPr="6C307211">
        <w:rPr>
          <w:rFonts w:eastAsia="Times New Roman" w:cs="Times New Roman"/>
          <w:color w:val="000000" w:themeColor="text1"/>
        </w:rPr>
        <w:t>29, lines 183</w:t>
      </w:r>
      <w:r w:rsidR="00AC1F3A">
        <w:rPr>
          <w:rFonts w:eastAsia="Times New Roman" w:cs="Times New Roman"/>
          <w:color w:val="000000" w:themeColor="text1"/>
        </w:rPr>
        <w:t>-</w:t>
      </w:r>
      <w:r w:rsidR="6C307211" w:rsidRPr="6C307211">
        <w:rPr>
          <w:rFonts w:eastAsia="Times New Roman" w:cs="Times New Roman"/>
          <w:color w:val="000000" w:themeColor="text1"/>
        </w:rPr>
        <w:t xml:space="preserve">94). </w:t>
      </w:r>
    </w:p>
    <w:p w14:paraId="45CA9ACC" w14:textId="716B4B28" w:rsidR="6C307211" w:rsidRDefault="00F31E0A"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Ms. Calloway’s testimony was ordered on August 23, 2024</w:t>
      </w:r>
      <w:r w:rsidR="00AF0A01">
        <w:rPr>
          <w:rFonts w:eastAsia="Times New Roman" w:cs="Times New Roman"/>
          <w:color w:val="000000" w:themeColor="text1"/>
        </w:rPr>
        <w:t>,</w:t>
      </w:r>
      <w:r w:rsidR="6C307211" w:rsidRPr="6C307211">
        <w:rPr>
          <w:rFonts w:eastAsia="Times New Roman" w:cs="Times New Roman"/>
          <w:color w:val="000000" w:themeColor="text1"/>
        </w:rPr>
        <w:t xml:space="preserve"> and she spoke with representatives for the United States on August 28, 2024. (R. 28, lines 174-75). On August 22, 2024, the investigative leads divided the agents into two teams: Team Donovan and Team Calloway. (R. 29, line 204). </w:t>
      </w:r>
      <w:r w:rsidR="00435ACF">
        <w:rPr>
          <w:rFonts w:eastAsia="Times New Roman" w:cs="Times New Roman"/>
          <w:color w:val="000000" w:themeColor="text1"/>
        </w:rPr>
        <w:t>The</w:t>
      </w:r>
      <w:r w:rsidR="6C307211" w:rsidRPr="6C307211">
        <w:rPr>
          <w:rFonts w:eastAsia="Times New Roman" w:cs="Times New Roman"/>
          <w:color w:val="000000" w:themeColor="text1"/>
        </w:rPr>
        <w:t xml:space="preserve"> two teams were “wall[ed] off” from each other</w:t>
      </w:r>
      <w:r w:rsidR="00435ACF">
        <w:rPr>
          <w:rFonts w:eastAsia="Times New Roman" w:cs="Times New Roman"/>
          <w:color w:val="000000" w:themeColor="text1"/>
        </w:rPr>
        <w:t xml:space="preserve"> </w:t>
      </w:r>
      <w:r w:rsidR="00F11DEA">
        <w:rPr>
          <w:rFonts w:eastAsia="Times New Roman" w:cs="Times New Roman"/>
          <w:color w:val="000000" w:themeColor="text1"/>
        </w:rPr>
        <w:t xml:space="preserve">with </w:t>
      </w:r>
      <w:r w:rsidR="6C307211" w:rsidRPr="6C307211">
        <w:rPr>
          <w:rFonts w:eastAsia="Times New Roman" w:cs="Times New Roman"/>
          <w:color w:val="000000" w:themeColor="text1"/>
        </w:rPr>
        <w:t xml:space="preserve">Agent Nolan </w:t>
      </w:r>
      <w:r w:rsidR="00307D1C">
        <w:rPr>
          <w:rFonts w:eastAsia="Times New Roman" w:cs="Times New Roman"/>
          <w:color w:val="000000" w:themeColor="text1"/>
        </w:rPr>
        <w:t>creating</w:t>
      </w:r>
      <w:r w:rsidR="6C307211" w:rsidRPr="6C307211">
        <w:rPr>
          <w:rFonts w:eastAsia="Times New Roman" w:cs="Times New Roman"/>
          <w:color w:val="000000" w:themeColor="text1"/>
        </w:rPr>
        <w:t xml:space="preserve"> a formal memorandum of procedures. (</w:t>
      </w:r>
      <w:r w:rsidR="00435ACF">
        <w:rPr>
          <w:rFonts w:eastAsia="Times New Roman" w:cs="Times New Roman"/>
          <w:color w:val="000000" w:themeColor="text1"/>
        </w:rPr>
        <w:t>R.28, lines 183</w:t>
      </w:r>
      <w:r w:rsidR="00AC1F3A">
        <w:rPr>
          <w:rFonts w:eastAsia="Times New Roman" w:cs="Times New Roman"/>
          <w:color w:val="000000" w:themeColor="text1"/>
        </w:rPr>
        <w:t>-</w:t>
      </w:r>
      <w:r w:rsidR="00435ACF">
        <w:rPr>
          <w:rFonts w:eastAsia="Times New Roman" w:cs="Times New Roman"/>
          <w:color w:val="000000" w:themeColor="text1"/>
        </w:rPr>
        <w:t xml:space="preserve">84; </w:t>
      </w:r>
      <w:r w:rsidR="6C307211" w:rsidRPr="6C307211">
        <w:rPr>
          <w:rFonts w:eastAsia="Times New Roman" w:cs="Times New Roman"/>
          <w:color w:val="000000" w:themeColor="text1"/>
        </w:rPr>
        <w:t>R.</w:t>
      </w:r>
      <w:r w:rsidR="00435ACF">
        <w:rPr>
          <w:rFonts w:eastAsia="Times New Roman" w:cs="Times New Roman"/>
          <w:color w:val="000000" w:themeColor="text1"/>
        </w:rPr>
        <w:t> </w:t>
      </w:r>
      <w:r w:rsidR="6C307211" w:rsidRPr="6C307211">
        <w:rPr>
          <w:rFonts w:eastAsia="Times New Roman" w:cs="Times New Roman"/>
          <w:color w:val="000000" w:themeColor="text1"/>
        </w:rPr>
        <w:t xml:space="preserve">29, line 206; </w:t>
      </w:r>
      <w:r w:rsidR="008963A5">
        <w:rPr>
          <w:rFonts w:eastAsia="Times New Roman" w:cs="Times New Roman"/>
          <w:color w:val="000000" w:themeColor="text1"/>
        </w:rPr>
        <w:t>R</w:t>
      </w:r>
      <w:r w:rsidR="008448E3">
        <w:rPr>
          <w:rFonts w:eastAsia="Times New Roman" w:cs="Times New Roman"/>
          <w:color w:val="000000" w:themeColor="text1"/>
        </w:rPr>
        <w:t>. 68</w:t>
      </w:r>
      <w:r w:rsidR="008963A5">
        <w:rPr>
          <w:rFonts w:eastAsia="Times New Roman" w:cs="Times New Roman"/>
          <w:color w:val="000000" w:themeColor="text1"/>
        </w:rPr>
        <w:t xml:space="preserve">, </w:t>
      </w:r>
      <w:r w:rsidR="6C307211" w:rsidRPr="6C307211">
        <w:rPr>
          <w:rFonts w:eastAsia="Times New Roman" w:cs="Times New Roman"/>
          <w:color w:val="000000" w:themeColor="text1"/>
        </w:rPr>
        <w:t>Ex. 15). These procedures included strict restrictions</w:t>
      </w:r>
      <w:r w:rsidR="25E39FCC" w:rsidRPr="25E39FCC">
        <w:rPr>
          <w:rFonts w:eastAsia="Times New Roman" w:cs="Times New Roman"/>
          <w:color w:val="000000" w:themeColor="text1"/>
        </w:rPr>
        <w:t>;</w:t>
      </w:r>
      <w:r w:rsidR="6C307211" w:rsidRPr="6C307211">
        <w:rPr>
          <w:rFonts w:eastAsia="Times New Roman" w:cs="Times New Roman"/>
          <w:color w:val="000000" w:themeColor="text1"/>
        </w:rPr>
        <w:t xml:space="preserve"> Team Calloway could not receive </w:t>
      </w:r>
      <w:r w:rsidR="00BF1529">
        <w:rPr>
          <w:rFonts w:eastAsia="Times New Roman" w:cs="Times New Roman"/>
          <w:color w:val="000000" w:themeColor="text1"/>
        </w:rPr>
        <w:t>the</w:t>
      </w:r>
      <w:r w:rsidR="6C307211" w:rsidRPr="6C307211">
        <w:rPr>
          <w:rFonts w:eastAsia="Times New Roman" w:cs="Times New Roman"/>
          <w:color w:val="000000" w:themeColor="text1"/>
        </w:rPr>
        <w:t xml:space="preserve"> </w:t>
      </w:r>
      <w:r w:rsidR="004D5E1A">
        <w:rPr>
          <w:rFonts w:eastAsia="Times New Roman" w:cs="Times New Roman"/>
          <w:color w:val="000000" w:themeColor="text1"/>
        </w:rPr>
        <w:t>content</w:t>
      </w:r>
      <w:r w:rsidR="6C307211" w:rsidRPr="6C307211">
        <w:rPr>
          <w:rFonts w:eastAsia="Times New Roman" w:cs="Times New Roman"/>
          <w:color w:val="000000" w:themeColor="text1"/>
        </w:rPr>
        <w:t xml:space="preserve"> </w:t>
      </w:r>
      <w:r w:rsidR="004D5E1A">
        <w:rPr>
          <w:rFonts w:eastAsia="Times New Roman" w:cs="Times New Roman"/>
          <w:color w:val="000000" w:themeColor="text1"/>
        </w:rPr>
        <w:t>of</w:t>
      </w:r>
      <w:r w:rsidR="6C307211" w:rsidRPr="6C307211">
        <w:rPr>
          <w:rFonts w:eastAsia="Times New Roman" w:cs="Times New Roman"/>
          <w:color w:val="000000" w:themeColor="text1"/>
        </w:rPr>
        <w:t xml:space="preserve"> Ms. Calloway’s testimony</w:t>
      </w:r>
      <w:r w:rsidR="002552DA">
        <w:rPr>
          <w:rFonts w:eastAsia="Times New Roman" w:cs="Times New Roman"/>
          <w:color w:val="000000" w:themeColor="text1"/>
        </w:rPr>
        <w:t xml:space="preserve"> or </w:t>
      </w:r>
      <w:r w:rsidR="00D706D2">
        <w:rPr>
          <w:rFonts w:eastAsia="Times New Roman" w:cs="Times New Roman"/>
          <w:color w:val="000000" w:themeColor="text1"/>
        </w:rPr>
        <w:t>information derived therefrom</w:t>
      </w:r>
      <w:r w:rsidR="6C307211" w:rsidRPr="6C307211">
        <w:rPr>
          <w:rFonts w:eastAsia="Times New Roman" w:cs="Times New Roman"/>
          <w:color w:val="000000" w:themeColor="text1"/>
        </w:rPr>
        <w:t xml:space="preserve">. (R. 68, Ex. 15). </w:t>
      </w:r>
      <w:r w:rsidR="00846C22">
        <w:rPr>
          <w:rFonts w:eastAsia="Times New Roman" w:cs="Times New Roman"/>
          <w:color w:val="000000" w:themeColor="text1"/>
        </w:rPr>
        <w:t>Once</w:t>
      </w:r>
      <w:r w:rsidR="6C307211" w:rsidRPr="6C307211">
        <w:rPr>
          <w:rFonts w:eastAsia="Times New Roman" w:cs="Times New Roman"/>
          <w:color w:val="000000" w:themeColor="text1"/>
        </w:rPr>
        <w:t xml:space="preserve"> the wall </w:t>
      </w:r>
      <w:r w:rsidR="0021312C">
        <w:rPr>
          <w:rFonts w:eastAsia="Times New Roman" w:cs="Times New Roman"/>
          <w:color w:val="000000" w:themeColor="text1"/>
        </w:rPr>
        <w:t>procedures were established</w:t>
      </w:r>
      <w:r w:rsidR="6C307211" w:rsidRPr="6C307211">
        <w:rPr>
          <w:rFonts w:eastAsia="Times New Roman" w:cs="Times New Roman"/>
          <w:color w:val="000000" w:themeColor="text1"/>
        </w:rPr>
        <w:t>, Agent Nolan created an investigative to-do list</w:t>
      </w:r>
      <w:r w:rsidR="00B90EE3">
        <w:rPr>
          <w:rFonts w:eastAsia="Times New Roman" w:cs="Times New Roman"/>
          <w:color w:val="000000" w:themeColor="text1"/>
        </w:rPr>
        <w:t xml:space="preserve"> prior to </w:t>
      </w:r>
      <w:r w:rsidR="00AC6905">
        <w:rPr>
          <w:rFonts w:eastAsia="Times New Roman" w:cs="Times New Roman"/>
          <w:color w:val="000000" w:themeColor="text1"/>
        </w:rPr>
        <w:t>any interview or testimony from Ms. Calloway</w:t>
      </w:r>
      <w:r w:rsidR="6C307211" w:rsidRPr="6C307211">
        <w:rPr>
          <w:rFonts w:eastAsia="Times New Roman" w:cs="Times New Roman"/>
          <w:color w:val="000000" w:themeColor="text1"/>
        </w:rPr>
        <w:t>. (R. 29, lines 231-</w:t>
      </w:r>
      <w:r w:rsidR="25E39FCC" w:rsidRPr="25E39FCC">
        <w:rPr>
          <w:rFonts w:eastAsia="Times New Roman" w:cs="Times New Roman"/>
          <w:color w:val="000000" w:themeColor="text1"/>
        </w:rPr>
        <w:t>34).</w:t>
      </w:r>
      <w:r w:rsidR="6C307211" w:rsidRPr="6C307211">
        <w:rPr>
          <w:rFonts w:eastAsia="Times New Roman" w:cs="Times New Roman"/>
          <w:color w:val="000000" w:themeColor="text1"/>
        </w:rPr>
        <w:t xml:space="preserve"> </w:t>
      </w:r>
      <w:r w:rsidR="00603D90">
        <w:rPr>
          <w:rFonts w:eastAsia="Times New Roman" w:cs="Times New Roman"/>
          <w:color w:val="000000" w:themeColor="text1"/>
        </w:rPr>
        <w:t>This list includes</w:t>
      </w:r>
      <w:r w:rsidR="6C307211" w:rsidRPr="6C307211">
        <w:rPr>
          <w:rFonts w:eastAsia="Times New Roman" w:cs="Times New Roman"/>
          <w:color w:val="000000" w:themeColor="text1"/>
        </w:rPr>
        <w:t xml:space="preserve"> “employee interviews”</w:t>
      </w:r>
      <w:r w:rsidR="00603D90">
        <w:rPr>
          <w:rFonts w:eastAsia="Times New Roman" w:cs="Times New Roman"/>
          <w:color w:val="000000" w:themeColor="text1"/>
        </w:rPr>
        <w:t xml:space="preserve"> to complete,</w:t>
      </w:r>
      <w:r w:rsidR="6C307211" w:rsidRPr="6C307211">
        <w:rPr>
          <w:rFonts w:eastAsia="Times New Roman" w:cs="Times New Roman"/>
          <w:color w:val="000000" w:themeColor="text1"/>
        </w:rPr>
        <w:t xml:space="preserve"> </w:t>
      </w:r>
      <w:r w:rsidR="00DE1916">
        <w:rPr>
          <w:rFonts w:eastAsia="Times New Roman" w:cs="Times New Roman"/>
          <w:color w:val="000000" w:themeColor="text1"/>
        </w:rPr>
        <w:t>prioritizing</w:t>
      </w:r>
      <w:r w:rsidR="00DE1916" w:rsidRPr="6C307211">
        <w:rPr>
          <w:rFonts w:eastAsia="Times New Roman" w:cs="Times New Roman"/>
          <w:color w:val="000000" w:themeColor="text1"/>
        </w:rPr>
        <w:t xml:space="preserve"> employees that worked “[f]</w:t>
      </w:r>
      <w:proofErr w:type="spellStart"/>
      <w:r w:rsidR="00DE1916" w:rsidRPr="6C307211">
        <w:rPr>
          <w:rFonts w:eastAsia="Times New Roman" w:cs="Times New Roman"/>
          <w:color w:val="000000" w:themeColor="text1"/>
        </w:rPr>
        <w:t>requent</w:t>
      </w:r>
      <w:proofErr w:type="spellEnd"/>
      <w:r w:rsidR="00DE1916" w:rsidRPr="6C307211">
        <w:rPr>
          <w:rFonts w:eastAsia="Times New Roman" w:cs="Times New Roman"/>
          <w:color w:val="000000" w:themeColor="text1"/>
        </w:rPr>
        <w:t xml:space="preserve"> event/banquet shifts</w:t>
      </w:r>
      <w:r w:rsidR="00DE1916">
        <w:rPr>
          <w:rFonts w:eastAsia="Times New Roman" w:cs="Times New Roman"/>
          <w:color w:val="000000" w:themeColor="text1"/>
        </w:rPr>
        <w:t>,</w:t>
      </w:r>
      <w:r w:rsidR="00DE1916" w:rsidRPr="6C307211">
        <w:rPr>
          <w:rFonts w:eastAsia="Times New Roman" w:cs="Times New Roman"/>
          <w:color w:val="000000" w:themeColor="text1"/>
        </w:rPr>
        <w:t xml:space="preserve">” </w:t>
      </w:r>
      <w:r w:rsidR="6C307211" w:rsidRPr="6C307211">
        <w:rPr>
          <w:rFonts w:eastAsia="Times New Roman" w:cs="Times New Roman"/>
          <w:color w:val="000000" w:themeColor="text1"/>
        </w:rPr>
        <w:t>including Kennedy Parker. (R. 69, Ex. 16</w:t>
      </w:r>
      <w:r w:rsidR="00DE1916">
        <w:rPr>
          <w:rFonts w:eastAsia="Times New Roman" w:cs="Times New Roman"/>
          <w:color w:val="000000" w:themeColor="text1"/>
        </w:rPr>
        <w:t xml:space="preserve">; </w:t>
      </w:r>
      <w:r w:rsidR="005D32AA">
        <w:rPr>
          <w:rFonts w:eastAsia="Times New Roman" w:cs="Times New Roman"/>
          <w:color w:val="000000" w:themeColor="text1"/>
        </w:rPr>
        <w:t xml:space="preserve">R. </w:t>
      </w:r>
      <w:r w:rsidR="706FE9BC" w:rsidRPr="706FE9BC">
        <w:rPr>
          <w:rFonts w:eastAsia="Times New Roman" w:cs="Times New Roman"/>
          <w:color w:val="000000" w:themeColor="text1"/>
        </w:rPr>
        <w:t>30, lines</w:t>
      </w:r>
      <w:r w:rsidR="005D32AA">
        <w:rPr>
          <w:rFonts w:eastAsia="Times New Roman" w:cs="Times New Roman"/>
          <w:color w:val="000000" w:themeColor="text1"/>
        </w:rPr>
        <w:t xml:space="preserve"> 271</w:t>
      </w:r>
      <w:r w:rsidR="00CE379D">
        <w:rPr>
          <w:rFonts w:eastAsia="Times New Roman" w:cs="Times New Roman"/>
          <w:color w:val="000000" w:themeColor="text1"/>
        </w:rPr>
        <w:t>-</w:t>
      </w:r>
      <w:r w:rsidR="00E0792B">
        <w:rPr>
          <w:rFonts w:eastAsia="Times New Roman" w:cs="Times New Roman"/>
          <w:color w:val="000000" w:themeColor="text1"/>
        </w:rPr>
        <w:t xml:space="preserve">72; R. 70, </w:t>
      </w:r>
      <w:r w:rsidR="706FE9BC" w:rsidRPr="706FE9BC">
        <w:rPr>
          <w:rFonts w:eastAsia="Times New Roman" w:cs="Times New Roman"/>
          <w:color w:val="000000" w:themeColor="text1"/>
        </w:rPr>
        <w:t>Ex</w:t>
      </w:r>
      <w:r w:rsidR="00E0792B">
        <w:rPr>
          <w:rFonts w:eastAsia="Times New Roman" w:cs="Times New Roman"/>
          <w:color w:val="000000" w:themeColor="text1"/>
        </w:rPr>
        <w:t>. 17</w:t>
      </w:r>
      <w:r w:rsidR="6C307211" w:rsidRPr="6C307211">
        <w:rPr>
          <w:rFonts w:eastAsia="Times New Roman" w:cs="Times New Roman"/>
          <w:color w:val="000000" w:themeColor="text1"/>
        </w:rPr>
        <w:t xml:space="preserve">). </w:t>
      </w:r>
    </w:p>
    <w:p w14:paraId="3C6234EC" w14:textId="72066FF2" w:rsidR="6C307211" w:rsidRDefault="00F31E0A"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Supervising agent Bryce Nolan and Assistant U.S. Attorney Tatum Sinclair are childhood friends who saw each other socially “from time to time, like [they] always have</w:t>
      </w:r>
      <w:r w:rsidR="706FE9BC" w:rsidRPr="706FE9BC">
        <w:rPr>
          <w:rFonts w:eastAsia="Times New Roman" w:cs="Times New Roman"/>
          <w:color w:val="000000" w:themeColor="text1"/>
        </w:rPr>
        <w:t>.” (</w:t>
      </w:r>
      <w:r w:rsidR="6C307211" w:rsidRPr="6C307211">
        <w:rPr>
          <w:rFonts w:eastAsia="Times New Roman" w:cs="Times New Roman"/>
          <w:color w:val="000000" w:themeColor="text1"/>
        </w:rPr>
        <w:t>R. 22, lines 573</w:t>
      </w:r>
      <w:r w:rsidR="00D25A3A">
        <w:rPr>
          <w:rFonts w:eastAsia="Times New Roman" w:cs="Times New Roman"/>
          <w:color w:val="000000" w:themeColor="text1"/>
        </w:rPr>
        <w:t>-</w:t>
      </w:r>
      <w:r w:rsidR="6C307211" w:rsidRPr="6C307211">
        <w:rPr>
          <w:rFonts w:eastAsia="Times New Roman" w:cs="Times New Roman"/>
          <w:color w:val="000000" w:themeColor="text1"/>
        </w:rPr>
        <w:t xml:space="preserve">74). </w:t>
      </w:r>
      <w:r w:rsidR="00917919">
        <w:rPr>
          <w:rFonts w:eastAsia="Times New Roman" w:cs="Times New Roman"/>
          <w:color w:val="000000" w:themeColor="text1"/>
        </w:rPr>
        <w:t>D</w:t>
      </w:r>
      <w:r w:rsidR="00917919" w:rsidRPr="6C307211">
        <w:rPr>
          <w:rFonts w:eastAsia="Times New Roman" w:cs="Times New Roman"/>
          <w:color w:val="000000" w:themeColor="text1"/>
        </w:rPr>
        <w:t>uring the investigation</w:t>
      </w:r>
      <w:r w:rsidR="6C307211" w:rsidRPr="6C307211">
        <w:rPr>
          <w:rFonts w:eastAsia="Times New Roman" w:cs="Times New Roman"/>
          <w:color w:val="000000" w:themeColor="text1"/>
        </w:rPr>
        <w:t>, they practiced together for a karaoke competition</w:t>
      </w:r>
      <w:r w:rsidR="00276192">
        <w:rPr>
          <w:rFonts w:eastAsia="Times New Roman" w:cs="Times New Roman"/>
          <w:color w:val="000000" w:themeColor="text1"/>
        </w:rPr>
        <w:t>; h</w:t>
      </w:r>
      <w:r w:rsidR="6C307211" w:rsidRPr="6C307211">
        <w:rPr>
          <w:rFonts w:eastAsia="Times New Roman" w:cs="Times New Roman"/>
          <w:color w:val="000000" w:themeColor="text1"/>
        </w:rPr>
        <w:t xml:space="preserve">owever, the </w:t>
      </w:r>
      <w:r w:rsidR="00E41F9B">
        <w:rPr>
          <w:rFonts w:eastAsia="Times New Roman" w:cs="Times New Roman"/>
          <w:color w:val="000000" w:themeColor="text1"/>
        </w:rPr>
        <w:t>investigators</w:t>
      </w:r>
      <w:r w:rsidR="6C307211" w:rsidRPr="6C307211">
        <w:rPr>
          <w:rFonts w:eastAsia="Times New Roman" w:cs="Times New Roman"/>
          <w:color w:val="000000" w:themeColor="text1"/>
        </w:rPr>
        <w:t xml:space="preserve"> </w:t>
      </w:r>
      <w:r w:rsidR="00E41F9B">
        <w:rPr>
          <w:rFonts w:eastAsia="Times New Roman" w:cs="Times New Roman"/>
          <w:color w:val="000000" w:themeColor="text1"/>
        </w:rPr>
        <w:t xml:space="preserve">did not discuss </w:t>
      </w:r>
      <w:r w:rsidR="6C307211" w:rsidRPr="6C307211">
        <w:rPr>
          <w:rFonts w:eastAsia="Times New Roman" w:cs="Times New Roman"/>
          <w:color w:val="000000" w:themeColor="text1"/>
        </w:rPr>
        <w:t>the investigation after August 22, 2024. (</w:t>
      </w:r>
      <w:r w:rsidR="00D61024">
        <w:rPr>
          <w:rFonts w:eastAsia="Times New Roman" w:cs="Times New Roman"/>
          <w:color w:val="000000" w:themeColor="text1"/>
        </w:rPr>
        <w:t>R. 22, line 585</w:t>
      </w:r>
      <w:r w:rsidR="00276192">
        <w:rPr>
          <w:rFonts w:eastAsia="Times New Roman" w:cs="Times New Roman"/>
          <w:color w:val="000000" w:themeColor="text1"/>
        </w:rPr>
        <w:t xml:space="preserve">; </w:t>
      </w:r>
      <w:r w:rsidR="6C307211" w:rsidRPr="6C307211">
        <w:rPr>
          <w:rFonts w:eastAsia="Times New Roman" w:cs="Times New Roman"/>
          <w:color w:val="000000" w:themeColor="text1"/>
        </w:rPr>
        <w:t>R. 29, line 223).</w:t>
      </w:r>
    </w:p>
    <w:p w14:paraId="4548C93D" w14:textId="7391B96A" w:rsidR="6C307211" w:rsidRDefault="00F31E0A"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After Donovan was arrested, Ms. Calloway’s attorneys hired an investigator, Maddox Armana, to assist in “find[</w:t>
      </w:r>
      <w:proofErr w:type="spellStart"/>
      <w:r w:rsidR="6C307211" w:rsidRPr="6C307211">
        <w:rPr>
          <w:rFonts w:eastAsia="Times New Roman" w:cs="Times New Roman"/>
          <w:color w:val="000000" w:themeColor="text1"/>
        </w:rPr>
        <w:t>ing</w:t>
      </w:r>
      <w:proofErr w:type="spellEnd"/>
      <w:r w:rsidR="6C307211" w:rsidRPr="6C307211">
        <w:rPr>
          <w:rFonts w:eastAsia="Times New Roman" w:cs="Times New Roman"/>
          <w:color w:val="000000" w:themeColor="text1"/>
        </w:rPr>
        <w:t xml:space="preserve">] out what happened.” (R. 43, lines 25-26). The financial investigations into Silver Palms hotel identified Coastal Event Solutions, LLC (“Coastal”) as a company having received payments. (R. 12, line 158). The only known employee of Coastal was an individual named Sierra Seton. (R. 18, line 389). Armana found Seton in February 2024. (R. </w:t>
      </w:r>
      <w:r w:rsidR="6C307211" w:rsidRPr="6C307211">
        <w:rPr>
          <w:rFonts w:eastAsia="Times New Roman" w:cs="Times New Roman"/>
          <w:color w:val="000000" w:themeColor="text1"/>
        </w:rPr>
        <w:lastRenderedPageBreak/>
        <w:t>75, Ex. 21). Armana conducted an interview with Seton. (R. 45, lines 86</w:t>
      </w:r>
      <w:r w:rsidR="00AA76DF">
        <w:rPr>
          <w:rFonts w:eastAsia="Times New Roman" w:cs="Times New Roman"/>
          <w:color w:val="000000" w:themeColor="text1"/>
        </w:rPr>
        <w:t>-</w:t>
      </w:r>
      <w:r w:rsidR="6C307211" w:rsidRPr="6C307211">
        <w:rPr>
          <w:rFonts w:eastAsia="Times New Roman" w:cs="Times New Roman"/>
          <w:color w:val="000000" w:themeColor="text1"/>
        </w:rPr>
        <w:t xml:space="preserve">93). Armana took “specific, factual” notes during that interview. (R. 46, line 132-33). Seton has since </w:t>
      </w:r>
      <w:r w:rsidR="156DFE95" w:rsidRPr="156DFE95">
        <w:rPr>
          <w:rFonts w:eastAsia="Times New Roman" w:cs="Times New Roman"/>
          <w:color w:val="000000" w:themeColor="text1"/>
        </w:rPr>
        <w:t>fled</w:t>
      </w:r>
      <w:r w:rsidR="6C307211" w:rsidRPr="6C307211">
        <w:rPr>
          <w:rFonts w:eastAsia="Times New Roman" w:cs="Times New Roman"/>
          <w:color w:val="000000" w:themeColor="text1"/>
        </w:rPr>
        <w:t xml:space="preserve"> the country. (R. 18, lines 393</w:t>
      </w:r>
      <w:r w:rsidR="00AA76DF">
        <w:rPr>
          <w:rFonts w:eastAsia="Times New Roman" w:cs="Times New Roman"/>
          <w:color w:val="000000" w:themeColor="text1"/>
        </w:rPr>
        <w:t>-</w:t>
      </w:r>
      <w:r w:rsidR="6C307211" w:rsidRPr="6C307211">
        <w:rPr>
          <w:rFonts w:eastAsia="Times New Roman" w:cs="Times New Roman"/>
          <w:color w:val="000000" w:themeColor="text1"/>
        </w:rPr>
        <w:t>94). These notes are “the only place that account … exists.” (R. 47, lines 167</w:t>
      </w:r>
      <w:r w:rsidR="00ED2C41">
        <w:rPr>
          <w:rFonts w:eastAsia="Times New Roman" w:cs="Times New Roman"/>
          <w:color w:val="000000" w:themeColor="text1"/>
        </w:rPr>
        <w:t>-</w:t>
      </w:r>
      <w:r w:rsidR="6C307211" w:rsidRPr="6C307211">
        <w:rPr>
          <w:rFonts w:eastAsia="Times New Roman" w:cs="Times New Roman"/>
          <w:color w:val="000000" w:themeColor="text1"/>
        </w:rPr>
        <w:t>68).</w:t>
      </w:r>
    </w:p>
    <w:p w14:paraId="1DEFFEFA" w14:textId="30F328B7" w:rsidR="6C307211" w:rsidRDefault="00867DB7" w:rsidP="001C548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The United States subsequently sought to discover Armana’s report by filing a subpoena duces tecum on Armana. (R. 6). Thereafter, Defense filed the Motion to Suppress all evidence discovered from Parker’s testimony and her testimony itself. (R. 5). The Defense also filed a Motion to Quash the Government’s subpoena. (R. 6). This Court ordered an Evidentiary Hearing and Oral Argument. (R. </w:t>
      </w:r>
      <w:r w:rsidR="3BC48999" w:rsidRPr="3BC48999">
        <w:rPr>
          <w:rFonts w:eastAsia="Times New Roman" w:cs="Times New Roman"/>
          <w:color w:val="000000" w:themeColor="text1"/>
        </w:rPr>
        <w:t>5-6</w:t>
      </w:r>
      <w:r w:rsidR="6C307211" w:rsidRPr="6C307211">
        <w:rPr>
          <w:rFonts w:eastAsia="Times New Roman" w:cs="Times New Roman"/>
          <w:color w:val="000000" w:themeColor="text1"/>
        </w:rPr>
        <w:t xml:space="preserve">). </w:t>
      </w:r>
    </w:p>
    <w:p w14:paraId="69117D1B" w14:textId="77777777" w:rsidR="0098696C" w:rsidRDefault="0098696C" w:rsidP="00C4035B">
      <w:r>
        <w:br w:type="page"/>
      </w:r>
    </w:p>
    <w:p w14:paraId="30D6CBEE" w14:textId="6AF92761" w:rsidR="6C307211" w:rsidRDefault="6C307211" w:rsidP="6C307211">
      <w:pPr>
        <w:pStyle w:val="Heading1"/>
      </w:pPr>
      <w:bookmarkStart w:id="14" w:name="_Toc239164085"/>
      <w:r w:rsidRPr="6C307211">
        <w:rPr>
          <w:rFonts w:eastAsia="Times New Roman" w:cs="Times New Roman"/>
          <w:color w:val="000000" w:themeColor="text1"/>
        </w:rPr>
        <w:lastRenderedPageBreak/>
        <w:t>ARGUMENT</w:t>
      </w:r>
      <w:bookmarkEnd w:id="14"/>
    </w:p>
    <w:p w14:paraId="6F93E639" w14:textId="56953807" w:rsidR="6C307211" w:rsidRDefault="6C307211" w:rsidP="000A120F">
      <w:pPr>
        <w:spacing w:line="240" w:lineRule="auto"/>
      </w:pPr>
    </w:p>
    <w:p w14:paraId="283C3F4C" w14:textId="5057CBAD" w:rsidR="6C307211" w:rsidRDefault="6C307211" w:rsidP="001E15AC">
      <w:pPr>
        <w:pStyle w:val="Heading2"/>
        <w:rPr>
          <w:color w:val="000000" w:themeColor="text1"/>
        </w:rPr>
      </w:pPr>
      <w:bookmarkStart w:id="15" w:name="_Toc239164086"/>
      <w:r w:rsidRPr="6C307211">
        <w:rPr>
          <w:color w:val="000000" w:themeColor="text1"/>
        </w:rPr>
        <w:t xml:space="preserve">This Court </w:t>
      </w:r>
      <w:r w:rsidR="00217D1B">
        <w:rPr>
          <w:color w:val="000000" w:themeColor="text1"/>
        </w:rPr>
        <w:t>S</w:t>
      </w:r>
      <w:r w:rsidRPr="6C307211">
        <w:rPr>
          <w:color w:val="000000" w:themeColor="text1"/>
        </w:rPr>
        <w:t xml:space="preserve">hould </w:t>
      </w:r>
      <w:r w:rsidR="00217D1B">
        <w:rPr>
          <w:color w:val="000000" w:themeColor="text1"/>
        </w:rPr>
        <w:t>D</w:t>
      </w:r>
      <w:r w:rsidRPr="6C307211">
        <w:rPr>
          <w:color w:val="000000" w:themeColor="text1"/>
        </w:rPr>
        <w:t xml:space="preserve">eny Defendant’s Motion to Suppress </w:t>
      </w:r>
      <w:r w:rsidR="00217D1B">
        <w:rPr>
          <w:color w:val="000000" w:themeColor="text1"/>
        </w:rPr>
        <w:t>B</w:t>
      </w:r>
      <w:r w:rsidRPr="6C307211">
        <w:rPr>
          <w:color w:val="000000" w:themeColor="text1"/>
        </w:rPr>
        <w:t xml:space="preserve">ecause </w:t>
      </w:r>
      <w:r w:rsidR="00217D1B">
        <w:rPr>
          <w:color w:val="000000" w:themeColor="text1"/>
        </w:rPr>
        <w:t>B</w:t>
      </w:r>
      <w:r w:rsidRPr="6C307211">
        <w:rPr>
          <w:color w:val="000000" w:themeColor="text1"/>
        </w:rPr>
        <w:t xml:space="preserve">oth the </w:t>
      </w:r>
      <w:r w:rsidR="00217D1B">
        <w:rPr>
          <w:color w:val="000000" w:themeColor="text1"/>
        </w:rPr>
        <w:t>E</w:t>
      </w:r>
      <w:r w:rsidRPr="6C307211">
        <w:rPr>
          <w:color w:val="000000" w:themeColor="text1"/>
        </w:rPr>
        <w:t xml:space="preserve">vidence </w:t>
      </w:r>
      <w:r w:rsidR="00217D1B">
        <w:rPr>
          <w:color w:val="000000" w:themeColor="text1"/>
        </w:rPr>
        <w:t>D</w:t>
      </w:r>
      <w:r w:rsidRPr="6C307211">
        <w:rPr>
          <w:color w:val="000000" w:themeColor="text1"/>
        </w:rPr>
        <w:t xml:space="preserve">iscovered on November 5, 2023, and the </w:t>
      </w:r>
      <w:r w:rsidR="00217D1B">
        <w:rPr>
          <w:color w:val="000000" w:themeColor="text1"/>
        </w:rPr>
        <w:t>T</w:t>
      </w:r>
      <w:r w:rsidRPr="6C307211">
        <w:rPr>
          <w:color w:val="000000" w:themeColor="text1"/>
        </w:rPr>
        <w:t>estimony of Kennedy Parker</w:t>
      </w:r>
      <w:r w:rsidR="00217D1B">
        <w:rPr>
          <w:color w:val="000000" w:themeColor="text1"/>
        </w:rPr>
        <w:t xml:space="preserve"> W</w:t>
      </w:r>
      <w:r w:rsidRPr="6C307211">
        <w:rPr>
          <w:color w:val="000000" w:themeColor="text1"/>
        </w:rPr>
        <w:t xml:space="preserve">ere </w:t>
      </w:r>
      <w:r w:rsidR="00217D1B">
        <w:rPr>
          <w:color w:val="000000" w:themeColor="text1"/>
        </w:rPr>
        <w:t>D</w:t>
      </w:r>
      <w:r w:rsidRPr="6C307211">
        <w:rPr>
          <w:color w:val="000000" w:themeColor="text1"/>
        </w:rPr>
        <w:t xml:space="preserve">iscovered </w:t>
      </w:r>
      <w:r w:rsidR="00217D1B">
        <w:rPr>
          <w:color w:val="000000" w:themeColor="text1"/>
        </w:rPr>
        <w:t>W</w:t>
      </w:r>
      <w:r w:rsidRPr="6C307211">
        <w:rPr>
          <w:color w:val="000000" w:themeColor="text1"/>
        </w:rPr>
        <w:t xml:space="preserve">holly </w:t>
      </w:r>
      <w:r w:rsidR="00217D1B">
        <w:rPr>
          <w:color w:val="000000" w:themeColor="text1"/>
        </w:rPr>
        <w:t>I</w:t>
      </w:r>
      <w:r w:rsidRPr="6C307211">
        <w:rPr>
          <w:color w:val="000000" w:themeColor="text1"/>
        </w:rPr>
        <w:t xml:space="preserve">ndependent of Defendant’s </w:t>
      </w:r>
      <w:r w:rsidR="00217D1B">
        <w:rPr>
          <w:color w:val="000000" w:themeColor="text1"/>
        </w:rPr>
        <w:t>C</w:t>
      </w:r>
      <w:r w:rsidRPr="6C307211">
        <w:rPr>
          <w:color w:val="000000" w:themeColor="text1"/>
        </w:rPr>
        <w:t xml:space="preserve">ompelled </w:t>
      </w:r>
      <w:r w:rsidR="00217D1B">
        <w:rPr>
          <w:color w:val="000000" w:themeColor="text1"/>
        </w:rPr>
        <w:t>T</w:t>
      </w:r>
      <w:r w:rsidRPr="6C307211">
        <w:rPr>
          <w:color w:val="000000" w:themeColor="text1"/>
        </w:rPr>
        <w:t>estimony.</w:t>
      </w:r>
      <w:bookmarkEnd w:id="15"/>
    </w:p>
    <w:p w14:paraId="0E0453AC" w14:textId="35935B28" w:rsidR="6C307211" w:rsidRDefault="6C307211" w:rsidP="00675D0E">
      <w:pPr>
        <w:spacing w:line="240" w:lineRule="auto"/>
        <w:jc w:val="both"/>
      </w:pPr>
    </w:p>
    <w:p w14:paraId="7BE61BD2" w14:textId="584D32CF" w:rsidR="6C307211" w:rsidRDefault="00C95F48" w:rsidP="00C95F48">
      <w:pPr>
        <w:spacing w:line="52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When a witness refuses to testify on the basis of the privilege against self-incrimination, that witness can be ordered by the court to testify; however, that testimony and the information derived therefrom may not be used against the witness in any criminal case. 18 U.S.C. §</w:t>
      </w:r>
      <w:r w:rsidR="00F268DB">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 6002</w:t>
      </w:r>
      <w:r w:rsidR="00F268DB">
        <w:rPr>
          <w:rFonts w:eastAsia="Times New Roman" w:cs="Times New Roman"/>
          <w:color w:val="000000" w:themeColor="text1"/>
          <w:sz w:val="26"/>
          <w:szCs w:val="26"/>
        </w:rPr>
        <w:t>; 60</w:t>
      </w:r>
      <w:r w:rsidR="0049618A">
        <w:rPr>
          <w:rFonts w:eastAsia="Times New Roman" w:cs="Times New Roman"/>
          <w:color w:val="000000" w:themeColor="text1"/>
          <w:sz w:val="26"/>
          <w:szCs w:val="26"/>
        </w:rPr>
        <w:t>03</w:t>
      </w:r>
      <w:r w:rsidR="6C307211" w:rsidRPr="6C307211">
        <w:rPr>
          <w:rFonts w:eastAsia="Times New Roman" w:cs="Times New Roman"/>
          <w:color w:val="000000" w:themeColor="text1"/>
          <w:sz w:val="26"/>
          <w:szCs w:val="26"/>
        </w:rPr>
        <w:t>.</w:t>
      </w:r>
      <w:r w:rsidR="0040150B">
        <w:rPr>
          <w:rFonts w:eastAsia="Times New Roman" w:cs="Times New Roman"/>
          <w:color w:val="000000" w:themeColor="text1"/>
          <w:sz w:val="26"/>
          <w:szCs w:val="26"/>
        </w:rPr>
        <w:fldChar w:fldCharType="begin"/>
      </w:r>
      <w:r w:rsidR="0040150B">
        <w:instrText xml:space="preserve"> TA \l "</w:instrText>
      </w:r>
      <w:r w:rsidR="0040150B" w:rsidRPr="00AA5BEB">
        <w:rPr>
          <w:rFonts w:eastAsia="Times New Roman" w:cs="Times New Roman"/>
          <w:color w:val="000000" w:themeColor="text1"/>
          <w:sz w:val="26"/>
          <w:szCs w:val="26"/>
        </w:rPr>
        <w:instrText>18 U.S.C. § 6003.</w:instrText>
      </w:r>
      <w:r w:rsidR="0040150B">
        <w:instrText xml:space="preserve">" \s "§ 6003" \c 2 </w:instrText>
      </w:r>
      <w:r w:rsidR="0040150B">
        <w:rPr>
          <w:rFonts w:eastAsia="Times New Roman" w:cs="Times New Roman"/>
          <w:color w:val="000000" w:themeColor="text1"/>
          <w:sz w:val="26"/>
          <w:szCs w:val="26"/>
        </w:rPr>
        <w:fldChar w:fldCharType="end"/>
      </w:r>
      <w:r w:rsidR="004C6868">
        <w:rPr>
          <w:rFonts w:eastAsia="Times New Roman" w:cs="Times New Roman"/>
          <w:color w:val="000000" w:themeColor="text1"/>
          <w:sz w:val="26"/>
          <w:szCs w:val="26"/>
        </w:rPr>
        <w:fldChar w:fldCharType="begin"/>
      </w:r>
      <w:r w:rsidR="004C6868">
        <w:instrText xml:space="preserve"> TA \l "</w:instrText>
      </w:r>
      <w:r w:rsidR="004C6868" w:rsidRPr="00AA5BEB">
        <w:rPr>
          <w:rFonts w:eastAsia="Times New Roman" w:cs="Times New Roman"/>
          <w:color w:val="000000" w:themeColor="text1"/>
          <w:sz w:val="26"/>
          <w:szCs w:val="26"/>
        </w:rPr>
        <w:instrText>18 U.S.C. § 6002.</w:instrText>
      </w:r>
      <w:r w:rsidR="004C6868">
        <w:instrText xml:space="preserve">" \s "§ 6002" \c 2 </w:instrText>
      </w:r>
      <w:r w:rsidR="004C6868">
        <w:rPr>
          <w:rFonts w:eastAsia="Times New Roman" w:cs="Times New Roman"/>
          <w:color w:val="000000" w:themeColor="text1"/>
          <w:sz w:val="26"/>
          <w:szCs w:val="26"/>
        </w:rPr>
        <w:fldChar w:fldCharType="end"/>
      </w:r>
      <w:r w:rsidR="00666521">
        <w:rPr>
          <w:rFonts w:eastAsia="Times New Roman" w:cs="Times New Roman"/>
          <w:color w:val="000000" w:themeColor="text1"/>
          <w:sz w:val="26"/>
          <w:szCs w:val="26"/>
        </w:rPr>
        <w:t xml:space="preserve"> </w:t>
      </w:r>
      <w:r w:rsidR="6C307211" w:rsidRPr="6C307211">
        <w:rPr>
          <w:rFonts w:eastAsia="Times New Roman" w:cs="Times New Roman"/>
          <w:color w:val="000000" w:themeColor="text1"/>
          <w:sz w:val="26"/>
          <w:szCs w:val="26"/>
        </w:rPr>
        <w:t xml:space="preserve">When a witness who was compelled to testify under a grant of use and derivative immunity subsequently faces criminal prosecution, the prosecution has the burden of proving that evidence proposed to be used is derived from a legitimate source wholly independent from the compelled testimony. </w:t>
      </w:r>
      <w:r w:rsidR="6C307211" w:rsidRPr="6C307211">
        <w:rPr>
          <w:rFonts w:eastAsia="Times New Roman" w:cs="Times New Roman"/>
          <w:i/>
          <w:iCs/>
          <w:color w:val="000000" w:themeColor="text1"/>
          <w:sz w:val="26"/>
          <w:szCs w:val="26"/>
        </w:rPr>
        <w:t>Kastigar v. United States</w:t>
      </w:r>
      <w:r w:rsidR="6C307211" w:rsidRPr="6C307211">
        <w:rPr>
          <w:rFonts w:eastAsia="Times New Roman" w:cs="Times New Roman"/>
          <w:color w:val="000000" w:themeColor="text1"/>
          <w:sz w:val="26"/>
          <w:szCs w:val="26"/>
        </w:rPr>
        <w:t>, 406 U.S. 441, 460 (1972).</w:t>
      </w:r>
      <w:r w:rsidR="00327E46">
        <w:rPr>
          <w:rFonts w:eastAsia="Times New Roman" w:cs="Times New Roman"/>
          <w:color w:val="000000" w:themeColor="text1"/>
          <w:sz w:val="26"/>
          <w:szCs w:val="26"/>
        </w:rPr>
        <w:fldChar w:fldCharType="begin"/>
      </w:r>
      <w:r w:rsidR="00327E46">
        <w:instrText xml:space="preserve"> TA \l "</w:instrText>
      </w:r>
      <w:r w:rsidR="00327E46" w:rsidRPr="00AA5BEB">
        <w:rPr>
          <w:rFonts w:eastAsia="Times New Roman" w:cs="Times New Roman"/>
          <w:i/>
          <w:iCs/>
          <w:color w:val="000000" w:themeColor="text1"/>
          <w:sz w:val="26"/>
          <w:szCs w:val="26"/>
        </w:rPr>
        <w:instrText>Kastigar v. United States</w:instrText>
      </w:r>
      <w:r w:rsidR="00327E46" w:rsidRPr="00AA5BEB">
        <w:rPr>
          <w:rFonts w:eastAsia="Times New Roman" w:cs="Times New Roman"/>
          <w:color w:val="000000" w:themeColor="text1"/>
          <w:sz w:val="26"/>
          <w:szCs w:val="26"/>
        </w:rPr>
        <w:instrText>, 406 U.S. 441 (1972).</w:instrText>
      </w:r>
      <w:r w:rsidR="00327E46">
        <w:instrText xml:space="preserve">" \s "Kastigar" \c 1 </w:instrText>
      </w:r>
      <w:r w:rsidR="00327E46">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The prosecution only violates </w:t>
      </w:r>
      <w:r w:rsidR="6C307211" w:rsidRPr="6C307211">
        <w:rPr>
          <w:rFonts w:eastAsia="Times New Roman" w:cs="Times New Roman"/>
          <w:i/>
          <w:iCs/>
          <w:color w:val="000000" w:themeColor="text1"/>
          <w:sz w:val="26"/>
          <w:szCs w:val="26"/>
        </w:rPr>
        <w:t>Kastigar</w:t>
      </w:r>
      <w:r w:rsidR="6C307211" w:rsidRPr="6C307211">
        <w:rPr>
          <w:rFonts w:eastAsia="Times New Roman" w:cs="Times New Roman"/>
          <w:color w:val="000000" w:themeColor="text1"/>
          <w:sz w:val="26"/>
          <w:szCs w:val="26"/>
        </w:rPr>
        <w:t xml:space="preserve"> if immunized testimony is used, the evidence used is derived from the compelled testimony, or the prosecution’s witness was tainted by exposure to compelled testimony. </w:t>
      </w:r>
      <w:r w:rsidR="6C307211" w:rsidRPr="6C307211">
        <w:rPr>
          <w:rFonts w:eastAsia="Times New Roman" w:cs="Times New Roman"/>
          <w:i/>
          <w:iCs/>
          <w:color w:val="000000" w:themeColor="text1"/>
          <w:sz w:val="26"/>
          <w:szCs w:val="26"/>
        </w:rPr>
        <w:t>Id.</w:t>
      </w:r>
      <w:r w:rsidR="008C6BB0">
        <w:rPr>
          <w:rFonts w:eastAsia="Times New Roman" w:cs="Times New Roman"/>
          <w:i/>
          <w:iCs/>
          <w:color w:val="000000" w:themeColor="text1"/>
          <w:sz w:val="26"/>
          <w:szCs w:val="26"/>
        </w:rPr>
        <w:fldChar w:fldCharType="begin"/>
      </w:r>
      <w:r w:rsidR="008C6BB0">
        <w:instrText xml:space="preserve"> TA \s "Kastigar" </w:instrText>
      </w:r>
      <w:r w:rsidR="008C6BB0">
        <w:rPr>
          <w:rFonts w:eastAsia="Times New Roman" w:cs="Times New Roman"/>
          <w:i/>
          <w:iCs/>
          <w:color w:val="000000" w:themeColor="text1"/>
          <w:sz w:val="26"/>
          <w:szCs w:val="26"/>
        </w:rPr>
        <w:fldChar w:fldCharType="end"/>
      </w:r>
      <w:r w:rsidR="6C307211" w:rsidRPr="6C307211">
        <w:rPr>
          <w:rFonts w:eastAsia="Times New Roman" w:cs="Times New Roman"/>
          <w:color w:val="000000" w:themeColor="text1"/>
          <w:sz w:val="26"/>
          <w:szCs w:val="26"/>
        </w:rPr>
        <w:t xml:space="preserve">; </w:t>
      </w:r>
      <w:r w:rsidR="6C307211" w:rsidRPr="6C307211">
        <w:rPr>
          <w:rFonts w:eastAsia="Times New Roman" w:cs="Times New Roman"/>
          <w:i/>
          <w:iCs/>
          <w:color w:val="000000" w:themeColor="text1"/>
          <w:sz w:val="26"/>
          <w:szCs w:val="26"/>
        </w:rPr>
        <w:t>United States v. North</w:t>
      </w:r>
      <w:r w:rsidR="6C307211" w:rsidRPr="6C307211">
        <w:rPr>
          <w:rFonts w:eastAsia="Times New Roman" w:cs="Times New Roman"/>
          <w:color w:val="000000" w:themeColor="text1"/>
          <w:sz w:val="26"/>
          <w:szCs w:val="26"/>
        </w:rPr>
        <w:t>, 920 F.2d 940, 942 (D.C. Cir. 1990).</w:t>
      </w:r>
      <w:r w:rsidR="00DB66BB">
        <w:rPr>
          <w:rFonts w:eastAsia="Times New Roman" w:cs="Times New Roman"/>
          <w:color w:val="000000" w:themeColor="text1"/>
          <w:sz w:val="26"/>
          <w:szCs w:val="26"/>
        </w:rPr>
        <w:fldChar w:fldCharType="begin"/>
      </w:r>
      <w:r w:rsidR="00DB66BB">
        <w:instrText xml:space="preserve"> TA \l "</w:instrText>
      </w:r>
      <w:r w:rsidR="00DB66BB" w:rsidRPr="00AA5BEB">
        <w:rPr>
          <w:rFonts w:eastAsia="Times New Roman" w:cs="Times New Roman"/>
          <w:i/>
          <w:iCs/>
          <w:color w:val="000000" w:themeColor="text1"/>
          <w:sz w:val="26"/>
          <w:szCs w:val="26"/>
        </w:rPr>
        <w:instrText>United States v. North</w:instrText>
      </w:r>
      <w:r w:rsidR="00DB66BB" w:rsidRPr="00AA5BEB">
        <w:rPr>
          <w:rFonts w:eastAsia="Times New Roman" w:cs="Times New Roman"/>
          <w:color w:val="000000" w:themeColor="text1"/>
          <w:sz w:val="26"/>
          <w:szCs w:val="26"/>
        </w:rPr>
        <w:instrText>, 920 F.2d 940 (D.C. Cir. 1990).</w:instrText>
      </w:r>
      <w:r w:rsidR="00DB66BB">
        <w:instrText xml:space="preserve">" \s "North" \c 1 </w:instrText>
      </w:r>
      <w:r w:rsidR="00DB66BB">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In this instance, however, the prosecution seeks neither to use evidence derived from the immunized testimony nor to include witness testimony that was tainted by exposure to Emily Calloway’s compelled testimony. </w:t>
      </w:r>
      <w:r w:rsidR="00D61E25">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R. 30, lines 245</w:t>
      </w:r>
      <w:r w:rsidR="00ED26E8">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54; R. 42; </w:t>
      </w:r>
      <w:r w:rsidR="2C9A6F88" w:rsidRPr="2C9A6F88">
        <w:rPr>
          <w:rFonts w:eastAsia="Times New Roman" w:cs="Times New Roman"/>
          <w:color w:val="000000" w:themeColor="text1"/>
          <w:sz w:val="26"/>
          <w:szCs w:val="26"/>
        </w:rPr>
        <w:t>lines</w:t>
      </w:r>
      <w:r w:rsidR="6C307211" w:rsidRPr="6C307211">
        <w:rPr>
          <w:rFonts w:eastAsia="Times New Roman" w:cs="Times New Roman"/>
          <w:color w:val="000000" w:themeColor="text1"/>
          <w:sz w:val="26"/>
          <w:szCs w:val="26"/>
        </w:rPr>
        <w:t xml:space="preserve"> 307</w:t>
      </w:r>
      <w:r w:rsidR="00ED26E8">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13</w:t>
      </w:r>
      <w:r w:rsidR="00D61E25">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w:t>
      </w:r>
    </w:p>
    <w:p w14:paraId="2B4170BA" w14:textId="0874BB6F" w:rsidR="6C307211" w:rsidRDefault="00C95F48" w:rsidP="00C95F48">
      <w:pPr>
        <w:spacing w:line="52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Under the independent source doctrine</w:t>
      </w:r>
      <w:r w:rsidR="235BCFED" w:rsidRPr="235BCFED">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 information that was obtained through an illegal source is considered cleanly obtained when it arrives through an independent source. </w:t>
      </w:r>
      <w:r w:rsidR="6C307211" w:rsidRPr="6C307211">
        <w:rPr>
          <w:rFonts w:eastAsia="Times New Roman" w:cs="Times New Roman"/>
          <w:i/>
          <w:iCs/>
          <w:color w:val="000000" w:themeColor="text1"/>
          <w:sz w:val="26"/>
          <w:szCs w:val="26"/>
        </w:rPr>
        <w:t>United States v. August</w:t>
      </w:r>
      <w:r w:rsidR="6C307211" w:rsidRPr="6C307211">
        <w:rPr>
          <w:rFonts w:eastAsia="Times New Roman" w:cs="Times New Roman"/>
          <w:color w:val="000000" w:themeColor="text1"/>
          <w:sz w:val="26"/>
          <w:szCs w:val="26"/>
        </w:rPr>
        <w:t>, 136 F.4th 595, 601 (5th Cir. 2025).</w:t>
      </w:r>
      <w:r w:rsidR="00FD1365">
        <w:rPr>
          <w:rFonts w:eastAsia="Times New Roman" w:cs="Times New Roman"/>
          <w:color w:val="000000" w:themeColor="text1"/>
          <w:sz w:val="26"/>
          <w:szCs w:val="26"/>
        </w:rPr>
        <w:fldChar w:fldCharType="begin"/>
      </w:r>
      <w:r w:rsidR="00FD1365">
        <w:instrText xml:space="preserve"> TA \l "</w:instrText>
      </w:r>
      <w:r w:rsidR="00FD1365" w:rsidRPr="00AA5BEB">
        <w:rPr>
          <w:rFonts w:eastAsia="Times New Roman" w:cs="Times New Roman"/>
          <w:i/>
          <w:iCs/>
          <w:color w:val="000000" w:themeColor="text1"/>
          <w:sz w:val="26"/>
          <w:szCs w:val="26"/>
        </w:rPr>
        <w:instrText>United States v. August</w:instrText>
      </w:r>
      <w:r w:rsidR="00FD1365" w:rsidRPr="00AA5BEB">
        <w:rPr>
          <w:rFonts w:eastAsia="Times New Roman" w:cs="Times New Roman"/>
          <w:color w:val="000000" w:themeColor="text1"/>
          <w:sz w:val="26"/>
          <w:szCs w:val="26"/>
        </w:rPr>
        <w:instrText>, 136 F.4th 595 (5th Cir. 2025).</w:instrText>
      </w:r>
      <w:r w:rsidR="00FD1365">
        <w:instrText xml:space="preserve">" \s "August" \c 1 </w:instrText>
      </w:r>
      <w:r w:rsidR="00FD1365">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In reviewing whether the </w:t>
      </w:r>
      <w:r w:rsidR="6C307211" w:rsidRPr="6C307211">
        <w:rPr>
          <w:rFonts w:eastAsia="Times New Roman" w:cs="Times New Roman"/>
          <w:color w:val="000000" w:themeColor="text1"/>
          <w:sz w:val="26"/>
          <w:szCs w:val="26"/>
        </w:rPr>
        <w:lastRenderedPageBreak/>
        <w:t xml:space="preserve">independent source doctrine applies, courts use a two-step inquiry. </w:t>
      </w:r>
      <w:r w:rsidR="6C307211" w:rsidRPr="6C307211">
        <w:rPr>
          <w:rFonts w:eastAsia="Times New Roman" w:cs="Times New Roman"/>
          <w:i/>
          <w:iCs/>
          <w:color w:val="000000" w:themeColor="text1"/>
          <w:sz w:val="26"/>
          <w:szCs w:val="26"/>
        </w:rPr>
        <w:t>Id.</w:t>
      </w:r>
      <w:r w:rsidR="00845E22">
        <w:rPr>
          <w:rFonts w:eastAsia="Times New Roman" w:cs="Times New Roman"/>
          <w:i/>
          <w:iCs/>
          <w:color w:val="000000" w:themeColor="text1"/>
          <w:sz w:val="26"/>
          <w:szCs w:val="26"/>
        </w:rPr>
        <w:fldChar w:fldCharType="begin"/>
      </w:r>
      <w:r w:rsidR="00845E22">
        <w:instrText xml:space="preserve"> TA \s "August" </w:instrText>
      </w:r>
      <w:r w:rsidR="00845E22">
        <w:rPr>
          <w:rFonts w:eastAsia="Times New Roman" w:cs="Times New Roman"/>
          <w:i/>
          <w:iCs/>
          <w:color w:val="000000" w:themeColor="text1"/>
          <w:sz w:val="26"/>
          <w:szCs w:val="26"/>
        </w:rPr>
        <w:fldChar w:fldCharType="end"/>
      </w:r>
      <w:r w:rsidR="6C307211" w:rsidRPr="6C307211">
        <w:rPr>
          <w:rFonts w:eastAsia="Times New Roman" w:cs="Times New Roman"/>
          <w:color w:val="000000" w:themeColor="text1"/>
          <w:sz w:val="26"/>
          <w:szCs w:val="26"/>
        </w:rPr>
        <w:t xml:space="preserve">; </w:t>
      </w:r>
      <w:r w:rsidR="6C307211" w:rsidRPr="6C307211">
        <w:rPr>
          <w:rFonts w:eastAsia="Times New Roman" w:cs="Times New Roman"/>
          <w:i/>
          <w:iCs/>
          <w:color w:val="000000" w:themeColor="text1"/>
          <w:sz w:val="26"/>
          <w:szCs w:val="26"/>
        </w:rPr>
        <w:t>United States v. Hearn</w:t>
      </w:r>
      <w:r w:rsidR="6C307211" w:rsidRPr="6C307211">
        <w:rPr>
          <w:rFonts w:eastAsia="Times New Roman" w:cs="Times New Roman"/>
          <w:color w:val="000000" w:themeColor="text1"/>
          <w:sz w:val="26"/>
          <w:szCs w:val="26"/>
        </w:rPr>
        <w:t>, 563 F.3d 95, 102 (5th Cir. 2009).</w:t>
      </w:r>
      <w:r w:rsidR="0071627F">
        <w:rPr>
          <w:rFonts w:eastAsia="Times New Roman" w:cs="Times New Roman"/>
          <w:color w:val="000000" w:themeColor="text1"/>
          <w:sz w:val="26"/>
          <w:szCs w:val="26"/>
        </w:rPr>
        <w:fldChar w:fldCharType="begin"/>
      </w:r>
      <w:r w:rsidR="0071627F">
        <w:instrText xml:space="preserve"> TA \l "</w:instrText>
      </w:r>
      <w:r w:rsidR="0071627F" w:rsidRPr="00AA5BEB">
        <w:rPr>
          <w:rFonts w:eastAsia="Times New Roman" w:cs="Times New Roman"/>
          <w:i/>
          <w:iCs/>
          <w:color w:val="000000" w:themeColor="text1"/>
          <w:sz w:val="26"/>
          <w:szCs w:val="26"/>
        </w:rPr>
        <w:instrText>United States v. Hearn</w:instrText>
      </w:r>
      <w:r w:rsidR="0071627F" w:rsidRPr="00AA5BEB">
        <w:rPr>
          <w:rFonts w:eastAsia="Times New Roman" w:cs="Times New Roman"/>
          <w:color w:val="000000" w:themeColor="text1"/>
          <w:sz w:val="26"/>
          <w:szCs w:val="26"/>
        </w:rPr>
        <w:instrText>, 563 F.3d 95 (5th Cir. 2009).</w:instrText>
      </w:r>
      <w:r w:rsidR="0071627F">
        <w:instrText xml:space="preserve">" \s "Hearn" \c 1 </w:instrText>
      </w:r>
      <w:r w:rsidR="0071627F">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In the typical independent source doctrine contexts, courts look to whether the unlawful conduct affected an officer’s decision to seek a warrant or the magistrate judge to issue the warrant. </w:t>
      </w:r>
      <w:r w:rsidR="6C307211" w:rsidRPr="6C307211">
        <w:rPr>
          <w:rFonts w:eastAsia="Times New Roman" w:cs="Times New Roman"/>
          <w:i/>
          <w:iCs/>
          <w:color w:val="000000" w:themeColor="text1"/>
          <w:sz w:val="26"/>
          <w:szCs w:val="26"/>
        </w:rPr>
        <w:t>United States v. Hill</w:t>
      </w:r>
      <w:r w:rsidR="6C307211" w:rsidRPr="6C307211">
        <w:rPr>
          <w:rFonts w:eastAsia="Times New Roman" w:cs="Times New Roman"/>
          <w:color w:val="000000" w:themeColor="text1"/>
          <w:sz w:val="26"/>
          <w:szCs w:val="26"/>
        </w:rPr>
        <w:t>, 776 F.3d 243, 251 (4th Cir. 2015)</w:t>
      </w:r>
      <w:r w:rsidR="005E0C23">
        <w:rPr>
          <w:rFonts w:eastAsia="Times New Roman" w:cs="Times New Roman"/>
          <w:color w:val="000000" w:themeColor="text1"/>
          <w:sz w:val="26"/>
          <w:szCs w:val="26"/>
        </w:rPr>
        <w:fldChar w:fldCharType="begin"/>
      </w:r>
      <w:r w:rsidR="005E0C23">
        <w:instrText xml:space="preserve"> TA \l "</w:instrText>
      </w:r>
      <w:r w:rsidR="005E0C23" w:rsidRPr="00AA5BEB">
        <w:rPr>
          <w:rFonts w:eastAsia="Times New Roman" w:cs="Times New Roman"/>
          <w:i/>
          <w:iCs/>
          <w:color w:val="000000" w:themeColor="text1"/>
          <w:sz w:val="26"/>
          <w:szCs w:val="26"/>
        </w:rPr>
        <w:instrText>United States v. Hill</w:instrText>
      </w:r>
      <w:r w:rsidR="005E0C23" w:rsidRPr="00AA5BEB">
        <w:rPr>
          <w:rFonts w:eastAsia="Times New Roman" w:cs="Times New Roman"/>
          <w:color w:val="000000" w:themeColor="text1"/>
          <w:sz w:val="26"/>
          <w:szCs w:val="26"/>
        </w:rPr>
        <w:instrText>, 776 F.3d 243 (4th Cir. 2015)</w:instrText>
      </w:r>
      <w:r w:rsidR="005E0C23">
        <w:instrText xml:space="preserve">" \s "Hill" \c 1 </w:instrText>
      </w:r>
      <w:r w:rsidR="005E0C23">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(quoting </w:t>
      </w:r>
      <w:r w:rsidR="6C307211" w:rsidRPr="6C307211">
        <w:rPr>
          <w:rFonts w:eastAsia="Times New Roman" w:cs="Times New Roman"/>
          <w:i/>
          <w:iCs/>
          <w:color w:val="000000" w:themeColor="text1"/>
          <w:sz w:val="26"/>
          <w:szCs w:val="26"/>
        </w:rPr>
        <w:t>Murray v. United States</w:t>
      </w:r>
      <w:r w:rsidR="6C307211" w:rsidRPr="6C307211">
        <w:rPr>
          <w:rFonts w:eastAsia="Times New Roman" w:cs="Times New Roman"/>
          <w:color w:val="000000" w:themeColor="text1"/>
          <w:sz w:val="26"/>
          <w:szCs w:val="26"/>
        </w:rPr>
        <w:t>, 487 U.S. 537, 542 (1988)</w:t>
      </w:r>
      <w:r w:rsidR="00410CB5">
        <w:rPr>
          <w:rFonts w:eastAsia="Times New Roman" w:cs="Times New Roman"/>
          <w:color w:val="000000" w:themeColor="text1"/>
          <w:sz w:val="26"/>
          <w:szCs w:val="26"/>
        </w:rPr>
        <w:fldChar w:fldCharType="begin"/>
      </w:r>
      <w:r w:rsidR="00410CB5">
        <w:instrText xml:space="preserve"> TA \l "</w:instrText>
      </w:r>
      <w:r w:rsidR="00410CB5" w:rsidRPr="00AA5BEB">
        <w:rPr>
          <w:rFonts w:eastAsia="Times New Roman" w:cs="Times New Roman"/>
          <w:i/>
          <w:iCs/>
          <w:color w:val="000000" w:themeColor="text1"/>
          <w:sz w:val="26"/>
          <w:szCs w:val="26"/>
        </w:rPr>
        <w:instrText>Murray v. United States</w:instrText>
      </w:r>
      <w:r w:rsidR="00410CB5" w:rsidRPr="00AA5BEB">
        <w:rPr>
          <w:rFonts w:eastAsia="Times New Roman" w:cs="Times New Roman"/>
          <w:color w:val="000000" w:themeColor="text1"/>
          <w:sz w:val="26"/>
          <w:szCs w:val="26"/>
        </w:rPr>
        <w:instrText>, 487 U.S. 537 (1988).</w:instrText>
      </w:r>
      <w:r w:rsidR="00410CB5">
        <w:instrText xml:space="preserve">" \s "Murray" \c 1 </w:instrText>
      </w:r>
      <w:r w:rsidR="00410CB5">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Translating this to the instant case, evidence is obtained wholly independent of the compelled, immunized testimony when the testimony does not shape the investigation strategy. While not perfectly analogous to this case, the independent source doctrine is informative in determining whether the investigative team derived their investigative strategy, and subsequently the November 5, 2023, evidence and Kennedy Parker’s testimony, from a wholly independent source.</w:t>
      </w:r>
    </w:p>
    <w:p w14:paraId="1F944BF7" w14:textId="5CF33286" w:rsidR="6C307211" w:rsidRDefault="6C307211" w:rsidP="6C307211">
      <w:pPr>
        <w:pStyle w:val="Heading3"/>
        <w:rPr>
          <w:color w:val="000000" w:themeColor="text1"/>
        </w:rPr>
      </w:pPr>
      <w:bookmarkStart w:id="16" w:name="_Toc239164087"/>
      <w:r w:rsidRPr="6C307211">
        <w:rPr>
          <w:color w:val="000000" w:themeColor="text1"/>
        </w:rPr>
        <w:t xml:space="preserve">The </w:t>
      </w:r>
      <w:r w:rsidR="00EA76AC">
        <w:rPr>
          <w:color w:val="000000" w:themeColor="text1"/>
        </w:rPr>
        <w:t>I</w:t>
      </w:r>
      <w:r w:rsidRPr="6C307211">
        <w:rPr>
          <w:color w:val="000000" w:themeColor="text1"/>
        </w:rPr>
        <w:t xml:space="preserve">nvestigators </w:t>
      </w:r>
      <w:r w:rsidR="00EA76AC">
        <w:rPr>
          <w:color w:val="000000" w:themeColor="text1"/>
        </w:rPr>
        <w:t>P</w:t>
      </w:r>
      <w:r w:rsidRPr="6C307211">
        <w:rPr>
          <w:color w:val="000000" w:themeColor="text1"/>
        </w:rPr>
        <w:t xml:space="preserve">lanned to </w:t>
      </w:r>
      <w:r w:rsidR="00EA76AC">
        <w:rPr>
          <w:color w:val="000000" w:themeColor="text1"/>
        </w:rPr>
        <w:t>I</w:t>
      </w:r>
      <w:r w:rsidRPr="6C307211">
        <w:rPr>
          <w:color w:val="000000" w:themeColor="text1"/>
        </w:rPr>
        <w:t xml:space="preserve">nterview Kennedy Parker </w:t>
      </w:r>
      <w:r w:rsidR="00EA76AC">
        <w:rPr>
          <w:color w:val="000000" w:themeColor="text1"/>
        </w:rPr>
        <w:t>B</w:t>
      </w:r>
      <w:r w:rsidRPr="6C307211">
        <w:rPr>
          <w:color w:val="000000" w:themeColor="text1"/>
        </w:rPr>
        <w:t xml:space="preserve">efore the </w:t>
      </w:r>
      <w:r w:rsidR="00EA76AC">
        <w:rPr>
          <w:color w:val="000000" w:themeColor="text1"/>
        </w:rPr>
        <w:t>D</w:t>
      </w:r>
      <w:r w:rsidRPr="6C307211">
        <w:rPr>
          <w:color w:val="000000" w:themeColor="text1"/>
        </w:rPr>
        <w:t xml:space="preserve">ecision to </w:t>
      </w:r>
      <w:r w:rsidR="00EA76AC">
        <w:rPr>
          <w:color w:val="000000" w:themeColor="text1"/>
        </w:rPr>
        <w:t>C</w:t>
      </w:r>
      <w:r w:rsidRPr="6C307211">
        <w:rPr>
          <w:color w:val="000000" w:themeColor="text1"/>
        </w:rPr>
        <w:t xml:space="preserve">ompel </w:t>
      </w:r>
      <w:r w:rsidR="00EA76AC">
        <w:rPr>
          <w:color w:val="000000" w:themeColor="text1"/>
        </w:rPr>
        <w:t>T</w:t>
      </w:r>
      <w:r w:rsidRPr="6C307211">
        <w:rPr>
          <w:color w:val="000000" w:themeColor="text1"/>
        </w:rPr>
        <w:t xml:space="preserve">estimony was </w:t>
      </w:r>
      <w:r w:rsidR="00EA76AC">
        <w:rPr>
          <w:color w:val="000000" w:themeColor="text1"/>
        </w:rPr>
        <w:t>R</w:t>
      </w:r>
      <w:r w:rsidRPr="6C307211">
        <w:rPr>
          <w:color w:val="000000" w:themeColor="text1"/>
        </w:rPr>
        <w:t xml:space="preserve">eached and </w:t>
      </w:r>
      <w:r w:rsidR="00EA76AC">
        <w:rPr>
          <w:color w:val="000000" w:themeColor="text1"/>
        </w:rPr>
        <w:t>F</w:t>
      </w:r>
      <w:r w:rsidRPr="6C307211">
        <w:rPr>
          <w:color w:val="000000" w:themeColor="text1"/>
        </w:rPr>
        <w:t xml:space="preserve">ollowed the </w:t>
      </w:r>
      <w:r w:rsidR="00EA76AC">
        <w:rPr>
          <w:color w:val="000000" w:themeColor="text1"/>
        </w:rPr>
        <w:t>P</w:t>
      </w:r>
      <w:r w:rsidRPr="6C307211">
        <w:rPr>
          <w:color w:val="000000" w:themeColor="text1"/>
        </w:rPr>
        <w:t xml:space="preserve">rosecutorial </w:t>
      </w:r>
      <w:r w:rsidR="00EA76AC">
        <w:rPr>
          <w:color w:val="000000" w:themeColor="text1"/>
        </w:rPr>
        <w:t>I</w:t>
      </w:r>
      <w:r w:rsidRPr="6C307211">
        <w:rPr>
          <w:color w:val="000000" w:themeColor="text1"/>
        </w:rPr>
        <w:t xml:space="preserve">nsulation </w:t>
      </w:r>
      <w:r w:rsidR="00EA76AC">
        <w:rPr>
          <w:color w:val="000000" w:themeColor="text1"/>
        </w:rPr>
        <w:t>P</w:t>
      </w:r>
      <w:r w:rsidRPr="6C307211">
        <w:rPr>
          <w:color w:val="000000" w:themeColor="text1"/>
        </w:rPr>
        <w:t xml:space="preserve">rocedures to </w:t>
      </w:r>
      <w:r w:rsidR="00EA76AC">
        <w:rPr>
          <w:color w:val="000000" w:themeColor="text1"/>
        </w:rPr>
        <w:t>P</w:t>
      </w:r>
      <w:r w:rsidRPr="6C307211">
        <w:rPr>
          <w:color w:val="000000" w:themeColor="text1"/>
        </w:rPr>
        <w:t xml:space="preserve">revent the </w:t>
      </w:r>
      <w:r w:rsidR="00EA76AC">
        <w:rPr>
          <w:color w:val="000000" w:themeColor="text1"/>
        </w:rPr>
        <w:t>C</w:t>
      </w:r>
      <w:r w:rsidRPr="6C307211">
        <w:rPr>
          <w:color w:val="000000" w:themeColor="text1"/>
        </w:rPr>
        <w:t xml:space="preserve">ompelled </w:t>
      </w:r>
      <w:r w:rsidR="00EA76AC">
        <w:rPr>
          <w:color w:val="000000" w:themeColor="text1"/>
        </w:rPr>
        <w:t>T</w:t>
      </w:r>
      <w:r w:rsidRPr="6C307211">
        <w:rPr>
          <w:color w:val="000000" w:themeColor="text1"/>
        </w:rPr>
        <w:t xml:space="preserve">estimony from </w:t>
      </w:r>
      <w:r w:rsidR="00EA76AC">
        <w:rPr>
          <w:color w:val="000000" w:themeColor="text1"/>
        </w:rPr>
        <w:t>T</w:t>
      </w:r>
      <w:r w:rsidRPr="6C307211">
        <w:rPr>
          <w:color w:val="000000" w:themeColor="text1"/>
        </w:rPr>
        <w:t xml:space="preserve">ainting the Calloway </w:t>
      </w:r>
      <w:r w:rsidR="00EA76AC">
        <w:rPr>
          <w:color w:val="000000" w:themeColor="text1"/>
        </w:rPr>
        <w:t>I</w:t>
      </w:r>
      <w:r w:rsidRPr="6C307211">
        <w:rPr>
          <w:color w:val="000000" w:themeColor="text1"/>
        </w:rPr>
        <w:t>nvestigation.</w:t>
      </w:r>
      <w:bookmarkEnd w:id="16"/>
    </w:p>
    <w:p w14:paraId="303A4B8D" w14:textId="1A388DB2" w:rsidR="6C307211" w:rsidRDefault="6C307211" w:rsidP="00675D0E">
      <w:pPr>
        <w:spacing w:line="240" w:lineRule="auto"/>
        <w:jc w:val="both"/>
      </w:pPr>
    </w:p>
    <w:p w14:paraId="03CB3010" w14:textId="528392A8" w:rsidR="6C307211" w:rsidRDefault="00C95F48" w:rsidP="00C95F48">
      <w:pPr>
        <w:spacing w:line="52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 xml:space="preserve">Prior to Emily Calloway meeting with Assistant United States Attorney Tatum Sinclair to discuss Ms. Calloway’s testimony, FBI Agent Bryce Nolan reviewed the roster of employees and made notes of individuals that still needed to be interviewed. </w:t>
      </w:r>
      <w:r w:rsidR="005E5CB9">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R. 32</w:t>
      </w:r>
      <w:r w:rsidR="005E5CB9">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 Among these individuals was Kennedy Parker. </w:t>
      </w:r>
      <w:r w:rsidR="005E5CB9">
        <w:rPr>
          <w:rFonts w:eastAsia="Times New Roman" w:cs="Times New Roman"/>
          <w:color w:val="000000" w:themeColor="text1"/>
          <w:sz w:val="26"/>
          <w:szCs w:val="26"/>
        </w:rPr>
        <w:t xml:space="preserve">(R. 69, </w:t>
      </w:r>
      <w:r w:rsidR="6C307211" w:rsidRPr="6C307211">
        <w:rPr>
          <w:rFonts w:eastAsia="Times New Roman" w:cs="Times New Roman"/>
          <w:color w:val="000000" w:themeColor="text1"/>
          <w:sz w:val="26"/>
          <w:szCs w:val="26"/>
        </w:rPr>
        <w:t xml:space="preserve">Ex. 16; </w:t>
      </w:r>
      <w:r w:rsidR="003A74D1">
        <w:rPr>
          <w:rFonts w:eastAsia="Times New Roman" w:cs="Times New Roman"/>
          <w:color w:val="000000" w:themeColor="text1"/>
          <w:sz w:val="26"/>
          <w:szCs w:val="26"/>
        </w:rPr>
        <w:t>R.</w:t>
      </w:r>
      <w:r w:rsidR="00E85C41">
        <w:rPr>
          <w:rFonts w:eastAsia="Times New Roman" w:cs="Times New Roman"/>
          <w:color w:val="000000" w:themeColor="text1"/>
          <w:sz w:val="26"/>
          <w:szCs w:val="26"/>
        </w:rPr>
        <w:t xml:space="preserve"> 70, Ex. </w:t>
      </w:r>
      <w:r w:rsidR="6C307211" w:rsidRPr="6C307211">
        <w:rPr>
          <w:rFonts w:eastAsia="Times New Roman" w:cs="Times New Roman"/>
          <w:color w:val="000000" w:themeColor="text1"/>
          <w:sz w:val="26"/>
          <w:szCs w:val="26"/>
        </w:rPr>
        <w:t>17</w:t>
      </w:r>
      <w:r w:rsidR="00E85C41">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 Agent Nolan, having written the protocol for bifurcating the Donnovan and Calloway investigations, ensured that the Calloway investigation “to do” list and the “employee interview – priority list” were properly titled and dated to ensure the wall between investigations would not be </w:t>
      </w:r>
      <w:r w:rsidR="6C307211" w:rsidRPr="6C307211">
        <w:rPr>
          <w:rFonts w:eastAsia="Times New Roman" w:cs="Times New Roman"/>
          <w:color w:val="000000" w:themeColor="text1"/>
          <w:sz w:val="26"/>
          <w:szCs w:val="26"/>
        </w:rPr>
        <w:lastRenderedPageBreak/>
        <w:t xml:space="preserve">breached. </w:t>
      </w:r>
      <w:r w:rsidR="00057E0D">
        <w:rPr>
          <w:rFonts w:eastAsia="Times New Roman" w:cs="Times New Roman"/>
          <w:color w:val="000000" w:themeColor="text1"/>
          <w:sz w:val="26"/>
          <w:szCs w:val="26"/>
        </w:rPr>
        <w:t xml:space="preserve">(R. </w:t>
      </w:r>
      <w:r w:rsidR="005E5CB9">
        <w:rPr>
          <w:rFonts w:eastAsia="Times New Roman" w:cs="Times New Roman"/>
          <w:color w:val="000000" w:themeColor="text1"/>
          <w:sz w:val="26"/>
          <w:szCs w:val="26"/>
        </w:rPr>
        <w:t xml:space="preserve">68, </w:t>
      </w:r>
      <w:r w:rsidR="717D19AB" w:rsidRPr="717D19AB">
        <w:rPr>
          <w:rFonts w:eastAsia="Times New Roman" w:cs="Times New Roman"/>
          <w:color w:val="000000" w:themeColor="text1"/>
          <w:sz w:val="26"/>
          <w:szCs w:val="26"/>
        </w:rPr>
        <w:t>Ex</w:t>
      </w:r>
      <w:r w:rsidR="6C307211" w:rsidRPr="6C307211">
        <w:rPr>
          <w:rFonts w:eastAsia="Times New Roman" w:cs="Times New Roman"/>
          <w:color w:val="000000" w:themeColor="text1"/>
          <w:sz w:val="26"/>
          <w:szCs w:val="26"/>
        </w:rPr>
        <w:t>. 15; R. 30, lines 245</w:t>
      </w:r>
      <w:r w:rsidR="005E5CB9">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54</w:t>
      </w:r>
      <w:r w:rsidR="717D19AB" w:rsidRPr="717D19AB">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 Additionally, there are no facts that suggest the litigation strategy changed after the lists were created by the Calloway investigative team. Thus, the decision to interview Kennedy Parker was made before either investigative team became aware of the content of the defendant’s immunized testimony.</w:t>
      </w:r>
    </w:p>
    <w:p w14:paraId="4FF0C6C5" w14:textId="7838E8F6" w:rsidR="6C307211" w:rsidRDefault="00112C96" w:rsidP="00112C96">
      <w:pPr>
        <w:spacing w:line="52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 xml:space="preserve">Like with the other employees listed in exhibits 16 and 17, Kennedy Parker was listed due to the frequency of their work at the Silver Palms Resort. </w:t>
      </w:r>
      <w:r w:rsidR="6224A52A" w:rsidRPr="6224A52A">
        <w:rPr>
          <w:rFonts w:eastAsia="Times New Roman" w:cs="Times New Roman"/>
          <w:color w:val="000000" w:themeColor="text1"/>
          <w:sz w:val="26"/>
          <w:szCs w:val="26"/>
        </w:rPr>
        <w:t>To</w:t>
      </w:r>
      <w:r w:rsidR="6C307211" w:rsidRPr="6C307211">
        <w:rPr>
          <w:rFonts w:eastAsia="Times New Roman" w:cs="Times New Roman"/>
          <w:color w:val="000000" w:themeColor="text1"/>
          <w:sz w:val="26"/>
          <w:szCs w:val="26"/>
        </w:rPr>
        <w:t xml:space="preserve"> determine </w:t>
      </w:r>
      <w:r w:rsidR="6224A52A" w:rsidRPr="6224A52A">
        <w:rPr>
          <w:rFonts w:eastAsia="Times New Roman" w:cs="Times New Roman"/>
          <w:color w:val="000000" w:themeColor="text1"/>
          <w:sz w:val="26"/>
          <w:szCs w:val="26"/>
        </w:rPr>
        <w:t>whether</w:t>
      </w:r>
      <w:r w:rsidR="6C307211" w:rsidRPr="6C307211">
        <w:rPr>
          <w:rFonts w:eastAsia="Times New Roman" w:cs="Times New Roman"/>
          <w:color w:val="000000" w:themeColor="text1"/>
          <w:sz w:val="26"/>
          <w:szCs w:val="26"/>
        </w:rPr>
        <w:t xml:space="preserve"> the invoices to Coastal accurately reflect services rendered by Coastal, the investigative team looked to interview individuals whose frequency at the resort would give them personal knowledge of when and how many Coastal employees were present during events. Thus, interviews with event and banquet staff, such as Kennedy Parker, were necessary </w:t>
      </w:r>
      <w:proofErr w:type="gramStart"/>
      <w:r w:rsidR="6C307211" w:rsidRPr="6C307211">
        <w:rPr>
          <w:rFonts w:eastAsia="Times New Roman" w:cs="Times New Roman"/>
          <w:color w:val="000000" w:themeColor="text1"/>
          <w:sz w:val="26"/>
          <w:szCs w:val="26"/>
        </w:rPr>
        <w:t>to</w:t>
      </w:r>
      <w:proofErr w:type="gramEnd"/>
      <w:r w:rsidR="6C307211" w:rsidRPr="6C307211">
        <w:rPr>
          <w:rFonts w:eastAsia="Times New Roman" w:cs="Times New Roman"/>
          <w:color w:val="000000" w:themeColor="text1"/>
          <w:sz w:val="26"/>
          <w:szCs w:val="26"/>
        </w:rPr>
        <w:t xml:space="preserve"> the investigation prior to any consideration of the defendant testifying. Further, Kennedy Parker’s name is the only name to appear on both the handwritten to do list dated for the week of August 25, 2023, and on the employee priority list that is noted to have been written after the investigations separated, but before any testimony was given by the defendant. </w:t>
      </w:r>
      <w:r w:rsidR="447EBE6A" w:rsidRPr="447EBE6A">
        <w:rPr>
          <w:rFonts w:eastAsia="Times New Roman" w:cs="Times New Roman"/>
          <w:color w:val="000000" w:themeColor="text1"/>
          <w:sz w:val="26"/>
          <w:szCs w:val="26"/>
        </w:rPr>
        <w:t xml:space="preserve">(R. </w:t>
      </w:r>
      <w:r w:rsidR="6AA6BAF2" w:rsidRPr="6AA6BAF2">
        <w:rPr>
          <w:rFonts w:eastAsia="Times New Roman" w:cs="Times New Roman"/>
          <w:color w:val="000000" w:themeColor="text1"/>
          <w:sz w:val="26"/>
          <w:szCs w:val="26"/>
        </w:rPr>
        <w:t xml:space="preserve">69, </w:t>
      </w:r>
      <w:r w:rsidR="447EBE6A" w:rsidRPr="447EBE6A">
        <w:rPr>
          <w:rFonts w:eastAsia="Times New Roman" w:cs="Times New Roman"/>
          <w:color w:val="000000" w:themeColor="text1"/>
          <w:sz w:val="26"/>
          <w:szCs w:val="26"/>
        </w:rPr>
        <w:t>Ex.</w:t>
      </w:r>
      <w:r w:rsidR="6C307211" w:rsidRPr="6C307211">
        <w:rPr>
          <w:rFonts w:eastAsia="Times New Roman" w:cs="Times New Roman"/>
          <w:color w:val="000000" w:themeColor="text1"/>
          <w:sz w:val="26"/>
          <w:szCs w:val="26"/>
        </w:rPr>
        <w:t xml:space="preserve"> 16;</w:t>
      </w:r>
      <w:r w:rsidR="6AA6BAF2" w:rsidRPr="6AA6BAF2">
        <w:rPr>
          <w:rFonts w:eastAsia="Times New Roman" w:cs="Times New Roman"/>
          <w:color w:val="000000" w:themeColor="text1"/>
          <w:sz w:val="26"/>
          <w:szCs w:val="26"/>
        </w:rPr>
        <w:t xml:space="preserve"> R. 70, Ex.</w:t>
      </w:r>
      <w:r w:rsidR="6C307211" w:rsidRPr="6C307211">
        <w:rPr>
          <w:rFonts w:eastAsia="Times New Roman" w:cs="Times New Roman"/>
          <w:color w:val="000000" w:themeColor="text1"/>
          <w:sz w:val="26"/>
          <w:szCs w:val="26"/>
        </w:rPr>
        <w:t xml:space="preserve"> 17</w:t>
      </w:r>
      <w:r w:rsidR="447EBE6A" w:rsidRPr="447EBE6A">
        <w:rPr>
          <w:rFonts w:eastAsia="Times New Roman" w:cs="Times New Roman"/>
          <w:color w:val="000000" w:themeColor="text1"/>
          <w:sz w:val="26"/>
          <w:szCs w:val="26"/>
        </w:rPr>
        <w:t>).</w:t>
      </w:r>
      <w:r w:rsidR="6C307211" w:rsidRPr="6C307211">
        <w:rPr>
          <w:rFonts w:eastAsia="Times New Roman" w:cs="Times New Roman"/>
          <w:color w:val="000000" w:themeColor="text1"/>
          <w:sz w:val="26"/>
          <w:szCs w:val="26"/>
        </w:rPr>
        <w:t xml:space="preserve"> Thus, it would be a logical decision by the Calloway investigative team to interview Kennedy Parker after they completed their follow-up interviews from earlier in the investigation. Therefore, there is nothing present in the investigation timeline which would indicate that the Calloway investigative team sought out and interviewed Kennedy Parker because of the defendant’s testimony.</w:t>
      </w:r>
    </w:p>
    <w:p w14:paraId="18F05CE0" w14:textId="7D8BFD75" w:rsidR="6C307211" w:rsidRDefault="6C307211" w:rsidP="6C307211">
      <w:pPr>
        <w:pStyle w:val="Heading3"/>
        <w:rPr>
          <w:color w:val="000000" w:themeColor="text1"/>
        </w:rPr>
      </w:pPr>
      <w:bookmarkStart w:id="17" w:name="_Toc239164088"/>
      <w:r w:rsidRPr="6C307211">
        <w:rPr>
          <w:color w:val="000000" w:themeColor="text1"/>
        </w:rPr>
        <w:lastRenderedPageBreak/>
        <w:t xml:space="preserve">Kennedy Parker was </w:t>
      </w:r>
      <w:r w:rsidR="00884166">
        <w:rPr>
          <w:color w:val="000000" w:themeColor="text1"/>
        </w:rPr>
        <w:t>U</w:t>
      </w:r>
      <w:r w:rsidRPr="6C307211">
        <w:rPr>
          <w:color w:val="000000" w:themeColor="text1"/>
        </w:rPr>
        <w:t xml:space="preserve">naware of the Defendant’s </w:t>
      </w:r>
      <w:r w:rsidR="00884166">
        <w:rPr>
          <w:color w:val="000000" w:themeColor="text1"/>
        </w:rPr>
        <w:t>T</w:t>
      </w:r>
      <w:r w:rsidRPr="6C307211">
        <w:rPr>
          <w:color w:val="000000" w:themeColor="text1"/>
        </w:rPr>
        <w:t xml:space="preserve">estimony at the </w:t>
      </w:r>
      <w:r w:rsidR="00884166">
        <w:rPr>
          <w:color w:val="000000" w:themeColor="text1"/>
        </w:rPr>
        <w:t>T</w:t>
      </w:r>
      <w:r w:rsidRPr="6C307211">
        <w:rPr>
          <w:color w:val="000000" w:themeColor="text1"/>
        </w:rPr>
        <w:t xml:space="preserve">ime Parker </w:t>
      </w:r>
      <w:r w:rsidR="00884166">
        <w:rPr>
          <w:color w:val="000000" w:themeColor="text1"/>
        </w:rPr>
        <w:t>S</w:t>
      </w:r>
      <w:r w:rsidRPr="6C307211">
        <w:rPr>
          <w:color w:val="000000" w:themeColor="text1"/>
        </w:rPr>
        <w:t xml:space="preserve">poke to </w:t>
      </w:r>
      <w:r w:rsidR="00884166">
        <w:rPr>
          <w:color w:val="000000" w:themeColor="text1"/>
        </w:rPr>
        <w:t>I</w:t>
      </w:r>
      <w:r w:rsidRPr="6C307211">
        <w:rPr>
          <w:color w:val="000000" w:themeColor="text1"/>
        </w:rPr>
        <w:t xml:space="preserve">nvestigators and the </w:t>
      </w:r>
      <w:r w:rsidR="00884166">
        <w:rPr>
          <w:color w:val="000000" w:themeColor="text1"/>
        </w:rPr>
        <w:t>E</w:t>
      </w:r>
      <w:r w:rsidRPr="6C307211">
        <w:rPr>
          <w:color w:val="000000" w:themeColor="text1"/>
        </w:rPr>
        <w:t xml:space="preserve">vidence </w:t>
      </w:r>
      <w:r w:rsidR="00884166">
        <w:rPr>
          <w:color w:val="000000" w:themeColor="text1"/>
        </w:rPr>
        <w:t>D</w:t>
      </w:r>
      <w:r w:rsidRPr="6C307211">
        <w:rPr>
          <w:color w:val="000000" w:themeColor="text1"/>
        </w:rPr>
        <w:t xml:space="preserve">iscovered on November 5, 2023, was </w:t>
      </w:r>
      <w:r w:rsidR="00884166">
        <w:rPr>
          <w:color w:val="000000" w:themeColor="text1"/>
        </w:rPr>
        <w:t>D</w:t>
      </w:r>
      <w:r w:rsidRPr="6C307211">
        <w:rPr>
          <w:color w:val="000000" w:themeColor="text1"/>
        </w:rPr>
        <w:t xml:space="preserve">iscovered </w:t>
      </w:r>
      <w:r w:rsidR="00884166">
        <w:rPr>
          <w:color w:val="000000" w:themeColor="text1"/>
        </w:rPr>
        <w:t>S</w:t>
      </w:r>
      <w:r w:rsidRPr="6C307211">
        <w:rPr>
          <w:color w:val="000000" w:themeColor="text1"/>
        </w:rPr>
        <w:t xml:space="preserve">olely as a </w:t>
      </w:r>
      <w:r w:rsidR="00884166">
        <w:rPr>
          <w:color w:val="000000" w:themeColor="text1"/>
        </w:rPr>
        <w:t>R</w:t>
      </w:r>
      <w:r w:rsidRPr="6C307211">
        <w:rPr>
          <w:color w:val="000000" w:themeColor="text1"/>
        </w:rPr>
        <w:t xml:space="preserve">esult of Parker’s </w:t>
      </w:r>
      <w:r w:rsidR="00884166">
        <w:rPr>
          <w:color w:val="000000" w:themeColor="text1"/>
        </w:rPr>
        <w:t>T</w:t>
      </w:r>
      <w:r w:rsidRPr="6C307211">
        <w:rPr>
          <w:color w:val="000000" w:themeColor="text1"/>
        </w:rPr>
        <w:t>estimony.</w:t>
      </w:r>
      <w:bookmarkEnd w:id="17"/>
    </w:p>
    <w:p w14:paraId="0E0ACE7E" w14:textId="06A0AB6D" w:rsidR="6C307211" w:rsidRDefault="6C307211" w:rsidP="00675D0E">
      <w:pPr>
        <w:spacing w:line="240" w:lineRule="auto"/>
        <w:jc w:val="both"/>
      </w:pPr>
    </w:p>
    <w:p w14:paraId="0A39CEB8" w14:textId="080C1101" w:rsidR="6C307211" w:rsidRDefault="00112C96" w:rsidP="00112C96">
      <w:pPr>
        <w:spacing w:line="520" w:lineRule="auto"/>
        <w:jc w:val="both"/>
      </w:pPr>
      <w:r>
        <w:rPr>
          <w:rFonts w:eastAsia="Times New Roman" w:cs="Times New Roman"/>
          <w:color w:val="000000" w:themeColor="text1"/>
          <w:sz w:val="26"/>
          <w:szCs w:val="26"/>
        </w:rPr>
        <w:tab/>
      </w:r>
      <w:r w:rsidR="7E449CAF" w:rsidRPr="7E449CAF">
        <w:rPr>
          <w:rFonts w:eastAsia="Times New Roman" w:cs="Times New Roman"/>
          <w:color w:val="000000" w:themeColor="text1"/>
          <w:sz w:val="26"/>
          <w:szCs w:val="26"/>
        </w:rPr>
        <w:t xml:space="preserve">Proof that a witness was never exposed to immunized testimony satisfies the requirement that the government prove by a preponderance of the evidence that all of the evidence it proposes to use was derived from legitimate independent sources. </w:t>
      </w:r>
      <w:r w:rsidR="7E449CAF" w:rsidRPr="7E449CAF">
        <w:rPr>
          <w:rFonts w:eastAsia="Times New Roman" w:cs="Times New Roman"/>
          <w:i/>
          <w:iCs/>
          <w:color w:val="000000" w:themeColor="text1"/>
          <w:sz w:val="26"/>
          <w:szCs w:val="26"/>
        </w:rPr>
        <w:t>United States v. Slough</w:t>
      </w:r>
      <w:r w:rsidR="7E449CAF" w:rsidRPr="7E449CAF">
        <w:rPr>
          <w:rFonts w:eastAsia="Times New Roman" w:cs="Times New Roman"/>
          <w:color w:val="000000" w:themeColor="text1"/>
          <w:sz w:val="26"/>
          <w:szCs w:val="26"/>
        </w:rPr>
        <w:t>, 641 F.3d 544 (D.C. Cir. 2011).</w:t>
      </w:r>
      <w:r w:rsidR="00410CB5">
        <w:rPr>
          <w:rFonts w:eastAsia="Times New Roman" w:cs="Times New Roman"/>
          <w:color w:val="000000" w:themeColor="text1"/>
          <w:sz w:val="26"/>
          <w:szCs w:val="26"/>
        </w:rPr>
        <w:fldChar w:fldCharType="begin"/>
      </w:r>
      <w:r w:rsidR="00410CB5">
        <w:instrText xml:space="preserve"> TA \l "</w:instrText>
      </w:r>
      <w:r w:rsidR="00410CB5" w:rsidRPr="00AA5BEB">
        <w:rPr>
          <w:rFonts w:eastAsia="Times New Roman" w:cs="Times New Roman"/>
          <w:i/>
          <w:iCs/>
          <w:color w:val="000000" w:themeColor="text1"/>
          <w:sz w:val="26"/>
          <w:szCs w:val="26"/>
        </w:rPr>
        <w:instrText>United States v. Slough</w:instrText>
      </w:r>
      <w:r w:rsidR="00410CB5" w:rsidRPr="00AA5BEB">
        <w:rPr>
          <w:rFonts w:eastAsia="Times New Roman" w:cs="Times New Roman"/>
          <w:color w:val="000000" w:themeColor="text1"/>
          <w:sz w:val="26"/>
          <w:szCs w:val="26"/>
        </w:rPr>
        <w:instrText>, 641 F.3d 544 (D.C. Cir. 2011).</w:instrText>
      </w:r>
      <w:r w:rsidR="00410CB5">
        <w:instrText xml:space="preserve">" \s "Slough" \c 1 </w:instrText>
      </w:r>
      <w:r w:rsidR="00410CB5">
        <w:rPr>
          <w:rFonts w:eastAsia="Times New Roman" w:cs="Times New Roman"/>
          <w:color w:val="000000" w:themeColor="text1"/>
          <w:sz w:val="26"/>
          <w:szCs w:val="26"/>
        </w:rPr>
        <w:fldChar w:fldCharType="end"/>
      </w:r>
      <w:r w:rsidR="7E449CAF" w:rsidRPr="7E449CAF">
        <w:rPr>
          <w:rFonts w:eastAsia="Times New Roman" w:cs="Times New Roman"/>
          <w:color w:val="000000" w:themeColor="text1"/>
          <w:sz w:val="26"/>
          <w:szCs w:val="26"/>
        </w:rPr>
        <w:t xml:space="preserve"> In the instant case, Kennedy Parker is unequivocal in their stance that they did not follow Donovan’s trial and was entirely unaware of the Defendant’s testimony at trial. Kennedy Parker was clear in their deposition that the energy of the trial would </w:t>
      </w:r>
      <w:r w:rsidR="004B28AB">
        <w:rPr>
          <w:rFonts w:eastAsia="Times New Roman" w:cs="Times New Roman"/>
          <w:color w:val="000000" w:themeColor="text1"/>
          <w:sz w:val="26"/>
          <w:szCs w:val="26"/>
        </w:rPr>
        <w:t xml:space="preserve">be disruptive, </w:t>
      </w:r>
      <w:r w:rsidR="7E449CAF" w:rsidRPr="7E449CAF">
        <w:rPr>
          <w:rFonts w:eastAsia="Times New Roman" w:cs="Times New Roman"/>
          <w:color w:val="000000" w:themeColor="text1"/>
          <w:sz w:val="26"/>
          <w:szCs w:val="26"/>
        </w:rPr>
        <w:t xml:space="preserve">so </w:t>
      </w:r>
      <w:r w:rsidR="004B28AB">
        <w:rPr>
          <w:rFonts w:eastAsia="Times New Roman" w:cs="Times New Roman"/>
          <w:color w:val="000000" w:themeColor="text1"/>
          <w:sz w:val="26"/>
          <w:szCs w:val="26"/>
        </w:rPr>
        <w:t>Parker</w:t>
      </w:r>
      <w:r w:rsidR="7E449CAF" w:rsidRPr="7E449CAF">
        <w:rPr>
          <w:rFonts w:eastAsia="Times New Roman" w:cs="Times New Roman"/>
          <w:color w:val="000000" w:themeColor="text1"/>
          <w:sz w:val="26"/>
          <w:szCs w:val="26"/>
        </w:rPr>
        <w:t xml:space="preserve"> did not follow the trial. </w:t>
      </w:r>
      <w:r w:rsidR="00057E0D">
        <w:rPr>
          <w:rFonts w:eastAsia="Times New Roman" w:cs="Times New Roman"/>
          <w:color w:val="000000" w:themeColor="text1"/>
          <w:sz w:val="26"/>
          <w:szCs w:val="26"/>
        </w:rPr>
        <w:t>(R. 42, lines 307-13)</w:t>
      </w:r>
      <w:r w:rsidR="7E449CAF" w:rsidRPr="7E449CAF">
        <w:rPr>
          <w:rFonts w:eastAsia="Times New Roman" w:cs="Times New Roman"/>
          <w:color w:val="000000" w:themeColor="text1"/>
          <w:sz w:val="26"/>
          <w:szCs w:val="26"/>
        </w:rPr>
        <w:t>. Further, there is no indication in the testimony defendant discussed with the Donovan team in August 2023 or in the available synopses of the testimony defendant provided at trial of a storage unit that was housing Coastal’s ownership documents. Knowledge of the storage unit came solely from Kennedy Parker, who was always set to be interviewed. Instead of looking to the actual timeline and information that would have been accessible, the Defense would have this Court determine that the timing of Kennedy Parker being interviewed two weeks after Defendant testified at trial proves impermissible taint in the Calloway investigative team. However, a mere coincidence of timing is insufficient in the face of the investigative procedures being followed and Kennedy Parker’s own unfamiliarity with the Defendant’s testimony. Thus, the Defense’s motion to suppress must be denied.</w:t>
      </w:r>
    </w:p>
    <w:p w14:paraId="1785FA0E" w14:textId="5D121A95" w:rsidR="6C307211" w:rsidRDefault="6C307211" w:rsidP="6C307211">
      <w:pPr>
        <w:pStyle w:val="Heading3"/>
        <w:rPr>
          <w:color w:val="000000" w:themeColor="text1"/>
        </w:rPr>
      </w:pPr>
      <w:bookmarkStart w:id="18" w:name="_Toc239164089"/>
      <w:r w:rsidRPr="6C307211">
        <w:rPr>
          <w:color w:val="000000" w:themeColor="text1"/>
        </w:rPr>
        <w:lastRenderedPageBreak/>
        <w:t xml:space="preserve">In the </w:t>
      </w:r>
      <w:r w:rsidR="00E96047">
        <w:rPr>
          <w:color w:val="000000" w:themeColor="text1"/>
        </w:rPr>
        <w:t>A</w:t>
      </w:r>
      <w:r w:rsidRPr="6C307211">
        <w:rPr>
          <w:color w:val="000000" w:themeColor="text1"/>
        </w:rPr>
        <w:t xml:space="preserve">lternative, a </w:t>
      </w:r>
      <w:r w:rsidR="00E96047">
        <w:rPr>
          <w:color w:val="000000" w:themeColor="text1"/>
        </w:rPr>
        <w:t>H</w:t>
      </w:r>
      <w:r w:rsidRPr="6C307211">
        <w:rPr>
          <w:color w:val="000000" w:themeColor="text1"/>
        </w:rPr>
        <w:t xml:space="preserve">armless </w:t>
      </w:r>
      <w:r w:rsidR="00E96047">
        <w:rPr>
          <w:color w:val="000000" w:themeColor="text1"/>
        </w:rPr>
        <w:t>E</w:t>
      </w:r>
      <w:r w:rsidRPr="6C307211">
        <w:rPr>
          <w:color w:val="000000" w:themeColor="text1"/>
        </w:rPr>
        <w:t xml:space="preserve">rror </w:t>
      </w:r>
      <w:r w:rsidR="00E96047">
        <w:rPr>
          <w:color w:val="000000" w:themeColor="text1"/>
        </w:rPr>
        <w:t>A</w:t>
      </w:r>
      <w:r w:rsidRPr="6C307211">
        <w:rPr>
          <w:color w:val="000000" w:themeColor="text1"/>
        </w:rPr>
        <w:t xml:space="preserve">nalysis </w:t>
      </w:r>
      <w:r w:rsidR="00E96047">
        <w:rPr>
          <w:color w:val="000000" w:themeColor="text1"/>
        </w:rPr>
        <w:t>S</w:t>
      </w:r>
      <w:r w:rsidRPr="6C307211">
        <w:rPr>
          <w:color w:val="000000" w:themeColor="text1"/>
        </w:rPr>
        <w:t xml:space="preserve">hows </w:t>
      </w:r>
      <w:r w:rsidR="00E96047">
        <w:rPr>
          <w:color w:val="000000" w:themeColor="text1"/>
        </w:rPr>
        <w:t>T</w:t>
      </w:r>
      <w:r w:rsidRPr="6C307211">
        <w:rPr>
          <w:color w:val="000000" w:themeColor="text1"/>
        </w:rPr>
        <w:t xml:space="preserve">hat the </w:t>
      </w:r>
      <w:r w:rsidR="00E96047">
        <w:rPr>
          <w:color w:val="000000" w:themeColor="text1"/>
        </w:rPr>
        <w:t>E</w:t>
      </w:r>
      <w:r w:rsidRPr="6C307211">
        <w:rPr>
          <w:color w:val="000000" w:themeColor="text1"/>
        </w:rPr>
        <w:t xml:space="preserve">vidence </w:t>
      </w:r>
      <w:r w:rsidR="00E96047">
        <w:rPr>
          <w:color w:val="000000" w:themeColor="text1"/>
        </w:rPr>
        <w:t>S</w:t>
      </w:r>
      <w:r w:rsidRPr="6C307211">
        <w:rPr>
          <w:color w:val="000000" w:themeColor="text1"/>
        </w:rPr>
        <w:t xml:space="preserve">ought to </w:t>
      </w:r>
      <w:r w:rsidR="00E96047">
        <w:rPr>
          <w:color w:val="000000" w:themeColor="text1"/>
        </w:rPr>
        <w:t>B</w:t>
      </w:r>
      <w:r w:rsidRPr="6C307211">
        <w:rPr>
          <w:color w:val="000000" w:themeColor="text1"/>
        </w:rPr>
        <w:t xml:space="preserve">e </w:t>
      </w:r>
      <w:r w:rsidR="00E96047">
        <w:rPr>
          <w:color w:val="000000" w:themeColor="text1"/>
        </w:rPr>
        <w:t>E</w:t>
      </w:r>
      <w:r w:rsidRPr="6C307211">
        <w:rPr>
          <w:color w:val="000000" w:themeColor="text1"/>
        </w:rPr>
        <w:t xml:space="preserve">xcluded </w:t>
      </w:r>
      <w:r w:rsidR="00E96047">
        <w:rPr>
          <w:color w:val="000000" w:themeColor="text1"/>
        </w:rPr>
        <w:t>W</w:t>
      </w:r>
      <w:r w:rsidRPr="6C307211">
        <w:rPr>
          <w:color w:val="000000" w:themeColor="text1"/>
        </w:rPr>
        <w:t xml:space="preserve">ould </w:t>
      </w:r>
      <w:r w:rsidR="00E96047">
        <w:rPr>
          <w:color w:val="000000" w:themeColor="text1"/>
        </w:rPr>
        <w:t>H</w:t>
      </w:r>
      <w:r w:rsidRPr="6C307211">
        <w:rPr>
          <w:color w:val="000000" w:themeColor="text1"/>
        </w:rPr>
        <w:t xml:space="preserve">ave </w:t>
      </w:r>
      <w:r w:rsidR="00E96047">
        <w:rPr>
          <w:color w:val="000000" w:themeColor="text1"/>
        </w:rPr>
        <w:t>B</w:t>
      </w:r>
      <w:r w:rsidRPr="6C307211">
        <w:rPr>
          <w:color w:val="000000" w:themeColor="text1"/>
        </w:rPr>
        <w:t xml:space="preserve">een </w:t>
      </w:r>
      <w:r w:rsidR="00E96047">
        <w:rPr>
          <w:color w:val="000000" w:themeColor="text1"/>
        </w:rPr>
        <w:t>D</w:t>
      </w:r>
      <w:r w:rsidRPr="6C307211">
        <w:rPr>
          <w:color w:val="000000" w:themeColor="text1"/>
        </w:rPr>
        <w:t xml:space="preserve">iscovered </w:t>
      </w:r>
      <w:r w:rsidR="00E96047">
        <w:rPr>
          <w:color w:val="000000" w:themeColor="text1"/>
        </w:rPr>
        <w:t>I</w:t>
      </w:r>
      <w:r w:rsidRPr="6C307211">
        <w:rPr>
          <w:color w:val="000000" w:themeColor="text1"/>
        </w:rPr>
        <w:t xml:space="preserve">ndependently </w:t>
      </w:r>
      <w:r w:rsidR="00E96047">
        <w:rPr>
          <w:color w:val="000000" w:themeColor="text1"/>
        </w:rPr>
        <w:t>S</w:t>
      </w:r>
      <w:r w:rsidRPr="6C307211">
        <w:rPr>
          <w:color w:val="000000" w:themeColor="text1"/>
        </w:rPr>
        <w:t xml:space="preserve">uch </w:t>
      </w:r>
      <w:r w:rsidR="00E96047">
        <w:rPr>
          <w:color w:val="000000" w:themeColor="text1"/>
        </w:rPr>
        <w:t>T</w:t>
      </w:r>
      <w:r w:rsidRPr="6C307211">
        <w:rPr>
          <w:color w:val="000000" w:themeColor="text1"/>
        </w:rPr>
        <w:t xml:space="preserve">hat </w:t>
      </w:r>
      <w:r w:rsidR="00E96047">
        <w:rPr>
          <w:color w:val="000000" w:themeColor="text1"/>
        </w:rPr>
        <w:t>A</w:t>
      </w:r>
      <w:r w:rsidRPr="6C307211">
        <w:rPr>
          <w:color w:val="000000" w:themeColor="text1"/>
        </w:rPr>
        <w:t xml:space="preserve">ny </w:t>
      </w:r>
      <w:r w:rsidR="00E96047">
        <w:rPr>
          <w:color w:val="000000" w:themeColor="text1"/>
        </w:rPr>
        <w:t>B</w:t>
      </w:r>
      <w:r w:rsidRPr="6C307211">
        <w:rPr>
          <w:color w:val="000000" w:themeColor="text1"/>
        </w:rPr>
        <w:t xml:space="preserve">reach </w:t>
      </w:r>
      <w:r w:rsidR="00E96047">
        <w:rPr>
          <w:color w:val="000000" w:themeColor="text1"/>
        </w:rPr>
        <w:t>I</w:t>
      </w:r>
      <w:r w:rsidRPr="6C307211">
        <w:rPr>
          <w:color w:val="000000" w:themeColor="text1"/>
        </w:rPr>
        <w:t xml:space="preserve">s </w:t>
      </w:r>
      <w:r w:rsidR="00E96047">
        <w:rPr>
          <w:color w:val="000000" w:themeColor="text1"/>
        </w:rPr>
        <w:t>M</w:t>
      </w:r>
      <w:r w:rsidRPr="6C307211">
        <w:rPr>
          <w:color w:val="000000" w:themeColor="text1"/>
        </w:rPr>
        <w:t xml:space="preserve">erely a </w:t>
      </w:r>
      <w:r w:rsidR="00E96047">
        <w:rPr>
          <w:color w:val="000000" w:themeColor="text1"/>
        </w:rPr>
        <w:t>H</w:t>
      </w:r>
      <w:r w:rsidRPr="6C307211">
        <w:rPr>
          <w:color w:val="000000" w:themeColor="text1"/>
        </w:rPr>
        <w:t xml:space="preserve">armless </w:t>
      </w:r>
      <w:r w:rsidR="00E96047">
        <w:rPr>
          <w:color w:val="000000" w:themeColor="text1"/>
        </w:rPr>
        <w:t>E</w:t>
      </w:r>
      <w:r w:rsidRPr="6C307211">
        <w:rPr>
          <w:color w:val="000000" w:themeColor="text1"/>
        </w:rPr>
        <w:t>rror.</w:t>
      </w:r>
      <w:bookmarkEnd w:id="18"/>
    </w:p>
    <w:p w14:paraId="2BD6DCF4" w14:textId="2766F226" w:rsidR="6C307211" w:rsidRDefault="6C307211" w:rsidP="00C4035B">
      <w:pPr>
        <w:spacing w:line="240" w:lineRule="auto"/>
        <w:jc w:val="both"/>
      </w:pPr>
    </w:p>
    <w:p w14:paraId="71744EE7" w14:textId="108A3DB5" w:rsidR="6C307211" w:rsidRDefault="00112C96" w:rsidP="00112C96">
      <w:pPr>
        <w:spacing w:line="52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 xml:space="preserve">In the alternative, a breach in the wall between the Donovan and Calloway investigations should be reviewed by a district court using a harmless error analysis. In </w:t>
      </w:r>
      <w:r w:rsidR="6C307211" w:rsidRPr="6C307211">
        <w:rPr>
          <w:rFonts w:eastAsia="Times New Roman" w:cs="Times New Roman"/>
          <w:i/>
          <w:iCs/>
          <w:color w:val="000000" w:themeColor="text1"/>
          <w:sz w:val="26"/>
          <w:szCs w:val="26"/>
        </w:rPr>
        <w:t>United States v. Ponds</w:t>
      </w:r>
      <w:r w:rsidR="6C307211" w:rsidRPr="6C307211">
        <w:rPr>
          <w:rFonts w:eastAsia="Times New Roman" w:cs="Times New Roman"/>
          <w:color w:val="000000" w:themeColor="text1"/>
          <w:sz w:val="26"/>
          <w:szCs w:val="26"/>
        </w:rPr>
        <w:t xml:space="preserve">, the district court granted an immunity request and ordered that the defendant appear before a grand jury and produce certain documents for the grand jury proceedings. </w:t>
      </w:r>
      <w:r w:rsidR="6C307211" w:rsidRPr="6C307211">
        <w:rPr>
          <w:rFonts w:eastAsia="Times New Roman" w:cs="Times New Roman"/>
          <w:i/>
          <w:iCs/>
          <w:color w:val="000000" w:themeColor="text1"/>
          <w:sz w:val="26"/>
          <w:szCs w:val="26"/>
        </w:rPr>
        <w:t>See</w:t>
      </w:r>
      <w:r w:rsidR="6C307211" w:rsidRPr="6C307211">
        <w:rPr>
          <w:rFonts w:eastAsia="Times New Roman" w:cs="Times New Roman"/>
          <w:color w:val="000000" w:themeColor="text1"/>
          <w:sz w:val="26"/>
          <w:szCs w:val="26"/>
        </w:rPr>
        <w:t xml:space="preserve"> </w:t>
      </w:r>
      <w:r w:rsidR="6C307211" w:rsidRPr="6C307211">
        <w:rPr>
          <w:rFonts w:eastAsia="Times New Roman" w:cs="Times New Roman"/>
          <w:i/>
          <w:iCs/>
          <w:color w:val="000000" w:themeColor="text1"/>
          <w:sz w:val="26"/>
          <w:szCs w:val="26"/>
        </w:rPr>
        <w:t>United States v. Ponds</w:t>
      </w:r>
      <w:r w:rsidR="6C307211" w:rsidRPr="6C307211">
        <w:rPr>
          <w:rFonts w:eastAsia="Times New Roman" w:cs="Times New Roman"/>
          <w:color w:val="000000" w:themeColor="text1"/>
          <w:sz w:val="26"/>
          <w:szCs w:val="26"/>
        </w:rPr>
        <w:t>, 454 F.3d 313 (D.C. Cir. 2006).</w:t>
      </w:r>
      <w:r w:rsidR="00410CB5">
        <w:rPr>
          <w:rFonts w:eastAsia="Times New Roman" w:cs="Times New Roman"/>
          <w:color w:val="000000" w:themeColor="text1"/>
          <w:sz w:val="26"/>
          <w:szCs w:val="26"/>
        </w:rPr>
        <w:fldChar w:fldCharType="begin"/>
      </w:r>
      <w:r w:rsidR="00410CB5">
        <w:instrText xml:space="preserve"> TA \l "</w:instrText>
      </w:r>
      <w:r w:rsidR="00410CB5" w:rsidRPr="00AA5BEB">
        <w:rPr>
          <w:rFonts w:eastAsia="Times New Roman" w:cs="Times New Roman"/>
          <w:i/>
          <w:iCs/>
          <w:color w:val="000000" w:themeColor="text1"/>
          <w:sz w:val="26"/>
          <w:szCs w:val="26"/>
        </w:rPr>
        <w:instrText>United States v. Ponds</w:instrText>
      </w:r>
      <w:r w:rsidR="00410CB5" w:rsidRPr="00AA5BEB">
        <w:rPr>
          <w:rFonts w:eastAsia="Times New Roman" w:cs="Times New Roman"/>
          <w:color w:val="000000" w:themeColor="text1"/>
          <w:sz w:val="26"/>
          <w:szCs w:val="26"/>
        </w:rPr>
        <w:instrText>, 454 F.3d 313 (D.C. Cir. 2006).</w:instrText>
      </w:r>
      <w:r w:rsidR="00410CB5">
        <w:instrText xml:space="preserve">" \s "Ponds" \c 1 </w:instrText>
      </w:r>
      <w:r w:rsidR="00410CB5">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The government conceded that the immunity agreement was violated to some extent in the prosecution of the defendant. </w:t>
      </w:r>
      <w:r w:rsidR="6C307211" w:rsidRPr="6C307211">
        <w:rPr>
          <w:rFonts w:eastAsia="Times New Roman" w:cs="Times New Roman"/>
          <w:i/>
          <w:iCs/>
          <w:color w:val="000000" w:themeColor="text1"/>
          <w:sz w:val="26"/>
          <w:szCs w:val="26"/>
        </w:rPr>
        <w:t>Id.</w:t>
      </w:r>
      <w:r w:rsidR="6C307211" w:rsidRPr="6C307211">
        <w:rPr>
          <w:rFonts w:eastAsia="Times New Roman" w:cs="Times New Roman"/>
          <w:color w:val="000000" w:themeColor="text1"/>
          <w:sz w:val="26"/>
          <w:szCs w:val="26"/>
        </w:rPr>
        <w:t xml:space="preserve"> at 327.</w:t>
      </w:r>
      <w:r w:rsidR="009D330B">
        <w:rPr>
          <w:rFonts w:eastAsia="Times New Roman" w:cs="Times New Roman"/>
          <w:color w:val="000000" w:themeColor="text1"/>
          <w:sz w:val="26"/>
          <w:szCs w:val="26"/>
        </w:rPr>
        <w:fldChar w:fldCharType="begin"/>
      </w:r>
      <w:r w:rsidR="009D330B">
        <w:instrText xml:space="preserve"> TA \s "Ponds" </w:instrText>
      </w:r>
      <w:r w:rsidR="009D330B">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The court then looked to whether the production of documents was testimonial in nature and determined that the production of documents was testimonial. </w:t>
      </w:r>
      <w:r w:rsidR="6C307211" w:rsidRPr="6C307211">
        <w:rPr>
          <w:rFonts w:eastAsia="Times New Roman" w:cs="Times New Roman"/>
          <w:i/>
          <w:iCs/>
          <w:color w:val="000000" w:themeColor="text1"/>
          <w:sz w:val="26"/>
          <w:szCs w:val="26"/>
        </w:rPr>
        <w:t>Id.</w:t>
      </w:r>
      <w:r w:rsidR="009D330B">
        <w:rPr>
          <w:rFonts w:eastAsia="Times New Roman" w:cs="Times New Roman"/>
          <w:i/>
          <w:iCs/>
          <w:color w:val="000000" w:themeColor="text1"/>
          <w:sz w:val="26"/>
          <w:szCs w:val="26"/>
        </w:rPr>
        <w:fldChar w:fldCharType="begin"/>
      </w:r>
      <w:r w:rsidR="009D330B">
        <w:instrText xml:space="preserve"> TA \s "Ponds" </w:instrText>
      </w:r>
      <w:r w:rsidR="009D330B">
        <w:rPr>
          <w:rFonts w:eastAsia="Times New Roman" w:cs="Times New Roman"/>
          <w:i/>
          <w:iCs/>
          <w:color w:val="000000" w:themeColor="text1"/>
          <w:sz w:val="26"/>
          <w:szCs w:val="26"/>
        </w:rPr>
        <w:fldChar w:fldCharType="end"/>
      </w:r>
      <w:r w:rsidR="6C307211" w:rsidRPr="6C307211">
        <w:rPr>
          <w:rFonts w:eastAsia="Times New Roman" w:cs="Times New Roman"/>
          <w:color w:val="000000" w:themeColor="text1"/>
          <w:sz w:val="26"/>
          <w:szCs w:val="26"/>
        </w:rPr>
        <w:t xml:space="preserve"> The court was more skeptical in considering whether the use of the immunized documents actually affected the outcome obtained by the prosecution. </w:t>
      </w:r>
      <w:r w:rsidR="6C307211" w:rsidRPr="6C307211">
        <w:rPr>
          <w:rFonts w:eastAsia="Times New Roman" w:cs="Times New Roman"/>
          <w:i/>
          <w:iCs/>
          <w:color w:val="000000" w:themeColor="text1"/>
          <w:sz w:val="26"/>
          <w:szCs w:val="26"/>
        </w:rPr>
        <w:t>Id.</w:t>
      </w:r>
      <w:r w:rsidR="6C307211" w:rsidRPr="6C307211">
        <w:rPr>
          <w:rFonts w:eastAsia="Times New Roman" w:cs="Times New Roman"/>
          <w:color w:val="000000" w:themeColor="text1"/>
          <w:sz w:val="26"/>
          <w:szCs w:val="26"/>
        </w:rPr>
        <w:t xml:space="preserve"> at 328.</w:t>
      </w:r>
      <w:r w:rsidR="00E00E18">
        <w:rPr>
          <w:rFonts w:eastAsia="Times New Roman" w:cs="Times New Roman"/>
          <w:color w:val="000000" w:themeColor="text1"/>
          <w:sz w:val="26"/>
          <w:szCs w:val="26"/>
        </w:rPr>
        <w:fldChar w:fldCharType="begin"/>
      </w:r>
      <w:r w:rsidR="00E00E18">
        <w:instrText xml:space="preserve"> TA \s "Ponds" </w:instrText>
      </w:r>
      <w:r w:rsidR="00E00E18">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“Dismissal of the indictment or vacation of the conviction is not necessary where the use is found to be harmless beyond a reasonable doubt…because the error complained of did not contribute to the ultimate outcome.” </w:t>
      </w:r>
      <w:r w:rsidR="6C307211" w:rsidRPr="6C307211">
        <w:rPr>
          <w:rFonts w:eastAsia="Times New Roman" w:cs="Times New Roman"/>
          <w:i/>
          <w:iCs/>
          <w:color w:val="000000" w:themeColor="text1"/>
          <w:sz w:val="26"/>
          <w:szCs w:val="26"/>
        </w:rPr>
        <w:t>Id.</w:t>
      </w:r>
      <w:r w:rsidR="00CA6CFA">
        <w:rPr>
          <w:rFonts w:eastAsia="Times New Roman" w:cs="Times New Roman"/>
          <w:i/>
          <w:iCs/>
          <w:color w:val="000000" w:themeColor="text1"/>
          <w:sz w:val="26"/>
          <w:szCs w:val="26"/>
        </w:rPr>
        <w:fldChar w:fldCharType="begin"/>
      </w:r>
      <w:r w:rsidR="00CA6CFA">
        <w:instrText xml:space="preserve"> TA \s "Ponds" </w:instrText>
      </w:r>
      <w:r w:rsidR="00CA6CFA">
        <w:rPr>
          <w:rFonts w:eastAsia="Times New Roman" w:cs="Times New Roman"/>
          <w:i/>
          <w:iCs/>
          <w:color w:val="000000" w:themeColor="text1"/>
          <w:sz w:val="26"/>
          <w:szCs w:val="26"/>
        </w:rPr>
        <w:fldChar w:fldCharType="end"/>
      </w:r>
      <w:r w:rsidR="001E15AC">
        <w:rPr>
          <w:rFonts w:eastAsia="Times New Roman" w:cs="Times New Roman"/>
          <w:i/>
          <w:iCs/>
          <w:color w:val="000000" w:themeColor="text1"/>
          <w:sz w:val="26"/>
          <w:szCs w:val="26"/>
        </w:rPr>
        <w:t xml:space="preserve"> </w:t>
      </w:r>
      <w:r w:rsidR="6C307211" w:rsidRPr="6C307211">
        <w:rPr>
          <w:rFonts w:eastAsia="Times New Roman" w:cs="Times New Roman"/>
          <w:color w:val="000000" w:themeColor="text1"/>
          <w:sz w:val="26"/>
          <w:szCs w:val="26"/>
        </w:rPr>
        <w:t xml:space="preserve">(quoting </w:t>
      </w:r>
      <w:r w:rsidR="6C307211" w:rsidRPr="6C307211">
        <w:rPr>
          <w:rFonts w:eastAsia="Times New Roman" w:cs="Times New Roman"/>
          <w:i/>
          <w:iCs/>
          <w:color w:val="000000" w:themeColor="text1"/>
          <w:sz w:val="26"/>
          <w:szCs w:val="26"/>
        </w:rPr>
        <w:t>North</w:t>
      </w:r>
      <w:r w:rsidR="6C307211" w:rsidRPr="6C307211">
        <w:rPr>
          <w:rFonts w:eastAsia="Times New Roman" w:cs="Times New Roman"/>
          <w:color w:val="000000" w:themeColor="text1"/>
          <w:sz w:val="26"/>
          <w:szCs w:val="26"/>
        </w:rPr>
        <w:t>, 910 F.2d at 854</w:t>
      </w:r>
      <w:r w:rsidR="00DF5DA4">
        <w:rPr>
          <w:rFonts w:eastAsia="Times New Roman" w:cs="Times New Roman"/>
          <w:color w:val="000000" w:themeColor="text1"/>
          <w:sz w:val="26"/>
          <w:szCs w:val="26"/>
        </w:rPr>
        <w:fldChar w:fldCharType="begin"/>
      </w:r>
      <w:r w:rsidR="00DF5DA4">
        <w:instrText xml:space="preserve"> TA \s "North" </w:instrText>
      </w:r>
      <w:r w:rsidR="00DF5DA4">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w:t>
      </w:r>
      <w:r w:rsidR="6C307211" w:rsidRPr="6C307211">
        <w:rPr>
          <w:rFonts w:eastAsia="Times New Roman" w:cs="Times New Roman"/>
          <w:i/>
          <w:iCs/>
          <w:color w:val="000000" w:themeColor="text1"/>
          <w:sz w:val="26"/>
          <w:szCs w:val="26"/>
        </w:rPr>
        <w:t>Chapman v. California</w:t>
      </w:r>
      <w:r w:rsidR="6C307211" w:rsidRPr="6C307211">
        <w:rPr>
          <w:rFonts w:eastAsia="Times New Roman" w:cs="Times New Roman"/>
          <w:color w:val="000000" w:themeColor="text1"/>
          <w:sz w:val="26"/>
          <w:szCs w:val="26"/>
        </w:rPr>
        <w:t>, 386 U.S. 18, 24 (1967)</w:t>
      </w:r>
      <w:r w:rsidR="00785904">
        <w:rPr>
          <w:rFonts w:eastAsia="Times New Roman" w:cs="Times New Roman"/>
          <w:color w:val="000000" w:themeColor="text1"/>
          <w:sz w:val="26"/>
          <w:szCs w:val="26"/>
        </w:rPr>
        <w:fldChar w:fldCharType="begin"/>
      </w:r>
      <w:r w:rsidR="00785904">
        <w:instrText xml:space="preserve"> TA \l "</w:instrText>
      </w:r>
      <w:r w:rsidR="00785904" w:rsidRPr="00AA5BEB">
        <w:rPr>
          <w:rFonts w:eastAsia="Times New Roman" w:cs="Times New Roman"/>
          <w:i/>
          <w:iCs/>
          <w:color w:val="000000" w:themeColor="text1"/>
          <w:sz w:val="26"/>
          <w:szCs w:val="26"/>
        </w:rPr>
        <w:instrText>Chapman v. California</w:instrText>
      </w:r>
      <w:r w:rsidR="00785904" w:rsidRPr="00AA5BEB">
        <w:rPr>
          <w:rFonts w:eastAsia="Times New Roman" w:cs="Times New Roman"/>
          <w:color w:val="000000" w:themeColor="text1"/>
          <w:sz w:val="26"/>
          <w:szCs w:val="26"/>
        </w:rPr>
        <w:instrText>, 386 U.S. 18 (1967).</w:instrText>
      </w:r>
      <w:r w:rsidR="00785904">
        <w:instrText xml:space="preserve">" \s "Chapman" \c 1 </w:instrText>
      </w:r>
      <w:r w:rsidR="00785904">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In order to determine whether the prosecution impermissibly used immunized testimony, the prosecution must show more than the possibility that a wholly independent source would have led to evidence that led to the indictment. </w:t>
      </w:r>
      <w:r w:rsidR="6C307211" w:rsidRPr="6C307211">
        <w:rPr>
          <w:rFonts w:eastAsia="Times New Roman" w:cs="Times New Roman"/>
          <w:i/>
          <w:iCs/>
          <w:color w:val="000000" w:themeColor="text1"/>
          <w:sz w:val="26"/>
          <w:szCs w:val="26"/>
        </w:rPr>
        <w:t>Id.</w:t>
      </w:r>
      <w:r w:rsidR="00785904">
        <w:rPr>
          <w:rFonts w:eastAsia="Times New Roman" w:cs="Times New Roman"/>
          <w:i/>
          <w:iCs/>
          <w:color w:val="000000" w:themeColor="text1"/>
          <w:sz w:val="26"/>
          <w:szCs w:val="26"/>
        </w:rPr>
        <w:fldChar w:fldCharType="begin"/>
      </w:r>
      <w:r w:rsidR="00785904">
        <w:instrText xml:space="preserve"> TA \s "Ponds" </w:instrText>
      </w:r>
      <w:r w:rsidR="00785904">
        <w:rPr>
          <w:rFonts w:eastAsia="Times New Roman" w:cs="Times New Roman"/>
          <w:i/>
          <w:iCs/>
          <w:color w:val="000000" w:themeColor="text1"/>
          <w:sz w:val="26"/>
          <w:szCs w:val="26"/>
        </w:rPr>
        <w:fldChar w:fldCharType="end"/>
      </w:r>
      <w:r w:rsidR="6C307211" w:rsidRPr="6C307211">
        <w:rPr>
          <w:rFonts w:eastAsia="Times New Roman" w:cs="Times New Roman"/>
          <w:color w:val="000000" w:themeColor="text1"/>
          <w:sz w:val="26"/>
          <w:szCs w:val="26"/>
        </w:rPr>
        <w:t xml:space="preserve"> (quoting </w:t>
      </w:r>
      <w:r w:rsidR="6C307211" w:rsidRPr="6C307211">
        <w:rPr>
          <w:rFonts w:eastAsia="Times New Roman" w:cs="Times New Roman"/>
          <w:i/>
          <w:iCs/>
          <w:color w:val="000000" w:themeColor="text1"/>
          <w:sz w:val="26"/>
          <w:szCs w:val="26"/>
        </w:rPr>
        <w:t>United States v. Pelletier</w:t>
      </w:r>
      <w:r w:rsidR="6C307211" w:rsidRPr="6C307211">
        <w:rPr>
          <w:rFonts w:eastAsia="Times New Roman" w:cs="Times New Roman"/>
          <w:color w:val="000000" w:themeColor="text1"/>
          <w:sz w:val="26"/>
          <w:szCs w:val="26"/>
        </w:rPr>
        <w:t>, 898 F.2d 297, 303 (2d Cir. 1990)</w:t>
      </w:r>
      <w:r w:rsidR="001B39D3">
        <w:rPr>
          <w:rFonts w:eastAsia="Times New Roman" w:cs="Times New Roman"/>
          <w:color w:val="000000" w:themeColor="text1"/>
          <w:sz w:val="26"/>
          <w:szCs w:val="26"/>
        </w:rPr>
        <w:fldChar w:fldCharType="begin"/>
      </w:r>
      <w:r w:rsidR="001B39D3">
        <w:instrText xml:space="preserve"> TA \l "</w:instrText>
      </w:r>
      <w:r w:rsidR="001B39D3" w:rsidRPr="00AA5BEB">
        <w:rPr>
          <w:rFonts w:eastAsia="Times New Roman" w:cs="Times New Roman"/>
          <w:i/>
          <w:iCs/>
          <w:color w:val="000000" w:themeColor="text1"/>
          <w:sz w:val="26"/>
          <w:szCs w:val="26"/>
        </w:rPr>
        <w:instrText>United States v. Pelletier</w:instrText>
      </w:r>
      <w:r w:rsidR="001B39D3" w:rsidRPr="00AA5BEB">
        <w:rPr>
          <w:rFonts w:eastAsia="Times New Roman" w:cs="Times New Roman"/>
          <w:color w:val="000000" w:themeColor="text1"/>
          <w:sz w:val="26"/>
          <w:szCs w:val="26"/>
        </w:rPr>
        <w:instrText>, 898 F.2d 297 (2d Cir. 1990).</w:instrText>
      </w:r>
      <w:r w:rsidR="001B39D3">
        <w:instrText xml:space="preserve">" \s "Pelletier" \c 1 </w:instrText>
      </w:r>
      <w:r w:rsidR="001B39D3">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w:t>
      </w:r>
      <w:r w:rsidR="001E15AC" w:rsidRPr="6C307211">
        <w:rPr>
          <w:rFonts w:eastAsia="Times New Roman" w:cs="Times New Roman"/>
          <w:color w:val="000000" w:themeColor="text1"/>
          <w:sz w:val="26"/>
          <w:szCs w:val="26"/>
        </w:rPr>
        <w:t>Instead,</w:t>
      </w:r>
      <w:r w:rsidR="6C307211" w:rsidRPr="6C307211">
        <w:rPr>
          <w:rFonts w:eastAsia="Times New Roman" w:cs="Times New Roman"/>
          <w:color w:val="000000" w:themeColor="text1"/>
          <w:sz w:val="26"/>
          <w:szCs w:val="26"/>
        </w:rPr>
        <w:t xml:space="preserve"> the prosecution must show the investigation “</w:t>
      </w:r>
      <w:r w:rsidR="6C307211" w:rsidRPr="6C307211">
        <w:rPr>
          <w:rFonts w:eastAsia="Times New Roman" w:cs="Times New Roman"/>
          <w:i/>
          <w:iCs/>
          <w:color w:val="000000" w:themeColor="text1"/>
          <w:sz w:val="26"/>
          <w:szCs w:val="26"/>
        </w:rPr>
        <w:t>would</w:t>
      </w:r>
      <w:r w:rsidR="6C307211" w:rsidRPr="6C307211">
        <w:rPr>
          <w:rFonts w:eastAsia="Times New Roman" w:cs="Times New Roman"/>
          <w:color w:val="000000" w:themeColor="text1"/>
          <w:sz w:val="26"/>
          <w:szCs w:val="26"/>
        </w:rPr>
        <w:t xml:space="preserve"> have been vigorously </w:t>
      </w:r>
      <w:r w:rsidR="6C307211" w:rsidRPr="6C307211">
        <w:rPr>
          <w:rFonts w:eastAsia="Times New Roman" w:cs="Times New Roman"/>
          <w:color w:val="000000" w:themeColor="text1"/>
          <w:sz w:val="26"/>
          <w:szCs w:val="26"/>
        </w:rPr>
        <w:lastRenderedPageBreak/>
        <w:t xml:space="preserve">pursued” if the immunized testimony was unknown to the prosecution. </w:t>
      </w:r>
      <w:r w:rsidR="6C307211" w:rsidRPr="6C307211">
        <w:rPr>
          <w:rFonts w:eastAsia="Times New Roman" w:cs="Times New Roman"/>
          <w:i/>
          <w:iCs/>
          <w:color w:val="000000" w:themeColor="text1"/>
          <w:sz w:val="26"/>
          <w:szCs w:val="26"/>
        </w:rPr>
        <w:t>Id.</w:t>
      </w:r>
      <w:r w:rsidR="001B39D3">
        <w:rPr>
          <w:rFonts w:eastAsia="Times New Roman" w:cs="Times New Roman"/>
          <w:i/>
          <w:iCs/>
          <w:color w:val="000000" w:themeColor="text1"/>
          <w:sz w:val="26"/>
          <w:szCs w:val="26"/>
        </w:rPr>
        <w:fldChar w:fldCharType="begin"/>
      </w:r>
      <w:r w:rsidR="001B39D3">
        <w:instrText xml:space="preserve"> TA \s "Ponds" </w:instrText>
      </w:r>
      <w:r w:rsidR="001B39D3">
        <w:rPr>
          <w:rFonts w:eastAsia="Times New Roman" w:cs="Times New Roman"/>
          <w:i/>
          <w:iCs/>
          <w:color w:val="000000" w:themeColor="text1"/>
          <w:sz w:val="26"/>
          <w:szCs w:val="26"/>
        </w:rPr>
        <w:fldChar w:fldCharType="end"/>
      </w:r>
      <w:r w:rsidR="6C307211" w:rsidRPr="6C307211">
        <w:rPr>
          <w:rFonts w:eastAsia="Times New Roman" w:cs="Times New Roman"/>
          <w:color w:val="000000" w:themeColor="text1"/>
          <w:sz w:val="26"/>
          <w:szCs w:val="26"/>
        </w:rPr>
        <w:t xml:space="preserve"> To that question, the answer is clear: yes, the prosecution vigorously pursued and would continue to vigorously pursue the investigation into the defendant.</w:t>
      </w:r>
    </w:p>
    <w:p w14:paraId="19A86576" w14:textId="516C4328" w:rsidR="6C307211" w:rsidRDefault="008960A5" w:rsidP="008960A5">
      <w:pPr>
        <w:spacing w:line="52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 xml:space="preserve">Looking to the instant case, the defendant’s testimony at trial is clearly testimonial in nature and thus Fifth Amendment protects attach to it. Thus, this court then must determine whether any potential breach affected the outcome obtained. There is only one conclusion that can be drawn from the investigative procedures and the resulting evidence: that any potential breach was so minimal that it did not </w:t>
      </w:r>
      <w:proofErr w:type="gramStart"/>
      <w:r w:rsidR="6C307211" w:rsidRPr="6C307211">
        <w:rPr>
          <w:rFonts w:eastAsia="Times New Roman" w:cs="Times New Roman"/>
          <w:color w:val="000000" w:themeColor="text1"/>
          <w:sz w:val="26"/>
          <w:szCs w:val="26"/>
        </w:rPr>
        <w:t>impact</w:t>
      </w:r>
      <w:proofErr w:type="gramEnd"/>
      <w:r w:rsidR="6C307211" w:rsidRPr="6C307211">
        <w:rPr>
          <w:rFonts w:eastAsia="Times New Roman" w:cs="Times New Roman"/>
          <w:color w:val="000000" w:themeColor="text1"/>
          <w:sz w:val="26"/>
          <w:szCs w:val="26"/>
        </w:rPr>
        <w:t xml:space="preserve"> the actions of the investigative </w:t>
      </w:r>
      <w:proofErr w:type="gramStart"/>
      <w:r w:rsidR="6C307211" w:rsidRPr="6C307211">
        <w:rPr>
          <w:rFonts w:eastAsia="Times New Roman" w:cs="Times New Roman"/>
          <w:color w:val="000000" w:themeColor="text1"/>
          <w:sz w:val="26"/>
          <w:szCs w:val="26"/>
        </w:rPr>
        <w:t>team</w:t>
      </w:r>
      <w:proofErr w:type="gramEnd"/>
      <w:r w:rsidR="6C307211" w:rsidRPr="6C307211">
        <w:rPr>
          <w:rFonts w:eastAsia="Times New Roman" w:cs="Times New Roman"/>
          <w:color w:val="000000" w:themeColor="text1"/>
          <w:sz w:val="26"/>
          <w:szCs w:val="26"/>
        </w:rPr>
        <w:t xml:space="preserve"> or the evidence and testimony later found. Kennedy Parker was always set to be interviewed by the investigative team. Any indication from the Defendant’s testimony that Parker was present at the staff Christmas party on December 10, 2023, was already known to the investigative team. Kennedy Parker witnessing an argument between the Defendant and Daniel Blake would have been revealed if Kennedy Parker was the first interview or the very last interview conducted by the investigative team. Kennedy Parker’s interview would have revealed their closeness with the defendant and the favors they would run for the Defendant. Thus, any indication received through Defendant’s testimony that Kennedy Parker would have information that could help the investigation is “so little, if any, likelihood of having changed the result of the proceeding that [it] may be deemed harmless.” </w:t>
      </w:r>
      <w:r w:rsidR="6C307211" w:rsidRPr="6C307211">
        <w:rPr>
          <w:rFonts w:eastAsia="Times New Roman" w:cs="Times New Roman"/>
          <w:i/>
          <w:iCs/>
          <w:color w:val="000000" w:themeColor="text1"/>
          <w:sz w:val="26"/>
          <w:szCs w:val="26"/>
        </w:rPr>
        <w:t>United States v. Gallo</w:t>
      </w:r>
      <w:r w:rsidR="6C307211" w:rsidRPr="6C307211">
        <w:rPr>
          <w:rFonts w:eastAsia="Times New Roman" w:cs="Times New Roman"/>
          <w:color w:val="000000" w:themeColor="text1"/>
          <w:sz w:val="26"/>
          <w:szCs w:val="26"/>
        </w:rPr>
        <w:t>, 859 F.2d 1078, 1082 (2d Cir. 1988).</w:t>
      </w:r>
      <w:r w:rsidR="0046668B">
        <w:rPr>
          <w:rFonts w:eastAsia="Times New Roman" w:cs="Times New Roman"/>
          <w:color w:val="000000" w:themeColor="text1"/>
          <w:sz w:val="26"/>
          <w:szCs w:val="26"/>
        </w:rPr>
        <w:fldChar w:fldCharType="begin"/>
      </w:r>
      <w:r w:rsidR="0046668B">
        <w:instrText xml:space="preserve"> TA \l "</w:instrText>
      </w:r>
      <w:r w:rsidR="0046668B" w:rsidRPr="00AA5BEB">
        <w:rPr>
          <w:rFonts w:eastAsia="Times New Roman" w:cs="Times New Roman"/>
          <w:i/>
          <w:iCs/>
          <w:color w:val="000000" w:themeColor="text1"/>
          <w:sz w:val="26"/>
          <w:szCs w:val="26"/>
        </w:rPr>
        <w:instrText>United States v. Gallo</w:instrText>
      </w:r>
      <w:r w:rsidR="0046668B" w:rsidRPr="00AA5BEB">
        <w:rPr>
          <w:rFonts w:eastAsia="Times New Roman" w:cs="Times New Roman"/>
          <w:color w:val="000000" w:themeColor="text1"/>
          <w:sz w:val="26"/>
          <w:szCs w:val="26"/>
        </w:rPr>
        <w:instrText>, 859 F.2d 1078 (2d Cir. 1988).</w:instrText>
      </w:r>
      <w:r w:rsidR="0046668B">
        <w:instrText xml:space="preserve">" \s "Gallo" \c 1 </w:instrText>
      </w:r>
      <w:r w:rsidR="0046668B">
        <w:rPr>
          <w:rFonts w:eastAsia="Times New Roman" w:cs="Times New Roman"/>
          <w:color w:val="000000" w:themeColor="text1"/>
          <w:sz w:val="26"/>
          <w:szCs w:val="26"/>
        </w:rPr>
        <w:fldChar w:fldCharType="end"/>
      </w:r>
      <w:r w:rsidR="6C307211" w:rsidRPr="6C307211">
        <w:rPr>
          <w:rFonts w:eastAsia="Times New Roman" w:cs="Times New Roman"/>
          <w:color w:val="000000" w:themeColor="text1"/>
          <w:sz w:val="26"/>
          <w:szCs w:val="26"/>
        </w:rPr>
        <w:t xml:space="preserve"> Thus, the motion to </w:t>
      </w:r>
      <w:r w:rsidR="6C307211" w:rsidRPr="6C307211">
        <w:rPr>
          <w:rFonts w:eastAsia="Times New Roman" w:cs="Times New Roman"/>
          <w:color w:val="000000" w:themeColor="text1"/>
          <w:sz w:val="26"/>
          <w:szCs w:val="26"/>
        </w:rPr>
        <w:lastRenderedPageBreak/>
        <w:t>suppress must be denied since the testimony to Kennedy Parker and documents discovered following that testimony is wholly independent from the Defendant’s testimony.</w:t>
      </w:r>
    </w:p>
    <w:p w14:paraId="37949558" w14:textId="349C12C8" w:rsidR="6C307211" w:rsidRDefault="6C307211" w:rsidP="00725B74">
      <w:pPr>
        <w:pStyle w:val="Heading2"/>
        <w:rPr>
          <w:color w:val="000000" w:themeColor="text1"/>
        </w:rPr>
      </w:pPr>
      <w:bookmarkStart w:id="19" w:name="_Toc239164090"/>
      <w:r w:rsidRPr="6C307211">
        <w:rPr>
          <w:color w:val="000000" w:themeColor="text1"/>
        </w:rPr>
        <w:t>The Court Should Deny the Defense’s Motion to Quash the Production of Any and All Records of Maddox Armana’s Interview with Sierra Seton on February 15, 2024</w:t>
      </w:r>
      <w:r w:rsidR="001E15AC">
        <w:rPr>
          <w:color w:val="000000" w:themeColor="text1"/>
        </w:rPr>
        <w:t>,</w:t>
      </w:r>
      <w:r w:rsidRPr="6C307211">
        <w:rPr>
          <w:color w:val="000000" w:themeColor="text1"/>
        </w:rPr>
        <w:t xml:space="preserve"> Because the Evidence Sought Is Admissible.</w:t>
      </w:r>
      <w:bookmarkEnd w:id="19"/>
    </w:p>
    <w:p w14:paraId="3D28E002" w14:textId="05CA2B6E" w:rsidR="6C307211" w:rsidRDefault="6C307211" w:rsidP="00675D0E">
      <w:pPr>
        <w:spacing w:line="240" w:lineRule="auto"/>
      </w:pPr>
    </w:p>
    <w:p w14:paraId="19D336ED" w14:textId="03F7BD4F" w:rsidR="6C307211" w:rsidRDefault="545E652C" w:rsidP="6C307211">
      <w:pPr>
        <w:spacing w:line="480" w:lineRule="auto"/>
        <w:ind w:firstLine="720"/>
        <w:jc w:val="both"/>
      </w:pPr>
      <w:r w:rsidRPr="545E652C">
        <w:rPr>
          <w:rFonts w:eastAsia="Times New Roman" w:cs="Times New Roman"/>
          <w:color w:val="000000" w:themeColor="text1"/>
        </w:rPr>
        <w:t>Work</w:t>
      </w:r>
      <w:r w:rsidR="7E449CAF" w:rsidRPr="7E449CAF">
        <w:rPr>
          <w:rFonts w:eastAsia="Times New Roman" w:cs="Times New Roman"/>
          <w:color w:val="000000" w:themeColor="text1"/>
        </w:rPr>
        <w:t xml:space="preserve"> product doctrine</w:t>
      </w:r>
      <w:r w:rsidRPr="545E652C">
        <w:rPr>
          <w:rFonts w:eastAsia="Times New Roman" w:cs="Times New Roman"/>
          <w:color w:val="000000" w:themeColor="text1"/>
        </w:rPr>
        <w:t xml:space="preserve"> as</w:t>
      </w:r>
      <w:r w:rsidR="7E449CAF" w:rsidRPr="7E449CAF">
        <w:rPr>
          <w:rFonts w:eastAsia="Times New Roman" w:cs="Times New Roman"/>
          <w:color w:val="000000" w:themeColor="text1"/>
        </w:rPr>
        <w:t xml:space="preserve"> articulated in </w:t>
      </w:r>
      <w:r w:rsidR="7E449CAF" w:rsidRPr="7E449CAF">
        <w:rPr>
          <w:rFonts w:eastAsia="Times New Roman" w:cs="Times New Roman"/>
          <w:i/>
          <w:iCs/>
          <w:color w:val="000000" w:themeColor="text1"/>
        </w:rPr>
        <w:t>Hickman</w:t>
      </w:r>
      <w:r w:rsidR="7E449CAF" w:rsidRPr="7E449CAF">
        <w:rPr>
          <w:rFonts w:eastAsia="Times New Roman" w:cs="Times New Roman"/>
          <w:color w:val="000000" w:themeColor="text1"/>
        </w:rPr>
        <w:t xml:space="preserve"> applies </w:t>
      </w:r>
      <w:r w:rsidR="25BC5B8F" w:rsidRPr="25BC5B8F">
        <w:rPr>
          <w:rFonts w:eastAsia="Times New Roman" w:cs="Times New Roman"/>
          <w:color w:val="000000" w:themeColor="text1"/>
        </w:rPr>
        <w:t>in</w:t>
      </w:r>
      <w:r w:rsidR="7E449CAF" w:rsidRPr="7E449CAF">
        <w:rPr>
          <w:rFonts w:eastAsia="Times New Roman" w:cs="Times New Roman"/>
          <w:color w:val="000000" w:themeColor="text1"/>
        </w:rPr>
        <w:t xml:space="preserve"> </w:t>
      </w:r>
      <w:bookmarkStart w:id="20" w:name="_Int_FFdIHRla"/>
      <w:r w:rsidR="7E449CAF" w:rsidRPr="7E449CAF">
        <w:rPr>
          <w:rFonts w:eastAsia="Times New Roman" w:cs="Times New Roman"/>
          <w:color w:val="000000" w:themeColor="text1"/>
        </w:rPr>
        <w:t>criminal</w:t>
      </w:r>
      <w:bookmarkEnd w:id="20"/>
      <w:r w:rsidR="7E449CAF" w:rsidRPr="7E449CAF">
        <w:rPr>
          <w:rFonts w:eastAsia="Times New Roman" w:cs="Times New Roman"/>
          <w:color w:val="000000" w:themeColor="text1"/>
        </w:rPr>
        <w:t xml:space="preserve"> </w:t>
      </w:r>
      <w:r w:rsidR="4B2C61DC" w:rsidRPr="4B2C61DC">
        <w:rPr>
          <w:rFonts w:eastAsia="Times New Roman" w:cs="Times New Roman"/>
          <w:color w:val="000000" w:themeColor="text1"/>
        </w:rPr>
        <w:t>cases as</w:t>
      </w:r>
      <w:r w:rsidR="7E449CAF" w:rsidRPr="7E449CAF">
        <w:rPr>
          <w:rFonts w:eastAsia="Times New Roman" w:cs="Times New Roman"/>
          <w:color w:val="000000" w:themeColor="text1"/>
        </w:rPr>
        <w:t xml:space="preserve"> a qualified privilege </w:t>
      </w:r>
      <w:r w:rsidR="49903580" w:rsidRPr="49903580">
        <w:rPr>
          <w:rFonts w:eastAsia="Times New Roman" w:cs="Times New Roman"/>
          <w:color w:val="000000" w:themeColor="text1"/>
        </w:rPr>
        <w:t xml:space="preserve">that </w:t>
      </w:r>
      <w:r w:rsidR="363AB3B5" w:rsidRPr="363AB3B5">
        <w:rPr>
          <w:rFonts w:eastAsia="Times New Roman" w:cs="Times New Roman"/>
          <w:color w:val="000000" w:themeColor="text1"/>
        </w:rPr>
        <w:t xml:space="preserve">protects </w:t>
      </w:r>
      <w:r w:rsidR="7CEE468A" w:rsidRPr="7CEE468A">
        <w:rPr>
          <w:rFonts w:eastAsia="Times New Roman" w:cs="Times New Roman"/>
          <w:color w:val="000000" w:themeColor="text1"/>
        </w:rPr>
        <w:t xml:space="preserve">an </w:t>
      </w:r>
      <w:r w:rsidR="76DC7021" w:rsidRPr="76DC7021">
        <w:rPr>
          <w:rFonts w:eastAsia="Times New Roman" w:cs="Times New Roman"/>
          <w:color w:val="000000" w:themeColor="text1"/>
        </w:rPr>
        <w:t>attorney’s</w:t>
      </w:r>
      <w:r w:rsidR="7E449CAF" w:rsidRPr="7E449CAF">
        <w:rPr>
          <w:rFonts w:eastAsia="Times New Roman" w:cs="Times New Roman"/>
          <w:color w:val="000000" w:themeColor="text1"/>
        </w:rPr>
        <w:t xml:space="preserve"> mental processes in preparation for trial. </w:t>
      </w:r>
      <w:r w:rsidR="7E449CAF" w:rsidRPr="7E449CAF">
        <w:rPr>
          <w:rFonts w:eastAsia="Times New Roman" w:cs="Times New Roman"/>
          <w:i/>
          <w:iCs/>
          <w:color w:val="000000" w:themeColor="text1"/>
        </w:rPr>
        <w:t>United States v. Nobles</w:t>
      </w:r>
      <w:r w:rsidR="7E449CAF" w:rsidRPr="7E449CAF">
        <w:rPr>
          <w:rFonts w:eastAsia="Times New Roman" w:cs="Times New Roman"/>
          <w:color w:val="000000" w:themeColor="text1"/>
        </w:rPr>
        <w:t>, 422 U.S. 225, 238 (1975).</w:t>
      </w:r>
      <w:r w:rsidR="7E449CAF" w:rsidRPr="545E652C">
        <w:rPr>
          <w:rFonts w:eastAsia="Times New Roman" w:cs="Times New Roman"/>
          <w:color w:val="000000" w:themeColor="text1"/>
        </w:rPr>
        <w:fldChar w:fldCharType="begin"/>
      </w:r>
      <w:r w:rsidR="7E449CAF">
        <w:instrText xml:space="preserve"> TA \l "</w:instrText>
      </w:r>
      <w:r w:rsidR="7E449CAF" w:rsidRPr="545E652C">
        <w:rPr>
          <w:rFonts w:eastAsia="Times New Roman" w:cs="Times New Roman"/>
          <w:i/>
          <w:iCs/>
          <w:color w:val="000000" w:themeColor="text1"/>
        </w:rPr>
        <w:instrText>United States v. Nobles</w:instrText>
      </w:r>
      <w:r w:rsidR="7E449CAF" w:rsidRPr="545E652C">
        <w:rPr>
          <w:rFonts w:eastAsia="Times New Roman" w:cs="Times New Roman"/>
          <w:color w:val="000000" w:themeColor="text1"/>
        </w:rPr>
        <w:instrText>, 422 U.S. 225 (1975).</w:instrText>
      </w:r>
      <w:r w:rsidR="7E449CAF">
        <w:instrText xml:space="preserve">" \s "Nobles" \c 1 </w:instrText>
      </w:r>
      <w:r w:rsidR="7E449CAF" w:rsidRPr="545E652C">
        <w:rPr>
          <w:rFonts w:eastAsia="Times New Roman" w:cs="Times New Roman"/>
          <w:color w:val="000000" w:themeColor="text1"/>
        </w:rPr>
        <w:fldChar w:fldCharType="end"/>
      </w:r>
      <w:r w:rsidRPr="545E652C">
        <w:rPr>
          <w:rFonts w:eastAsia="Times New Roman" w:cs="Times New Roman"/>
          <w:color w:val="000000" w:themeColor="text1"/>
        </w:rPr>
        <w:t xml:space="preserve"> This</w:t>
      </w:r>
      <w:r w:rsidR="7E449CAF" w:rsidRPr="7E449CAF">
        <w:rPr>
          <w:rFonts w:eastAsia="Times New Roman" w:cs="Times New Roman"/>
          <w:color w:val="000000" w:themeColor="text1"/>
        </w:rPr>
        <w:t xml:space="preserve"> is codified in Federal </w:t>
      </w:r>
      <w:r w:rsidR="4D15170E" w:rsidRPr="4D15170E">
        <w:rPr>
          <w:rFonts w:eastAsia="Times New Roman" w:cs="Times New Roman"/>
          <w:color w:val="000000" w:themeColor="text1"/>
        </w:rPr>
        <w:t>Rule</w:t>
      </w:r>
      <w:r w:rsidR="7E449CAF" w:rsidRPr="7E449CAF">
        <w:rPr>
          <w:rFonts w:eastAsia="Times New Roman" w:cs="Times New Roman"/>
          <w:color w:val="000000" w:themeColor="text1"/>
        </w:rPr>
        <w:t xml:space="preserve"> of Criminal Procedure Rule 16(b)(2). </w:t>
      </w:r>
      <w:r w:rsidR="7E449CAF" w:rsidRPr="00ED1A4F">
        <w:rPr>
          <w:rFonts w:eastAsia="Times New Roman" w:cs="Times New Roman"/>
          <w:smallCaps/>
          <w:color w:val="000000" w:themeColor="text1"/>
        </w:rPr>
        <w:t>Fed. R. Crim. P.</w:t>
      </w:r>
      <w:r w:rsidR="7E449CAF" w:rsidRPr="7E449CAF">
        <w:rPr>
          <w:rFonts w:eastAsia="Times New Roman" w:cs="Times New Roman"/>
          <w:color w:val="000000" w:themeColor="text1"/>
        </w:rPr>
        <w:t xml:space="preserve"> 16(b)(2).</w:t>
      </w:r>
      <w:r w:rsidR="00ED1A4F">
        <w:rPr>
          <w:rFonts w:eastAsia="Times New Roman" w:cs="Times New Roman"/>
          <w:color w:val="000000" w:themeColor="text1"/>
        </w:rPr>
        <w:fldChar w:fldCharType="begin"/>
      </w:r>
      <w:r w:rsidR="00ED1A4F">
        <w:instrText xml:space="preserve"> TA \l "</w:instrText>
      </w:r>
      <w:r w:rsidR="00ED1A4F" w:rsidRPr="00AA5BEB">
        <w:rPr>
          <w:rFonts w:eastAsia="Times New Roman" w:cs="Times New Roman"/>
          <w:color w:val="000000" w:themeColor="text1"/>
        </w:rPr>
        <w:instrText>Fed. R. Crim. P. 16(b)(2).</w:instrText>
      </w:r>
      <w:r w:rsidR="00ED1A4F">
        <w:instrText xml:space="preserve">" \s "Fed. R. Crim. P. 16(b)(2)." \c 4 </w:instrText>
      </w:r>
      <w:r w:rsidR="00ED1A4F">
        <w:rPr>
          <w:rFonts w:eastAsia="Times New Roman" w:cs="Times New Roman"/>
          <w:color w:val="000000" w:themeColor="text1"/>
        </w:rPr>
        <w:fldChar w:fldCharType="end"/>
      </w:r>
      <w:r w:rsidR="7E449CAF" w:rsidRPr="7E449CAF">
        <w:rPr>
          <w:rFonts w:eastAsia="Times New Roman" w:cs="Times New Roman"/>
          <w:color w:val="000000" w:themeColor="text1"/>
        </w:rPr>
        <w:t xml:space="preserve"> This is meant to protect a lawyer’s ability “to plan his strategy without undue and needless interference.” </w:t>
      </w:r>
      <w:r w:rsidR="7E449CAF" w:rsidRPr="7E449CAF">
        <w:rPr>
          <w:rFonts w:eastAsia="Times New Roman" w:cs="Times New Roman"/>
          <w:i/>
          <w:iCs/>
          <w:color w:val="000000" w:themeColor="text1"/>
        </w:rPr>
        <w:t>Nobles,</w:t>
      </w:r>
      <w:r w:rsidR="7E449CAF" w:rsidRPr="7E449CAF">
        <w:rPr>
          <w:rFonts w:eastAsia="Times New Roman" w:cs="Times New Roman"/>
          <w:color w:val="000000" w:themeColor="text1"/>
        </w:rPr>
        <w:t xml:space="preserve"> 422 U.S. </w:t>
      </w:r>
      <w:r w:rsidR="6F73587B" w:rsidRPr="6F73587B">
        <w:rPr>
          <w:rFonts w:eastAsia="Times New Roman" w:cs="Times New Roman"/>
          <w:color w:val="000000" w:themeColor="text1"/>
        </w:rPr>
        <w:t xml:space="preserve">225, </w:t>
      </w:r>
      <w:r w:rsidR="7E449CAF" w:rsidRPr="7E449CAF">
        <w:rPr>
          <w:rFonts w:eastAsia="Times New Roman" w:cs="Times New Roman"/>
          <w:color w:val="000000" w:themeColor="text1"/>
        </w:rPr>
        <w:t>at 236.</w:t>
      </w:r>
      <w:r w:rsidR="00ED1A4F">
        <w:rPr>
          <w:rFonts w:eastAsia="Times New Roman" w:cs="Times New Roman"/>
          <w:color w:val="000000" w:themeColor="text1"/>
        </w:rPr>
        <w:fldChar w:fldCharType="begin"/>
      </w:r>
      <w:r w:rsidR="00ED1A4F">
        <w:instrText xml:space="preserve"> TA \s "Nobles" </w:instrText>
      </w:r>
      <w:r w:rsidR="00ED1A4F">
        <w:rPr>
          <w:rFonts w:eastAsia="Times New Roman" w:cs="Times New Roman"/>
          <w:color w:val="000000" w:themeColor="text1"/>
        </w:rPr>
        <w:fldChar w:fldCharType="end"/>
      </w:r>
      <w:r w:rsidR="7E449CAF" w:rsidRPr="7E449CAF">
        <w:rPr>
          <w:rFonts w:eastAsia="Times New Roman" w:cs="Times New Roman"/>
          <w:color w:val="000000" w:themeColor="text1"/>
        </w:rPr>
        <w:t xml:space="preserve"> </w:t>
      </w:r>
      <w:r w:rsidR="76418533" w:rsidRPr="76418533">
        <w:rPr>
          <w:rFonts w:eastAsia="Times New Roman" w:cs="Times New Roman"/>
          <w:color w:val="000000" w:themeColor="text1"/>
        </w:rPr>
        <w:t>The</w:t>
      </w:r>
      <w:r w:rsidR="7E449CAF" w:rsidRPr="7E449CAF">
        <w:rPr>
          <w:rFonts w:eastAsia="Times New Roman" w:cs="Times New Roman"/>
          <w:color w:val="000000" w:themeColor="text1"/>
        </w:rPr>
        <w:t xml:space="preserve"> United States does not seek information that will reveal the Defense’s thought processes in anticipation of litigation. The United States seeks the </w:t>
      </w:r>
      <w:r w:rsidR="5E865DAF" w:rsidRPr="5E865DAF">
        <w:rPr>
          <w:rFonts w:eastAsia="Times New Roman" w:cs="Times New Roman"/>
          <w:color w:val="000000" w:themeColor="text1"/>
        </w:rPr>
        <w:t xml:space="preserve">facts </w:t>
      </w:r>
      <w:r w:rsidR="7FD1043E" w:rsidRPr="7FD1043E">
        <w:rPr>
          <w:rFonts w:eastAsia="Times New Roman" w:cs="Times New Roman"/>
          <w:color w:val="000000" w:themeColor="text1"/>
        </w:rPr>
        <w:t>contained in</w:t>
      </w:r>
      <w:r w:rsidR="7E449CAF" w:rsidRPr="7E449CAF">
        <w:rPr>
          <w:rFonts w:eastAsia="Times New Roman" w:cs="Times New Roman"/>
          <w:color w:val="000000" w:themeColor="text1"/>
        </w:rPr>
        <w:t xml:space="preserve"> an interview conducted by a tangential employee of the Defense’s legal team whose role is restrained to “find[</w:t>
      </w:r>
      <w:proofErr w:type="spellStart"/>
      <w:r w:rsidR="7E449CAF" w:rsidRPr="7E449CAF">
        <w:rPr>
          <w:rFonts w:eastAsia="Times New Roman" w:cs="Times New Roman"/>
          <w:color w:val="000000" w:themeColor="text1"/>
        </w:rPr>
        <w:t>ing</w:t>
      </w:r>
      <w:proofErr w:type="spellEnd"/>
      <w:r w:rsidR="7E449CAF" w:rsidRPr="7E449CAF">
        <w:rPr>
          <w:rFonts w:eastAsia="Times New Roman" w:cs="Times New Roman"/>
          <w:color w:val="000000" w:themeColor="text1"/>
        </w:rPr>
        <w:t xml:space="preserve">] out what happened….” </w:t>
      </w:r>
      <w:r w:rsidR="7FD1043E" w:rsidRPr="7FD1043E">
        <w:rPr>
          <w:rFonts w:eastAsia="Times New Roman" w:cs="Times New Roman"/>
          <w:color w:val="000000" w:themeColor="text1"/>
        </w:rPr>
        <w:t>(</w:t>
      </w:r>
      <w:r w:rsidR="7E449CAF" w:rsidRPr="7E449CAF">
        <w:rPr>
          <w:rFonts w:eastAsia="Times New Roman" w:cs="Times New Roman"/>
          <w:color w:val="000000" w:themeColor="text1"/>
        </w:rPr>
        <w:t>R. 43, line 25</w:t>
      </w:r>
      <w:r w:rsidR="7FD1043E" w:rsidRPr="7FD1043E">
        <w:rPr>
          <w:rFonts w:eastAsia="Times New Roman" w:cs="Times New Roman"/>
          <w:color w:val="000000" w:themeColor="text1"/>
        </w:rPr>
        <w:t>).</w:t>
      </w:r>
    </w:p>
    <w:p w14:paraId="339076D7" w14:textId="43FDD8D9" w:rsidR="6C307211" w:rsidRPr="0092452C" w:rsidRDefault="6C307211" w:rsidP="006D4159">
      <w:pPr>
        <w:pStyle w:val="Heading3"/>
        <w:numPr>
          <w:ilvl w:val="0"/>
          <w:numId w:val="23"/>
        </w:numPr>
      </w:pPr>
      <w:bookmarkStart w:id="21" w:name="_Toc239164091"/>
      <w:r w:rsidRPr="0092452C">
        <w:t xml:space="preserve">The Defense Cannot Meet </w:t>
      </w:r>
      <w:r w:rsidR="5A37724C" w:rsidRPr="0092452C">
        <w:t>the</w:t>
      </w:r>
      <w:r w:rsidRPr="0092452C">
        <w:t xml:space="preserve"> Burden Required for the Motion to Quash Because This Subpoena Will Not Reveal the Defense’s Trial Strategy and the Information Sought Is Admissible.</w:t>
      </w:r>
      <w:bookmarkEnd w:id="21"/>
      <w:r w:rsidRPr="0092452C">
        <w:t xml:space="preserve"> </w:t>
      </w:r>
    </w:p>
    <w:p w14:paraId="452CD84C" w14:textId="2C0FB1A7" w:rsidR="6C307211" w:rsidRDefault="6C307211" w:rsidP="00D952DA">
      <w:pPr>
        <w:tabs>
          <w:tab w:val="left" w:pos="729"/>
        </w:tabs>
        <w:spacing w:line="240" w:lineRule="auto"/>
      </w:pPr>
    </w:p>
    <w:p w14:paraId="54C95237" w14:textId="55B4F628" w:rsidR="6C307211" w:rsidRDefault="00D952DA" w:rsidP="00D952D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Under Rule 17(c)(2) of the Federal Rules of Criminal Procedure, a Motion to Quash a subpoena requires that compliance with such subpoena would be unreasonable or oppressive. </w:t>
      </w:r>
      <w:r w:rsidR="6C307211" w:rsidRPr="00ED1A4F">
        <w:rPr>
          <w:rFonts w:eastAsia="Times New Roman" w:cs="Times New Roman"/>
          <w:smallCaps/>
          <w:color w:val="000000" w:themeColor="text1"/>
        </w:rPr>
        <w:t>Fed. R. Crim. P</w:t>
      </w:r>
      <w:r w:rsidR="6C307211" w:rsidRPr="6C307211">
        <w:rPr>
          <w:rFonts w:eastAsia="Times New Roman" w:cs="Times New Roman"/>
          <w:color w:val="000000" w:themeColor="text1"/>
        </w:rPr>
        <w:t>. 17.</w:t>
      </w:r>
      <w:r w:rsidR="00ED1A4F">
        <w:rPr>
          <w:rFonts w:eastAsia="Times New Roman" w:cs="Times New Roman"/>
          <w:color w:val="000000" w:themeColor="text1"/>
        </w:rPr>
        <w:fldChar w:fldCharType="begin"/>
      </w:r>
      <w:r w:rsidR="00ED1A4F">
        <w:instrText xml:space="preserve"> TA \l "</w:instrText>
      </w:r>
      <w:r w:rsidR="00ED1A4F" w:rsidRPr="00AA5BEB">
        <w:rPr>
          <w:rFonts w:eastAsia="Times New Roman" w:cs="Times New Roman"/>
          <w:smallCaps/>
          <w:color w:val="000000" w:themeColor="text1"/>
        </w:rPr>
        <w:instrText>Fed. R. Crim. P</w:instrText>
      </w:r>
      <w:r w:rsidR="00ED1A4F" w:rsidRPr="00AA5BEB">
        <w:rPr>
          <w:rFonts w:eastAsia="Times New Roman" w:cs="Times New Roman"/>
          <w:color w:val="000000" w:themeColor="text1"/>
        </w:rPr>
        <w:instrText>. 17.</w:instrText>
      </w:r>
      <w:r w:rsidR="00ED1A4F">
        <w:instrText xml:space="preserve">" \s "Fed. R. Crim. P. 17." \c 4 </w:instrText>
      </w:r>
      <w:r w:rsidR="00ED1A4F">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The Supreme Court has interpreted that a Subpoena Duces Tecum is valid if the prosecutor can show that such subpoena meets the </w:t>
      </w:r>
      <w:r w:rsidR="6C307211" w:rsidRPr="6C307211">
        <w:rPr>
          <w:rFonts w:eastAsia="Times New Roman" w:cs="Times New Roman"/>
          <w:i/>
          <w:iCs/>
          <w:color w:val="000000" w:themeColor="text1"/>
        </w:rPr>
        <w:t>Nixon</w:t>
      </w:r>
      <w:r w:rsidR="6C307211" w:rsidRPr="6C307211">
        <w:rPr>
          <w:rFonts w:eastAsia="Times New Roman" w:cs="Times New Roman"/>
          <w:color w:val="000000" w:themeColor="text1"/>
        </w:rPr>
        <w:t xml:space="preserve"> factors: (1) relevance, (2) admissibility, and (3) specificity. </w:t>
      </w:r>
      <w:r w:rsidR="6C307211" w:rsidRPr="6C307211">
        <w:rPr>
          <w:rFonts w:eastAsia="Times New Roman" w:cs="Times New Roman"/>
          <w:i/>
          <w:iCs/>
          <w:color w:val="000000" w:themeColor="text1"/>
        </w:rPr>
        <w:t>United States v. Nixon</w:t>
      </w:r>
      <w:r w:rsidR="6C307211" w:rsidRPr="6C307211">
        <w:rPr>
          <w:rFonts w:eastAsia="Times New Roman" w:cs="Times New Roman"/>
          <w:color w:val="000000" w:themeColor="text1"/>
        </w:rPr>
        <w:t>, 418 U.S. 683 (1974).</w:t>
      </w:r>
      <w:r w:rsidR="00F90E5C">
        <w:rPr>
          <w:rFonts w:eastAsia="Times New Roman" w:cs="Times New Roman"/>
          <w:color w:val="000000" w:themeColor="text1"/>
        </w:rPr>
        <w:fldChar w:fldCharType="begin"/>
      </w:r>
      <w:r w:rsidR="00F90E5C">
        <w:instrText xml:space="preserve"> TA \l "</w:instrText>
      </w:r>
      <w:r w:rsidR="00F90E5C" w:rsidRPr="00AA5BEB">
        <w:rPr>
          <w:rFonts w:eastAsia="Times New Roman" w:cs="Times New Roman"/>
          <w:i/>
          <w:iCs/>
          <w:color w:val="000000" w:themeColor="text1"/>
        </w:rPr>
        <w:instrText>United States v. Nixon</w:instrText>
      </w:r>
      <w:r w:rsidR="00F90E5C" w:rsidRPr="00AA5BEB">
        <w:rPr>
          <w:rFonts w:eastAsia="Times New Roman" w:cs="Times New Roman"/>
          <w:color w:val="000000" w:themeColor="text1"/>
        </w:rPr>
        <w:instrText>, 418 U.S. 683 (1974).</w:instrText>
      </w:r>
      <w:r w:rsidR="00F90E5C">
        <w:instrText xml:space="preserve">" \s "Nixon" \c 1 </w:instrText>
      </w:r>
      <w:r w:rsidR="00F90E5C">
        <w:rPr>
          <w:rFonts w:eastAsia="Times New Roman" w:cs="Times New Roman"/>
          <w:color w:val="000000" w:themeColor="text1"/>
        </w:rPr>
        <w:fldChar w:fldCharType="end"/>
      </w:r>
    </w:p>
    <w:p w14:paraId="7F127190" w14:textId="0DE10236" w:rsidR="6C307211" w:rsidRDefault="00D952DA" w:rsidP="00D952DA">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First, it is unquestionable that “records of Armana’s interview with [Seton] on February 15, 2024” are relevant because Coastal Event Solutions, LLC’s (“Coastal’s”) operations and financial management are directly linked to the money laundering charge against the Defendant, who is </w:t>
      </w:r>
      <w:r w:rsidR="6C307211" w:rsidRPr="6C307211">
        <w:rPr>
          <w:rFonts w:eastAsia="Times New Roman" w:cs="Times New Roman"/>
          <w:color w:val="000000" w:themeColor="text1"/>
        </w:rPr>
        <w:lastRenderedPageBreak/>
        <w:t>personally named in Coastal’s records.</w:t>
      </w:r>
      <w:r w:rsidR="00B466D7">
        <w:t xml:space="preserve"> </w:t>
      </w:r>
      <w:r w:rsidR="6C307211" w:rsidRPr="6C307211">
        <w:rPr>
          <w:rFonts w:eastAsia="Times New Roman" w:cs="Times New Roman"/>
          <w:color w:val="000000" w:themeColor="text1"/>
        </w:rPr>
        <w:t xml:space="preserve">Second, this is not overbroad or overly demanding. </w:t>
      </w:r>
      <w:r w:rsidR="42BC417F" w:rsidRPr="42BC417F">
        <w:rPr>
          <w:rFonts w:eastAsia="Times New Roman" w:cs="Times New Roman"/>
          <w:color w:val="000000" w:themeColor="text1"/>
        </w:rPr>
        <w:t>The interview</w:t>
      </w:r>
      <w:r w:rsidR="6C307211" w:rsidRPr="6C307211">
        <w:rPr>
          <w:rFonts w:eastAsia="Times New Roman" w:cs="Times New Roman"/>
          <w:color w:val="000000" w:themeColor="text1"/>
        </w:rPr>
        <w:t xml:space="preserve"> in </w:t>
      </w:r>
      <w:r w:rsidR="42BC417F" w:rsidRPr="42BC417F">
        <w:rPr>
          <w:rFonts w:eastAsia="Times New Roman" w:cs="Times New Roman"/>
          <w:color w:val="000000" w:themeColor="text1"/>
        </w:rPr>
        <w:t>question is “...</w:t>
      </w:r>
      <w:r w:rsidR="6C307211" w:rsidRPr="6C307211">
        <w:rPr>
          <w:rFonts w:eastAsia="Times New Roman" w:cs="Times New Roman"/>
          <w:color w:val="000000" w:themeColor="text1"/>
        </w:rPr>
        <w:t xml:space="preserve"> the only place where [this] account still exists” and the subpoena is narrowly tailored to only address the records of one interview. (R. 46, lines 167-68). Thus, the Defense must demonstrate that the subpoena is inadmissible due to work product privilege. </w:t>
      </w:r>
    </w:p>
    <w:p w14:paraId="71FBCBC9" w14:textId="1E82FC7A" w:rsidR="6C307211" w:rsidRDefault="6C307211" w:rsidP="00D952DA">
      <w:pPr>
        <w:pStyle w:val="Heading4"/>
        <w:ind w:left="1080"/>
      </w:pPr>
      <w:bookmarkStart w:id="22" w:name="_Toc239164092"/>
      <w:r w:rsidRPr="6C307211">
        <w:t>The Defense Cannot Meet Its Burden to Demonstrate that the Subpoena Duces Tecum Is Inadmissible Due to Work Product Privilege.</w:t>
      </w:r>
      <w:bookmarkEnd w:id="22"/>
      <w:r w:rsidRPr="6C307211">
        <w:t xml:space="preserve"> </w:t>
      </w:r>
    </w:p>
    <w:p w14:paraId="31235C16" w14:textId="2AA4DD68" w:rsidR="6C307211" w:rsidRDefault="6C307211" w:rsidP="002B5766">
      <w:pPr>
        <w:spacing w:line="240" w:lineRule="auto"/>
      </w:pPr>
    </w:p>
    <w:p w14:paraId="764DB6BA" w14:textId="2802F6C6" w:rsidR="6C307211" w:rsidRDefault="002B5766" w:rsidP="002B5766">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The party that invokes a privilege has the “heavy” burden of proof because “privileges are neither “lightly created nor expansively construed.” </w:t>
      </w:r>
      <w:r w:rsidR="6C307211" w:rsidRPr="6C307211">
        <w:rPr>
          <w:rFonts w:eastAsia="Times New Roman" w:cs="Times New Roman"/>
          <w:i/>
          <w:iCs/>
          <w:color w:val="000000" w:themeColor="text1"/>
        </w:rPr>
        <w:t xml:space="preserve">In re Grand Jury Subpoenas Dated March 19, </w:t>
      </w:r>
      <w:proofErr w:type="gramStart"/>
      <w:r w:rsidR="6C307211" w:rsidRPr="6C307211">
        <w:rPr>
          <w:rFonts w:eastAsia="Times New Roman" w:cs="Times New Roman"/>
          <w:i/>
          <w:iCs/>
          <w:color w:val="000000" w:themeColor="text1"/>
        </w:rPr>
        <w:t>2002</w:t>
      </w:r>
      <w:proofErr w:type="gramEnd"/>
      <w:r w:rsidR="6C307211" w:rsidRPr="6C307211">
        <w:rPr>
          <w:rFonts w:eastAsia="Times New Roman" w:cs="Times New Roman"/>
          <w:i/>
          <w:iCs/>
          <w:color w:val="000000" w:themeColor="text1"/>
        </w:rPr>
        <w:t xml:space="preserve"> and August 2, 2002</w:t>
      </w:r>
      <w:r w:rsidR="6C307211" w:rsidRPr="6C307211">
        <w:rPr>
          <w:rFonts w:eastAsia="Times New Roman" w:cs="Times New Roman"/>
          <w:color w:val="000000" w:themeColor="text1"/>
        </w:rPr>
        <w:t>, 318 F.3d 379, 384 (2d Cir. 2003)</w:t>
      </w:r>
      <w:r w:rsidR="008C1763">
        <w:rPr>
          <w:rFonts w:eastAsia="Times New Roman" w:cs="Times New Roman"/>
          <w:color w:val="000000" w:themeColor="text1"/>
        </w:rPr>
        <w:fldChar w:fldCharType="begin"/>
      </w:r>
      <w:r w:rsidR="008C1763">
        <w:instrText xml:space="preserve"> TA \l "</w:instrText>
      </w:r>
      <w:r w:rsidR="008C1763" w:rsidRPr="00AA5BEB">
        <w:rPr>
          <w:rFonts w:eastAsia="Times New Roman" w:cs="Times New Roman"/>
          <w:i/>
          <w:iCs/>
          <w:color w:val="000000" w:themeColor="text1"/>
        </w:rPr>
        <w:instrText>In re Grand Jury Subpoenas Dated March 19, 2002 and August 2, 2002</w:instrText>
      </w:r>
      <w:r w:rsidR="008C1763" w:rsidRPr="00AA5BEB">
        <w:rPr>
          <w:rFonts w:eastAsia="Times New Roman" w:cs="Times New Roman"/>
          <w:color w:val="000000" w:themeColor="text1"/>
        </w:rPr>
        <w:instrText>, 318 F.3d 379 (2d Cir. 2003).</w:instrText>
      </w:r>
      <w:r w:rsidR="008C1763">
        <w:instrText xml:space="preserve">" \s "In re Grand Jury Subpoenas" \c 1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(citing </w:t>
      </w:r>
      <w:r w:rsidR="6C307211" w:rsidRPr="6C307211">
        <w:rPr>
          <w:rFonts w:eastAsia="Times New Roman" w:cs="Times New Roman"/>
          <w:i/>
          <w:iCs/>
          <w:color w:val="000000" w:themeColor="text1"/>
        </w:rPr>
        <w:t>Nixon</w:t>
      </w:r>
      <w:r w:rsidR="6C307211" w:rsidRPr="6C307211">
        <w:rPr>
          <w:rFonts w:eastAsia="Times New Roman" w:cs="Times New Roman"/>
          <w:color w:val="000000" w:themeColor="text1"/>
        </w:rPr>
        <w:t xml:space="preserve">, 418 U.S. </w:t>
      </w:r>
      <w:r w:rsidR="01474C16" w:rsidRPr="01474C16">
        <w:rPr>
          <w:rFonts w:eastAsia="Times New Roman" w:cs="Times New Roman"/>
          <w:color w:val="000000" w:themeColor="text1"/>
        </w:rPr>
        <w:t>683</w:t>
      </w:r>
      <w:r w:rsidR="14CDBB53" w:rsidRPr="14CDBB53">
        <w:rPr>
          <w:rFonts w:eastAsia="Times New Roman" w:cs="Times New Roman"/>
          <w:color w:val="000000" w:themeColor="text1"/>
        </w:rPr>
        <w:t xml:space="preserve"> </w:t>
      </w:r>
      <w:r w:rsidR="6C307211" w:rsidRPr="6C307211">
        <w:rPr>
          <w:rFonts w:eastAsia="Times New Roman" w:cs="Times New Roman"/>
          <w:color w:val="000000" w:themeColor="text1"/>
        </w:rPr>
        <w:t>at 710</w:t>
      </w:r>
      <w:r w:rsidR="008C1763">
        <w:rPr>
          <w:rFonts w:eastAsia="Times New Roman" w:cs="Times New Roman"/>
          <w:color w:val="000000" w:themeColor="text1"/>
        </w:rPr>
        <w:fldChar w:fldCharType="begin"/>
      </w:r>
      <w:r w:rsidR="008C1763">
        <w:instrText xml:space="preserve"> TA \s "Nixon"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The defense must “demonstrate a real rather than speculative concern that [its] production of the [evidence] … would necessarily reveal counsel's thought processes in anticipation of litigation.” </w:t>
      </w:r>
      <w:r w:rsidR="6C307211" w:rsidRPr="6C307211">
        <w:rPr>
          <w:rFonts w:eastAsia="Times New Roman" w:cs="Times New Roman"/>
          <w:i/>
          <w:iCs/>
          <w:color w:val="000000" w:themeColor="text1"/>
        </w:rPr>
        <w:t>Id.</w:t>
      </w:r>
      <w:r w:rsidR="6C307211" w:rsidRPr="6C307211">
        <w:rPr>
          <w:rFonts w:eastAsia="Times New Roman" w:cs="Times New Roman"/>
          <w:color w:val="000000" w:themeColor="text1"/>
        </w:rPr>
        <w:t xml:space="preserve"> at 387.</w:t>
      </w:r>
      <w:r w:rsidR="008C1763">
        <w:rPr>
          <w:rFonts w:eastAsia="Times New Roman" w:cs="Times New Roman"/>
          <w:color w:val="000000" w:themeColor="text1"/>
        </w:rPr>
        <w:fldChar w:fldCharType="begin"/>
      </w:r>
      <w:r w:rsidR="008C1763">
        <w:instrText xml:space="preserve"> TA \s "In re Grand Jury Subpoenas"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This determination is based solely on objective analysis. </w:t>
      </w:r>
      <w:r w:rsidR="6C307211" w:rsidRPr="6C307211">
        <w:rPr>
          <w:rFonts w:eastAsia="Times New Roman" w:cs="Times New Roman"/>
          <w:i/>
          <w:iCs/>
          <w:color w:val="000000" w:themeColor="text1"/>
        </w:rPr>
        <w:t xml:space="preserve">Id. </w:t>
      </w:r>
      <w:r w:rsidR="6C307211" w:rsidRPr="6C307211">
        <w:rPr>
          <w:rFonts w:eastAsia="Times New Roman" w:cs="Times New Roman"/>
          <w:color w:val="000000" w:themeColor="text1"/>
        </w:rPr>
        <w:t>at 386.</w:t>
      </w:r>
      <w:r w:rsidR="008C1763">
        <w:rPr>
          <w:rFonts w:eastAsia="Times New Roman" w:cs="Times New Roman"/>
          <w:color w:val="000000" w:themeColor="text1"/>
        </w:rPr>
        <w:fldChar w:fldCharType="begin"/>
      </w:r>
      <w:r w:rsidR="008C1763">
        <w:instrText xml:space="preserve"> TA \s "In re Grand Jury Subpoenas"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w:t>
      </w:r>
    </w:p>
    <w:p w14:paraId="4A160E52" w14:textId="3F629E8A" w:rsidR="6C307211" w:rsidRDefault="002B5766" w:rsidP="002B5766">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In </w:t>
      </w:r>
      <w:r w:rsidR="6C307211" w:rsidRPr="6C307211">
        <w:rPr>
          <w:rFonts w:eastAsia="Times New Roman" w:cs="Times New Roman"/>
          <w:i/>
          <w:iCs/>
          <w:color w:val="000000" w:themeColor="text1"/>
        </w:rPr>
        <w:t>In re Grant Jury Subpoenas</w:t>
      </w:r>
      <w:r w:rsidR="6C307211" w:rsidRPr="6C307211">
        <w:rPr>
          <w:rFonts w:eastAsia="Times New Roman" w:cs="Times New Roman"/>
          <w:color w:val="000000" w:themeColor="text1"/>
        </w:rPr>
        <w:t xml:space="preserve">, prosecutors submitted a Mutual Legal Assistance Treaty (MLAT) request with Swiss authorities seeking bank records and received an incomplete or unsatisfactory response. </w:t>
      </w:r>
      <w:r w:rsidR="6C307211" w:rsidRPr="6C307211">
        <w:rPr>
          <w:rFonts w:eastAsia="Times New Roman" w:cs="Times New Roman"/>
          <w:i/>
          <w:iCs/>
          <w:color w:val="000000" w:themeColor="text1"/>
        </w:rPr>
        <w:t>Id.</w:t>
      </w:r>
      <w:r w:rsidR="6C307211" w:rsidRPr="68BAA9BE">
        <w:rPr>
          <w:rFonts w:eastAsia="Times New Roman" w:cs="Times New Roman"/>
          <w:i/>
          <w:color w:val="000000" w:themeColor="text1"/>
        </w:rPr>
        <w:t xml:space="preserve"> </w:t>
      </w:r>
      <w:r w:rsidR="6C307211" w:rsidRPr="6C307211">
        <w:rPr>
          <w:rFonts w:eastAsia="Times New Roman" w:cs="Times New Roman"/>
          <w:color w:val="000000" w:themeColor="text1"/>
        </w:rPr>
        <w:t>at 382.</w:t>
      </w:r>
      <w:r w:rsidR="008C1763">
        <w:rPr>
          <w:rFonts w:eastAsia="Times New Roman" w:cs="Times New Roman"/>
          <w:color w:val="000000" w:themeColor="text1"/>
        </w:rPr>
        <w:fldChar w:fldCharType="begin"/>
      </w:r>
      <w:r w:rsidR="008C1763">
        <w:instrText xml:space="preserve"> TA \s "In re Grand Jury Subpoenas"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w:t>
      </w:r>
      <w:r w:rsidR="68BAA9BE" w:rsidRPr="68BAA9BE">
        <w:rPr>
          <w:rFonts w:eastAsia="Times New Roman" w:cs="Times New Roman"/>
          <w:color w:val="000000" w:themeColor="text1"/>
        </w:rPr>
        <w:t>Subsequently, a</w:t>
      </w:r>
      <w:r w:rsidR="6C307211" w:rsidRPr="6C307211">
        <w:rPr>
          <w:rFonts w:eastAsia="Times New Roman" w:cs="Times New Roman"/>
          <w:color w:val="000000" w:themeColor="text1"/>
        </w:rPr>
        <w:t xml:space="preserve"> grand jury issued a subpoena to Akin Gump (Akin), a law firm, to produce specific bank records in its possession related to that request. </w:t>
      </w:r>
      <w:r w:rsidR="6C307211" w:rsidRPr="6C307211">
        <w:rPr>
          <w:rFonts w:eastAsia="Times New Roman" w:cs="Times New Roman"/>
          <w:i/>
          <w:iCs/>
          <w:color w:val="000000" w:themeColor="text1"/>
        </w:rPr>
        <w:t>Id.</w:t>
      </w:r>
      <w:r w:rsidR="008C1763">
        <w:rPr>
          <w:rFonts w:eastAsia="Times New Roman" w:cs="Times New Roman"/>
          <w:i/>
          <w:iCs/>
          <w:color w:val="000000" w:themeColor="text1"/>
        </w:rPr>
        <w:fldChar w:fldCharType="begin"/>
      </w:r>
      <w:r w:rsidR="008C1763">
        <w:instrText xml:space="preserve"> TA \s "In re Grand Jury Subpoenas" </w:instrText>
      </w:r>
      <w:r w:rsidR="008C1763">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Akin claimed work product privilege over those records claiming that compiling them in anticipation of litigation transformed those documents into work product. </w:t>
      </w:r>
      <w:r w:rsidR="6C307211" w:rsidRPr="6C307211">
        <w:rPr>
          <w:rFonts w:eastAsia="Times New Roman" w:cs="Times New Roman"/>
          <w:i/>
          <w:iCs/>
          <w:color w:val="000000" w:themeColor="text1"/>
        </w:rPr>
        <w:t>Id.</w:t>
      </w:r>
      <w:r w:rsidR="6C307211" w:rsidRPr="6C307211">
        <w:rPr>
          <w:rFonts w:eastAsia="Times New Roman" w:cs="Times New Roman"/>
          <w:color w:val="000000" w:themeColor="text1"/>
        </w:rPr>
        <w:t xml:space="preserve"> at 385.</w:t>
      </w:r>
      <w:r w:rsidR="008C1763">
        <w:rPr>
          <w:rFonts w:eastAsia="Times New Roman" w:cs="Times New Roman"/>
          <w:color w:val="000000" w:themeColor="text1"/>
        </w:rPr>
        <w:fldChar w:fldCharType="begin"/>
      </w:r>
      <w:r w:rsidR="008C1763">
        <w:instrText xml:space="preserve"> TA \s "In re Grand Jury Subpoenas"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The Second Circuit held that </w:t>
      </w:r>
      <w:r w:rsidR="68BAA9BE" w:rsidRPr="68BAA9BE">
        <w:rPr>
          <w:rFonts w:eastAsia="Times New Roman" w:cs="Times New Roman"/>
          <w:color w:val="000000" w:themeColor="text1"/>
        </w:rPr>
        <w:t>compiling</w:t>
      </w:r>
      <w:r w:rsidR="6C307211" w:rsidRPr="6C307211">
        <w:rPr>
          <w:rFonts w:eastAsia="Times New Roman" w:cs="Times New Roman"/>
          <w:color w:val="000000" w:themeColor="text1"/>
        </w:rPr>
        <w:t xml:space="preserve"> factual materials did not create any “real concern” that such evidence would necessarily reveal counsel’s thought process in anticipation of litigation. </w:t>
      </w:r>
      <w:r w:rsidR="6C307211" w:rsidRPr="6C307211">
        <w:rPr>
          <w:rFonts w:eastAsia="Times New Roman" w:cs="Times New Roman"/>
          <w:i/>
          <w:iCs/>
          <w:color w:val="000000" w:themeColor="text1"/>
        </w:rPr>
        <w:t>Id.</w:t>
      </w:r>
      <w:r w:rsidR="6C307211" w:rsidRPr="6C307211">
        <w:rPr>
          <w:rFonts w:eastAsia="Times New Roman" w:cs="Times New Roman"/>
          <w:color w:val="000000" w:themeColor="text1"/>
        </w:rPr>
        <w:t xml:space="preserve"> at 387.</w:t>
      </w:r>
      <w:r w:rsidR="008C1763">
        <w:rPr>
          <w:rFonts w:eastAsia="Times New Roman" w:cs="Times New Roman"/>
          <w:color w:val="000000" w:themeColor="text1"/>
        </w:rPr>
        <w:fldChar w:fldCharType="begin"/>
      </w:r>
      <w:r w:rsidR="008C1763">
        <w:instrText xml:space="preserve"> TA \s "In re Grand Jury Subpoenas" </w:instrText>
      </w:r>
      <w:r w:rsidR="008C1763">
        <w:rPr>
          <w:rFonts w:eastAsia="Times New Roman" w:cs="Times New Roman"/>
          <w:color w:val="000000" w:themeColor="text1"/>
        </w:rPr>
        <w:fldChar w:fldCharType="end"/>
      </w:r>
    </w:p>
    <w:p w14:paraId="546F693F" w14:textId="5255D7C8" w:rsidR="6C307211" w:rsidRDefault="002B5766" w:rsidP="002B5766">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Here, the Defendant possesses records containing “real, specific, factual information” detailing “how Coastal … operated … and how the money moved.” (R. 46, </w:t>
      </w:r>
      <w:proofErr w:type="gramStart"/>
      <w:r w:rsidR="2345D956" w:rsidRPr="2345D956">
        <w:rPr>
          <w:rFonts w:eastAsia="Times New Roman" w:cs="Times New Roman"/>
          <w:color w:val="000000" w:themeColor="text1"/>
        </w:rPr>
        <w:t>lines</w:t>
      </w:r>
      <w:r w:rsidR="6C307211" w:rsidRPr="6C307211">
        <w:rPr>
          <w:rFonts w:eastAsia="Times New Roman" w:cs="Times New Roman"/>
          <w:color w:val="000000" w:themeColor="text1"/>
        </w:rPr>
        <w:t xml:space="preserve"> at</w:t>
      </w:r>
      <w:proofErr w:type="gramEnd"/>
      <w:r w:rsidR="6C307211" w:rsidRPr="6C307211">
        <w:rPr>
          <w:rFonts w:eastAsia="Times New Roman" w:cs="Times New Roman"/>
          <w:color w:val="000000" w:themeColor="text1"/>
        </w:rPr>
        <w:t xml:space="preserve"> 132-</w:t>
      </w:r>
      <w:r w:rsidR="0B7562A3" w:rsidRPr="0B7562A3">
        <w:rPr>
          <w:rFonts w:eastAsia="Times New Roman" w:cs="Times New Roman"/>
          <w:color w:val="000000" w:themeColor="text1"/>
        </w:rPr>
        <w:t>33</w:t>
      </w:r>
      <w:r w:rsidR="6C307211" w:rsidRPr="6C307211">
        <w:rPr>
          <w:rFonts w:eastAsia="Times New Roman" w:cs="Times New Roman"/>
          <w:color w:val="000000" w:themeColor="text1"/>
        </w:rPr>
        <w:t xml:space="preserve">). Similar to the bank records from </w:t>
      </w:r>
      <w:r w:rsidR="6C307211" w:rsidRPr="6C307211">
        <w:rPr>
          <w:rFonts w:eastAsia="Times New Roman" w:cs="Times New Roman"/>
          <w:i/>
          <w:iCs/>
          <w:color w:val="000000" w:themeColor="text1"/>
        </w:rPr>
        <w:t>In re Grant Jury</w:t>
      </w:r>
      <w:r w:rsidR="6C307211" w:rsidRPr="6C307211">
        <w:rPr>
          <w:rFonts w:eastAsia="Times New Roman" w:cs="Times New Roman"/>
          <w:color w:val="000000" w:themeColor="text1"/>
        </w:rPr>
        <w:t xml:space="preserve">, the United States both seeks the factual information contained in the Defense’s records and has made exhaustive efforts to identify that </w:t>
      </w:r>
      <w:r w:rsidR="6C307211" w:rsidRPr="6C307211">
        <w:rPr>
          <w:rFonts w:eastAsia="Times New Roman" w:cs="Times New Roman"/>
          <w:color w:val="000000" w:themeColor="text1"/>
        </w:rPr>
        <w:lastRenderedPageBreak/>
        <w:t>information elsewhere but has been prevented by international borders</w:t>
      </w:r>
      <w:r w:rsidR="0956B20D" w:rsidRPr="0956B20D">
        <w:rPr>
          <w:rFonts w:eastAsia="Times New Roman" w:cs="Times New Roman"/>
          <w:color w:val="000000" w:themeColor="text1"/>
        </w:rPr>
        <w:t>.</w:t>
      </w:r>
      <w:r w:rsidR="6C307211" w:rsidRPr="6C307211">
        <w:rPr>
          <w:rFonts w:eastAsia="Times New Roman" w:cs="Times New Roman"/>
          <w:color w:val="000000" w:themeColor="text1"/>
        </w:rPr>
        <w:t xml:space="preserve"> Armana has no direct contribution to the Defense’s litigation strategy. </w:t>
      </w:r>
      <w:r w:rsidR="5C73700F" w:rsidRPr="5C73700F">
        <w:rPr>
          <w:rFonts w:eastAsia="Times New Roman" w:cs="Times New Roman"/>
          <w:color w:val="000000" w:themeColor="text1"/>
        </w:rPr>
        <w:t>He researches</w:t>
      </w:r>
      <w:r w:rsidR="6C307211" w:rsidRPr="6C307211">
        <w:rPr>
          <w:rFonts w:eastAsia="Times New Roman" w:cs="Times New Roman"/>
          <w:color w:val="000000" w:themeColor="text1"/>
        </w:rPr>
        <w:t xml:space="preserve"> and “the lawyer [decides] what to do with” his work. (R. 43, lines 26, 31). Just as the court reasoned in </w:t>
      </w:r>
      <w:r w:rsidR="6C307211" w:rsidRPr="6C307211">
        <w:rPr>
          <w:rFonts w:eastAsia="Times New Roman" w:cs="Times New Roman"/>
          <w:i/>
          <w:iCs/>
          <w:color w:val="000000" w:themeColor="text1"/>
        </w:rPr>
        <w:t>In</w:t>
      </w:r>
      <w:r w:rsidR="6C307211" w:rsidRPr="6C307211">
        <w:rPr>
          <w:rFonts w:eastAsia="Times New Roman" w:cs="Times New Roman"/>
          <w:color w:val="000000" w:themeColor="text1"/>
        </w:rPr>
        <w:t xml:space="preserve"> </w:t>
      </w:r>
      <w:r w:rsidR="6C307211" w:rsidRPr="6C307211">
        <w:rPr>
          <w:rFonts w:eastAsia="Times New Roman" w:cs="Times New Roman"/>
          <w:i/>
          <w:iCs/>
          <w:color w:val="000000" w:themeColor="text1"/>
        </w:rPr>
        <w:t>Re Grant Jury</w:t>
      </w:r>
      <w:r w:rsidR="6C307211" w:rsidRPr="6C307211">
        <w:rPr>
          <w:rFonts w:eastAsia="Times New Roman" w:cs="Times New Roman"/>
          <w:color w:val="000000" w:themeColor="text1"/>
        </w:rPr>
        <w:t xml:space="preserve">, the critical facts requested </w:t>
      </w:r>
      <w:r w:rsidR="0956B20D" w:rsidRPr="0956B20D">
        <w:rPr>
          <w:rFonts w:eastAsia="Times New Roman" w:cs="Times New Roman"/>
          <w:color w:val="000000" w:themeColor="text1"/>
        </w:rPr>
        <w:t>did</w:t>
      </w:r>
      <w:r w:rsidR="6C307211" w:rsidRPr="6C307211">
        <w:rPr>
          <w:rFonts w:eastAsia="Times New Roman" w:cs="Times New Roman"/>
          <w:color w:val="000000" w:themeColor="text1"/>
        </w:rPr>
        <w:t xml:space="preserve"> not create any real concern that production of such evidence would necessarily reveal counsel’s thought process in anticipation of litigation. </w:t>
      </w:r>
      <w:r w:rsidR="690DFDF8" w:rsidRPr="690DFDF8">
        <w:rPr>
          <w:rFonts w:eastAsia="Times New Roman" w:cs="Times New Roman"/>
          <w:color w:val="000000" w:themeColor="text1"/>
        </w:rPr>
        <w:t xml:space="preserve">Thus, the Defense cannot demonstrate that the subpoena </w:t>
      </w:r>
      <w:r w:rsidR="4D53FDFD" w:rsidRPr="4D53FDFD">
        <w:rPr>
          <w:rFonts w:eastAsia="Times New Roman" w:cs="Times New Roman"/>
          <w:color w:val="000000" w:themeColor="text1"/>
        </w:rPr>
        <w:t xml:space="preserve">seeks work product. </w:t>
      </w:r>
    </w:p>
    <w:p w14:paraId="7CD7570A" w14:textId="432CCA73" w:rsidR="6C307211" w:rsidRDefault="6C307211" w:rsidP="002B5766">
      <w:pPr>
        <w:pStyle w:val="Heading4"/>
        <w:ind w:left="1080"/>
      </w:pPr>
      <w:bookmarkStart w:id="23" w:name="_Toc239164093"/>
      <w:r w:rsidRPr="6C307211">
        <w:t>The Subpoena Will Not Reveal the Defense’s Trial Strategy Because the Court Can Review the Records In Camera and Strike Any Opinion Work Product.</w:t>
      </w:r>
      <w:bookmarkEnd w:id="23"/>
    </w:p>
    <w:p w14:paraId="543977A5" w14:textId="14FB2468" w:rsidR="6C307211" w:rsidRDefault="6C307211" w:rsidP="002B5766">
      <w:pPr>
        <w:spacing w:line="240" w:lineRule="auto"/>
        <w:jc w:val="both"/>
      </w:pPr>
    </w:p>
    <w:p w14:paraId="7596E48A" w14:textId="20836039" w:rsidR="6C307211" w:rsidRDefault="002B5766" w:rsidP="002B5766">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Work product doctrine protects “mental processes of the attorney, </w:t>
      </w:r>
      <w:r w:rsidR="0956B20D" w:rsidRPr="0956B20D">
        <w:rPr>
          <w:rFonts w:eastAsia="Times New Roman" w:cs="Times New Roman"/>
          <w:color w:val="000000" w:themeColor="text1"/>
        </w:rPr>
        <w:t>[</w:t>
      </w:r>
      <w:r w:rsidR="3C5D7665" w:rsidRPr="3C5D7665">
        <w:rPr>
          <w:rFonts w:eastAsia="Times New Roman" w:cs="Times New Roman"/>
          <w:color w:val="000000" w:themeColor="text1"/>
        </w:rPr>
        <w:t>to] analyze</w:t>
      </w:r>
      <w:r w:rsidR="0956B20D" w:rsidRPr="0956B20D">
        <w:rPr>
          <w:rFonts w:eastAsia="Times New Roman" w:cs="Times New Roman"/>
          <w:color w:val="000000" w:themeColor="text1"/>
        </w:rPr>
        <w:t xml:space="preserve"> and prepare his client's case.”</w:t>
      </w:r>
      <w:r w:rsidR="6C307211" w:rsidRPr="6C307211">
        <w:rPr>
          <w:rFonts w:eastAsia="Times New Roman" w:cs="Times New Roman"/>
          <w:color w:val="000000" w:themeColor="text1"/>
        </w:rPr>
        <w:t xml:space="preserve">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422 U.S. 225 at 238.</w:t>
      </w:r>
      <w:r w:rsidR="008C1763">
        <w:rPr>
          <w:rFonts w:eastAsia="Times New Roman" w:cs="Times New Roman"/>
          <w:color w:val="000000" w:themeColor="text1"/>
        </w:rPr>
        <w:fldChar w:fldCharType="begin"/>
      </w:r>
      <w:r w:rsidR="008C1763">
        <w:instrText xml:space="preserve"> TA \s "Nobles" </w:instrText>
      </w:r>
      <w:r w:rsidR="008C1763">
        <w:rPr>
          <w:rFonts w:eastAsia="Times New Roman" w:cs="Times New Roman"/>
          <w:color w:val="000000" w:themeColor="text1"/>
        </w:rPr>
        <w:fldChar w:fldCharType="end"/>
      </w:r>
      <w:r w:rsidR="6C307211" w:rsidRPr="6C307211">
        <w:rPr>
          <w:rFonts w:eastAsia="Times New Roman" w:cs="Times New Roman"/>
          <w:color w:val="000000" w:themeColor="text1"/>
        </w:rPr>
        <w:t xml:space="preserve"> </w:t>
      </w:r>
      <w:r w:rsidR="09054FCC" w:rsidRPr="09054FCC">
        <w:rPr>
          <w:rFonts w:eastAsia="Times New Roman" w:cs="Times New Roman"/>
          <w:color w:val="000000" w:themeColor="text1"/>
        </w:rPr>
        <w:t>Courts</w:t>
      </w:r>
      <w:r w:rsidR="6C307211" w:rsidRPr="6C307211">
        <w:rPr>
          <w:rFonts w:eastAsia="Times New Roman" w:cs="Times New Roman"/>
          <w:color w:val="000000" w:themeColor="text1"/>
        </w:rPr>
        <w:t xml:space="preserve"> can review such evidence in camera and remove any unnecessary or inadmissible material. </w:t>
      </w:r>
      <w:r w:rsidR="6C307211" w:rsidRPr="6C307211">
        <w:rPr>
          <w:rFonts w:eastAsia="Times New Roman" w:cs="Times New Roman"/>
          <w:i/>
          <w:iCs/>
          <w:color w:val="000000" w:themeColor="text1"/>
        </w:rPr>
        <w:t>U.S. Sec. &amp; Exch. Comm’n. v. Sentinel Mgmt. Grp., Inc.</w:t>
      </w:r>
      <w:r w:rsidR="6C307211" w:rsidRPr="6C307211">
        <w:rPr>
          <w:rFonts w:eastAsia="Times New Roman" w:cs="Times New Roman"/>
          <w:color w:val="000000" w:themeColor="text1"/>
        </w:rPr>
        <w:t>,</w:t>
      </w:r>
      <w:r w:rsidR="09054FCC" w:rsidRPr="09054FCC">
        <w:rPr>
          <w:rFonts w:eastAsia="Times New Roman" w:cs="Times New Roman"/>
          <w:color w:val="000000" w:themeColor="text1"/>
        </w:rPr>
        <w:t xml:space="preserve"> </w:t>
      </w:r>
      <w:r w:rsidR="6C307211" w:rsidRPr="6C307211">
        <w:rPr>
          <w:rFonts w:eastAsia="Times New Roman" w:cs="Times New Roman"/>
          <w:color w:val="000000" w:themeColor="text1"/>
        </w:rPr>
        <w:t>No. 07 C 4684, 2010 WL 4977220, at 10 (N.D. Ill. Dec. 2, 2010).</w:t>
      </w:r>
      <w:r w:rsidR="00A25194">
        <w:rPr>
          <w:rFonts w:eastAsia="Times New Roman" w:cs="Times New Roman"/>
          <w:color w:val="000000" w:themeColor="text1"/>
        </w:rPr>
        <w:fldChar w:fldCharType="begin"/>
      </w:r>
      <w:r w:rsidR="00A25194">
        <w:instrText xml:space="preserve"> TA \l "</w:instrText>
      </w:r>
      <w:r w:rsidR="00A25194" w:rsidRPr="00AA5BEB">
        <w:rPr>
          <w:rFonts w:eastAsia="Times New Roman" w:cs="Times New Roman"/>
          <w:i/>
          <w:iCs/>
          <w:color w:val="000000" w:themeColor="text1"/>
        </w:rPr>
        <w:instrText>U.S. Sec. &amp; Exch. Comm’n. v. Sentinel Mgmt. Grp., Inc.</w:instrText>
      </w:r>
      <w:r w:rsidR="00A25194" w:rsidRPr="00AA5BEB">
        <w:rPr>
          <w:rFonts w:eastAsia="Times New Roman" w:cs="Times New Roman"/>
          <w:color w:val="000000" w:themeColor="text1"/>
        </w:rPr>
        <w:instrText>, No. 07 C 4684, 2010 WL 4977220 (N.D. Ill. Dec. 2, 2010).</w:instrText>
      </w:r>
      <w:r w:rsidR="00A25194">
        <w:instrText xml:space="preserve">" \s "Sentinel" \c 1 </w:instrText>
      </w:r>
      <w:r w:rsidR="00A25194">
        <w:rPr>
          <w:rFonts w:eastAsia="Times New Roman" w:cs="Times New Roman"/>
          <w:color w:val="000000" w:themeColor="text1"/>
        </w:rPr>
        <w:fldChar w:fldCharType="end"/>
      </w:r>
      <w:r w:rsidR="6C307211" w:rsidRPr="6C307211">
        <w:rPr>
          <w:rFonts w:eastAsia="Times New Roman" w:cs="Times New Roman"/>
          <w:color w:val="000000" w:themeColor="text1"/>
        </w:rPr>
        <w:t xml:space="preserve"> When the defense in </w:t>
      </w:r>
      <w:r w:rsidR="6C307211" w:rsidRPr="6C307211">
        <w:rPr>
          <w:rFonts w:eastAsia="Times New Roman" w:cs="Times New Roman"/>
          <w:i/>
          <w:iCs/>
          <w:color w:val="000000" w:themeColor="text1"/>
        </w:rPr>
        <w:t>Sentinel</w:t>
      </w:r>
      <w:r w:rsidR="6C307211" w:rsidRPr="6C307211">
        <w:rPr>
          <w:rFonts w:eastAsia="Times New Roman" w:cs="Times New Roman"/>
          <w:color w:val="000000" w:themeColor="text1"/>
        </w:rPr>
        <w:t xml:space="preserve"> sought to use summaries of the facts contained in S.E.C.</w:t>
      </w:r>
      <w:bookmarkStart w:id="24" w:name="_Int_yq2O0wIc"/>
      <w:r w:rsidR="6C307211" w:rsidRPr="6C307211">
        <w:rPr>
          <w:rFonts w:eastAsia="Times New Roman" w:cs="Times New Roman"/>
          <w:color w:val="000000" w:themeColor="text1"/>
        </w:rPr>
        <w:t xml:space="preserve"> lawyers</w:t>
      </w:r>
      <w:bookmarkEnd w:id="24"/>
      <w:r w:rsidR="6C307211" w:rsidRPr="6C307211">
        <w:rPr>
          <w:rFonts w:eastAsia="Times New Roman" w:cs="Times New Roman"/>
          <w:color w:val="000000" w:themeColor="text1"/>
        </w:rPr>
        <w:t xml:space="preserve">’ summaries of multiple unavailable witness interviews, the court ordered disclosure of the summaries. </w:t>
      </w:r>
      <w:r w:rsidR="6C307211" w:rsidRPr="6C307211">
        <w:rPr>
          <w:rFonts w:eastAsia="Times New Roman" w:cs="Times New Roman"/>
          <w:i/>
          <w:iCs/>
          <w:color w:val="000000" w:themeColor="text1"/>
        </w:rPr>
        <w:t>Id.</w:t>
      </w:r>
      <w:r w:rsidR="00570A1D">
        <w:rPr>
          <w:rFonts w:eastAsia="Times New Roman" w:cs="Times New Roman"/>
          <w:i/>
          <w:iCs/>
          <w:color w:val="000000" w:themeColor="text1"/>
        </w:rPr>
        <w:fldChar w:fldCharType="begin"/>
      </w:r>
      <w:r w:rsidR="00570A1D">
        <w:instrText xml:space="preserve"> TA \s "Sentinel" </w:instrText>
      </w:r>
      <w:r w:rsidR="00570A1D">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The court reviewed the summaries in camera </w:t>
      </w:r>
      <w:r w:rsidR="2367F325" w:rsidRPr="2367F325">
        <w:rPr>
          <w:rFonts w:eastAsia="Times New Roman" w:cs="Times New Roman"/>
          <w:color w:val="000000" w:themeColor="text1"/>
        </w:rPr>
        <w:t xml:space="preserve">to </w:t>
      </w:r>
      <w:r w:rsidR="5A83AF2A" w:rsidRPr="5A83AF2A">
        <w:rPr>
          <w:rFonts w:eastAsia="Times New Roman" w:cs="Times New Roman"/>
          <w:color w:val="000000" w:themeColor="text1"/>
        </w:rPr>
        <w:t>ensure that</w:t>
      </w:r>
      <w:r w:rsidR="6C307211" w:rsidRPr="6C307211">
        <w:rPr>
          <w:rFonts w:eastAsia="Times New Roman" w:cs="Times New Roman"/>
          <w:color w:val="000000" w:themeColor="text1"/>
        </w:rPr>
        <w:t xml:space="preserve"> they did not contain “explicit mental impressions or opinions or discussion of legal strategy.” </w:t>
      </w:r>
      <w:r w:rsidR="6C307211" w:rsidRPr="6C307211">
        <w:rPr>
          <w:rFonts w:eastAsia="Times New Roman" w:cs="Times New Roman"/>
          <w:i/>
          <w:iCs/>
          <w:color w:val="000000" w:themeColor="text1"/>
        </w:rPr>
        <w:t>Id.</w:t>
      </w:r>
      <w:r w:rsidR="00570A1D">
        <w:rPr>
          <w:rFonts w:eastAsia="Times New Roman" w:cs="Times New Roman"/>
          <w:i/>
          <w:iCs/>
          <w:color w:val="000000" w:themeColor="text1"/>
        </w:rPr>
        <w:fldChar w:fldCharType="begin"/>
      </w:r>
      <w:r w:rsidR="00570A1D">
        <w:instrText xml:space="preserve"> TA \s "Sentinel" </w:instrText>
      </w:r>
      <w:r w:rsidR="00570A1D">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w:t>
      </w:r>
      <w:r w:rsidR="262F32F9" w:rsidRPr="262F32F9">
        <w:rPr>
          <w:rFonts w:eastAsia="Times New Roman" w:cs="Times New Roman"/>
          <w:color w:val="000000" w:themeColor="text1"/>
        </w:rPr>
        <w:t>Thereafter</w:t>
      </w:r>
      <w:r w:rsidR="6C307211" w:rsidRPr="6C307211">
        <w:rPr>
          <w:rFonts w:eastAsia="Times New Roman" w:cs="Times New Roman"/>
          <w:color w:val="000000" w:themeColor="text1"/>
        </w:rPr>
        <w:t xml:space="preserve">, the summaries were not protected by the work product privilege. </w:t>
      </w:r>
    </w:p>
    <w:p w14:paraId="6DD3C236" w14:textId="07F56C4B" w:rsidR="00675D0E" w:rsidRPr="009E3F3B" w:rsidRDefault="007B15A6" w:rsidP="007B15A6">
      <w:pPr>
        <w:spacing w:line="480" w:lineRule="auto"/>
        <w:jc w:val="both"/>
        <w:rPr>
          <w:rFonts w:eastAsia="Times New Roman" w:cs="Times New Roman"/>
          <w:color w:val="000000" w:themeColor="text1"/>
        </w:rPr>
      </w:pPr>
      <w:r>
        <w:rPr>
          <w:rFonts w:eastAsia="Times New Roman" w:cs="Times New Roman"/>
          <w:color w:val="000000" w:themeColor="text1"/>
        </w:rPr>
        <w:tab/>
      </w:r>
      <w:r w:rsidR="6C307211" w:rsidRPr="6C307211">
        <w:rPr>
          <w:rFonts w:eastAsia="Times New Roman" w:cs="Times New Roman"/>
          <w:color w:val="000000" w:themeColor="text1"/>
        </w:rPr>
        <w:t xml:space="preserve">Here, similar to </w:t>
      </w:r>
      <w:r w:rsidR="50CC4C57" w:rsidRPr="50CC4C57">
        <w:rPr>
          <w:rFonts w:eastAsia="Times New Roman" w:cs="Times New Roman"/>
          <w:i/>
          <w:iCs/>
          <w:color w:val="000000" w:themeColor="text1"/>
        </w:rPr>
        <w:t>Sentinel</w:t>
      </w:r>
      <w:r w:rsidR="6C307211" w:rsidRPr="6C307211">
        <w:rPr>
          <w:rFonts w:eastAsia="Times New Roman" w:cs="Times New Roman"/>
          <w:color w:val="000000" w:themeColor="text1"/>
        </w:rPr>
        <w:t>, the Defense has sole possession of critical facts</w:t>
      </w:r>
      <w:r w:rsidR="4D8D64FA" w:rsidRPr="4D8D64FA">
        <w:rPr>
          <w:rFonts w:eastAsia="Times New Roman" w:cs="Times New Roman"/>
          <w:color w:val="000000" w:themeColor="text1"/>
        </w:rPr>
        <w:t>.</w:t>
      </w:r>
      <w:r w:rsidR="6C307211" w:rsidRPr="6C307211">
        <w:rPr>
          <w:rFonts w:eastAsia="Times New Roman" w:cs="Times New Roman"/>
          <w:color w:val="000000" w:themeColor="text1"/>
        </w:rPr>
        <w:t xml:space="preserve"> Like the factual inequity of </w:t>
      </w:r>
      <w:r w:rsidR="78FE1C6A" w:rsidRPr="78FE1C6A">
        <w:rPr>
          <w:rFonts w:eastAsia="Times New Roman" w:cs="Times New Roman"/>
          <w:i/>
          <w:iCs/>
          <w:color w:val="000000" w:themeColor="text1"/>
        </w:rPr>
        <w:t>Sentinel</w:t>
      </w:r>
      <w:r w:rsidR="6C307211" w:rsidRPr="6C307211">
        <w:rPr>
          <w:rFonts w:eastAsia="Times New Roman" w:cs="Times New Roman"/>
          <w:color w:val="000000" w:themeColor="text1"/>
        </w:rPr>
        <w:t xml:space="preserve">, here the report contains facts that will directly inform the Defense regarding the charge of Money Laundering: the management and financial operations of Coastal. Without access to this information, the United States will not be able to rebut the Defense’s claims relating to </w:t>
      </w:r>
      <w:r w:rsidR="4D8D64FA" w:rsidRPr="4D8D64FA">
        <w:rPr>
          <w:rFonts w:eastAsia="Times New Roman" w:cs="Times New Roman"/>
          <w:color w:val="000000" w:themeColor="text1"/>
        </w:rPr>
        <w:t>these facts.</w:t>
      </w:r>
      <w:r w:rsidR="6C307211" w:rsidRPr="6C307211">
        <w:rPr>
          <w:rFonts w:eastAsia="Times New Roman" w:cs="Times New Roman"/>
          <w:color w:val="000000" w:themeColor="text1"/>
        </w:rPr>
        <w:t xml:space="preserve"> </w:t>
      </w:r>
      <w:proofErr w:type="gramStart"/>
      <w:r w:rsidR="4C94E50D" w:rsidRPr="4C94E50D">
        <w:rPr>
          <w:rFonts w:eastAsia="Times New Roman" w:cs="Times New Roman"/>
          <w:color w:val="000000" w:themeColor="text1"/>
        </w:rPr>
        <w:t>Also</w:t>
      </w:r>
      <w:proofErr w:type="gramEnd"/>
      <w:r w:rsidR="4C94E50D" w:rsidRPr="4C94E50D">
        <w:rPr>
          <w:rFonts w:eastAsia="Times New Roman" w:cs="Times New Roman"/>
          <w:color w:val="000000" w:themeColor="text1"/>
        </w:rPr>
        <w:t xml:space="preserve"> like</w:t>
      </w:r>
      <w:r w:rsidR="6C307211" w:rsidRPr="6C307211">
        <w:rPr>
          <w:rFonts w:eastAsia="Times New Roman" w:cs="Times New Roman"/>
          <w:color w:val="000000" w:themeColor="text1"/>
        </w:rPr>
        <w:t xml:space="preserve"> </w:t>
      </w:r>
      <w:r w:rsidR="6C307211" w:rsidRPr="6C307211">
        <w:rPr>
          <w:rFonts w:eastAsia="Times New Roman" w:cs="Times New Roman"/>
          <w:i/>
          <w:iCs/>
          <w:color w:val="000000" w:themeColor="text1"/>
        </w:rPr>
        <w:t>Sentinel</w:t>
      </w:r>
      <w:r w:rsidR="6C307211" w:rsidRPr="6C307211">
        <w:rPr>
          <w:rFonts w:eastAsia="Times New Roman" w:cs="Times New Roman"/>
          <w:color w:val="000000" w:themeColor="text1"/>
        </w:rPr>
        <w:t>, the witness in this case is unavailable</w:t>
      </w:r>
      <w:r w:rsidR="4315FE8A" w:rsidRPr="4315FE8A">
        <w:rPr>
          <w:rFonts w:eastAsia="Times New Roman" w:cs="Times New Roman"/>
          <w:color w:val="000000" w:themeColor="text1"/>
        </w:rPr>
        <w:t>,</w:t>
      </w:r>
      <w:r w:rsidR="6C307211" w:rsidRPr="6C307211">
        <w:rPr>
          <w:rFonts w:eastAsia="Times New Roman" w:cs="Times New Roman"/>
          <w:color w:val="000000" w:themeColor="text1"/>
        </w:rPr>
        <w:t xml:space="preserve"> and the facts revealed by this witness </w:t>
      </w:r>
      <w:r w:rsidR="4315FE8A" w:rsidRPr="4315FE8A">
        <w:rPr>
          <w:rFonts w:eastAsia="Times New Roman" w:cs="Times New Roman"/>
          <w:color w:val="000000" w:themeColor="text1"/>
        </w:rPr>
        <w:t xml:space="preserve">will </w:t>
      </w:r>
      <w:r w:rsidR="6C307211" w:rsidRPr="6C307211">
        <w:rPr>
          <w:rFonts w:eastAsia="Times New Roman" w:cs="Times New Roman"/>
          <w:color w:val="000000" w:themeColor="text1"/>
        </w:rPr>
        <w:t xml:space="preserve">be in dispute at trial. The Defense may claim that these notes will reveal its trial strategies, but like in </w:t>
      </w:r>
      <w:r w:rsidR="6C307211" w:rsidRPr="6C307211">
        <w:rPr>
          <w:rFonts w:eastAsia="Times New Roman" w:cs="Times New Roman"/>
          <w:i/>
          <w:iCs/>
          <w:color w:val="000000" w:themeColor="text1"/>
        </w:rPr>
        <w:t>Sentinel</w:t>
      </w:r>
      <w:r w:rsidR="6C307211" w:rsidRPr="6C307211">
        <w:rPr>
          <w:rFonts w:eastAsia="Times New Roman" w:cs="Times New Roman"/>
          <w:color w:val="000000" w:themeColor="text1"/>
        </w:rPr>
        <w:t xml:space="preserve">, the United States has reason to believe that the interview will not </w:t>
      </w:r>
      <w:r w:rsidR="6C307211" w:rsidRPr="6C307211">
        <w:rPr>
          <w:rFonts w:eastAsia="Times New Roman" w:cs="Times New Roman"/>
          <w:color w:val="000000" w:themeColor="text1"/>
        </w:rPr>
        <w:lastRenderedPageBreak/>
        <w:t xml:space="preserve">reveal trial strategies. </w:t>
      </w:r>
      <w:r w:rsidR="0C51D319" w:rsidRPr="0C51D319">
        <w:rPr>
          <w:rFonts w:eastAsia="Times New Roman" w:cs="Times New Roman"/>
          <w:color w:val="000000" w:themeColor="text1"/>
        </w:rPr>
        <w:t xml:space="preserve">Further, the court can review the notes to ensure that they do not </w:t>
      </w:r>
      <w:r w:rsidR="7F4DF1D9" w:rsidRPr="7F4DF1D9">
        <w:rPr>
          <w:rFonts w:eastAsia="Times New Roman" w:cs="Times New Roman"/>
          <w:color w:val="000000" w:themeColor="text1"/>
        </w:rPr>
        <w:t>reveal these strategies.</w:t>
      </w:r>
      <w:r w:rsidR="6C307211" w:rsidRPr="6C307211">
        <w:rPr>
          <w:rFonts w:eastAsia="Times New Roman" w:cs="Times New Roman"/>
          <w:color w:val="000000" w:themeColor="text1"/>
        </w:rPr>
        <w:t xml:space="preserve"> </w:t>
      </w:r>
      <w:r w:rsidR="7CB24173" w:rsidRPr="7CB24173">
        <w:rPr>
          <w:rFonts w:eastAsia="Times New Roman" w:cs="Times New Roman"/>
          <w:color w:val="000000" w:themeColor="text1"/>
        </w:rPr>
        <w:t>Thus</w:t>
      </w:r>
      <w:r w:rsidR="6C307211" w:rsidRPr="6C307211">
        <w:rPr>
          <w:rFonts w:eastAsia="Times New Roman" w:cs="Times New Roman"/>
          <w:color w:val="000000" w:themeColor="text1"/>
        </w:rPr>
        <w:t>, the information sought can be reviewed by the court for work product in camera.</w:t>
      </w:r>
    </w:p>
    <w:p w14:paraId="44FCE36B" w14:textId="705BD7D9" w:rsidR="6C307211" w:rsidRDefault="6C307211" w:rsidP="006D4159">
      <w:pPr>
        <w:pStyle w:val="Heading3"/>
        <w:numPr>
          <w:ilvl w:val="0"/>
          <w:numId w:val="23"/>
        </w:numPr>
        <w:rPr>
          <w:color w:val="000000" w:themeColor="text1"/>
        </w:rPr>
      </w:pPr>
      <w:bookmarkStart w:id="25" w:name="_Toc239164094"/>
      <w:r w:rsidRPr="6C307211">
        <w:rPr>
          <w:color w:val="000000" w:themeColor="text1"/>
        </w:rPr>
        <w:t>The Defense’s Assertion of Attorney Work Product Privilege Does Not Prevent the Admissibility of the Factual Basis of Armana’s Interview Records.</w:t>
      </w:r>
      <w:bookmarkEnd w:id="25"/>
      <w:r w:rsidRPr="6C307211">
        <w:rPr>
          <w:color w:val="000000" w:themeColor="text1"/>
        </w:rPr>
        <w:t xml:space="preserve"> </w:t>
      </w:r>
    </w:p>
    <w:p w14:paraId="17D23AD2" w14:textId="1F49C79F" w:rsidR="6C307211" w:rsidRDefault="6C307211" w:rsidP="002B5766">
      <w:pPr>
        <w:spacing w:line="240" w:lineRule="auto"/>
      </w:pPr>
    </w:p>
    <w:p w14:paraId="05A4E277" w14:textId="2BC5CABD" w:rsidR="6C307211" w:rsidRDefault="002B5766" w:rsidP="007B15A6">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Federal Rule of Evidence 501 governs privilege claims, stating that common law governs claims of privilege unless any of the following provide otherwise: (1) the United States Constitution, (2) a federal statute, or (3) rules prescribed by the Supreme Court. </w:t>
      </w:r>
      <w:r w:rsidR="6C307211" w:rsidRPr="00EA777D">
        <w:rPr>
          <w:rFonts w:eastAsia="Times New Roman" w:cs="Times New Roman"/>
          <w:smallCaps/>
          <w:color w:val="000000" w:themeColor="text1"/>
        </w:rPr>
        <w:t>Fed. R. Evid</w:t>
      </w:r>
      <w:r w:rsidR="6C307211" w:rsidRPr="6C307211">
        <w:rPr>
          <w:rFonts w:eastAsia="Times New Roman" w:cs="Times New Roman"/>
          <w:color w:val="000000" w:themeColor="text1"/>
        </w:rPr>
        <w:t>. 501(a).</w:t>
      </w:r>
      <w:r w:rsidR="00EA777D">
        <w:rPr>
          <w:rFonts w:eastAsia="Times New Roman" w:cs="Times New Roman"/>
          <w:color w:val="000000" w:themeColor="text1"/>
        </w:rPr>
        <w:fldChar w:fldCharType="begin"/>
      </w:r>
      <w:r w:rsidR="00EA777D">
        <w:instrText xml:space="preserve"> TA \l "</w:instrText>
      </w:r>
      <w:r w:rsidR="00EA777D" w:rsidRPr="00AA5BEB">
        <w:rPr>
          <w:rFonts w:eastAsia="Times New Roman" w:cs="Times New Roman"/>
          <w:smallCaps/>
          <w:color w:val="000000" w:themeColor="text1"/>
        </w:rPr>
        <w:instrText>Fed. R. Evid</w:instrText>
      </w:r>
      <w:r w:rsidR="00EA777D" w:rsidRPr="00AA5BEB">
        <w:rPr>
          <w:rFonts w:eastAsia="Times New Roman" w:cs="Times New Roman"/>
          <w:color w:val="000000" w:themeColor="text1"/>
        </w:rPr>
        <w:instrText>. 501(a).</w:instrText>
      </w:r>
      <w:r w:rsidR="00EA777D">
        <w:instrText xml:space="preserve">" \s "Fed. R. Evid. 501(a)." \c 4 </w:instrText>
      </w:r>
      <w:r w:rsidR="00EA777D">
        <w:rPr>
          <w:rFonts w:eastAsia="Times New Roman" w:cs="Times New Roman"/>
          <w:color w:val="000000" w:themeColor="text1"/>
        </w:rPr>
        <w:fldChar w:fldCharType="end"/>
      </w:r>
      <w:r w:rsidR="6C307211" w:rsidRPr="6C307211">
        <w:rPr>
          <w:rFonts w:eastAsia="Times New Roman" w:cs="Times New Roman"/>
          <w:color w:val="000000" w:themeColor="text1"/>
        </w:rPr>
        <w:t xml:space="preserve"> First, attorney work product is not a constitutional privilege. </w:t>
      </w:r>
      <w:r w:rsidR="6C307211" w:rsidRPr="6C307211">
        <w:rPr>
          <w:rFonts w:eastAsia="Times New Roman" w:cs="Times New Roman"/>
          <w:i/>
          <w:iCs/>
          <w:color w:val="000000" w:themeColor="text1"/>
        </w:rPr>
        <w:t>Nichols</w:t>
      </w:r>
      <w:r w:rsidR="00206BEE">
        <w:rPr>
          <w:rFonts w:eastAsia="Times New Roman" w:cs="Times New Roman"/>
          <w:i/>
          <w:iCs/>
          <w:color w:val="000000" w:themeColor="text1"/>
        </w:rPr>
        <w:t xml:space="preserve"> v. </w:t>
      </w:r>
      <w:r w:rsidR="001935CA">
        <w:rPr>
          <w:rFonts w:eastAsia="Times New Roman" w:cs="Times New Roman"/>
          <w:i/>
          <w:iCs/>
          <w:color w:val="000000" w:themeColor="text1"/>
        </w:rPr>
        <w:t>Bell</w:t>
      </w:r>
      <w:r w:rsidR="6C307211" w:rsidRPr="6C307211">
        <w:rPr>
          <w:rFonts w:eastAsia="Times New Roman" w:cs="Times New Roman"/>
          <w:i/>
          <w:iCs/>
          <w:color w:val="000000" w:themeColor="text1"/>
        </w:rPr>
        <w:t xml:space="preserve">, </w:t>
      </w:r>
      <w:r w:rsidR="6C307211" w:rsidRPr="6C307211">
        <w:rPr>
          <w:rFonts w:eastAsia="Times New Roman" w:cs="Times New Roman"/>
          <w:color w:val="000000" w:themeColor="text1"/>
        </w:rPr>
        <w:t>440 F.Supp.2d 730</w:t>
      </w:r>
      <w:r w:rsidR="00416788">
        <w:rPr>
          <w:rFonts w:eastAsia="Times New Roman" w:cs="Times New Roman"/>
          <w:color w:val="000000" w:themeColor="text1"/>
        </w:rPr>
        <w:t xml:space="preserve"> (E.D. Tenn. 2006)</w:t>
      </w:r>
      <w:r w:rsidR="6C307211" w:rsidRPr="6C307211">
        <w:rPr>
          <w:rFonts w:eastAsia="Times New Roman" w:cs="Times New Roman"/>
          <w:color w:val="000000" w:themeColor="text1"/>
        </w:rPr>
        <w:t>.</w:t>
      </w:r>
      <w:r w:rsidR="005F4A5B">
        <w:rPr>
          <w:rFonts w:eastAsia="Times New Roman" w:cs="Times New Roman"/>
          <w:color w:val="000000" w:themeColor="text1"/>
        </w:rPr>
        <w:fldChar w:fldCharType="begin"/>
      </w:r>
      <w:r w:rsidR="005F4A5B">
        <w:instrText xml:space="preserve"> TA \l "</w:instrText>
      </w:r>
      <w:r w:rsidR="005F4A5B" w:rsidRPr="009E651B">
        <w:rPr>
          <w:rFonts w:eastAsia="Times New Roman" w:cs="Times New Roman"/>
          <w:i/>
          <w:iCs/>
          <w:color w:val="000000" w:themeColor="text1"/>
        </w:rPr>
        <w:instrText xml:space="preserve">Nichols v. Bell, </w:instrText>
      </w:r>
      <w:r w:rsidR="005F4A5B" w:rsidRPr="009E651B">
        <w:rPr>
          <w:rFonts w:eastAsia="Times New Roman" w:cs="Times New Roman"/>
          <w:color w:val="000000" w:themeColor="text1"/>
        </w:rPr>
        <w:instrText>440 F.Supp.2d 730 (E.D. Tenn. 2006).</w:instrText>
      </w:r>
      <w:r w:rsidR="005F4A5B">
        <w:instrText xml:space="preserve">" \s "Nichols" \c 1 </w:instrText>
      </w:r>
      <w:r w:rsidR="005F4A5B">
        <w:rPr>
          <w:rFonts w:eastAsia="Times New Roman" w:cs="Times New Roman"/>
          <w:color w:val="000000" w:themeColor="text1"/>
        </w:rPr>
        <w:fldChar w:fldCharType="end"/>
      </w:r>
      <w:r w:rsidR="6C307211" w:rsidRPr="6C307211">
        <w:rPr>
          <w:rFonts w:eastAsia="Times New Roman" w:cs="Times New Roman"/>
          <w:color w:val="000000" w:themeColor="text1"/>
        </w:rPr>
        <w:t xml:space="preserve"> Work product is only a privilege created by the courts and law. </w:t>
      </w:r>
      <w:r w:rsidR="6C307211" w:rsidRPr="6C307211">
        <w:rPr>
          <w:rFonts w:eastAsia="Times New Roman" w:cs="Times New Roman"/>
          <w:i/>
          <w:iCs/>
          <w:color w:val="000000" w:themeColor="text1"/>
        </w:rPr>
        <w:t>Id.</w:t>
      </w:r>
      <w:r w:rsidR="005F4A5B">
        <w:rPr>
          <w:rFonts w:eastAsia="Times New Roman" w:cs="Times New Roman"/>
          <w:i/>
          <w:iCs/>
          <w:color w:val="000000" w:themeColor="text1"/>
        </w:rPr>
        <w:fldChar w:fldCharType="begin"/>
      </w:r>
      <w:r w:rsidR="005F4A5B">
        <w:instrText xml:space="preserve"> TA \s "Nichols" </w:instrText>
      </w:r>
      <w:r w:rsidR="005F4A5B">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Therefore, there is no constitutional basis for inadmissibility. </w:t>
      </w:r>
    </w:p>
    <w:p w14:paraId="509B8668" w14:textId="6A93DAC0" w:rsidR="6C307211" w:rsidRDefault="002B5766" w:rsidP="002B5766">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Second, Federal Rules of Criminal Procedure allows for exceptions to the privilege when the United States </w:t>
      </w:r>
      <w:bookmarkStart w:id="26" w:name="_Int_AKIpf2DM"/>
      <w:r w:rsidR="6C307211" w:rsidRPr="6C307211">
        <w:rPr>
          <w:rFonts w:eastAsia="Times New Roman" w:cs="Times New Roman"/>
          <w:color w:val="000000" w:themeColor="text1"/>
        </w:rPr>
        <w:t>seeks</w:t>
      </w:r>
      <w:bookmarkEnd w:id="26"/>
      <w:r w:rsidR="6C307211" w:rsidRPr="6C307211">
        <w:rPr>
          <w:rFonts w:eastAsia="Times New Roman" w:cs="Times New Roman"/>
          <w:color w:val="000000" w:themeColor="text1"/>
        </w:rPr>
        <w:t xml:space="preserve"> to discover evidence that the Defense claims as work product.</w:t>
      </w:r>
      <w:r w:rsidR="6C307211" w:rsidRPr="6C307211">
        <w:rPr>
          <w:rFonts w:eastAsia="Times New Roman" w:cs="Times New Roman"/>
          <w:i/>
          <w:iCs/>
          <w:color w:val="000000" w:themeColor="text1"/>
        </w:rPr>
        <w:t xml:space="preserve"> </w:t>
      </w:r>
      <w:r w:rsidR="6C307211" w:rsidRPr="6C307211">
        <w:rPr>
          <w:rFonts w:eastAsia="Times New Roman" w:cs="Times New Roman"/>
          <w:color w:val="000000" w:themeColor="text1"/>
        </w:rPr>
        <w:t xml:space="preserve">Federal Rule of Criminal Procedure 16(b)(2) codifies the work product privilege for criminal discovery. This includes the protection of “statement[s]” by a witness or prospective witness. </w:t>
      </w:r>
      <w:r w:rsidR="6C307211" w:rsidRPr="005F4A5B">
        <w:rPr>
          <w:rFonts w:eastAsia="Times New Roman" w:cs="Times New Roman"/>
          <w:smallCaps/>
          <w:color w:val="000000" w:themeColor="text1"/>
        </w:rPr>
        <w:t>Fed. R. Crim. P</w:t>
      </w:r>
      <w:r w:rsidR="6C307211" w:rsidRPr="6C307211">
        <w:rPr>
          <w:rFonts w:eastAsia="Times New Roman" w:cs="Times New Roman"/>
          <w:color w:val="000000" w:themeColor="text1"/>
        </w:rPr>
        <w:t>. 16(b)(2).</w:t>
      </w:r>
      <w:r w:rsidR="005F4A5B">
        <w:rPr>
          <w:rFonts w:eastAsia="Times New Roman" w:cs="Times New Roman"/>
          <w:color w:val="000000" w:themeColor="text1"/>
        </w:rPr>
        <w:fldChar w:fldCharType="begin"/>
      </w:r>
      <w:r w:rsidR="005F4A5B">
        <w:instrText xml:space="preserve"> TA \s "Fed. R. Crim. P. 16(b)(2)." </w:instrText>
      </w:r>
      <w:r w:rsidR="005F4A5B">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The statute does not address whether courts are authorized to create judicial exceptions to this rule. Federal courts have recognized an exception when an agent of the defendant created a memorandum based on witness interviews that impacted the core of a defendant’s argument. </w:t>
      </w:r>
      <w:r w:rsidR="6C307211" w:rsidRPr="6C307211">
        <w:rPr>
          <w:rFonts w:eastAsia="Times New Roman" w:cs="Times New Roman"/>
          <w:i/>
          <w:iCs/>
          <w:color w:val="000000" w:themeColor="text1"/>
        </w:rPr>
        <w:t>Nichols</w:t>
      </w:r>
      <w:r w:rsidR="005F4A5B">
        <w:rPr>
          <w:rFonts w:eastAsia="Times New Roman" w:cs="Times New Roman"/>
          <w:color w:val="000000" w:themeColor="text1"/>
        </w:rPr>
        <w:t>,</w:t>
      </w:r>
      <w:r w:rsidR="6C307211" w:rsidRPr="6C307211">
        <w:rPr>
          <w:rFonts w:eastAsia="Times New Roman" w:cs="Times New Roman"/>
          <w:i/>
          <w:iCs/>
          <w:color w:val="000000" w:themeColor="text1"/>
        </w:rPr>
        <w:t xml:space="preserve"> </w:t>
      </w:r>
      <w:r w:rsidR="6C307211" w:rsidRPr="6C307211">
        <w:rPr>
          <w:rFonts w:eastAsia="Times New Roman" w:cs="Times New Roman"/>
          <w:color w:val="000000" w:themeColor="text1"/>
        </w:rPr>
        <w:t>440 F.Supp.2d 730</w:t>
      </w:r>
      <w:r w:rsidR="6C307211" w:rsidRPr="6C307211">
        <w:rPr>
          <w:rFonts w:eastAsia="Times New Roman" w:cs="Times New Roman"/>
          <w:i/>
          <w:iCs/>
          <w:color w:val="000000" w:themeColor="text1"/>
        </w:rPr>
        <w:t>.</w:t>
      </w:r>
      <w:r w:rsidR="005F4A5B">
        <w:rPr>
          <w:rFonts w:eastAsia="Times New Roman" w:cs="Times New Roman"/>
          <w:i/>
          <w:iCs/>
          <w:color w:val="000000" w:themeColor="text1"/>
        </w:rPr>
        <w:fldChar w:fldCharType="begin"/>
      </w:r>
      <w:r w:rsidR="005F4A5B">
        <w:instrText xml:space="preserve"> TA \s "Nichols" </w:instrText>
      </w:r>
      <w:r w:rsidR="005F4A5B">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Further, The Supreme Court has recognized judicial exceptions, such as waiver of privilege, to work product claims. </w:t>
      </w:r>
      <w:r w:rsidR="6C307211" w:rsidRPr="6C307211">
        <w:rPr>
          <w:rFonts w:eastAsia="Times New Roman" w:cs="Times New Roman"/>
          <w:i/>
          <w:iCs/>
          <w:color w:val="000000" w:themeColor="text1"/>
        </w:rPr>
        <w:t>Nobles</w:t>
      </w:r>
      <w:r w:rsidR="005F4A5B">
        <w:rPr>
          <w:rFonts w:eastAsia="Times New Roman" w:cs="Times New Roman"/>
          <w:color w:val="000000" w:themeColor="text1"/>
        </w:rPr>
        <w:t>,</w:t>
      </w:r>
      <w:r w:rsidR="6C307211" w:rsidRPr="6C307211">
        <w:rPr>
          <w:rFonts w:eastAsia="Times New Roman" w:cs="Times New Roman"/>
          <w:color w:val="000000" w:themeColor="text1"/>
        </w:rPr>
        <w:t xml:space="preserve"> 422 U.S. 225.</w:t>
      </w:r>
      <w:r w:rsidR="005F4A5B">
        <w:rPr>
          <w:rFonts w:eastAsia="Times New Roman" w:cs="Times New Roman"/>
          <w:color w:val="000000" w:themeColor="text1"/>
        </w:rPr>
        <w:fldChar w:fldCharType="begin"/>
      </w:r>
      <w:r w:rsidR="005F4A5B">
        <w:instrText xml:space="preserve"> TA \s "Nobles" </w:instrText>
      </w:r>
      <w:r w:rsidR="005F4A5B">
        <w:rPr>
          <w:rFonts w:eastAsia="Times New Roman" w:cs="Times New Roman"/>
          <w:color w:val="000000" w:themeColor="text1"/>
        </w:rPr>
        <w:fldChar w:fldCharType="end"/>
      </w:r>
      <w:r w:rsidR="6C307211" w:rsidRPr="6C307211">
        <w:rPr>
          <w:rFonts w:eastAsia="Times New Roman" w:cs="Times New Roman"/>
          <w:color w:val="000000" w:themeColor="text1"/>
        </w:rPr>
        <w:t xml:space="preserve"> </w:t>
      </w:r>
    </w:p>
    <w:p w14:paraId="2A50F01F" w14:textId="368EA932" w:rsidR="6C307211" w:rsidRDefault="002B5766" w:rsidP="00E57B3E">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Third, the Supreme Court has consistently recognized that exceptions may be made for discovery by the United States in a criminal case. Work product doctrine exists to protect the adversarial process by giving an attorney “a certain degree of privacy, free from unnecessary intrusion by opposing parties and their counsel … [to] sift what he considers to be ... relevant, … prepare his legal theories and plan his strategy without undue and needless interference.” </w:t>
      </w:r>
      <w:r w:rsidR="6C307211" w:rsidRPr="6C307211">
        <w:rPr>
          <w:rFonts w:eastAsia="Times New Roman" w:cs="Times New Roman"/>
          <w:i/>
          <w:iCs/>
          <w:color w:val="000000" w:themeColor="text1"/>
        </w:rPr>
        <w:t xml:space="preserve">Hickman </w:t>
      </w:r>
      <w:r w:rsidR="6C307211" w:rsidRPr="6C307211">
        <w:rPr>
          <w:rFonts w:eastAsia="Times New Roman" w:cs="Times New Roman"/>
          <w:i/>
          <w:iCs/>
          <w:color w:val="000000" w:themeColor="text1"/>
        </w:rPr>
        <w:lastRenderedPageBreak/>
        <w:t>v. Taylor</w:t>
      </w:r>
      <w:r w:rsidR="6C307211" w:rsidRPr="6C307211">
        <w:rPr>
          <w:rFonts w:eastAsia="Times New Roman" w:cs="Times New Roman"/>
          <w:color w:val="000000" w:themeColor="text1"/>
        </w:rPr>
        <w:t>, 329 U.S.495, 510–11 (1947).</w:t>
      </w:r>
      <w:r w:rsidR="003E7AE2">
        <w:rPr>
          <w:rFonts w:eastAsia="Times New Roman" w:cs="Times New Roman"/>
          <w:color w:val="000000" w:themeColor="text1"/>
        </w:rPr>
        <w:fldChar w:fldCharType="begin"/>
      </w:r>
      <w:r w:rsidR="003E7AE2">
        <w:instrText xml:space="preserve"> TA \l "</w:instrText>
      </w:r>
      <w:r w:rsidR="003E7AE2" w:rsidRPr="009E651B">
        <w:rPr>
          <w:rFonts w:eastAsia="Times New Roman" w:cs="Times New Roman"/>
          <w:i/>
          <w:iCs/>
          <w:color w:val="000000" w:themeColor="text1"/>
        </w:rPr>
        <w:instrText>Hickman v. Taylor</w:instrText>
      </w:r>
      <w:r w:rsidR="003E7AE2" w:rsidRPr="009E651B">
        <w:rPr>
          <w:rFonts w:eastAsia="Times New Roman" w:cs="Times New Roman"/>
          <w:color w:val="000000" w:themeColor="text1"/>
        </w:rPr>
        <w:instrText>, 329 U.S.495 (1947).</w:instrText>
      </w:r>
      <w:r w:rsidR="003E7AE2">
        <w:instrText xml:space="preserve">" \s "Hickman" \c 1 </w:instrText>
      </w:r>
      <w:r w:rsidR="003E7AE2">
        <w:rPr>
          <w:rFonts w:eastAsia="Times New Roman" w:cs="Times New Roman"/>
          <w:color w:val="000000" w:themeColor="text1"/>
        </w:rPr>
        <w:fldChar w:fldCharType="end"/>
      </w:r>
      <w:r w:rsidR="6C307211" w:rsidRPr="6C307211">
        <w:rPr>
          <w:rFonts w:eastAsia="Times New Roman" w:cs="Times New Roman"/>
          <w:color w:val="000000" w:themeColor="text1"/>
        </w:rPr>
        <w:t xml:space="preserve"> In </w:t>
      </w:r>
      <w:r w:rsidR="6C307211" w:rsidRPr="6C307211">
        <w:rPr>
          <w:rFonts w:eastAsia="Times New Roman" w:cs="Times New Roman"/>
          <w:i/>
          <w:iCs/>
          <w:color w:val="000000" w:themeColor="text1"/>
        </w:rPr>
        <w:t>Hickman</w:t>
      </w:r>
      <w:r w:rsidR="6C307211" w:rsidRPr="6C307211">
        <w:rPr>
          <w:rFonts w:eastAsia="Times New Roman" w:cs="Times New Roman"/>
          <w:color w:val="000000" w:themeColor="text1"/>
        </w:rPr>
        <w:t xml:space="preserve">, the Supreme Court used the work product privilege to protect notes taken by the defendant’s counsel against discovery when the witnesses were available to the defendant to interview. </w:t>
      </w:r>
      <w:r w:rsidR="6C307211" w:rsidRPr="6C307211">
        <w:rPr>
          <w:rFonts w:eastAsia="Times New Roman" w:cs="Times New Roman"/>
          <w:i/>
          <w:iCs/>
          <w:color w:val="000000" w:themeColor="text1"/>
        </w:rPr>
        <w:t>Id.</w:t>
      </w:r>
      <w:r w:rsidR="003E7AE2">
        <w:rPr>
          <w:rFonts w:eastAsia="Times New Roman" w:cs="Times New Roman"/>
          <w:i/>
          <w:iCs/>
          <w:color w:val="000000" w:themeColor="text1"/>
        </w:rPr>
        <w:fldChar w:fldCharType="begin"/>
      </w:r>
      <w:r w:rsidR="003E7AE2">
        <w:instrText xml:space="preserve"> TA \s "Hickman" </w:instrText>
      </w:r>
      <w:r w:rsidR="003E7AE2">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The Court held that such discovery would require a “showing of necessity” or claim that denial of such evidence would create “hardship or injustice.” </w:t>
      </w:r>
      <w:r w:rsidR="6C307211" w:rsidRPr="6C307211">
        <w:rPr>
          <w:rFonts w:eastAsia="Times New Roman" w:cs="Times New Roman"/>
          <w:i/>
          <w:iCs/>
          <w:color w:val="000000" w:themeColor="text1"/>
        </w:rPr>
        <w:t xml:space="preserve">Id. </w:t>
      </w:r>
      <w:r w:rsidR="6C307211" w:rsidRPr="6C307211">
        <w:rPr>
          <w:rFonts w:eastAsia="Times New Roman" w:cs="Times New Roman"/>
          <w:color w:val="000000" w:themeColor="text1"/>
        </w:rPr>
        <w:t>at 509.</w:t>
      </w:r>
      <w:r w:rsidR="003E7AE2">
        <w:rPr>
          <w:rFonts w:eastAsia="Times New Roman" w:cs="Times New Roman"/>
          <w:color w:val="000000" w:themeColor="text1"/>
        </w:rPr>
        <w:fldChar w:fldCharType="begin"/>
      </w:r>
      <w:r w:rsidR="003E7AE2">
        <w:instrText xml:space="preserve"> TA \s "Hickman" </w:instrText>
      </w:r>
      <w:r w:rsidR="003E7AE2">
        <w:rPr>
          <w:rFonts w:eastAsia="Times New Roman" w:cs="Times New Roman"/>
          <w:color w:val="000000" w:themeColor="text1"/>
        </w:rPr>
        <w:fldChar w:fldCharType="end"/>
      </w:r>
      <w:r w:rsidR="6C307211" w:rsidRPr="6C307211">
        <w:rPr>
          <w:rFonts w:eastAsia="Times New Roman" w:cs="Times New Roman"/>
          <w:color w:val="000000" w:themeColor="text1"/>
        </w:rPr>
        <w:t xml:space="preserve"> </w:t>
      </w:r>
    </w:p>
    <w:p w14:paraId="51A986AD" w14:textId="76690989" w:rsidR="6C307211" w:rsidRDefault="00243699" w:rsidP="00243699">
      <w:pPr>
        <w:spacing w:line="480" w:lineRule="auto"/>
        <w:jc w:val="both"/>
      </w:pPr>
      <w:r>
        <w:rPr>
          <w:rFonts w:eastAsia="Times New Roman" w:cs="Times New Roman"/>
          <w:i/>
          <w:iCs/>
          <w:color w:val="000000" w:themeColor="text1"/>
        </w:rPr>
        <w:tab/>
      </w:r>
      <w:r w:rsidR="6C307211" w:rsidRPr="6C307211">
        <w:rPr>
          <w:rFonts w:eastAsia="Times New Roman" w:cs="Times New Roman"/>
          <w:i/>
          <w:iCs/>
          <w:color w:val="000000" w:themeColor="text1"/>
        </w:rPr>
        <w:t>Hickman</w:t>
      </w:r>
      <w:r w:rsidR="6C307211" w:rsidRPr="6C307211">
        <w:rPr>
          <w:rFonts w:eastAsia="Times New Roman" w:cs="Times New Roman"/>
          <w:color w:val="000000" w:themeColor="text1"/>
        </w:rPr>
        <w:t xml:space="preserve"> applies to criminal cases, and it is not an absolute privilege. </w:t>
      </w:r>
      <w:r w:rsidR="6C307211" w:rsidRPr="6C307211">
        <w:rPr>
          <w:rFonts w:eastAsia="Times New Roman" w:cs="Times New Roman"/>
          <w:i/>
          <w:iCs/>
          <w:color w:val="000000" w:themeColor="text1"/>
        </w:rPr>
        <w:t>United States v. Nobles</w:t>
      </w:r>
      <w:r w:rsidR="6C307211" w:rsidRPr="6C307211">
        <w:rPr>
          <w:rFonts w:eastAsia="Times New Roman" w:cs="Times New Roman"/>
          <w:color w:val="000000" w:themeColor="text1"/>
        </w:rPr>
        <w:t>, 422 U.S. 225, 239 (1975).</w:t>
      </w:r>
      <w:r w:rsidR="003E7AE2">
        <w:rPr>
          <w:rFonts w:eastAsia="Times New Roman" w:cs="Times New Roman"/>
          <w:color w:val="000000" w:themeColor="text1"/>
        </w:rPr>
        <w:fldChar w:fldCharType="begin"/>
      </w:r>
      <w:r w:rsidR="003E7AE2">
        <w:instrText xml:space="preserve"> TA \s "Nobles" </w:instrText>
      </w:r>
      <w:r w:rsidR="003E7AE2">
        <w:rPr>
          <w:rFonts w:eastAsia="Times New Roman" w:cs="Times New Roman"/>
          <w:color w:val="000000" w:themeColor="text1"/>
        </w:rPr>
        <w:fldChar w:fldCharType="end"/>
      </w:r>
      <w:r w:rsidR="6C307211" w:rsidRPr="6C307211">
        <w:rPr>
          <w:rFonts w:eastAsia="Times New Roman" w:cs="Times New Roman"/>
          <w:color w:val="000000" w:themeColor="text1"/>
        </w:rPr>
        <w:t xml:space="preserve"> </w:t>
      </w:r>
      <w:r w:rsidR="6C307211" w:rsidRPr="6C307211">
        <w:rPr>
          <w:rFonts w:eastAsia="Times New Roman" w:cs="Times New Roman"/>
          <w:i/>
          <w:iCs/>
          <w:color w:val="000000" w:themeColor="text1"/>
        </w:rPr>
        <w:t xml:space="preserve">Nichols v. Bell </w:t>
      </w:r>
      <w:r w:rsidR="6C307211" w:rsidRPr="6C307211">
        <w:rPr>
          <w:rFonts w:eastAsia="Times New Roman" w:cs="Times New Roman"/>
          <w:color w:val="000000" w:themeColor="text1"/>
        </w:rPr>
        <w:t xml:space="preserve">applied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xml:space="preserve"> to a civil Habeas Corpus proceeding where an expert witness for the defendant’s witness created a memorandum in preparation of trial detailing facts to which the defendant sought to prove. 440 F.Supp.2d 730, 817.</w:t>
      </w:r>
      <w:r w:rsidR="00FF4536">
        <w:rPr>
          <w:rFonts w:eastAsia="Times New Roman" w:cs="Times New Roman"/>
          <w:color w:val="000000" w:themeColor="text1"/>
        </w:rPr>
        <w:fldChar w:fldCharType="begin"/>
      </w:r>
      <w:r w:rsidR="00FF4536">
        <w:instrText xml:space="preserve"> TA \s "Nichols" </w:instrText>
      </w:r>
      <w:r w:rsidR="00FF4536">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The facts were derived directly from an interview with the defendant. </w:t>
      </w:r>
      <w:r w:rsidR="6C307211" w:rsidRPr="6C307211">
        <w:rPr>
          <w:rFonts w:eastAsia="Times New Roman" w:cs="Times New Roman"/>
          <w:i/>
          <w:iCs/>
          <w:color w:val="000000" w:themeColor="text1"/>
        </w:rPr>
        <w:t>Id.</w:t>
      </w:r>
      <w:r w:rsidR="00FF4536">
        <w:rPr>
          <w:rFonts w:eastAsia="Times New Roman" w:cs="Times New Roman"/>
          <w:i/>
          <w:iCs/>
          <w:color w:val="000000" w:themeColor="text1"/>
        </w:rPr>
        <w:fldChar w:fldCharType="begin"/>
      </w:r>
      <w:r w:rsidR="00FF4536">
        <w:instrText xml:space="preserve"> TA \s "Nichols" </w:instrText>
      </w:r>
      <w:r w:rsidR="00FF4536">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The Trial Court ordered discovery of that memorandum, was upheld with reference to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xml:space="preserve"> because the prosecution’s failure to obtain the report resulted in an “unfair advantage that the court could not accept.” </w:t>
      </w:r>
      <w:r w:rsidR="6C307211" w:rsidRPr="6C307211">
        <w:rPr>
          <w:rFonts w:eastAsia="Times New Roman" w:cs="Times New Roman"/>
          <w:i/>
          <w:iCs/>
          <w:color w:val="000000" w:themeColor="text1"/>
        </w:rPr>
        <w:t>Id.</w:t>
      </w:r>
      <w:r w:rsidR="00FF4536">
        <w:rPr>
          <w:rFonts w:eastAsia="Times New Roman" w:cs="Times New Roman"/>
          <w:i/>
          <w:iCs/>
          <w:color w:val="000000" w:themeColor="text1"/>
        </w:rPr>
        <w:fldChar w:fldCharType="begin"/>
      </w:r>
      <w:r w:rsidR="00FF4536">
        <w:instrText xml:space="preserve"> TA \s "Nichols" </w:instrText>
      </w:r>
      <w:r w:rsidR="00FF4536">
        <w:rPr>
          <w:rFonts w:eastAsia="Times New Roman" w:cs="Times New Roman"/>
          <w:i/>
          <w:iCs/>
          <w:color w:val="000000" w:themeColor="text1"/>
        </w:rPr>
        <w:fldChar w:fldCharType="end"/>
      </w:r>
      <w:r w:rsidR="6C307211" w:rsidRPr="6C307211">
        <w:rPr>
          <w:rFonts w:eastAsia="Times New Roman" w:cs="Times New Roman"/>
          <w:color w:val="000000" w:themeColor="text1"/>
        </w:rPr>
        <w:t xml:space="preserve">   </w:t>
      </w:r>
    </w:p>
    <w:p w14:paraId="4DBA6AD5" w14:textId="54A45AF3" w:rsidR="6C307211" w:rsidRDefault="00E57B3E" w:rsidP="6C307211">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Here, the crucial facts center around Coastal, which is central to this case. Coastal’s records directly identify the Defendant by name as the owner of its Marsh-Cayman bank account. (R. 33, </w:t>
      </w:r>
      <w:r w:rsidR="7A683F71" w:rsidRPr="7A683F71">
        <w:rPr>
          <w:rFonts w:eastAsia="Times New Roman" w:cs="Times New Roman"/>
          <w:color w:val="000000" w:themeColor="text1"/>
        </w:rPr>
        <w:t>lines</w:t>
      </w:r>
      <w:r w:rsidR="6C307211" w:rsidRPr="6C307211">
        <w:rPr>
          <w:rFonts w:eastAsia="Times New Roman" w:cs="Times New Roman"/>
          <w:color w:val="000000" w:themeColor="text1"/>
        </w:rPr>
        <w:t xml:space="preserve"> 358–59; R. 72, Ex, 19). Coastal received indirect transfers from Silver Palms totaling over seven million dollars from 2019-2023. (R. 17, </w:t>
      </w:r>
      <w:r w:rsidR="7A683F71" w:rsidRPr="7A683F71">
        <w:rPr>
          <w:rFonts w:eastAsia="Times New Roman" w:cs="Times New Roman"/>
          <w:color w:val="000000" w:themeColor="text1"/>
        </w:rPr>
        <w:t>lines</w:t>
      </w:r>
      <w:r w:rsidR="6C307211" w:rsidRPr="6C307211">
        <w:rPr>
          <w:rFonts w:eastAsia="Times New Roman" w:cs="Times New Roman"/>
          <w:color w:val="000000" w:themeColor="text1"/>
        </w:rPr>
        <w:t xml:space="preserve"> 369–70). Similar to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where the disproportionate access to information created a scenario that necessitated the distribution of information, the Defense’s access to insider information regarding the workings of Coastal creates an “unfair advantage.” Seton was Coastal’s operations manager. The interview contained factual exposition about “how Coastal actually operated, the people connected to the company, and how the money moved [</w:t>
      </w:r>
      <w:r w:rsidR="2E00F35E" w:rsidRPr="2E00F35E">
        <w:rPr>
          <w:rFonts w:eastAsia="Times New Roman" w:cs="Times New Roman"/>
          <w:color w:val="000000" w:themeColor="text1"/>
        </w:rPr>
        <w:t>through</w:t>
      </w:r>
      <w:r w:rsidR="6C307211" w:rsidRPr="6C307211">
        <w:rPr>
          <w:rFonts w:eastAsia="Times New Roman" w:cs="Times New Roman"/>
          <w:color w:val="000000" w:themeColor="text1"/>
        </w:rPr>
        <w:t xml:space="preserve"> Coastal].” (R. 46, </w:t>
      </w:r>
      <w:r w:rsidR="1F204185" w:rsidRPr="1F204185">
        <w:rPr>
          <w:rFonts w:eastAsia="Times New Roman" w:cs="Times New Roman"/>
          <w:color w:val="000000" w:themeColor="text1"/>
        </w:rPr>
        <w:t>lines</w:t>
      </w:r>
      <w:r w:rsidR="6C307211" w:rsidRPr="6C307211">
        <w:rPr>
          <w:rFonts w:eastAsia="Times New Roman" w:cs="Times New Roman"/>
          <w:color w:val="000000" w:themeColor="text1"/>
        </w:rPr>
        <w:t xml:space="preserve"> 127–28). Armana admits that it is the “only place where this account exists.” (R. 47, </w:t>
      </w:r>
      <w:r w:rsidR="1F204185" w:rsidRPr="1F204185">
        <w:rPr>
          <w:rFonts w:eastAsia="Times New Roman" w:cs="Times New Roman"/>
          <w:color w:val="000000" w:themeColor="text1"/>
        </w:rPr>
        <w:t>lines</w:t>
      </w:r>
      <w:r w:rsidR="6C307211" w:rsidRPr="6C307211">
        <w:rPr>
          <w:rFonts w:eastAsia="Times New Roman" w:cs="Times New Roman"/>
          <w:color w:val="000000" w:themeColor="text1"/>
        </w:rPr>
        <w:t xml:space="preserve"> 167–68). Further, the United States has </w:t>
      </w:r>
      <w:r w:rsidR="2690E270" w:rsidRPr="2690E270">
        <w:rPr>
          <w:rFonts w:eastAsia="Times New Roman" w:cs="Times New Roman"/>
          <w:color w:val="000000" w:themeColor="text1"/>
        </w:rPr>
        <w:t>faced significant hardship</w:t>
      </w:r>
      <w:r w:rsidR="6C307211" w:rsidRPr="6C307211">
        <w:rPr>
          <w:rFonts w:eastAsia="Times New Roman" w:cs="Times New Roman"/>
          <w:color w:val="000000" w:themeColor="text1"/>
        </w:rPr>
        <w:t xml:space="preserve"> to acquire the critical facts contained in Armana’s interview by other means. </w:t>
      </w:r>
      <w:r w:rsidR="6C307211" w:rsidRPr="6C307211">
        <w:rPr>
          <w:rFonts w:eastAsia="Times New Roman" w:cs="Times New Roman"/>
          <w:color w:val="000000" w:themeColor="text1"/>
        </w:rPr>
        <w:lastRenderedPageBreak/>
        <w:t xml:space="preserve">By the time the United States knew about Seton, she had “ran away…and was last seen somewhere off the coast of Spain.” (R. 18, </w:t>
      </w:r>
      <w:r w:rsidR="1F204185" w:rsidRPr="1F204185">
        <w:rPr>
          <w:rFonts w:eastAsia="Times New Roman" w:cs="Times New Roman"/>
          <w:color w:val="000000" w:themeColor="text1"/>
        </w:rPr>
        <w:t>line</w:t>
      </w:r>
      <w:r w:rsidR="6C307211" w:rsidRPr="6C307211">
        <w:rPr>
          <w:rFonts w:eastAsia="Times New Roman" w:cs="Times New Roman"/>
          <w:color w:val="000000" w:themeColor="text1"/>
        </w:rPr>
        <w:t xml:space="preserve"> 393; R. 26, </w:t>
      </w:r>
      <w:r w:rsidR="1F204185" w:rsidRPr="1F204185">
        <w:rPr>
          <w:rFonts w:eastAsia="Times New Roman" w:cs="Times New Roman"/>
          <w:color w:val="000000" w:themeColor="text1"/>
        </w:rPr>
        <w:t>lines</w:t>
      </w:r>
      <w:r w:rsidR="6C307211" w:rsidRPr="6C307211">
        <w:rPr>
          <w:rFonts w:eastAsia="Times New Roman" w:cs="Times New Roman"/>
          <w:color w:val="000000" w:themeColor="text1"/>
        </w:rPr>
        <w:t xml:space="preserve"> 103–04). The United States pursued Ky Chandler, who was also identified as a part of Coastal’s operations, but found that he had run away with Seton. </w:t>
      </w:r>
      <w:r w:rsidR="6C307211" w:rsidRPr="6C307211">
        <w:rPr>
          <w:rFonts w:eastAsia="Times New Roman" w:cs="Times New Roman"/>
          <w:i/>
          <w:iCs/>
          <w:color w:val="000000" w:themeColor="text1"/>
        </w:rPr>
        <w:t>Id.</w:t>
      </w:r>
      <w:r w:rsidR="6C307211" w:rsidRPr="6C307211">
        <w:rPr>
          <w:rFonts w:eastAsia="Times New Roman" w:cs="Times New Roman"/>
          <w:color w:val="000000" w:themeColor="text1"/>
        </w:rPr>
        <w:t xml:space="preserve"> It has not been able to locate either of them through any investigative efforts. (R. 18, </w:t>
      </w:r>
      <w:r w:rsidR="1F204185" w:rsidRPr="1F204185">
        <w:rPr>
          <w:rFonts w:eastAsia="Times New Roman" w:cs="Times New Roman"/>
          <w:color w:val="000000" w:themeColor="text1"/>
        </w:rPr>
        <w:t>lines</w:t>
      </w:r>
      <w:r w:rsidR="6C307211" w:rsidRPr="6C307211">
        <w:rPr>
          <w:rFonts w:eastAsia="Times New Roman" w:cs="Times New Roman"/>
          <w:color w:val="000000" w:themeColor="text1"/>
        </w:rPr>
        <w:t xml:space="preserve"> 395-</w:t>
      </w:r>
      <w:r w:rsidR="1F204185" w:rsidRPr="1F204185">
        <w:rPr>
          <w:rFonts w:eastAsia="Times New Roman" w:cs="Times New Roman"/>
          <w:color w:val="000000" w:themeColor="text1"/>
        </w:rPr>
        <w:t>96</w:t>
      </w:r>
      <w:r w:rsidR="6C307211" w:rsidRPr="6C307211">
        <w:rPr>
          <w:rFonts w:eastAsia="Times New Roman" w:cs="Times New Roman"/>
          <w:color w:val="000000" w:themeColor="text1"/>
        </w:rPr>
        <w:t xml:space="preserve">). It also tried to supplement this information through an MLAT request, which yielded only that the Cayman-Marsh bank account was owned by a separate holding company. The Defendant has access to information that is central to this case and the United States would suffer undue hardship, indeed already has, to acquire this same information. </w:t>
      </w:r>
      <w:r w:rsidR="2345D956" w:rsidRPr="2345D956">
        <w:rPr>
          <w:rFonts w:eastAsia="Times New Roman" w:cs="Times New Roman"/>
          <w:color w:val="000000" w:themeColor="text1"/>
        </w:rPr>
        <w:t>Thus</w:t>
      </w:r>
      <w:r w:rsidR="6C307211" w:rsidRPr="6C307211">
        <w:rPr>
          <w:rFonts w:eastAsia="Times New Roman" w:cs="Times New Roman"/>
          <w:color w:val="000000" w:themeColor="text1"/>
        </w:rPr>
        <w:t>, the Court should grant an exception to the work product privilege.</w:t>
      </w:r>
    </w:p>
    <w:p w14:paraId="73A76992" w14:textId="1C3BA929" w:rsidR="6C307211" w:rsidRDefault="6C307211" w:rsidP="006D4159">
      <w:pPr>
        <w:pStyle w:val="Heading3"/>
        <w:numPr>
          <w:ilvl w:val="0"/>
          <w:numId w:val="23"/>
        </w:numPr>
        <w:rPr>
          <w:color w:val="000000" w:themeColor="text1"/>
        </w:rPr>
      </w:pPr>
      <w:bookmarkStart w:id="27" w:name="_Toc239164095"/>
      <w:r w:rsidRPr="6C307211">
        <w:rPr>
          <w:color w:val="000000" w:themeColor="text1"/>
        </w:rPr>
        <w:t xml:space="preserve">Solely in the Alternative, if the </w:t>
      </w:r>
      <w:r w:rsidR="469001BB" w:rsidRPr="469001BB">
        <w:rPr>
          <w:color w:val="000000" w:themeColor="text1"/>
        </w:rPr>
        <w:t>Notes</w:t>
      </w:r>
      <w:r w:rsidRPr="6C307211">
        <w:rPr>
          <w:color w:val="000000" w:themeColor="text1"/>
        </w:rPr>
        <w:t xml:space="preserve"> </w:t>
      </w:r>
      <w:r w:rsidR="2494EABA" w:rsidRPr="2494EABA">
        <w:rPr>
          <w:color w:val="000000" w:themeColor="text1"/>
        </w:rPr>
        <w:t>from</w:t>
      </w:r>
      <w:r w:rsidRPr="6C307211">
        <w:rPr>
          <w:color w:val="000000" w:themeColor="text1"/>
        </w:rPr>
        <w:t xml:space="preserve"> Armana’s </w:t>
      </w:r>
      <w:r w:rsidR="06CAF75F" w:rsidRPr="06CAF75F">
        <w:rPr>
          <w:color w:val="000000" w:themeColor="text1"/>
        </w:rPr>
        <w:t>Interview</w:t>
      </w:r>
      <w:r w:rsidRPr="6C307211">
        <w:rPr>
          <w:color w:val="000000" w:themeColor="text1"/>
        </w:rPr>
        <w:t xml:space="preserve"> are </w:t>
      </w:r>
      <w:r w:rsidR="06CAF75F" w:rsidRPr="06CAF75F">
        <w:rPr>
          <w:color w:val="000000" w:themeColor="text1"/>
        </w:rPr>
        <w:t>Protected</w:t>
      </w:r>
      <w:r w:rsidRPr="6C307211">
        <w:rPr>
          <w:color w:val="000000" w:themeColor="text1"/>
        </w:rPr>
        <w:t xml:space="preserve"> </w:t>
      </w:r>
      <w:r w:rsidR="2494EABA" w:rsidRPr="2494EABA">
        <w:rPr>
          <w:color w:val="000000" w:themeColor="text1"/>
        </w:rPr>
        <w:t>Work</w:t>
      </w:r>
      <w:r w:rsidRPr="6C307211">
        <w:rPr>
          <w:color w:val="000000" w:themeColor="text1"/>
        </w:rPr>
        <w:t xml:space="preserve"> </w:t>
      </w:r>
      <w:r w:rsidR="5E32F125" w:rsidRPr="5E32F125">
        <w:rPr>
          <w:color w:val="000000" w:themeColor="text1"/>
        </w:rPr>
        <w:t>Product</w:t>
      </w:r>
      <w:r w:rsidRPr="6C307211">
        <w:rPr>
          <w:color w:val="000000" w:themeColor="text1"/>
        </w:rPr>
        <w:t xml:space="preserve">, then Armana’s </w:t>
      </w:r>
      <w:r w:rsidR="5F8912FC" w:rsidRPr="5F8912FC">
        <w:rPr>
          <w:color w:val="000000" w:themeColor="text1"/>
        </w:rPr>
        <w:t>Testimony</w:t>
      </w:r>
      <w:r w:rsidRPr="6C307211">
        <w:rPr>
          <w:color w:val="000000" w:themeColor="text1"/>
        </w:rPr>
        <w:t xml:space="preserve"> </w:t>
      </w:r>
      <w:r w:rsidR="574263E8" w:rsidRPr="574263E8">
        <w:rPr>
          <w:color w:val="000000" w:themeColor="text1"/>
        </w:rPr>
        <w:t>Regarding Any Aspect</w:t>
      </w:r>
      <w:r w:rsidRPr="6C307211">
        <w:rPr>
          <w:color w:val="000000" w:themeColor="text1"/>
        </w:rPr>
        <w:t xml:space="preserve"> of those </w:t>
      </w:r>
      <w:r w:rsidR="2DE6374B" w:rsidRPr="2DE6374B">
        <w:rPr>
          <w:color w:val="000000" w:themeColor="text1"/>
        </w:rPr>
        <w:t>Interviews</w:t>
      </w:r>
      <w:r w:rsidRPr="6C307211">
        <w:rPr>
          <w:color w:val="000000" w:themeColor="text1"/>
        </w:rPr>
        <w:t xml:space="preserve"> </w:t>
      </w:r>
      <w:r w:rsidR="28D2DD65" w:rsidRPr="28D2DD65">
        <w:rPr>
          <w:color w:val="000000" w:themeColor="text1"/>
        </w:rPr>
        <w:t xml:space="preserve">Waives </w:t>
      </w:r>
      <w:r w:rsidR="00C3565F" w:rsidRPr="00C3565F">
        <w:rPr>
          <w:color w:val="000000" w:themeColor="text1"/>
        </w:rPr>
        <w:t>Said Protection</w:t>
      </w:r>
      <w:r w:rsidRPr="6C307211">
        <w:rPr>
          <w:color w:val="000000" w:themeColor="text1"/>
        </w:rPr>
        <w:t>.</w:t>
      </w:r>
      <w:bookmarkEnd w:id="27"/>
    </w:p>
    <w:p w14:paraId="48809749" w14:textId="586D230F" w:rsidR="6C307211" w:rsidRDefault="6C307211" w:rsidP="00E57B3E">
      <w:pPr>
        <w:spacing w:line="240" w:lineRule="auto"/>
      </w:pPr>
      <w:r w:rsidRPr="6C307211">
        <w:rPr>
          <w:rFonts w:eastAsia="Times New Roman" w:cs="Times New Roman"/>
          <w:color w:val="000000" w:themeColor="text1"/>
        </w:rPr>
        <w:t xml:space="preserve"> </w:t>
      </w:r>
    </w:p>
    <w:p w14:paraId="6B7B78E5" w14:textId="48AFFC03" w:rsidR="6C307211" w:rsidRDefault="00E57B3E" w:rsidP="00E57B3E">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Work product is a qualified privilege and may be waived, and the work product becomes admissible when intentionally used to gain an advantage</w:t>
      </w:r>
      <w:r w:rsidR="113CCE62" w:rsidRPr="113CCE62">
        <w:rPr>
          <w:rFonts w:eastAsia="Times New Roman" w:cs="Times New Roman"/>
          <w:color w:val="000000" w:themeColor="text1"/>
        </w:rPr>
        <w:t>.</w:t>
      </w:r>
      <w:r w:rsidR="6C307211" w:rsidRPr="6C307211">
        <w:rPr>
          <w:rFonts w:eastAsia="Times New Roman" w:cs="Times New Roman"/>
          <w:color w:val="000000" w:themeColor="text1"/>
        </w:rPr>
        <w:t xml:space="preserve"> </w:t>
      </w:r>
      <w:r w:rsidR="6C307211" w:rsidRPr="00BB4AB8">
        <w:rPr>
          <w:rFonts w:eastAsia="Times New Roman" w:cs="Times New Roman"/>
          <w:smallCaps/>
          <w:color w:val="000000" w:themeColor="text1"/>
        </w:rPr>
        <w:t>Fed. R. Evid</w:t>
      </w:r>
      <w:r w:rsidR="6C307211" w:rsidRPr="6C307211">
        <w:rPr>
          <w:rFonts w:eastAsia="Times New Roman" w:cs="Times New Roman"/>
          <w:color w:val="000000" w:themeColor="text1"/>
        </w:rPr>
        <w:t>. 502(a).</w:t>
      </w:r>
      <w:r w:rsidR="00BB4AB8">
        <w:rPr>
          <w:rFonts w:eastAsia="Times New Roman" w:cs="Times New Roman"/>
          <w:color w:val="000000" w:themeColor="text1"/>
        </w:rPr>
        <w:fldChar w:fldCharType="begin"/>
      </w:r>
      <w:r w:rsidR="00BB4AB8">
        <w:instrText xml:space="preserve"> TA \l "</w:instrText>
      </w:r>
      <w:r w:rsidR="00BB4AB8" w:rsidRPr="009E651B">
        <w:rPr>
          <w:rFonts w:eastAsia="Times New Roman" w:cs="Times New Roman"/>
          <w:smallCaps/>
          <w:color w:val="000000" w:themeColor="text1"/>
        </w:rPr>
        <w:instrText>Fed. R. Evid</w:instrText>
      </w:r>
      <w:r w:rsidR="00BB4AB8" w:rsidRPr="009E651B">
        <w:rPr>
          <w:rFonts w:eastAsia="Times New Roman" w:cs="Times New Roman"/>
          <w:color w:val="000000" w:themeColor="text1"/>
        </w:rPr>
        <w:instrText>. 502(a).</w:instrText>
      </w:r>
      <w:r w:rsidR="00BB4AB8">
        <w:instrText xml:space="preserve">" \s "Fed. R. Evid. 502(a)." \c 4 </w:instrText>
      </w:r>
      <w:r w:rsidR="00BB4AB8">
        <w:rPr>
          <w:rFonts w:eastAsia="Times New Roman" w:cs="Times New Roman"/>
          <w:color w:val="000000" w:themeColor="text1"/>
        </w:rPr>
        <w:fldChar w:fldCharType="end"/>
      </w:r>
      <w:r w:rsidR="6C307211" w:rsidRPr="6C307211">
        <w:rPr>
          <w:rFonts w:eastAsia="Times New Roman" w:cs="Times New Roman"/>
          <w:color w:val="000000" w:themeColor="text1"/>
        </w:rPr>
        <w:t xml:space="preserve"> A party waives work product privilege when it chooses to use the testimony of an investigator regarding statements pertaining to their investigation at trial.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422 U.S. 225, 239 (1975).</w:t>
      </w:r>
      <w:r w:rsidR="00BB4AB8">
        <w:rPr>
          <w:rFonts w:eastAsia="Times New Roman" w:cs="Times New Roman"/>
          <w:color w:val="000000" w:themeColor="text1"/>
        </w:rPr>
        <w:fldChar w:fldCharType="begin"/>
      </w:r>
      <w:r w:rsidR="00BB4AB8">
        <w:instrText xml:space="preserve"> TA \s "Nobles" </w:instrText>
      </w:r>
      <w:r w:rsidR="00BB4AB8">
        <w:rPr>
          <w:rFonts w:eastAsia="Times New Roman" w:cs="Times New Roman"/>
          <w:color w:val="000000" w:themeColor="text1"/>
        </w:rPr>
        <w:fldChar w:fldCharType="end"/>
      </w:r>
      <w:r w:rsidR="6C307211" w:rsidRPr="6C307211">
        <w:rPr>
          <w:rFonts w:eastAsia="Times New Roman" w:cs="Times New Roman"/>
          <w:color w:val="000000" w:themeColor="text1"/>
        </w:rPr>
        <w:t xml:space="preserve"> In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the defendant sought to use witness statements created by its investigator at trial</w:t>
      </w:r>
      <w:r w:rsidR="3EE48888" w:rsidRPr="3EE48888">
        <w:rPr>
          <w:rFonts w:eastAsia="Times New Roman" w:cs="Times New Roman"/>
          <w:color w:val="000000" w:themeColor="text1"/>
        </w:rPr>
        <w:t>,</w:t>
      </w:r>
      <w:r w:rsidR="6C307211" w:rsidRPr="6C307211">
        <w:rPr>
          <w:rFonts w:eastAsia="Times New Roman" w:cs="Times New Roman"/>
          <w:color w:val="000000" w:themeColor="text1"/>
        </w:rPr>
        <w:t xml:space="preserve"> and the District Court ordered production of the underlying report. </w:t>
      </w:r>
      <w:r w:rsidR="6C307211" w:rsidRPr="6C307211">
        <w:rPr>
          <w:rFonts w:eastAsia="Times New Roman" w:cs="Times New Roman"/>
          <w:i/>
          <w:iCs/>
          <w:color w:val="000000" w:themeColor="text1"/>
        </w:rPr>
        <w:t>Id</w:t>
      </w:r>
      <w:r w:rsidR="00BB4AB8">
        <w:rPr>
          <w:rFonts w:eastAsia="Times New Roman" w:cs="Times New Roman"/>
          <w:i/>
          <w:iCs/>
          <w:color w:val="000000" w:themeColor="text1"/>
        </w:rPr>
        <w:t>.</w:t>
      </w:r>
      <w:r w:rsidR="6C307211" w:rsidRPr="6C307211">
        <w:rPr>
          <w:rFonts w:eastAsia="Times New Roman" w:cs="Times New Roman"/>
          <w:color w:val="000000" w:themeColor="text1"/>
        </w:rPr>
        <w:t xml:space="preserve"> at 225.</w:t>
      </w:r>
      <w:r w:rsidR="00BB4AB8">
        <w:rPr>
          <w:rFonts w:eastAsia="Times New Roman" w:cs="Times New Roman"/>
          <w:color w:val="000000" w:themeColor="text1"/>
        </w:rPr>
        <w:fldChar w:fldCharType="begin"/>
      </w:r>
      <w:r w:rsidR="00BB4AB8">
        <w:instrText xml:space="preserve"> TA \s "Nobles" </w:instrText>
      </w:r>
      <w:r w:rsidR="00BB4AB8">
        <w:rPr>
          <w:rFonts w:eastAsia="Times New Roman" w:cs="Times New Roman"/>
          <w:color w:val="000000" w:themeColor="text1"/>
        </w:rPr>
        <w:fldChar w:fldCharType="end"/>
      </w:r>
      <w:r w:rsidR="6C307211" w:rsidRPr="6C307211">
        <w:rPr>
          <w:rFonts w:eastAsia="Times New Roman" w:cs="Times New Roman"/>
          <w:color w:val="000000" w:themeColor="text1"/>
        </w:rPr>
        <w:t xml:space="preserve"> When defense counsel refused to produce the report, the court precluded the investigator’s testimony. </w:t>
      </w:r>
      <w:r w:rsidR="6C307211" w:rsidRPr="6C307211">
        <w:rPr>
          <w:rFonts w:eastAsia="Times New Roman" w:cs="Times New Roman"/>
          <w:i/>
          <w:iCs/>
          <w:color w:val="000000" w:themeColor="text1"/>
        </w:rPr>
        <w:t>Id</w:t>
      </w:r>
      <w:r w:rsidR="6C307211" w:rsidRPr="6C307211">
        <w:rPr>
          <w:rFonts w:eastAsia="Times New Roman" w:cs="Times New Roman"/>
          <w:color w:val="000000" w:themeColor="text1"/>
        </w:rPr>
        <w:t>.</w:t>
      </w:r>
      <w:r w:rsidR="00BB4AB8">
        <w:rPr>
          <w:rFonts w:eastAsia="Times New Roman" w:cs="Times New Roman"/>
          <w:color w:val="000000" w:themeColor="text1"/>
        </w:rPr>
        <w:fldChar w:fldCharType="begin"/>
      </w:r>
      <w:r w:rsidR="00BB4AB8">
        <w:instrText xml:space="preserve"> TA \s "Nobles" </w:instrText>
      </w:r>
      <w:r w:rsidR="00BB4AB8">
        <w:rPr>
          <w:rFonts w:eastAsia="Times New Roman" w:cs="Times New Roman"/>
          <w:color w:val="000000" w:themeColor="text1"/>
        </w:rPr>
        <w:fldChar w:fldCharType="end"/>
      </w:r>
      <w:r w:rsidR="6C307211" w:rsidRPr="6C307211">
        <w:rPr>
          <w:rFonts w:eastAsia="Times New Roman" w:cs="Times New Roman"/>
          <w:color w:val="000000" w:themeColor="text1"/>
        </w:rPr>
        <w:t xml:space="preserve"> The court </w:t>
      </w:r>
      <w:r w:rsidR="714BA962" w:rsidRPr="714BA962">
        <w:rPr>
          <w:rFonts w:eastAsia="Times New Roman" w:cs="Times New Roman"/>
          <w:color w:val="000000" w:themeColor="text1"/>
        </w:rPr>
        <w:t>held that</w:t>
      </w:r>
      <w:r w:rsidR="6C307211" w:rsidRPr="6C307211">
        <w:rPr>
          <w:rFonts w:eastAsia="Times New Roman" w:cs="Times New Roman"/>
          <w:color w:val="000000" w:themeColor="text1"/>
        </w:rPr>
        <w:t xml:space="preserve"> work product doctrine cannot sustain a “unilateral” use for materials. </w:t>
      </w:r>
      <w:r w:rsidR="6C307211" w:rsidRPr="6C307211">
        <w:rPr>
          <w:rFonts w:eastAsia="Times New Roman" w:cs="Times New Roman"/>
          <w:i/>
          <w:iCs/>
          <w:color w:val="000000" w:themeColor="text1"/>
        </w:rPr>
        <w:t>Id.</w:t>
      </w:r>
      <w:r w:rsidR="6C307211" w:rsidRPr="6C307211">
        <w:rPr>
          <w:rFonts w:eastAsia="Times New Roman" w:cs="Times New Roman"/>
          <w:color w:val="000000" w:themeColor="text1"/>
        </w:rPr>
        <w:t xml:space="preserve"> at 240.</w:t>
      </w:r>
      <w:r w:rsidR="00BB4AB8">
        <w:rPr>
          <w:rFonts w:eastAsia="Times New Roman" w:cs="Times New Roman"/>
          <w:color w:val="000000" w:themeColor="text1"/>
        </w:rPr>
        <w:fldChar w:fldCharType="begin"/>
      </w:r>
      <w:r w:rsidR="00BB4AB8">
        <w:instrText xml:space="preserve"> TA \s "Nobles" </w:instrText>
      </w:r>
      <w:r w:rsidR="00BB4AB8">
        <w:rPr>
          <w:rFonts w:eastAsia="Times New Roman" w:cs="Times New Roman"/>
          <w:color w:val="000000" w:themeColor="text1"/>
        </w:rPr>
        <w:fldChar w:fldCharType="end"/>
      </w:r>
    </w:p>
    <w:p w14:paraId="512ED57B" w14:textId="51B379DE" w:rsidR="6C307211" w:rsidRDefault="00E57B3E" w:rsidP="00E57B3E">
      <w:pPr>
        <w:spacing w:line="480" w:lineRule="auto"/>
        <w:jc w:val="both"/>
      </w:pPr>
      <w:r>
        <w:rPr>
          <w:rFonts w:eastAsia="Times New Roman" w:cs="Times New Roman"/>
          <w:color w:val="000000" w:themeColor="text1"/>
        </w:rPr>
        <w:tab/>
      </w:r>
      <w:r w:rsidR="6C307211" w:rsidRPr="6C307211">
        <w:rPr>
          <w:rFonts w:eastAsia="Times New Roman" w:cs="Times New Roman"/>
          <w:color w:val="000000" w:themeColor="text1"/>
        </w:rPr>
        <w:t xml:space="preserve">Here, the Defendant has called an investigator as a witness who has created a report containing </w:t>
      </w:r>
      <w:r w:rsidR="34A301AE" w:rsidRPr="34A301AE">
        <w:rPr>
          <w:rFonts w:eastAsia="Times New Roman" w:cs="Times New Roman"/>
          <w:color w:val="000000" w:themeColor="text1"/>
        </w:rPr>
        <w:t xml:space="preserve">facts derived from </w:t>
      </w:r>
      <w:r w:rsidR="6C307211" w:rsidRPr="6C307211">
        <w:rPr>
          <w:rFonts w:eastAsia="Times New Roman" w:cs="Times New Roman"/>
          <w:color w:val="000000" w:themeColor="text1"/>
        </w:rPr>
        <w:t xml:space="preserve">a prospective witness that subsequently disappeared. The investigator has given a deposition wherein they discussed </w:t>
      </w:r>
      <w:r w:rsidR="1F3EC991" w:rsidRPr="1F3EC991">
        <w:rPr>
          <w:rFonts w:eastAsia="Times New Roman" w:cs="Times New Roman"/>
          <w:color w:val="000000" w:themeColor="text1"/>
        </w:rPr>
        <w:t xml:space="preserve">the </w:t>
      </w:r>
      <w:r w:rsidR="7A5CCADA" w:rsidRPr="7A5CCADA">
        <w:rPr>
          <w:rFonts w:eastAsia="Times New Roman" w:cs="Times New Roman"/>
          <w:color w:val="000000" w:themeColor="text1"/>
        </w:rPr>
        <w:t>underlying</w:t>
      </w:r>
      <w:r w:rsidR="6C307211" w:rsidRPr="6C307211">
        <w:rPr>
          <w:rFonts w:eastAsia="Times New Roman" w:cs="Times New Roman"/>
          <w:color w:val="000000" w:themeColor="text1"/>
        </w:rPr>
        <w:t xml:space="preserve"> topics covered in that interview, stating that the interview covered Coastal’s operations, people connected to Coastal, and </w:t>
      </w:r>
      <w:r w:rsidR="6C307211" w:rsidRPr="6C307211">
        <w:rPr>
          <w:rFonts w:eastAsia="Times New Roman" w:cs="Times New Roman"/>
          <w:color w:val="000000" w:themeColor="text1"/>
        </w:rPr>
        <w:lastRenderedPageBreak/>
        <w:t xml:space="preserve">“how the money moved.” (R. 46, </w:t>
      </w:r>
      <w:r w:rsidR="2345D956" w:rsidRPr="2345D956">
        <w:rPr>
          <w:rFonts w:eastAsia="Times New Roman" w:cs="Times New Roman"/>
          <w:color w:val="000000" w:themeColor="text1"/>
        </w:rPr>
        <w:t>line</w:t>
      </w:r>
      <w:r w:rsidR="6C307211" w:rsidRPr="6C307211">
        <w:rPr>
          <w:rFonts w:eastAsia="Times New Roman" w:cs="Times New Roman"/>
          <w:color w:val="000000" w:themeColor="text1"/>
        </w:rPr>
        <w:t xml:space="preserve"> 128). Like in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xml:space="preserve">, the United States has no access to this report or any of the underlying factual basis for this report. Therefore, if any of the </w:t>
      </w:r>
      <w:r w:rsidR="03BAA33C" w:rsidRPr="03BAA33C">
        <w:rPr>
          <w:rFonts w:eastAsia="Times New Roman" w:cs="Times New Roman"/>
          <w:color w:val="000000" w:themeColor="text1"/>
        </w:rPr>
        <w:t xml:space="preserve">facts </w:t>
      </w:r>
      <w:r w:rsidR="7350C125" w:rsidRPr="7350C125">
        <w:rPr>
          <w:rFonts w:eastAsia="Times New Roman" w:cs="Times New Roman"/>
          <w:color w:val="000000" w:themeColor="text1"/>
        </w:rPr>
        <w:t>from</w:t>
      </w:r>
      <w:r w:rsidR="6C307211" w:rsidRPr="6C307211">
        <w:rPr>
          <w:rFonts w:eastAsia="Times New Roman" w:cs="Times New Roman"/>
          <w:color w:val="000000" w:themeColor="text1"/>
        </w:rPr>
        <w:t xml:space="preserve"> this report </w:t>
      </w:r>
      <w:r w:rsidR="7350C125" w:rsidRPr="7350C125">
        <w:rPr>
          <w:rFonts w:eastAsia="Times New Roman" w:cs="Times New Roman"/>
          <w:color w:val="000000" w:themeColor="text1"/>
        </w:rPr>
        <w:t>are</w:t>
      </w:r>
      <w:r w:rsidR="6C307211" w:rsidRPr="6C307211">
        <w:rPr>
          <w:rFonts w:eastAsia="Times New Roman" w:cs="Times New Roman"/>
          <w:color w:val="000000" w:themeColor="text1"/>
        </w:rPr>
        <w:t xml:space="preserve"> used at trial, then the report must be </w:t>
      </w:r>
      <w:r w:rsidR="7350C125" w:rsidRPr="7350C125">
        <w:rPr>
          <w:rFonts w:eastAsia="Times New Roman" w:cs="Times New Roman"/>
          <w:color w:val="000000" w:themeColor="text1"/>
        </w:rPr>
        <w:t>fully disclosed.</w:t>
      </w:r>
      <w:r w:rsidR="6C307211" w:rsidRPr="6C307211">
        <w:rPr>
          <w:rFonts w:eastAsia="Times New Roman" w:cs="Times New Roman"/>
          <w:color w:val="000000" w:themeColor="text1"/>
        </w:rPr>
        <w:t xml:space="preserve"> In the alternative, if, </w:t>
      </w:r>
      <w:proofErr w:type="gramStart"/>
      <w:r w:rsidR="6C307211" w:rsidRPr="6C307211">
        <w:rPr>
          <w:rFonts w:eastAsia="Times New Roman" w:cs="Times New Roman"/>
          <w:color w:val="000000" w:themeColor="text1"/>
        </w:rPr>
        <w:t>like in</w:t>
      </w:r>
      <w:proofErr w:type="gramEnd"/>
      <w:r w:rsidR="6C307211" w:rsidRPr="6C307211">
        <w:rPr>
          <w:rFonts w:eastAsia="Times New Roman" w:cs="Times New Roman"/>
          <w:color w:val="000000" w:themeColor="text1"/>
        </w:rPr>
        <w:t xml:space="preserve"> </w:t>
      </w:r>
      <w:r w:rsidR="6C307211" w:rsidRPr="6C307211">
        <w:rPr>
          <w:rFonts w:eastAsia="Times New Roman" w:cs="Times New Roman"/>
          <w:i/>
          <w:iCs/>
          <w:color w:val="000000" w:themeColor="text1"/>
        </w:rPr>
        <w:t>Nobles</w:t>
      </w:r>
      <w:r w:rsidR="6C307211" w:rsidRPr="6C307211">
        <w:rPr>
          <w:rFonts w:eastAsia="Times New Roman" w:cs="Times New Roman"/>
          <w:color w:val="000000" w:themeColor="text1"/>
        </w:rPr>
        <w:t xml:space="preserve">, the Defense will not do so, then Armana must be restricted from any testimony regarding the report, and the Defense may not use any </w:t>
      </w:r>
      <w:r w:rsidR="3494974A" w:rsidRPr="3494974A">
        <w:rPr>
          <w:rFonts w:eastAsia="Times New Roman" w:cs="Times New Roman"/>
          <w:color w:val="000000" w:themeColor="text1"/>
        </w:rPr>
        <w:t>facts</w:t>
      </w:r>
      <w:r w:rsidR="6C307211" w:rsidRPr="6C307211">
        <w:rPr>
          <w:rFonts w:eastAsia="Times New Roman" w:cs="Times New Roman"/>
          <w:color w:val="000000" w:themeColor="text1"/>
        </w:rPr>
        <w:t xml:space="preserve"> contained in the report at trial.</w:t>
      </w:r>
    </w:p>
    <w:p w14:paraId="61B47991" w14:textId="77777777" w:rsidR="00136ECD" w:rsidRDefault="00136ECD" w:rsidP="009E3F3B">
      <w:r>
        <w:br w:type="page"/>
      </w:r>
    </w:p>
    <w:p w14:paraId="630079C1" w14:textId="7CF34560" w:rsidR="6C307211" w:rsidRDefault="6C307211" w:rsidP="00E57B3E">
      <w:pPr>
        <w:pStyle w:val="Heading1"/>
        <w:spacing w:line="480" w:lineRule="auto"/>
      </w:pPr>
      <w:bookmarkStart w:id="28" w:name="_Toc239164096"/>
      <w:r w:rsidRPr="6C307211">
        <w:rPr>
          <w:rFonts w:eastAsia="Times New Roman" w:cs="Times New Roman"/>
          <w:color w:val="000000" w:themeColor="text1"/>
        </w:rPr>
        <w:lastRenderedPageBreak/>
        <w:t>CONCLUSION</w:t>
      </w:r>
      <w:bookmarkEnd w:id="28"/>
    </w:p>
    <w:p w14:paraId="13A881F4" w14:textId="1BB96518" w:rsidR="6C307211" w:rsidRDefault="00E57B3E" w:rsidP="00E57B3E">
      <w:pPr>
        <w:spacing w:line="480" w:lineRule="auto"/>
        <w:jc w:val="both"/>
      </w:pPr>
      <w:r>
        <w:rPr>
          <w:rFonts w:eastAsia="Times New Roman" w:cs="Times New Roman"/>
          <w:color w:val="000000" w:themeColor="text1"/>
          <w:sz w:val="26"/>
          <w:szCs w:val="26"/>
        </w:rPr>
        <w:tab/>
      </w:r>
      <w:r w:rsidR="6C307211" w:rsidRPr="6C307211">
        <w:rPr>
          <w:rFonts w:eastAsia="Times New Roman" w:cs="Times New Roman"/>
          <w:color w:val="000000" w:themeColor="text1"/>
          <w:sz w:val="26"/>
          <w:szCs w:val="26"/>
        </w:rPr>
        <w:t>For the foregoing reasons, the United States of America respectfully prays that this court deny both Defendant’s Motion to Suppress the testimony of Kennedy Parker and the evidence discovered on November 5, 2023, on the basis that both the testimony and evidence were the product of an investigation wholly independent of the immunized testimony provided by Defendant. The United States of America further prays this court deny defendant’s Motion to Quash the Subpoena Duces Tecum as the Defendant fails to prove that the subpoena violates any protections of work product privilege.</w:t>
      </w:r>
    </w:p>
    <w:p w14:paraId="1D8DBEA7" w14:textId="73EF9449" w:rsidR="00B41755" w:rsidRDefault="2103FA49" w:rsidP="002B7634">
      <w:pPr>
        <w:spacing w:line="480" w:lineRule="auto"/>
        <w:jc w:val="right"/>
      </w:pPr>
      <w:r w:rsidRPr="2103FA49">
        <w:rPr>
          <w:rFonts w:cs="Times New Roman"/>
          <w:sz w:val="26"/>
          <w:szCs w:val="26"/>
        </w:rPr>
        <w:t xml:space="preserve">Respectfully submitted, </w:t>
      </w:r>
    </w:p>
    <w:p w14:paraId="0C29C8C2" w14:textId="53D93298" w:rsidR="2103FA49" w:rsidRDefault="2103FA49" w:rsidP="2103FA49">
      <w:pPr>
        <w:spacing w:line="480" w:lineRule="auto"/>
        <w:jc w:val="right"/>
        <w:rPr>
          <w:rFonts w:cs="Times New Roman"/>
          <w:sz w:val="26"/>
          <w:szCs w:val="26"/>
        </w:rPr>
      </w:pPr>
    </w:p>
    <w:p w14:paraId="2C3E0543" w14:textId="0ABCEE55" w:rsidR="00B41755" w:rsidRDefault="008235EC" w:rsidP="002B7634">
      <w:pPr>
        <w:spacing w:line="480" w:lineRule="auto"/>
        <w:jc w:val="right"/>
        <w:rPr>
          <w:rFonts w:cs="Times New Roman"/>
          <w:sz w:val="26"/>
          <w:szCs w:val="26"/>
          <w:u w:val="single"/>
        </w:rPr>
      </w:pPr>
      <w:r w:rsidRPr="008235EC">
        <w:rPr>
          <w:rFonts w:cs="Times New Roman"/>
          <w:sz w:val="26"/>
          <w:szCs w:val="26"/>
          <w:u w:val="single"/>
        </w:rPr>
        <w:t xml:space="preserve">      </w:t>
      </w:r>
      <w:r w:rsidR="006A1875" w:rsidRPr="008235EC">
        <w:rPr>
          <w:rFonts w:cs="Times New Roman"/>
          <w:sz w:val="26"/>
          <w:szCs w:val="26"/>
          <w:u w:val="single"/>
        </w:rPr>
        <w:t xml:space="preserve">/s/ </w:t>
      </w:r>
      <w:r w:rsidRPr="008235EC">
        <w:rPr>
          <w:rFonts w:cs="Times New Roman"/>
          <w:sz w:val="26"/>
          <w:szCs w:val="26"/>
          <w:u w:val="single"/>
        </w:rPr>
        <w:t xml:space="preserve">      </w:t>
      </w:r>
      <w:r w:rsidR="006A1875" w:rsidRPr="008235EC">
        <w:rPr>
          <w:rFonts w:cs="Times New Roman"/>
          <w:sz w:val="26"/>
          <w:szCs w:val="26"/>
          <w:u w:val="single"/>
        </w:rPr>
        <w:t xml:space="preserve">Team </w:t>
      </w:r>
      <w:r w:rsidR="00DD4A4D">
        <w:rPr>
          <w:rFonts w:cs="Times New Roman"/>
          <w:sz w:val="26"/>
          <w:szCs w:val="26"/>
          <w:u w:val="single"/>
        </w:rPr>
        <w:t>313</w:t>
      </w:r>
      <w:r w:rsidR="006A1875" w:rsidRPr="008235EC">
        <w:rPr>
          <w:rFonts w:cs="Times New Roman"/>
          <w:sz w:val="26"/>
          <w:szCs w:val="26"/>
          <w:u w:val="single"/>
        </w:rPr>
        <w:t xml:space="preserve">  </w:t>
      </w:r>
    </w:p>
    <w:p w14:paraId="738F46BD" w14:textId="5BA91A47" w:rsidR="008235EC" w:rsidRPr="00247FA3" w:rsidRDefault="00247FA3" w:rsidP="002B7634">
      <w:pPr>
        <w:spacing w:line="480" w:lineRule="auto"/>
        <w:jc w:val="right"/>
        <w:rPr>
          <w:rFonts w:cs="Times New Roman"/>
          <w:i/>
          <w:iCs/>
          <w:sz w:val="26"/>
          <w:szCs w:val="26"/>
        </w:rPr>
      </w:pPr>
      <w:r>
        <w:rPr>
          <w:rFonts w:cs="Times New Roman"/>
          <w:i/>
          <w:iCs/>
          <w:sz w:val="26"/>
          <w:szCs w:val="26"/>
        </w:rPr>
        <w:t>Attorneys for the United States of America</w:t>
      </w:r>
    </w:p>
    <w:sectPr w:rsidR="008235EC" w:rsidRPr="00247FA3" w:rsidSect="002A6DB2">
      <w:headerReference w:type="default"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B3D66" w14:textId="77777777" w:rsidR="003A24C3" w:rsidRDefault="003A24C3" w:rsidP="00597BDD">
      <w:pPr>
        <w:spacing w:line="240" w:lineRule="auto"/>
      </w:pPr>
      <w:r>
        <w:separator/>
      </w:r>
    </w:p>
  </w:endnote>
  <w:endnote w:type="continuationSeparator" w:id="0">
    <w:p w14:paraId="5AB3C76C" w14:textId="77777777" w:rsidR="003A24C3" w:rsidRDefault="003A24C3" w:rsidP="00597B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EFEB" w14:textId="6BE3B356" w:rsidR="008E083D" w:rsidRDefault="008E083D">
    <w:pPr>
      <w:pStyle w:val="Footer"/>
      <w:jc w:val="center"/>
    </w:pPr>
  </w:p>
  <w:p w14:paraId="5885DE97" w14:textId="77777777" w:rsidR="008E083D" w:rsidRDefault="008E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582313"/>
      <w:docPartObj>
        <w:docPartGallery w:val="Page Numbers (Bottom of Page)"/>
        <w:docPartUnique/>
      </w:docPartObj>
    </w:sdtPr>
    <w:sdtEndPr>
      <w:rPr>
        <w:noProof/>
      </w:rPr>
    </w:sdtEndPr>
    <w:sdtContent>
      <w:p w14:paraId="5FDED431" w14:textId="77777777" w:rsidR="006A2C06" w:rsidRDefault="006A2C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7F57BC" w14:textId="77777777" w:rsidR="006A2C06" w:rsidRDefault="006A2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B3EC8" w14:textId="77777777" w:rsidR="003A24C3" w:rsidRDefault="003A24C3" w:rsidP="00597BDD">
      <w:pPr>
        <w:spacing w:line="240" w:lineRule="auto"/>
      </w:pPr>
      <w:r>
        <w:separator/>
      </w:r>
    </w:p>
  </w:footnote>
  <w:footnote w:type="continuationSeparator" w:id="0">
    <w:p w14:paraId="3D9EDB10" w14:textId="77777777" w:rsidR="003A24C3" w:rsidRDefault="003A24C3" w:rsidP="00597B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2D226" w14:textId="77777777" w:rsidR="002A6DB2" w:rsidRDefault="002A6DB2">
    <w:pPr>
      <w:pStyle w:val="Header"/>
      <w:jc w:val="center"/>
    </w:pPr>
  </w:p>
  <w:p w14:paraId="70B4C5AE" w14:textId="77777777" w:rsidR="002A6DB2" w:rsidRDefault="002A6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56D7"/>
    <w:multiLevelType w:val="hybridMultilevel"/>
    <w:tmpl w:val="49D4DC44"/>
    <w:lvl w:ilvl="0" w:tplc="04F6C5E0">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81A17"/>
    <w:multiLevelType w:val="multilevel"/>
    <w:tmpl w:val="4D1CC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4F541A"/>
    <w:multiLevelType w:val="hybridMultilevel"/>
    <w:tmpl w:val="A142F804"/>
    <w:lvl w:ilvl="0" w:tplc="0CD6DA36">
      <w:start w:val="1"/>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B77B90"/>
    <w:multiLevelType w:val="hybridMultilevel"/>
    <w:tmpl w:val="28B616EA"/>
    <w:lvl w:ilvl="0" w:tplc="5D169916">
      <w:start w:val="1"/>
      <w:numFmt w:val="upperRoman"/>
      <w:pStyle w:val="Heading2"/>
      <w:lvlText w:val="%1."/>
      <w:lvlJc w:val="left"/>
      <w:pPr>
        <w:ind w:left="1080" w:hanging="720"/>
      </w:pPr>
      <w:rPr>
        <w:rFonts w:hint="default"/>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D569A"/>
    <w:multiLevelType w:val="multilevel"/>
    <w:tmpl w:val="11D0A3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6622937"/>
    <w:multiLevelType w:val="hybridMultilevel"/>
    <w:tmpl w:val="BFACE3BC"/>
    <w:lvl w:ilvl="0" w:tplc="29DAFD50">
      <w:start w:val="1"/>
      <w:numFmt w:val="upperLetter"/>
      <w:pStyle w:val="Heading3"/>
      <w:lvlText w:val="%1."/>
      <w:lvlJc w:val="left"/>
      <w:pPr>
        <w:ind w:left="720" w:hanging="360"/>
      </w:pPr>
      <w:rPr>
        <w:rFonts w:hint="default"/>
        <w:b w:val="0"/>
        <w:i/>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7238BD"/>
    <w:multiLevelType w:val="hybridMultilevel"/>
    <w:tmpl w:val="DA6E2EB0"/>
    <w:lvl w:ilvl="0" w:tplc="946A21E2">
      <w:start w:val="2"/>
      <w:numFmt w:val="upperLetter"/>
      <w:lvlText w:val="%1."/>
      <w:lvlJc w:val="left"/>
      <w:pPr>
        <w:tabs>
          <w:tab w:val="num" w:pos="720"/>
        </w:tabs>
        <w:ind w:left="720" w:hanging="360"/>
      </w:pPr>
    </w:lvl>
    <w:lvl w:ilvl="1" w:tplc="58D8C43E" w:tentative="1">
      <w:start w:val="1"/>
      <w:numFmt w:val="decimal"/>
      <w:lvlText w:val="%2."/>
      <w:lvlJc w:val="left"/>
      <w:pPr>
        <w:tabs>
          <w:tab w:val="num" w:pos="1440"/>
        </w:tabs>
        <w:ind w:left="1440" w:hanging="360"/>
      </w:pPr>
    </w:lvl>
    <w:lvl w:ilvl="2" w:tplc="133EADF2" w:tentative="1">
      <w:start w:val="1"/>
      <w:numFmt w:val="decimal"/>
      <w:lvlText w:val="%3."/>
      <w:lvlJc w:val="left"/>
      <w:pPr>
        <w:tabs>
          <w:tab w:val="num" w:pos="2160"/>
        </w:tabs>
        <w:ind w:left="2160" w:hanging="360"/>
      </w:pPr>
    </w:lvl>
    <w:lvl w:ilvl="3" w:tplc="C6368590" w:tentative="1">
      <w:start w:val="1"/>
      <w:numFmt w:val="decimal"/>
      <w:lvlText w:val="%4."/>
      <w:lvlJc w:val="left"/>
      <w:pPr>
        <w:tabs>
          <w:tab w:val="num" w:pos="2880"/>
        </w:tabs>
        <w:ind w:left="2880" w:hanging="360"/>
      </w:pPr>
    </w:lvl>
    <w:lvl w:ilvl="4" w:tplc="6082F708" w:tentative="1">
      <w:start w:val="1"/>
      <w:numFmt w:val="decimal"/>
      <w:lvlText w:val="%5."/>
      <w:lvlJc w:val="left"/>
      <w:pPr>
        <w:tabs>
          <w:tab w:val="num" w:pos="3600"/>
        </w:tabs>
        <w:ind w:left="3600" w:hanging="360"/>
      </w:pPr>
    </w:lvl>
    <w:lvl w:ilvl="5" w:tplc="7A1CF72C" w:tentative="1">
      <w:start w:val="1"/>
      <w:numFmt w:val="decimal"/>
      <w:lvlText w:val="%6."/>
      <w:lvlJc w:val="left"/>
      <w:pPr>
        <w:tabs>
          <w:tab w:val="num" w:pos="4320"/>
        </w:tabs>
        <w:ind w:left="4320" w:hanging="360"/>
      </w:pPr>
    </w:lvl>
    <w:lvl w:ilvl="6" w:tplc="ECB8D0BC" w:tentative="1">
      <w:start w:val="1"/>
      <w:numFmt w:val="decimal"/>
      <w:lvlText w:val="%7."/>
      <w:lvlJc w:val="left"/>
      <w:pPr>
        <w:tabs>
          <w:tab w:val="num" w:pos="5040"/>
        </w:tabs>
        <w:ind w:left="5040" w:hanging="360"/>
      </w:pPr>
    </w:lvl>
    <w:lvl w:ilvl="7" w:tplc="7218A126" w:tentative="1">
      <w:start w:val="1"/>
      <w:numFmt w:val="decimal"/>
      <w:lvlText w:val="%8."/>
      <w:lvlJc w:val="left"/>
      <w:pPr>
        <w:tabs>
          <w:tab w:val="num" w:pos="5760"/>
        </w:tabs>
        <w:ind w:left="5760" w:hanging="360"/>
      </w:pPr>
    </w:lvl>
    <w:lvl w:ilvl="8" w:tplc="A7D62F82" w:tentative="1">
      <w:start w:val="1"/>
      <w:numFmt w:val="decimal"/>
      <w:lvlText w:val="%9."/>
      <w:lvlJc w:val="left"/>
      <w:pPr>
        <w:tabs>
          <w:tab w:val="num" w:pos="6480"/>
        </w:tabs>
        <w:ind w:left="6480" w:hanging="360"/>
      </w:pPr>
    </w:lvl>
  </w:abstractNum>
  <w:abstractNum w:abstractNumId="7" w15:restartNumberingAfterBreak="0">
    <w:nsid w:val="3C816965"/>
    <w:multiLevelType w:val="multilevel"/>
    <w:tmpl w:val="11AC5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305ECB"/>
    <w:multiLevelType w:val="hybridMultilevel"/>
    <w:tmpl w:val="AB62523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F02A22"/>
    <w:multiLevelType w:val="hybridMultilevel"/>
    <w:tmpl w:val="2FCC03B8"/>
    <w:lvl w:ilvl="0" w:tplc="0B0E7CC6">
      <w:start w:val="2"/>
      <w:numFmt w:val="upperLetter"/>
      <w:lvlText w:val="%1."/>
      <w:lvlJc w:val="left"/>
      <w:pPr>
        <w:tabs>
          <w:tab w:val="num" w:pos="720"/>
        </w:tabs>
        <w:ind w:left="720" w:hanging="360"/>
      </w:pPr>
    </w:lvl>
    <w:lvl w:ilvl="1" w:tplc="59407CEC" w:tentative="1">
      <w:start w:val="1"/>
      <w:numFmt w:val="decimal"/>
      <w:lvlText w:val="%2."/>
      <w:lvlJc w:val="left"/>
      <w:pPr>
        <w:tabs>
          <w:tab w:val="num" w:pos="1440"/>
        </w:tabs>
        <w:ind w:left="1440" w:hanging="360"/>
      </w:pPr>
    </w:lvl>
    <w:lvl w:ilvl="2" w:tplc="E55A2D78" w:tentative="1">
      <w:start w:val="1"/>
      <w:numFmt w:val="decimal"/>
      <w:lvlText w:val="%3."/>
      <w:lvlJc w:val="left"/>
      <w:pPr>
        <w:tabs>
          <w:tab w:val="num" w:pos="2160"/>
        </w:tabs>
        <w:ind w:left="2160" w:hanging="360"/>
      </w:pPr>
    </w:lvl>
    <w:lvl w:ilvl="3" w:tplc="B4D29158" w:tentative="1">
      <w:start w:val="1"/>
      <w:numFmt w:val="decimal"/>
      <w:lvlText w:val="%4."/>
      <w:lvlJc w:val="left"/>
      <w:pPr>
        <w:tabs>
          <w:tab w:val="num" w:pos="2880"/>
        </w:tabs>
        <w:ind w:left="2880" w:hanging="360"/>
      </w:pPr>
    </w:lvl>
    <w:lvl w:ilvl="4" w:tplc="6E60C946" w:tentative="1">
      <w:start w:val="1"/>
      <w:numFmt w:val="decimal"/>
      <w:lvlText w:val="%5."/>
      <w:lvlJc w:val="left"/>
      <w:pPr>
        <w:tabs>
          <w:tab w:val="num" w:pos="3600"/>
        </w:tabs>
        <w:ind w:left="3600" w:hanging="360"/>
      </w:pPr>
    </w:lvl>
    <w:lvl w:ilvl="5" w:tplc="1FA66FBC" w:tentative="1">
      <w:start w:val="1"/>
      <w:numFmt w:val="decimal"/>
      <w:lvlText w:val="%6."/>
      <w:lvlJc w:val="left"/>
      <w:pPr>
        <w:tabs>
          <w:tab w:val="num" w:pos="4320"/>
        </w:tabs>
        <w:ind w:left="4320" w:hanging="360"/>
      </w:pPr>
    </w:lvl>
    <w:lvl w:ilvl="6" w:tplc="11543516" w:tentative="1">
      <w:start w:val="1"/>
      <w:numFmt w:val="decimal"/>
      <w:lvlText w:val="%7."/>
      <w:lvlJc w:val="left"/>
      <w:pPr>
        <w:tabs>
          <w:tab w:val="num" w:pos="5040"/>
        </w:tabs>
        <w:ind w:left="5040" w:hanging="360"/>
      </w:pPr>
    </w:lvl>
    <w:lvl w:ilvl="7" w:tplc="FBB63FE0" w:tentative="1">
      <w:start w:val="1"/>
      <w:numFmt w:val="decimal"/>
      <w:lvlText w:val="%8."/>
      <w:lvlJc w:val="left"/>
      <w:pPr>
        <w:tabs>
          <w:tab w:val="num" w:pos="5760"/>
        </w:tabs>
        <w:ind w:left="5760" w:hanging="360"/>
      </w:pPr>
    </w:lvl>
    <w:lvl w:ilvl="8" w:tplc="F5B494C6" w:tentative="1">
      <w:start w:val="1"/>
      <w:numFmt w:val="decimal"/>
      <w:lvlText w:val="%9."/>
      <w:lvlJc w:val="left"/>
      <w:pPr>
        <w:tabs>
          <w:tab w:val="num" w:pos="6480"/>
        </w:tabs>
        <w:ind w:left="6480" w:hanging="360"/>
      </w:pPr>
    </w:lvl>
  </w:abstractNum>
  <w:abstractNum w:abstractNumId="10" w15:restartNumberingAfterBreak="0">
    <w:nsid w:val="4E956DD4"/>
    <w:multiLevelType w:val="hybridMultilevel"/>
    <w:tmpl w:val="90EAC2B6"/>
    <w:lvl w:ilvl="0" w:tplc="020020CC">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031A4C"/>
    <w:multiLevelType w:val="multilevel"/>
    <w:tmpl w:val="2B801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712177"/>
    <w:multiLevelType w:val="hybridMultilevel"/>
    <w:tmpl w:val="17628908"/>
    <w:lvl w:ilvl="0" w:tplc="5CFA38E2">
      <w:start w:val="3"/>
      <w:numFmt w:val="upperLetter"/>
      <w:lvlText w:val="%1."/>
      <w:lvlJc w:val="left"/>
      <w:pPr>
        <w:tabs>
          <w:tab w:val="num" w:pos="720"/>
        </w:tabs>
        <w:ind w:left="720" w:hanging="360"/>
      </w:pPr>
    </w:lvl>
    <w:lvl w:ilvl="1" w:tplc="8F7E3C84" w:tentative="1">
      <w:start w:val="1"/>
      <w:numFmt w:val="decimal"/>
      <w:lvlText w:val="%2."/>
      <w:lvlJc w:val="left"/>
      <w:pPr>
        <w:tabs>
          <w:tab w:val="num" w:pos="1440"/>
        </w:tabs>
        <w:ind w:left="1440" w:hanging="360"/>
      </w:pPr>
    </w:lvl>
    <w:lvl w:ilvl="2" w:tplc="2438C07E" w:tentative="1">
      <w:start w:val="1"/>
      <w:numFmt w:val="decimal"/>
      <w:lvlText w:val="%3."/>
      <w:lvlJc w:val="left"/>
      <w:pPr>
        <w:tabs>
          <w:tab w:val="num" w:pos="2160"/>
        </w:tabs>
        <w:ind w:left="2160" w:hanging="360"/>
      </w:pPr>
    </w:lvl>
    <w:lvl w:ilvl="3" w:tplc="3760D09A" w:tentative="1">
      <w:start w:val="1"/>
      <w:numFmt w:val="decimal"/>
      <w:lvlText w:val="%4."/>
      <w:lvlJc w:val="left"/>
      <w:pPr>
        <w:tabs>
          <w:tab w:val="num" w:pos="2880"/>
        </w:tabs>
        <w:ind w:left="2880" w:hanging="360"/>
      </w:pPr>
    </w:lvl>
    <w:lvl w:ilvl="4" w:tplc="34BEDDD6" w:tentative="1">
      <w:start w:val="1"/>
      <w:numFmt w:val="decimal"/>
      <w:lvlText w:val="%5."/>
      <w:lvlJc w:val="left"/>
      <w:pPr>
        <w:tabs>
          <w:tab w:val="num" w:pos="3600"/>
        </w:tabs>
        <w:ind w:left="3600" w:hanging="360"/>
      </w:pPr>
    </w:lvl>
    <w:lvl w:ilvl="5" w:tplc="E56ADAC2" w:tentative="1">
      <w:start w:val="1"/>
      <w:numFmt w:val="decimal"/>
      <w:lvlText w:val="%6."/>
      <w:lvlJc w:val="left"/>
      <w:pPr>
        <w:tabs>
          <w:tab w:val="num" w:pos="4320"/>
        </w:tabs>
        <w:ind w:left="4320" w:hanging="360"/>
      </w:pPr>
    </w:lvl>
    <w:lvl w:ilvl="6" w:tplc="E9B43BC6" w:tentative="1">
      <w:start w:val="1"/>
      <w:numFmt w:val="decimal"/>
      <w:lvlText w:val="%7."/>
      <w:lvlJc w:val="left"/>
      <w:pPr>
        <w:tabs>
          <w:tab w:val="num" w:pos="5040"/>
        </w:tabs>
        <w:ind w:left="5040" w:hanging="360"/>
      </w:pPr>
    </w:lvl>
    <w:lvl w:ilvl="7" w:tplc="89366E1A" w:tentative="1">
      <w:start w:val="1"/>
      <w:numFmt w:val="decimal"/>
      <w:lvlText w:val="%8."/>
      <w:lvlJc w:val="left"/>
      <w:pPr>
        <w:tabs>
          <w:tab w:val="num" w:pos="5760"/>
        </w:tabs>
        <w:ind w:left="5760" w:hanging="360"/>
      </w:pPr>
    </w:lvl>
    <w:lvl w:ilvl="8" w:tplc="587E43A2" w:tentative="1">
      <w:start w:val="1"/>
      <w:numFmt w:val="decimal"/>
      <w:lvlText w:val="%9."/>
      <w:lvlJc w:val="left"/>
      <w:pPr>
        <w:tabs>
          <w:tab w:val="num" w:pos="6480"/>
        </w:tabs>
        <w:ind w:left="6480" w:hanging="360"/>
      </w:pPr>
    </w:lvl>
  </w:abstractNum>
  <w:abstractNum w:abstractNumId="13" w15:restartNumberingAfterBreak="0">
    <w:nsid w:val="55DF043D"/>
    <w:multiLevelType w:val="hybridMultilevel"/>
    <w:tmpl w:val="872642E4"/>
    <w:lvl w:ilvl="0" w:tplc="77403734">
      <w:start w:val="2"/>
      <w:numFmt w:val="upperLetter"/>
      <w:lvlText w:val="%1."/>
      <w:lvlJc w:val="left"/>
      <w:pPr>
        <w:tabs>
          <w:tab w:val="num" w:pos="720"/>
        </w:tabs>
        <w:ind w:left="720" w:hanging="360"/>
      </w:pPr>
    </w:lvl>
    <w:lvl w:ilvl="1" w:tplc="14FEA7A4" w:tentative="1">
      <w:start w:val="1"/>
      <w:numFmt w:val="decimal"/>
      <w:lvlText w:val="%2."/>
      <w:lvlJc w:val="left"/>
      <w:pPr>
        <w:tabs>
          <w:tab w:val="num" w:pos="1440"/>
        </w:tabs>
        <w:ind w:left="1440" w:hanging="360"/>
      </w:pPr>
    </w:lvl>
    <w:lvl w:ilvl="2" w:tplc="C2E2E66E" w:tentative="1">
      <w:start w:val="1"/>
      <w:numFmt w:val="decimal"/>
      <w:lvlText w:val="%3."/>
      <w:lvlJc w:val="left"/>
      <w:pPr>
        <w:tabs>
          <w:tab w:val="num" w:pos="2160"/>
        </w:tabs>
        <w:ind w:left="2160" w:hanging="360"/>
      </w:pPr>
    </w:lvl>
    <w:lvl w:ilvl="3" w:tplc="AC9C6988" w:tentative="1">
      <w:start w:val="1"/>
      <w:numFmt w:val="decimal"/>
      <w:lvlText w:val="%4."/>
      <w:lvlJc w:val="left"/>
      <w:pPr>
        <w:tabs>
          <w:tab w:val="num" w:pos="2880"/>
        </w:tabs>
        <w:ind w:left="2880" w:hanging="360"/>
      </w:pPr>
    </w:lvl>
    <w:lvl w:ilvl="4" w:tplc="DDB02708" w:tentative="1">
      <w:start w:val="1"/>
      <w:numFmt w:val="decimal"/>
      <w:lvlText w:val="%5."/>
      <w:lvlJc w:val="left"/>
      <w:pPr>
        <w:tabs>
          <w:tab w:val="num" w:pos="3600"/>
        </w:tabs>
        <w:ind w:left="3600" w:hanging="360"/>
      </w:pPr>
    </w:lvl>
    <w:lvl w:ilvl="5" w:tplc="BF70DBB4" w:tentative="1">
      <w:start w:val="1"/>
      <w:numFmt w:val="decimal"/>
      <w:lvlText w:val="%6."/>
      <w:lvlJc w:val="left"/>
      <w:pPr>
        <w:tabs>
          <w:tab w:val="num" w:pos="4320"/>
        </w:tabs>
        <w:ind w:left="4320" w:hanging="360"/>
      </w:pPr>
    </w:lvl>
    <w:lvl w:ilvl="6" w:tplc="365847F2" w:tentative="1">
      <w:start w:val="1"/>
      <w:numFmt w:val="decimal"/>
      <w:lvlText w:val="%7."/>
      <w:lvlJc w:val="left"/>
      <w:pPr>
        <w:tabs>
          <w:tab w:val="num" w:pos="5040"/>
        </w:tabs>
        <w:ind w:left="5040" w:hanging="360"/>
      </w:pPr>
    </w:lvl>
    <w:lvl w:ilvl="7" w:tplc="859C57F6" w:tentative="1">
      <w:start w:val="1"/>
      <w:numFmt w:val="decimal"/>
      <w:lvlText w:val="%8."/>
      <w:lvlJc w:val="left"/>
      <w:pPr>
        <w:tabs>
          <w:tab w:val="num" w:pos="5760"/>
        </w:tabs>
        <w:ind w:left="5760" w:hanging="360"/>
      </w:pPr>
    </w:lvl>
    <w:lvl w:ilvl="8" w:tplc="F62ED564" w:tentative="1">
      <w:start w:val="1"/>
      <w:numFmt w:val="decimal"/>
      <w:lvlText w:val="%9."/>
      <w:lvlJc w:val="left"/>
      <w:pPr>
        <w:tabs>
          <w:tab w:val="num" w:pos="6480"/>
        </w:tabs>
        <w:ind w:left="6480" w:hanging="360"/>
      </w:pPr>
    </w:lvl>
  </w:abstractNum>
  <w:abstractNum w:abstractNumId="14" w15:restartNumberingAfterBreak="0">
    <w:nsid w:val="61EA278D"/>
    <w:multiLevelType w:val="hybridMultilevel"/>
    <w:tmpl w:val="7F3CB5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A8388E"/>
    <w:multiLevelType w:val="multilevel"/>
    <w:tmpl w:val="ADF8B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35BBF"/>
    <w:multiLevelType w:val="hybridMultilevel"/>
    <w:tmpl w:val="74BE0C3A"/>
    <w:lvl w:ilvl="0" w:tplc="A7A02B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A01FED"/>
    <w:multiLevelType w:val="hybridMultilevel"/>
    <w:tmpl w:val="6834FBFC"/>
    <w:lvl w:ilvl="0" w:tplc="AFB4FC46">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081E6F"/>
    <w:multiLevelType w:val="hybridMultilevel"/>
    <w:tmpl w:val="A39661F0"/>
    <w:lvl w:ilvl="0" w:tplc="01FEC44E">
      <w:start w:val="1"/>
      <w:numFmt w:val="lowerRoman"/>
      <w:lvlText w:val="%1."/>
      <w:lvlJc w:val="left"/>
      <w:pPr>
        <w:ind w:left="108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B4C5940"/>
    <w:multiLevelType w:val="hybridMultilevel"/>
    <w:tmpl w:val="8CA073C0"/>
    <w:lvl w:ilvl="0" w:tplc="674EA820">
      <w:start w:val="1"/>
      <w:numFmt w:val="lowerRoman"/>
      <w:pStyle w:val="Heading4"/>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D62979"/>
    <w:multiLevelType w:val="hybridMultilevel"/>
    <w:tmpl w:val="0FDA5F6E"/>
    <w:lvl w:ilvl="0" w:tplc="2F2AD3D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424949">
    <w:abstractNumId w:val="20"/>
  </w:num>
  <w:num w:numId="2" w16cid:durableId="1838031953">
    <w:abstractNumId w:val="4"/>
  </w:num>
  <w:num w:numId="3" w16cid:durableId="336924894">
    <w:abstractNumId w:val="16"/>
  </w:num>
  <w:num w:numId="4" w16cid:durableId="843057736">
    <w:abstractNumId w:val="17"/>
  </w:num>
  <w:num w:numId="5" w16cid:durableId="2053112638">
    <w:abstractNumId w:val="2"/>
  </w:num>
  <w:num w:numId="6" w16cid:durableId="1345939758">
    <w:abstractNumId w:val="8"/>
  </w:num>
  <w:num w:numId="7" w16cid:durableId="1908882683">
    <w:abstractNumId w:val="11"/>
    <w:lvlOverride w:ilvl="0">
      <w:lvl w:ilvl="0">
        <w:numFmt w:val="upperRoman"/>
        <w:lvlText w:val="%1."/>
        <w:lvlJc w:val="right"/>
      </w:lvl>
    </w:lvlOverride>
  </w:num>
  <w:num w:numId="8" w16cid:durableId="2025011296">
    <w:abstractNumId w:val="15"/>
    <w:lvlOverride w:ilvl="0">
      <w:lvl w:ilvl="0">
        <w:numFmt w:val="upperLetter"/>
        <w:lvlText w:val="%1."/>
        <w:lvlJc w:val="left"/>
      </w:lvl>
    </w:lvlOverride>
  </w:num>
  <w:num w:numId="9" w16cid:durableId="1901935690">
    <w:abstractNumId w:val="6"/>
  </w:num>
  <w:num w:numId="10" w16cid:durableId="867566790">
    <w:abstractNumId w:val="1"/>
    <w:lvlOverride w:ilvl="0">
      <w:lvl w:ilvl="0">
        <w:numFmt w:val="upperLetter"/>
        <w:lvlText w:val="%1."/>
        <w:lvlJc w:val="left"/>
      </w:lvl>
    </w:lvlOverride>
  </w:num>
  <w:num w:numId="11" w16cid:durableId="211698551">
    <w:abstractNumId w:val="13"/>
  </w:num>
  <w:num w:numId="12" w16cid:durableId="2057927341">
    <w:abstractNumId w:val="12"/>
  </w:num>
  <w:num w:numId="13" w16cid:durableId="638150518">
    <w:abstractNumId w:val="7"/>
    <w:lvlOverride w:ilvl="0">
      <w:lvl w:ilvl="0">
        <w:numFmt w:val="upperLetter"/>
        <w:lvlText w:val="%1."/>
        <w:lvlJc w:val="left"/>
      </w:lvl>
    </w:lvlOverride>
  </w:num>
  <w:num w:numId="14" w16cid:durableId="48460979">
    <w:abstractNumId w:val="9"/>
  </w:num>
  <w:num w:numId="15" w16cid:durableId="1151481666">
    <w:abstractNumId w:val="19"/>
  </w:num>
  <w:num w:numId="16" w16cid:durableId="1161313200">
    <w:abstractNumId w:val="3"/>
  </w:num>
  <w:num w:numId="17" w16cid:durableId="1431314808">
    <w:abstractNumId w:val="3"/>
    <w:lvlOverride w:ilvl="0">
      <w:startOverride w:val="1"/>
    </w:lvlOverride>
  </w:num>
  <w:num w:numId="18" w16cid:durableId="1887911075">
    <w:abstractNumId w:val="5"/>
  </w:num>
  <w:num w:numId="19" w16cid:durableId="1186166613">
    <w:abstractNumId w:val="0"/>
  </w:num>
  <w:num w:numId="20" w16cid:durableId="1710955298">
    <w:abstractNumId w:val="18"/>
  </w:num>
  <w:num w:numId="21" w16cid:durableId="465662639">
    <w:abstractNumId w:val="10"/>
  </w:num>
  <w:num w:numId="22" w16cid:durableId="661544234">
    <w:abstractNumId w:val="3"/>
    <w:lvlOverride w:ilvl="0">
      <w:startOverride w:val="1"/>
    </w:lvlOverride>
  </w:num>
  <w:num w:numId="23" w16cid:durableId="9001411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2F"/>
    <w:rsid w:val="000008AD"/>
    <w:rsid w:val="00000D85"/>
    <w:rsid w:val="00002A0F"/>
    <w:rsid w:val="00003766"/>
    <w:rsid w:val="000063B6"/>
    <w:rsid w:val="0001450A"/>
    <w:rsid w:val="000152B3"/>
    <w:rsid w:val="00016EA9"/>
    <w:rsid w:val="000217D8"/>
    <w:rsid w:val="00024FBC"/>
    <w:rsid w:val="00026429"/>
    <w:rsid w:val="00026FE2"/>
    <w:rsid w:val="00032358"/>
    <w:rsid w:val="00034E15"/>
    <w:rsid w:val="000358AB"/>
    <w:rsid w:val="00035B19"/>
    <w:rsid w:val="000368CE"/>
    <w:rsid w:val="00036E0D"/>
    <w:rsid w:val="0004258C"/>
    <w:rsid w:val="00043C66"/>
    <w:rsid w:val="00043EBE"/>
    <w:rsid w:val="00044580"/>
    <w:rsid w:val="000450BA"/>
    <w:rsid w:val="0004706E"/>
    <w:rsid w:val="00051758"/>
    <w:rsid w:val="000527C6"/>
    <w:rsid w:val="00053BB7"/>
    <w:rsid w:val="0005547D"/>
    <w:rsid w:val="00056322"/>
    <w:rsid w:val="000563E9"/>
    <w:rsid w:val="00057049"/>
    <w:rsid w:val="00057E0D"/>
    <w:rsid w:val="00057EE1"/>
    <w:rsid w:val="00060339"/>
    <w:rsid w:val="000635B9"/>
    <w:rsid w:val="00064670"/>
    <w:rsid w:val="00067274"/>
    <w:rsid w:val="000701CD"/>
    <w:rsid w:val="00070601"/>
    <w:rsid w:val="00071755"/>
    <w:rsid w:val="00072239"/>
    <w:rsid w:val="00073E73"/>
    <w:rsid w:val="00074BCB"/>
    <w:rsid w:val="00076155"/>
    <w:rsid w:val="00080E88"/>
    <w:rsid w:val="000829D1"/>
    <w:rsid w:val="00084501"/>
    <w:rsid w:val="00084C94"/>
    <w:rsid w:val="0009027D"/>
    <w:rsid w:val="00090E0D"/>
    <w:rsid w:val="0009522A"/>
    <w:rsid w:val="00095D60"/>
    <w:rsid w:val="000A120F"/>
    <w:rsid w:val="000A140A"/>
    <w:rsid w:val="000A4F90"/>
    <w:rsid w:val="000A5B0A"/>
    <w:rsid w:val="000A60B9"/>
    <w:rsid w:val="000B1CB7"/>
    <w:rsid w:val="000B28D5"/>
    <w:rsid w:val="000B2D9B"/>
    <w:rsid w:val="000B5CA2"/>
    <w:rsid w:val="000B6726"/>
    <w:rsid w:val="000C069F"/>
    <w:rsid w:val="000C0C3F"/>
    <w:rsid w:val="000C1881"/>
    <w:rsid w:val="000C2A22"/>
    <w:rsid w:val="000C4ABE"/>
    <w:rsid w:val="000C5921"/>
    <w:rsid w:val="000C78B1"/>
    <w:rsid w:val="000C7D81"/>
    <w:rsid w:val="000D022F"/>
    <w:rsid w:val="000D1129"/>
    <w:rsid w:val="000D3957"/>
    <w:rsid w:val="000D4274"/>
    <w:rsid w:val="000D4339"/>
    <w:rsid w:val="000D566E"/>
    <w:rsid w:val="000D62EF"/>
    <w:rsid w:val="000D6D47"/>
    <w:rsid w:val="000E3C44"/>
    <w:rsid w:val="000E485F"/>
    <w:rsid w:val="000E74C8"/>
    <w:rsid w:val="000E7AB6"/>
    <w:rsid w:val="000F0802"/>
    <w:rsid w:val="000F3E94"/>
    <w:rsid w:val="00100452"/>
    <w:rsid w:val="00103677"/>
    <w:rsid w:val="00103B99"/>
    <w:rsid w:val="00105511"/>
    <w:rsid w:val="00105FCC"/>
    <w:rsid w:val="00106184"/>
    <w:rsid w:val="00107146"/>
    <w:rsid w:val="00107B44"/>
    <w:rsid w:val="00107F40"/>
    <w:rsid w:val="00110E0E"/>
    <w:rsid w:val="00110F0A"/>
    <w:rsid w:val="00111B5D"/>
    <w:rsid w:val="00112C96"/>
    <w:rsid w:val="001137C5"/>
    <w:rsid w:val="00114657"/>
    <w:rsid w:val="001166E8"/>
    <w:rsid w:val="0011733B"/>
    <w:rsid w:val="00123095"/>
    <w:rsid w:val="00123B61"/>
    <w:rsid w:val="00126800"/>
    <w:rsid w:val="00126B4A"/>
    <w:rsid w:val="00126EEC"/>
    <w:rsid w:val="001274FD"/>
    <w:rsid w:val="001301EF"/>
    <w:rsid w:val="0013036F"/>
    <w:rsid w:val="00131B93"/>
    <w:rsid w:val="00132528"/>
    <w:rsid w:val="00135BAD"/>
    <w:rsid w:val="001364A7"/>
    <w:rsid w:val="00136BAB"/>
    <w:rsid w:val="00136ECD"/>
    <w:rsid w:val="001375A8"/>
    <w:rsid w:val="00137AFF"/>
    <w:rsid w:val="00141028"/>
    <w:rsid w:val="00143C20"/>
    <w:rsid w:val="00143FC0"/>
    <w:rsid w:val="00144963"/>
    <w:rsid w:val="00145D48"/>
    <w:rsid w:val="00146D32"/>
    <w:rsid w:val="00147456"/>
    <w:rsid w:val="00147AC7"/>
    <w:rsid w:val="00150A85"/>
    <w:rsid w:val="001513A9"/>
    <w:rsid w:val="00151B56"/>
    <w:rsid w:val="00154071"/>
    <w:rsid w:val="00155C6C"/>
    <w:rsid w:val="00157011"/>
    <w:rsid w:val="001602CA"/>
    <w:rsid w:val="00160EAC"/>
    <w:rsid w:val="00161137"/>
    <w:rsid w:val="00161F41"/>
    <w:rsid w:val="0016229C"/>
    <w:rsid w:val="0016379D"/>
    <w:rsid w:val="0016528E"/>
    <w:rsid w:val="00165C3F"/>
    <w:rsid w:val="0016757C"/>
    <w:rsid w:val="00170981"/>
    <w:rsid w:val="00171516"/>
    <w:rsid w:val="00171757"/>
    <w:rsid w:val="00171EB3"/>
    <w:rsid w:val="001725A9"/>
    <w:rsid w:val="00172BBC"/>
    <w:rsid w:val="001737FE"/>
    <w:rsid w:val="0017425F"/>
    <w:rsid w:val="001763ED"/>
    <w:rsid w:val="00177177"/>
    <w:rsid w:val="00180598"/>
    <w:rsid w:val="00181069"/>
    <w:rsid w:val="00181779"/>
    <w:rsid w:val="001844FE"/>
    <w:rsid w:val="001845E4"/>
    <w:rsid w:val="0018464E"/>
    <w:rsid w:val="001849C8"/>
    <w:rsid w:val="00185C58"/>
    <w:rsid w:val="00190559"/>
    <w:rsid w:val="001907E4"/>
    <w:rsid w:val="00191B2D"/>
    <w:rsid w:val="00192FD3"/>
    <w:rsid w:val="001935CA"/>
    <w:rsid w:val="00195F2E"/>
    <w:rsid w:val="00197381"/>
    <w:rsid w:val="001A528D"/>
    <w:rsid w:val="001A60E7"/>
    <w:rsid w:val="001A6D43"/>
    <w:rsid w:val="001A71EF"/>
    <w:rsid w:val="001B39D3"/>
    <w:rsid w:val="001C1870"/>
    <w:rsid w:val="001C2DC7"/>
    <w:rsid w:val="001C548A"/>
    <w:rsid w:val="001C5904"/>
    <w:rsid w:val="001C6768"/>
    <w:rsid w:val="001C7E20"/>
    <w:rsid w:val="001D0CD5"/>
    <w:rsid w:val="001D12CA"/>
    <w:rsid w:val="001D2B77"/>
    <w:rsid w:val="001D31BF"/>
    <w:rsid w:val="001D3347"/>
    <w:rsid w:val="001D3E75"/>
    <w:rsid w:val="001D5923"/>
    <w:rsid w:val="001D6233"/>
    <w:rsid w:val="001D6F27"/>
    <w:rsid w:val="001D7FFA"/>
    <w:rsid w:val="001E0BFC"/>
    <w:rsid w:val="001E13BA"/>
    <w:rsid w:val="001E15AC"/>
    <w:rsid w:val="001E21A5"/>
    <w:rsid w:val="001E277D"/>
    <w:rsid w:val="001E54FB"/>
    <w:rsid w:val="001E618F"/>
    <w:rsid w:val="001E6C4F"/>
    <w:rsid w:val="001E70B9"/>
    <w:rsid w:val="001E7229"/>
    <w:rsid w:val="001F0201"/>
    <w:rsid w:val="001F1AE7"/>
    <w:rsid w:val="001F2A50"/>
    <w:rsid w:val="001F5911"/>
    <w:rsid w:val="001F5B0A"/>
    <w:rsid w:val="001F6FC4"/>
    <w:rsid w:val="001F7B0B"/>
    <w:rsid w:val="00201A46"/>
    <w:rsid w:val="00203082"/>
    <w:rsid w:val="00204A9C"/>
    <w:rsid w:val="00205347"/>
    <w:rsid w:val="00206A7F"/>
    <w:rsid w:val="00206BEE"/>
    <w:rsid w:val="00206E3C"/>
    <w:rsid w:val="002124F9"/>
    <w:rsid w:val="002130C7"/>
    <w:rsid w:val="0021312C"/>
    <w:rsid w:val="00213BF9"/>
    <w:rsid w:val="00215078"/>
    <w:rsid w:val="00217B17"/>
    <w:rsid w:val="00217D1B"/>
    <w:rsid w:val="002205EF"/>
    <w:rsid w:val="00220846"/>
    <w:rsid w:val="00220F53"/>
    <w:rsid w:val="002221F3"/>
    <w:rsid w:val="002226DF"/>
    <w:rsid w:val="00223C3D"/>
    <w:rsid w:val="002243C2"/>
    <w:rsid w:val="00224B04"/>
    <w:rsid w:val="0022580B"/>
    <w:rsid w:val="0022607C"/>
    <w:rsid w:val="002315C4"/>
    <w:rsid w:val="002357D5"/>
    <w:rsid w:val="00236853"/>
    <w:rsid w:val="00237501"/>
    <w:rsid w:val="00240B8C"/>
    <w:rsid w:val="00243178"/>
    <w:rsid w:val="00243699"/>
    <w:rsid w:val="00244220"/>
    <w:rsid w:val="00245E15"/>
    <w:rsid w:val="00246203"/>
    <w:rsid w:val="00247AB4"/>
    <w:rsid w:val="00247FA3"/>
    <w:rsid w:val="00250032"/>
    <w:rsid w:val="00254DDB"/>
    <w:rsid w:val="002552DA"/>
    <w:rsid w:val="00260D96"/>
    <w:rsid w:val="002617BE"/>
    <w:rsid w:val="002624DC"/>
    <w:rsid w:val="002632B9"/>
    <w:rsid w:val="00263724"/>
    <w:rsid w:val="00263AAF"/>
    <w:rsid w:val="00263F6B"/>
    <w:rsid w:val="002642F7"/>
    <w:rsid w:val="00264618"/>
    <w:rsid w:val="00264C64"/>
    <w:rsid w:val="002677BA"/>
    <w:rsid w:val="0027041B"/>
    <w:rsid w:val="002704E0"/>
    <w:rsid w:val="0027072F"/>
    <w:rsid w:val="00270EED"/>
    <w:rsid w:val="002718B9"/>
    <w:rsid w:val="00271C23"/>
    <w:rsid w:val="00271C5B"/>
    <w:rsid w:val="00275BC9"/>
    <w:rsid w:val="00276192"/>
    <w:rsid w:val="00280C23"/>
    <w:rsid w:val="0028113F"/>
    <w:rsid w:val="00281A3E"/>
    <w:rsid w:val="00282C1B"/>
    <w:rsid w:val="00283C4D"/>
    <w:rsid w:val="0028422A"/>
    <w:rsid w:val="00284E83"/>
    <w:rsid w:val="002879A5"/>
    <w:rsid w:val="002902EC"/>
    <w:rsid w:val="002940DF"/>
    <w:rsid w:val="002945F8"/>
    <w:rsid w:val="00294A9F"/>
    <w:rsid w:val="00294B5A"/>
    <w:rsid w:val="0029750E"/>
    <w:rsid w:val="002A24E7"/>
    <w:rsid w:val="002A2F60"/>
    <w:rsid w:val="002A3CC9"/>
    <w:rsid w:val="002A414B"/>
    <w:rsid w:val="002A6DB2"/>
    <w:rsid w:val="002A7894"/>
    <w:rsid w:val="002A7F89"/>
    <w:rsid w:val="002B08C0"/>
    <w:rsid w:val="002B5766"/>
    <w:rsid w:val="002B5877"/>
    <w:rsid w:val="002B63D9"/>
    <w:rsid w:val="002B6827"/>
    <w:rsid w:val="002B688D"/>
    <w:rsid w:val="002B7634"/>
    <w:rsid w:val="002C2C2B"/>
    <w:rsid w:val="002C2CBA"/>
    <w:rsid w:val="002C3965"/>
    <w:rsid w:val="002C42CE"/>
    <w:rsid w:val="002C664F"/>
    <w:rsid w:val="002C6FA8"/>
    <w:rsid w:val="002D1BAF"/>
    <w:rsid w:val="002D2170"/>
    <w:rsid w:val="002D27BB"/>
    <w:rsid w:val="002D324B"/>
    <w:rsid w:val="002D3BE3"/>
    <w:rsid w:val="002D535C"/>
    <w:rsid w:val="002D53CC"/>
    <w:rsid w:val="002D5724"/>
    <w:rsid w:val="002E2278"/>
    <w:rsid w:val="002E24F7"/>
    <w:rsid w:val="002E5134"/>
    <w:rsid w:val="002E5D37"/>
    <w:rsid w:val="002F0009"/>
    <w:rsid w:val="002F0474"/>
    <w:rsid w:val="002F1B12"/>
    <w:rsid w:val="002F313A"/>
    <w:rsid w:val="002F45C3"/>
    <w:rsid w:val="002F4FB9"/>
    <w:rsid w:val="002F785C"/>
    <w:rsid w:val="00300367"/>
    <w:rsid w:val="003024FA"/>
    <w:rsid w:val="00302FA8"/>
    <w:rsid w:val="00306135"/>
    <w:rsid w:val="00306A52"/>
    <w:rsid w:val="00307D1C"/>
    <w:rsid w:val="003104CB"/>
    <w:rsid w:val="003114CA"/>
    <w:rsid w:val="0031251E"/>
    <w:rsid w:val="003149FA"/>
    <w:rsid w:val="00317020"/>
    <w:rsid w:val="00317D35"/>
    <w:rsid w:val="00320847"/>
    <w:rsid w:val="00322F30"/>
    <w:rsid w:val="003234B8"/>
    <w:rsid w:val="003258A7"/>
    <w:rsid w:val="003264AF"/>
    <w:rsid w:val="00327DC9"/>
    <w:rsid w:val="00327E46"/>
    <w:rsid w:val="00332856"/>
    <w:rsid w:val="00333537"/>
    <w:rsid w:val="00334DA7"/>
    <w:rsid w:val="00335F04"/>
    <w:rsid w:val="00336611"/>
    <w:rsid w:val="003402E3"/>
    <w:rsid w:val="003428CA"/>
    <w:rsid w:val="00352316"/>
    <w:rsid w:val="00352343"/>
    <w:rsid w:val="00355698"/>
    <w:rsid w:val="003563B6"/>
    <w:rsid w:val="00356654"/>
    <w:rsid w:val="00357235"/>
    <w:rsid w:val="00362446"/>
    <w:rsid w:val="00362D46"/>
    <w:rsid w:val="00363634"/>
    <w:rsid w:val="00364B8F"/>
    <w:rsid w:val="003657AF"/>
    <w:rsid w:val="00366342"/>
    <w:rsid w:val="003667A5"/>
    <w:rsid w:val="00367978"/>
    <w:rsid w:val="003725F1"/>
    <w:rsid w:val="0038526E"/>
    <w:rsid w:val="00386AB7"/>
    <w:rsid w:val="00395BAA"/>
    <w:rsid w:val="00396AE2"/>
    <w:rsid w:val="00397CDB"/>
    <w:rsid w:val="003A0B88"/>
    <w:rsid w:val="003A24C3"/>
    <w:rsid w:val="003A347D"/>
    <w:rsid w:val="003A3C19"/>
    <w:rsid w:val="003A494F"/>
    <w:rsid w:val="003A6035"/>
    <w:rsid w:val="003A74D1"/>
    <w:rsid w:val="003B1525"/>
    <w:rsid w:val="003B33B0"/>
    <w:rsid w:val="003B3F74"/>
    <w:rsid w:val="003B43CC"/>
    <w:rsid w:val="003B5A3A"/>
    <w:rsid w:val="003C0E58"/>
    <w:rsid w:val="003C3822"/>
    <w:rsid w:val="003C393C"/>
    <w:rsid w:val="003C3A0A"/>
    <w:rsid w:val="003C60C1"/>
    <w:rsid w:val="003C7057"/>
    <w:rsid w:val="003D16AC"/>
    <w:rsid w:val="003D7F7F"/>
    <w:rsid w:val="003E01EA"/>
    <w:rsid w:val="003E4416"/>
    <w:rsid w:val="003E7AE2"/>
    <w:rsid w:val="003F0065"/>
    <w:rsid w:val="003F00F1"/>
    <w:rsid w:val="003F04DD"/>
    <w:rsid w:val="003F0CFE"/>
    <w:rsid w:val="003F4B6E"/>
    <w:rsid w:val="003F4EB7"/>
    <w:rsid w:val="003F50CC"/>
    <w:rsid w:val="003F62FE"/>
    <w:rsid w:val="003F6E8E"/>
    <w:rsid w:val="004003D8"/>
    <w:rsid w:val="0040150B"/>
    <w:rsid w:val="004015F0"/>
    <w:rsid w:val="004027D6"/>
    <w:rsid w:val="004029BF"/>
    <w:rsid w:val="004049E3"/>
    <w:rsid w:val="004049F9"/>
    <w:rsid w:val="004076AC"/>
    <w:rsid w:val="00410432"/>
    <w:rsid w:val="004109E1"/>
    <w:rsid w:val="00410CB5"/>
    <w:rsid w:val="00416788"/>
    <w:rsid w:val="00416DFD"/>
    <w:rsid w:val="00420280"/>
    <w:rsid w:val="004215C3"/>
    <w:rsid w:val="00421976"/>
    <w:rsid w:val="00425B10"/>
    <w:rsid w:val="00430462"/>
    <w:rsid w:val="0043049E"/>
    <w:rsid w:val="00431FDB"/>
    <w:rsid w:val="00432003"/>
    <w:rsid w:val="00433229"/>
    <w:rsid w:val="00435ACF"/>
    <w:rsid w:val="00436D3D"/>
    <w:rsid w:val="0043721A"/>
    <w:rsid w:val="00437C6C"/>
    <w:rsid w:val="004415CF"/>
    <w:rsid w:val="0044236D"/>
    <w:rsid w:val="004426C5"/>
    <w:rsid w:val="00443C0A"/>
    <w:rsid w:val="00444384"/>
    <w:rsid w:val="0044513A"/>
    <w:rsid w:val="00445411"/>
    <w:rsid w:val="0044774C"/>
    <w:rsid w:val="00450FDF"/>
    <w:rsid w:val="00451D4D"/>
    <w:rsid w:val="00451F49"/>
    <w:rsid w:val="00451F6C"/>
    <w:rsid w:val="00452876"/>
    <w:rsid w:val="00452FDC"/>
    <w:rsid w:val="00454862"/>
    <w:rsid w:val="00454ADB"/>
    <w:rsid w:val="00457135"/>
    <w:rsid w:val="00457BDE"/>
    <w:rsid w:val="00457FE6"/>
    <w:rsid w:val="0046013E"/>
    <w:rsid w:val="00462123"/>
    <w:rsid w:val="00462A08"/>
    <w:rsid w:val="0046527A"/>
    <w:rsid w:val="0046668B"/>
    <w:rsid w:val="00466710"/>
    <w:rsid w:val="00467C57"/>
    <w:rsid w:val="004704C3"/>
    <w:rsid w:val="004708E5"/>
    <w:rsid w:val="004742BC"/>
    <w:rsid w:val="00474A30"/>
    <w:rsid w:val="00474D62"/>
    <w:rsid w:val="00476D5F"/>
    <w:rsid w:val="00477375"/>
    <w:rsid w:val="00481A21"/>
    <w:rsid w:val="004822C3"/>
    <w:rsid w:val="00482395"/>
    <w:rsid w:val="00482EF2"/>
    <w:rsid w:val="0048492A"/>
    <w:rsid w:val="0048705D"/>
    <w:rsid w:val="00492253"/>
    <w:rsid w:val="004934E0"/>
    <w:rsid w:val="0049406F"/>
    <w:rsid w:val="0049618A"/>
    <w:rsid w:val="004962A0"/>
    <w:rsid w:val="004978FE"/>
    <w:rsid w:val="004A061C"/>
    <w:rsid w:val="004A1408"/>
    <w:rsid w:val="004A1F56"/>
    <w:rsid w:val="004A5A60"/>
    <w:rsid w:val="004A64BD"/>
    <w:rsid w:val="004A6A29"/>
    <w:rsid w:val="004A7EBD"/>
    <w:rsid w:val="004B25EB"/>
    <w:rsid w:val="004B27D0"/>
    <w:rsid w:val="004B28AB"/>
    <w:rsid w:val="004B2E30"/>
    <w:rsid w:val="004B3996"/>
    <w:rsid w:val="004B5644"/>
    <w:rsid w:val="004B6291"/>
    <w:rsid w:val="004B7B20"/>
    <w:rsid w:val="004C1D83"/>
    <w:rsid w:val="004C371D"/>
    <w:rsid w:val="004C56C7"/>
    <w:rsid w:val="004C5C2D"/>
    <w:rsid w:val="004C6868"/>
    <w:rsid w:val="004C7C14"/>
    <w:rsid w:val="004C7D37"/>
    <w:rsid w:val="004D21E2"/>
    <w:rsid w:val="004D49E7"/>
    <w:rsid w:val="004D5E1A"/>
    <w:rsid w:val="004D7370"/>
    <w:rsid w:val="004D7867"/>
    <w:rsid w:val="004E042A"/>
    <w:rsid w:val="004E0B3C"/>
    <w:rsid w:val="004E0E3F"/>
    <w:rsid w:val="004E3488"/>
    <w:rsid w:val="004E47DA"/>
    <w:rsid w:val="004E51A2"/>
    <w:rsid w:val="004F0D14"/>
    <w:rsid w:val="004F183A"/>
    <w:rsid w:val="004F1A6E"/>
    <w:rsid w:val="004F225A"/>
    <w:rsid w:val="005021FF"/>
    <w:rsid w:val="00505914"/>
    <w:rsid w:val="00505A1F"/>
    <w:rsid w:val="005063DB"/>
    <w:rsid w:val="00510EBB"/>
    <w:rsid w:val="00511A44"/>
    <w:rsid w:val="00512CE3"/>
    <w:rsid w:val="00512E0A"/>
    <w:rsid w:val="00513BC5"/>
    <w:rsid w:val="00515DA2"/>
    <w:rsid w:val="00516BA3"/>
    <w:rsid w:val="00521165"/>
    <w:rsid w:val="0052124C"/>
    <w:rsid w:val="00522518"/>
    <w:rsid w:val="00523081"/>
    <w:rsid w:val="005236A9"/>
    <w:rsid w:val="00523EE9"/>
    <w:rsid w:val="00523FAF"/>
    <w:rsid w:val="005274C6"/>
    <w:rsid w:val="00533E40"/>
    <w:rsid w:val="00534502"/>
    <w:rsid w:val="00534E5D"/>
    <w:rsid w:val="0053594C"/>
    <w:rsid w:val="005366CA"/>
    <w:rsid w:val="00540397"/>
    <w:rsid w:val="00540CDE"/>
    <w:rsid w:val="00543B6D"/>
    <w:rsid w:val="00544CB2"/>
    <w:rsid w:val="00546783"/>
    <w:rsid w:val="005501DD"/>
    <w:rsid w:val="005505F6"/>
    <w:rsid w:val="00550CCB"/>
    <w:rsid w:val="00551B17"/>
    <w:rsid w:val="00551BF6"/>
    <w:rsid w:val="0055232D"/>
    <w:rsid w:val="00554692"/>
    <w:rsid w:val="0055510D"/>
    <w:rsid w:val="00563B17"/>
    <w:rsid w:val="00564510"/>
    <w:rsid w:val="005664A0"/>
    <w:rsid w:val="00570A1D"/>
    <w:rsid w:val="00571BDA"/>
    <w:rsid w:val="0057353B"/>
    <w:rsid w:val="00575A74"/>
    <w:rsid w:val="00575CC4"/>
    <w:rsid w:val="005767E6"/>
    <w:rsid w:val="0057740D"/>
    <w:rsid w:val="00581B81"/>
    <w:rsid w:val="00584599"/>
    <w:rsid w:val="00584A56"/>
    <w:rsid w:val="0059041E"/>
    <w:rsid w:val="00594503"/>
    <w:rsid w:val="00594865"/>
    <w:rsid w:val="005950E0"/>
    <w:rsid w:val="005956AA"/>
    <w:rsid w:val="00596410"/>
    <w:rsid w:val="00597BDD"/>
    <w:rsid w:val="005A6E56"/>
    <w:rsid w:val="005B0C0E"/>
    <w:rsid w:val="005B26CE"/>
    <w:rsid w:val="005B3505"/>
    <w:rsid w:val="005B3DC5"/>
    <w:rsid w:val="005B41F0"/>
    <w:rsid w:val="005B5EBB"/>
    <w:rsid w:val="005B62C7"/>
    <w:rsid w:val="005B6BF2"/>
    <w:rsid w:val="005B726F"/>
    <w:rsid w:val="005C1151"/>
    <w:rsid w:val="005C256F"/>
    <w:rsid w:val="005C483A"/>
    <w:rsid w:val="005D0198"/>
    <w:rsid w:val="005D0497"/>
    <w:rsid w:val="005D0770"/>
    <w:rsid w:val="005D0AFB"/>
    <w:rsid w:val="005D32AA"/>
    <w:rsid w:val="005D3E69"/>
    <w:rsid w:val="005D4DF0"/>
    <w:rsid w:val="005D5992"/>
    <w:rsid w:val="005D5C02"/>
    <w:rsid w:val="005E0C23"/>
    <w:rsid w:val="005E4AED"/>
    <w:rsid w:val="005E5851"/>
    <w:rsid w:val="005E5CB9"/>
    <w:rsid w:val="005E5FDE"/>
    <w:rsid w:val="005F0BC3"/>
    <w:rsid w:val="005F0BCE"/>
    <w:rsid w:val="005F26ED"/>
    <w:rsid w:val="005F4A5B"/>
    <w:rsid w:val="005F4F13"/>
    <w:rsid w:val="005F5BCA"/>
    <w:rsid w:val="005F5E44"/>
    <w:rsid w:val="005F5EA8"/>
    <w:rsid w:val="005F7415"/>
    <w:rsid w:val="005F7583"/>
    <w:rsid w:val="006002A5"/>
    <w:rsid w:val="00600BD2"/>
    <w:rsid w:val="00602FC8"/>
    <w:rsid w:val="00603D90"/>
    <w:rsid w:val="00605A98"/>
    <w:rsid w:val="00607252"/>
    <w:rsid w:val="0060728E"/>
    <w:rsid w:val="0060770E"/>
    <w:rsid w:val="006102E1"/>
    <w:rsid w:val="0061202D"/>
    <w:rsid w:val="0061295B"/>
    <w:rsid w:val="006162CB"/>
    <w:rsid w:val="0061716C"/>
    <w:rsid w:val="00623B3E"/>
    <w:rsid w:val="00626A3F"/>
    <w:rsid w:val="00627CE8"/>
    <w:rsid w:val="00630A55"/>
    <w:rsid w:val="00632253"/>
    <w:rsid w:val="006331D8"/>
    <w:rsid w:val="00634AB9"/>
    <w:rsid w:val="006369C0"/>
    <w:rsid w:val="00636CEF"/>
    <w:rsid w:val="00637A19"/>
    <w:rsid w:val="00637F46"/>
    <w:rsid w:val="00641C31"/>
    <w:rsid w:val="00641C3F"/>
    <w:rsid w:val="00641EA9"/>
    <w:rsid w:val="00642110"/>
    <w:rsid w:val="0064268A"/>
    <w:rsid w:val="00643D31"/>
    <w:rsid w:val="006440B4"/>
    <w:rsid w:val="006447FF"/>
    <w:rsid w:val="00646FF1"/>
    <w:rsid w:val="00655001"/>
    <w:rsid w:val="00655A1E"/>
    <w:rsid w:val="006568D5"/>
    <w:rsid w:val="006620F5"/>
    <w:rsid w:val="00662BF1"/>
    <w:rsid w:val="0066316C"/>
    <w:rsid w:val="006656F6"/>
    <w:rsid w:val="00666521"/>
    <w:rsid w:val="00671C9F"/>
    <w:rsid w:val="00673F66"/>
    <w:rsid w:val="00675D0E"/>
    <w:rsid w:val="00681D5E"/>
    <w:rsid w:val="00681EFA"/>
    <w:rsid w:val="00681F69"/>
    <w:rsid w:val="00686C88"/>
    <w:rsid w:val="00687BBD"/>
    <w:rsid w:val="0069303D"/>
    <w:rsid w:val="00694483"/>
    <w:rsid w:val="00694640"/>
    <w:rsid w:val="00694CCD"/>
    <w:rsid w:val="00696AA9"/>
    <w:rsid w:val="00696E6C"/>
    <w:rsid w:val="006A1875"/>
    <w:rsid w:val="006A1AF3"/>
    <w:rsid w:val="006A1CCE"/>
    <w:rsid w:val="006A2C06"/>
    <w:rsid w:val="006A2D98"/>
    <w:rsid w:val="006A54A3"/>
    <w:rsid w:val="006A5A62"/>
    <w:rsid w:val="006A643E"/>
    <w:rsid w:val="006A678D"/>
    <w:rsid w:val="006B04A3"/>
    <w:rsid w:val="006B2666"/>
    <w:rsid w:val="006B26DD"/>
    <w:rsid w:val="006B3D1C"/>
    <w:rsid w:val="006B51D9"/>
    <w:rsid w:val="006B55CD"/>
    <w:rsid w:val="006B67E6"/>
    <w:rsid w:val="006B7433"/>
    <w:rsid w:val="006B75F0"/>
    <w:rsid w:val="006B76F4"/>
    <w:rsid w:val="006C760F"/>
    <w:rsid w:val="006D0B7F"/>
    <w:rsid w:val="006D0D00"/>
    <w:rsid w:val="006D1570"/>
    <w:rsid w:val="006D157B"/>
    <w:rsid w:val="006D221B"/>
    <w:rsid w:val="006D2760"/>
    <w:rsid w:val="006D2B8D"/>
    <w:rsid w:val="006D3ADA"/>
    <w:rsid w:val="006D4159"/>
    <w:rsid w:val="006D672E"/>
    <w:rsid w:val="006E1120"/>
    <w:rsid w:val="006E3EE5"/>
    <w:rsid w:val="006E4921"/>
    <w:rsid w:val="006E49F3"/>
    <w:rsid w:val="006E5ACA"/>
    <w:rsid w:val="006E6F0D"/>
    <w:rsid w:val="006E6F5C"/>
    <w:rsid w:val="006E7640"/>
    <w:rsid w:val="006E7EBA"/>
    <w:rsid w:val="006F0D95"/>
    <w:rsid w:val="006F54C2"/>
    <w:rsid w:val="006F6FD1"/>
    <w:rsid w:val="0070130A"/>
    <w:rsid w:val="0070391A"/>
    <w:rsid w:val="007062AA"/>
    <w:rsid w:val="007064BB"/>
    <w:rsid w:val="00706F85"/>
    <w:rsid w:val="007075D2"/>
    <w:rsid w:val="00707D91"/>
    <w:rsid w:val="0071219D"/>
    <w:rsid w:val="0071316D"/>
    <w:rsid w:val="007133C5"/>
    <w:rsid w:val="007159C1"/>
    <w:rsid w:val="0071627F"/>
    <w:rsid w:val="00716EB6"/>
    <w:rsid w:val="007172FE"/>
    <w:rsid w:val="007208AB"/>
    <w:rsid w:val="007223AE"/>
    <w:rsid w:val="00722FDD"/>
    <w:rsid w:val="00725B74"/>
    <w:rsid w:val="00726419"/>
    <w:rsid w:val="007311EF"/>
    <w:rsid w:val="00731654"/>
    <w:rsid w:val="007342CE"/>
    <w:rsid w:val="00735B19"/>
    <w:rsid w:val="007361F1"/>
    <w:rsid w:val="0073733C"/>
    <w:rsid w:val="00741740"/>
    <w:rsid w:val="0074191F"/>
    <w:rsid w:val="007434FC"/>
    <w:rsid w:val="007448BF"/>
    <w:rsid w:val="00745784"/>
    <w:rsid w:val="00746BD7"/>
    <w:rsid w:val="0074766B"/>
    <w:rsid w:val="007505E6"/>
    <w:rsid w:val="00751690"/>
    <w:rsid w:val="0075298F"/>
    <w:rsid w:val="0075360C"/>
    <w:rsid w:val="00753ECD"/>
    <w:rsid w:val="007555E8"/>
    <w:rsid w:val="007560E7"/>
    <w:rsid w:val="00756FC0"/>
    <w:rsid w:val="007572C6"/>
    <w:rsid w:val="007603E5"/>
    <w:rsid w:val="007607DC"/>
    <w:rsid w:val="00760893"/>
    <w:rsid w:val="00762228"/>
    <w:rsid w:val="00762769"/>
    <w:rsid w:val="00763D12"/>
    <w:rsid w:val="00764A46"/>
    <w:rsid w:val="007653AA"/>
    <w:rsid w:val="007672C1"/>
    <w:rsid w:val="007707F0"/>
    <w:rsid w:val="00773E12"/>
    <w:rsid w:val="007740C5"/>
    <w:rsid w:val="00777CFA"/>
    <w:rsid w:val="00777EF3"/>
    <w:rsid w:val="0078141F"/>
    <w:rsid w:val="007828F3"/>
    <w:rsid w:val="00785904"/>
    <w:rsid w:val="00790ABF"/>
    <w:rsid w:val="007931F7"/>
    <w:rsid w:val="007939A8"/>
    <w:rsid w:val="0079481B"/>
    <w:rsid w:val="0079545B"/>
    <w:rsid w:val="007975E3"/>
    <w:rsid w:val="00797E86"/>
    <w:rsid w:val="007A1C0B"/>
    <w:rsid w:val="007A317B"/>
    <w:rsid w:val="007A6FAF"/>
    <w:rsid w:val="007B0BFB"/>
    <w:rsid w:val="007B0C89"/>
    <w:rsid w:val="007B15A6"/>
    <w:rsid w:val="007B1873"/>
    <w:rsid w:val="007B3256"/>
    <w:rsid w:val="007B3872"/>
    <w:rsid w:val="007B4FC2"/>
    <w:rsid w:val="007B561D"/>
    <w:rsid w:val="007B744B"/>
    <w:rsid w:val="007C0223"/>
    <w:rsid w:val="007C1FC6"/>
    <w:rsid w:val="007C20F6"/>
    <w:rsid w:val="007C4FAA"/>
    <w:rsid w:val="007C50B0"/>
    <w:rsid w:val="007C56AA"/>
    <w:rsid w:val="007C6DAF"/>
    <w:rsid w:val="007D46F2"/>
    <w:rsid w:val="007D5D5E"/>
    <w:rsid w:val="007D6DE8"/>
    <w:rsid w:val="007D78B0"/>
    <w:rsid w:val="007E1C0F"/>
    <w:rsid w:val="007E3849"/>
    <w:rsid w:val="007E3E78"/>
    <w:rsid w:val="007E5144"/>
    <w:rsid w:val="007E7717"/>
    <w:rsid w:val="007F1646"/>
    <w:rsid w:val="007F18AB"/>
    <w:rsid w:val="007F1DC5"/>
    <w:rsid w:val="007F2424"/>
    <w:rsid w:val="007F3BBC"/>
    <w:rsid w:val="007F57DA"/>
    <w:rsid w:val="007F5E16"/>
    <w:rsid w:val="007F68A6"/>
    <w:rsid w:val="007F6DEC"/>
    <w:rsid w:val="007F7DE1"/>
    <w:rsid w:val="007F7E52"/>
    <w:rsid w:val="0080003D"/>
    <w:rsid w:val="00801ECB"/>
    <w:rsid w:val="00803363"/>
    <w:rsid w:val="00805C4D"/>
    <w:rsid w:val="0080675F"/>
    <w:rsid w:val="008078EE"/>
    <w:rsid w:val="00811F04"/>
    <w:rsid w:val="00812814"/>
    <w:rsid w:val="00813C7E"/>
    <w:rsid w:val="00814D15"/>
    <w:rsid w:val="00816789"/>
    <w:rsid w:val="0081760F"/>
    <w:rsid w:val="00820662"/>
    <w:rsid w:val="00820846"/>
    <w:rsid w:val="00822B0F"/>
    <w:rsid w:val="008235EC"/>
    <w:rsid w:val="00824A52"/>
    <w:rsid w:val="008259C4"/>
    <w:rsid w:val="00827E8F"/>
    <w:rsid w:val="008324DB"/>
    <w:rsid w:val="00834C1A"/>
    <w:rsid w:val="00836558"/>
    <w:rsid w:val="008377EF"/>
    <w:rsid w:val="008378BF"/>
    <w:rsid w:val="00840BD7"/>
    <w:rsid w:val="00841BAC"/>
    <w:rsid w:val="00842919"/>
    <w:rsid w:val="0084302C"/>
    <w:rsid w:val="00844755"/>
    <w:rsid w:val="008448E3"/>
    <w:rsid w:val="0084495F"/>
    <w:rsid w:val="00845340"/>
    <w:rsid w:val="00845E22"/>
    <w:rsid w:val="00846C22"/>
    <w:rsid w:val="008471D0"/>
    <w:rsid w:val="008504A3"/>
    <w:rsid w:val="00855B08"/>
    <w:rsid w:val="008578CF"/>
    <w:rsid w:val="00862A46"/>
    <w:rsid w:val="00863055"/>
    <w:rsid w:val="00865F59"/>
    <w:rsid w:val="00867DB7"/>
    <w:rsid w:val="008725AC"/>
    <w:rsid w:val="00873714"/>
    <w:rsid w:val="008746AB"/>
    <w:rsid w:val="0088148E"/>
    <w:rsid w:val="0088354E"/>
    <w:rsid w:val="00883DF9"/>
    <w:rsid w:val="00884166"/>
    <w:rsid w:val="00884456"/>
    <w:rsid w:val="00884931"/>
    <w:rsid w:val="0088746F"/>
    <w:rsid w:val="0088750A"/>
    <w:rsid w:val="008875FF"/>
    <w:rsid w:val="008902B6"/>
    <w:rsid w:val="00890DAD"/>
    <w:rsid w:val="0089106C"/>
    <w:rsid w:val="0089478D"/>
    <w:rsid w:val="00894D94"/>
    <w:rsid w:val="008960A5"/>
    <w:rsid w:val="008963A5"/>
    <w:rsid w:val="00897B89"/>
    <w:rsid w:val="008A002D"/>
    <w:rsid w:val="008A216E"/>
    <w:rsid w:val="008A31FC"/>
    <w:rsid w:val="008A4341"/>
    <w:rsid w:val="008A5553"/>
    <w:rsid w:val="008A5F43"/>
    <w:rsid w:val="008A7FC5"/>
    <w:rsid w:val="008B21C7"/>
    <w:rsid w:val="008B273A"/>
    <w:rsid w:val="008B3538"/>
    <w:rsid w:val="008B475F"/>
    <w:rsid w:val="008B6818"/>
    <w:rsid w:val="008B7CF1"/>
    <w:rsid w:val="008C0E07"/>
    <w:rsid w:val="008C12E0"/>
    <w:rsid w:val="008C1341"/>
    <w:rsid w:val="008C15A8"/>
    <w:rsid w:val="008C1763"/>
    <w:rsid w:val="008C2344"/>
    <w:rsid w:val="008C2D4F"/>
    <w:rsid w:val="008C303B"/>
    <w:rsid w:val="008C45E5"/>
    <w:rsid w:val="008C5C0B"/>
    <w:rsid w:val="008C6BB0"/>
    <w:rsid w:val="008D1D41"/>
    <w:rsid w:val="008D2A0F"/>
    <w:rsid w:val="008D390E"/>
    <w:rsid w:val="008D4BAC"/>
    <w:rsid w:val="008D5917"/>
    <w:rsid w:val="008E083D"/>
    <w:rsid w:val="008E31B3"/>
    <w:rsid w:val="008E36E8"/>
    <w:rsid w:val="008E38C5"/>
    <w:rsid w:val="008E4E29"/>
    <w:rsid w:val="008E74D3"/>
    <w:rsid w:val="008E7CAA"/>
    <w:rsid w:val="008F0D3B"/>
    <w:rsid w:val="008F18F7"/>
    <w:rsid w:val="008F1C8C"/>
    <w:rsid w:val="008F2650"/>
    <w:rsid w:val="008F3B63"/>
    <w:rsid w:val="008F67AC"/>
    <w:rsid w:val="008F7005"/>
    <w:rsid w:val="0090125D"/>
    <w:rsid w:val="009042F9"/>
    <w:rsid w:val="00905A31"/>
    <w:rsid w:val="00907E01"/>
    <w:rsid w:val="00910302"/>
    <w:rsid w:val="009127ED"/>
    <w:rsid w:val="009165B2"/>
    <w:rsid w:val="00917919"/>
    <w:rsid w:val="009204A9"/>
    <w:rsid w:val="00921EB4"/>
    <w:rsid w:val="009225A3"/>
    <w:rsid w:val="0092452C"/>
    <w:rsid w:val="00924779"/>
    <w:rsid w:val="009259F4"/>
    <w:rsid w:val="0092635C"/>
    <w:rsid w:val="00926718"/>
    <w:rsid w:val="00931CC1"/>
    <w:rsid w:val="0093223E"/>
    <w:rsid w:val="009322D7"/>
    <w:rsid w:val="00936844"/>
    <w:rsid w:val="00936C1E"/>
    <w:rsid w:val="00937C1A"/>
    <w:rsid w:val="009415A2"/>
    <w:rsid w:val="009425F6"/>
    <w:rsid w:val="0094310E"/>
    <w:rsid w:val="009437E1"/>
    <w:rsid w:val="00943992"/>
    <w:rsid w:val="0094685D"/>
    <w:rsid w:val="00947A73"/>
    <w:rsid w:val="009503BC"/>
    <w:rsid w:val="009521DB"/>
    <w:rsid w:val="00952D56"/>
    <w:rsid w:val="00952DF3"/>
    <w:rsid w:val="00954020"/>
    <w:rsid w:val="00954B8F"/>
    <w:rsid w:val="00956096"/>
    <w:rsid w:val="009564AC"/>
    <w:rsid w:val="009576CB"/>
    <w:rsid w:val="00960B71"/>
    <w:rsid w:val="00961CB4"/>
    <w:rsid w:val="00962186"/>
    <w:rsid w:val="00963C5C"/>
    <w:rsid w:val="00964622"/>
    <w:rsid w:val="0096487B"/>
    <w:rsid w:val="00966982"/>
    <w:rsid w:val="009705D1"/>
    <w:rsid w:val="00971C32"/>
    <w:rsid w:val="009753E4"/>
    <w:rsid w:val="00975E2A"/>
    <w:rsid w:val="00976A56"/>
    <w:rsid w:val="00977677"/>
    <w:rsid w:val="009809E9"/>
    <w:rsid w:val="00980A87"/>
    <w:rsid w:val="00981576"/>
    <w:rsid w:val="00982584"/>
    <w:rsid w:val="00982702"/>
    <w:rsid w:val="00984571"/>
    <w:rsid w:val="0098696C"/>
    <w:rsid w:val="00990461"/>
    <w:rsid w:val="00991449"/>
    <w:rsid w:val="00994102"/>
    <w:rsid w:val="00994D8B"/>
    <w:rsid w:val="0099514E"/>
    <w:rsid w:val="00995557"/>
    <w:rsid w:val="009A2964"/>
    <w:rsid w:val="009A3875"/>
    <w:rsid w:val="009A6075"/>
    <w:rsid w:val="009A6349"/>
    <w:rsid w:val="009B0D3A"/>
    <w:rsid w:val="009B4AEB"/>
    <w:rsid w:val="009B4D17"/>
    <w:rsid w:val="009B6664"/>
    <w:rsid w:val="009C0552"/>
    <w:rsid w:val="009C1A7C"/>
    <w:rsid w:val="009C2919"/>
    <w:rsid w:val="009C2FB6"/>
    <w:rsid w:val="009C3F88"/>
    <w:rsid w:val="009C444D"/>
    <w:rsid w:val="009C5B7E"/>
    <w:rsid w:val="009C629A"/>
    <w:rsid w:val="009C709C"/>
    <w:rsid w:val="009C78A7"/>
    <w:rsid w:val="009C7BF5"/>
    <w:rsid w:val="009D01B3"/>
    <w:rsid w:val="009D1559"/>
    <w:rsid w:val="009D1AFF"/>
    <w:rsid w:val="009D22B8"/>
    <w:rsid w:val="009D330B"/>
    <w:rsid w:val="009D509A"/>
    <w:rsid w:val="009E2071"/>
    <w:rsid w:val="009E2BFC"/>
    <w:rsid w:val="009E3EA4"/>
    <w:rsid w:val="009E3F3B"/>
    <w:rsid w:val="009E4F4C"/>
    <w:rsid w:val="009E64D9"/>
    <w:rsid w:val="009E6A28"/>
    <w:rsid w:val="009E7244"/>
    <w:rsid w:val="009F0075"/>
    <w:rsid w:val="009F43D0"/>
    <w:rsid w:val="009F457C"/>
    <w:rsid w:val="009F4698"/>
    <w:rsid w:val="009F5CEF"/>
    <w:rsid w:val="009F66AB"/>
    <w:rsid w:val="00A00171"/>
    <w:rsid w:val="00A00A0C"/>
    <w:rsid w:val="00A00EA8"/>
    <w:rsid w:val="00A01F4A"/>
    <w:rsid w:val="00A03A83"/>
    <w:rsid w:val="00A06BFA"/>
    <w:rsid w:val="00A1033B"/>
    <w:rsid w:val="00A10DF9"/>
    <w:rsid w:val="00A12624"/>
    <w:rsid w:val="00A12E7E"/>
    <w:rsid w:val="00A138AE"/>
    <w:rsid w:val="00A143C2"/>
    <w:rsid w:val="00A151E4"/>
    <w:rsid w:val="00A1684D"/>
    <w:rsid w:val="00A16967"/>
    <w:rsid w:val="00A208FE"/>
    <w:rsid w:val="00A20BFD"/>
    <w:rsid w:val="00A20D6D"/>
    <w:rsid w:val="00A21CF7"/>
    <w:rsid w:val="00A23544"/>
    <w:rsid w:val="00A2391C"/>
    <w:rsid w:val="00A23BE5"/>
    <w:rsid w:val="00A25194"/>
    <w:rsid w:val="00A306F0"/>
    <w:rsid w:val="00A30AA3"/>
    <w:rsid w:val="00A3242F"/>
    <w:rsid w:val="00A33422"/>
    <w:rsid w:val="00A40E78"/>
    <w:rsid w:val="00A4190D"/>
    <w:rsid w:val="00A42845"/>
    <w:rsid w:val="00A42D43"/>
    <w:rsid w:val="00A43382"/>
    <w:rsid w:val="00A4352A"/>
    <w:rsid w:val="00A44FD9"/>
    <w:rsid w:val="00A46205"/>
    <w:rsid w:val="00A46625"/>
    <w:rsid w:val="00A46978"/>
    <w:rsid w:val="00A503BC"/>
    <w:rsid w:val="00A53F8D"/>
    <w:rsid w:val="00A548DC"/>
    <w:rsid w:val="00A56BFE"/>
    <w:rsid w:val="00A6049A"/>
    <w:rsid w:val="00A60F2E"/>
    <w:rsid w:val="00A61E8F"/>
    <w:rsid w:val="00A62D33"/>
    <w:rsid w:val="00A655AF"/>
    <w:rsid w:val="00A65B53"/>
    <w:rsid w:val="00A708E6"/>
    <w:rsid w:val="00A710FE"/>
    <w:rsid w:val="00A73857"/>
    <w:rsid w:val="00A73C88"/>
    <w:rsid w:val="00A74DC5"/>
    <w:rsid w:val="00A82EC0"/>
    <w:rsid w:val="00A87BF5"/>
    <w:rsid w:val="00A903F3"/>
    <w:rsid w:val="00A90B7E"/>
    <w:rsid w:val="00A92479"/>
    <w:rsid w:val="00A9604B"/>
    <w:rsid w:val="00A96A81"/>
    <w:rsid w:val="00AA2567"/>
    <w:rsid w:val="00AA3AFF"/>
    <w:rsid w:val="00AA76DF"/>
    <w:rsid w:val="00AA7961"/>
    <w:rsid w:val="00AB05B7"/>
    <w:rsid w:val="00AB1E1F"/>
    <w:rsid w:val="00AB20A1"/>
    <w:rsid w:val="00AB290E"/>
    <w:rsid w:val="00AB29F8"/>
    <w:rsid w:val="00AB2CE3"/>
    <w:rsid w:val="00AB4312"/>
    <w:rsid w:val="00AB4B71"/>
    <w:rsid w:val="00AB650C"/>
    <w:rsid w:val="00AB673A"/>
    <w:rsid w:val="00AB68A4"/>
    <w:rsid w:val="00AB6BA1"/>
    <w:rsid w:val="00AC05D3"/>
    <w:rsid w:val="00AC1D4F"/>
    <w:rsid w:val="00AC1F3A"/>
    <w:rsid w:val="00AC2EF6"/>
    <w:rsid w:val="00AC44F4"/>
    <w:rsid w:val="00AC44FD"/>
    <w:rsid w:val="00AC6905"/>
    <w:rsid w:val="00AD08DA"/>
    <w:rsid w:val="00AD462F"/>
    <w:rsid w:val="00AD5909"/>
    <w:rsid w:val="00AE07B9"/>
    <w:rsid w:val="00AE7DF4"/>
    <w:rsid w:val="00AF08E3"/>
    <w:rsid w:val="00AF0A01"/>
    <w:rsid w:val="00AF1FB7"/>
    <w:rsid w:val="00AF1FD2"/>
    <w:rsid w:val="00AF69CA"/>
    <w:rsid w:val="00B00ED0"/>
    <w:rsid w:val="00B011E9"/>
    <w:rsid w:val="00B01F75"/>
    <w:rsid w:val="00B02268"/>
    <w:rsid w:val="00B05206"/>
    <w:rsid w:val="00B053A3"/>
    <w:rsid w:val="00B05FC9"/>
    <w:rsid w:val="00B074FA"/>
    <w:rsid w:val="00B11D7A"/>
    <w:rsid w:val="00B11FEF"/>
    <w:rsid w:val="00B12402"/>
    <w:rsid w:val="00B1437D"/>
    <w:rsid w:val="00B14BD1"/>
    <w:rsid w:val="00B14F51"/>
    <w:rsid w:val="00B158EC"/>
    <w:rsid w:val="00B1653C"/>
    <w:rsid w:val="00B17D7B"/>
    <w:rsid w:val="00B20D19"/>
    <w:rsid w:val="00B21B4F"/>
    <w:rsid w:val="00B22DCD"/>
    <w:rsid w:val="00B23E19"/>
    <w:rsid w:val="00B26391"/>
    <w:rsid w:val="00B27E0F"/>
    <w:rsid w:val="00B27FD8"/>
    <w:rsid w:val="00B304EC"/>
    <w:rsid w:val="00B30DD2"/>
    <w:rsid w:val="00B315AE"/>
    <w:rsid w:val="00B33F90"/>
    <w:rsid w:val="00B41088"/>
    <w:rsid w:val="00B41755"/>
    <w:rsid w:val="00B41A2D"/>
    <w:rsid w:val="00B43B62"/>
    <w:rsid w:val="00B44835"/>
    <w:rsid w:val="00B44A6E"/>
    <w:rsid w:val="00B466D7"/>
    <w:rsid w:val="00B51DBE"/>
    <w:rsid w:val="00B53017"/>
    <w:rsid w:val="00B53ED8"/>
    <w:rsid w:val="00B55699"/>
    <w:rsid w:val="00B57F41"/>
    <w:rsid w:val="00B601EA"/>
    <w:rsid w:val="00B618AA"/>
    <w:rsid w:val="00B62DA9"/>
    <w:rsid w:val="00B632FC"/>
    <w:rsid w:val="00B70789"/>
    <w:rsid w:val="00B71501"/>
    <w:rsid w:val="00B72E98"/>
    <w:rsid w:val="00B72FAE"/>
    <w:rsid w:val="00B755D0"/>
    <w:rsid w:val="00B77C0A"/>
    <w:rsid w:val="00B80314"/>
    <w:rsid w:val="00B81138"/>
    <w:rsid w:val="00B81C1A"/>
    <w:rsid w:val="00B820C9"/>
    <w:rsid w:val="00B827B0"/>
    <w:rsid w:val="00B83759"/>
    <w:rsid w:val="00B83A7E"/>
    <w:rsid w:val="00B84305"/>
    <w:rsid w:val="00B852BA"/>
    <w:rsid w:val="00B8640E"/>
    <w:rsid w:val="00B90EE3"/>
    <w:rsid w:val="00B9184A"/>
    <w:rsid w:val="00B93EA2"/>
    <w:rsid w:val="00B95AC3"/>
    <w:rsid w:val="00B95FC7"/>
    <w:rsid w:val="00B977D0"/>
    <w:rsid w:val="00BA0248"/>
    <w:rsid w:val="00BA075F"/>
    <w:rsid w:val="00BA15B7"/>
    <w:rsid w:val="00BA425D"/>
    <w:rsid w:val="00BA44D8"/>
    <w:rsid w:val="00BA63DD"/>
    <w:rsid w:val="00BB0821"/>
    <w:rsid w:val="00BB3A99"/>
    <w:rsid w:val="00BB3BC6"/>
    <w:rsid w:val="00BB3C8C"/>
    <w:rsid w:val="00BB47BC"/>
    <w:rsid w:val="00BB4AB8"/>
    <w:rsid w:val="00BB5BDD"/>
    <w:rsid w:val="00BB7C95"/>
    <w:rsid w:val="00BC06FD"/>
    <w:rsid w:val="00BC12B5"/>
    <w:rsid w:val="00BC1DC5"/>
    <w:rsid w:val="00BC2A3D"/>
    <w:rsid w:val="00BC369E"/>
    <w:rsid w:val="00BC59A4"/>
    <w:rsid w:val="00BD0255"/>
    <w:rsid w:val="00BD02B1"/>
    <w:rsid w:val="00BD0789"/>
    <w:rsid w:val="00BD17F3"/>
    <w:rsid w:val="00BD20C1"/>
    <w:rsid w:val="00BD469A"/>
    <w:rsid w:val="00BD7917"/>
    <w:rsid w:val="00BD7F56"/>
    <w:rsid w:val="00BE000D"/>
    <w:rsid w:val="00BE0654"/>
    <w:rsid w:val="00BE15A7"/>
    <w:rsid w:val="00BE2451"/>
    <w:rsid w:val="00BE33D6"/>
    <w:rsid w:val="00BE41C4"/>
    <w:rsid w:val="00BE452F"/>
    <w:rsid w:val="00BE4EF3"/>
    <w:rsid w:val="00BE627D"/>
    <w:rsid w:val="00BE665D"/>
    <w:rsid w:val="00BE7130"/>
    <w:rsid w:val="00BE7DC9"/>
    <w:rsid w:val="00BF1529"/>
    <w:rsid w:val="00BF6451"/>
    <w:rsid w:val="00BF6E11"/>
    <w:rsid w:val="00BF7F0B"/>
    <w:rsid w:val="00C0001D"/>
    <w:rsid w:val="00C003FA"/>
    <w:rsid w:val="00C00F84"/>
    <w:rsid w:val="00C00FA5"/>
    <w:rsid w:val="00C0324C"/>
    <w:rsid w:val="00C033A4"/>
    <w:rsid w:val="00C03A7E"/>
    <w:rsid w:val="00C07AB0"/>
    <w:rsid w:val="00C07CC3"/>
    <w:rsid w:val="00C1366F"/>
    <w:rsid w:val="00C174F8"/>
    <w:rsid w:val="00C218F0"/>
    <w:rsid w:val="00C22F1C"/>
    <w:rsid w:val="00C23BB3"/>
    <w:rsid w:val="00C24082"/>
    <w:rsid w:val="00C26BD4"/>
    <w:rsid w:val="00C31919"/>
    <w:rsid w:val="00C3312B"/>
    <w:rsid w:val="00C3565F"/>
    <w:rsid w:val="00C4033D"/>
    <w:rsid w:val="00C4035B"/>
    <w:rsid w:val="00C407C1"/>
    <w:rsid w:val="00C40F36"/>
    <w:rsid w:val="00C4475C"/>
    <w:rsid w:val="00C4756E"/>
    <w:rsid w:val="00C51DC3"/>
    <w:rsid w:val="00C52B6F"/>
    <w:rsid w:val="00C609CF"/>
    <w:rsid w:val="00C62D4F"/>
    <w:rsid w:val="00C62E72"/>
    <w:rsid w:val="00C6439F"/>
    <w:rsid w:val="00C648B3"/>
    <w:rsid w:val="00C64909"/>
    <w:rsid w:val="00C702AD"/>
    <w:rsid w:val="00C7147C"/>
    <w:rsid w:val="00C723D3"/>
    <w:rsid w:val="00C728CF"/>
    <w:rsid w:val="00C72DEE"/>
    <w:rsid w:val="00C74274"/>
    <w:rsid w:val="00C76A29"/>
    <w:rsid w:val="00C7798E"/>
    <w:rsid w:val="00C77CA4"/>
    <w:rsid w:val="00C800BB"/>
    <w:rsid w:val="00C81BB0"/>
    <w:rsid w:val="00C83CC1"/>
    <w:rsid w:val="00C86D58"/>
    <w:rsid w:val="00C90905"/>
    <w:rsid w:val="00C90B85"/>
    <w:rsid w:val="00C92D88"/>
    <w:rsid w:val="00C93A9B"/>
    <w:rsid w:val="00C952B4"/>
    <w:rsid w:val="00C95A56"/>
    <w:rsid w:val="00C95F48"/>
    <w:rsid w:val="00CA0DC9"/>
    <w:rsid w:val="00CA1549"/>
    <w:rsid w:val="00CA20F9"/>
    <w:rsid w:val="00CA2138"/>
    <w:rsid w:val="00CA36DE"/>
    <w:rsid w:val="00CA401A"/>
    <w:rsid w:val="00CA54FD"/>
    <w:rsid w:val="00CA6CFA"/>
    <w:rsid w:val="00CB4A95"/>
    <w:rsid w:val="00CB4F62"/>
    <w:rsid w:val="00CB6CF7"/>
    <w:rsid w:val="00CC1044"/>
    <w:rsid w:val="00CC12FF"/>
    <w:rsid w:val="00CC22F8"/>
    <w:rsid w:val="00CC2EB1"/>
    <w:rsid w:val="00CC5545"/>
    <w:rsid w:val="00CC5899"/>
    <w:rsid w:val="00CC5F1A"/>
    <w:rsid w:val="00CD0A9E"/>
    <w:rsid w:val="00CD1AD6"/>
    <w:rsid w:val="00CD32F0"/>
    <w:rsid w:val="00CD6CFC"/>
    <w:rsid w:val="00CE01BB"/>
    <w:rsid w:val="00CE04FF"/>
    <w:rsid w:val="00CE1641"/>
    <w:rsid w:val="00CE379D"/>
    <w:rsid w:val="00CE58AC"/>
    <w:rsid w:val="00CE7963"/>
    <w:rsid w:val="00CF0F01"/>
    <w:rsid w:val="00CF2C16"/>
    <w:rsid w:val="00CF3923"/>
    <w:rsid w:val="00CF6D41"/>
    <w:rsid w:val="00CF6E89"/>
    <w:rsid w:val="00D046AF"/>
    <w:rsid w:val="00D0510F"/>
    <w:rsid w:val="00D06304"/>
    <w:rsid w:val="00D066FB"/>
    <w:rsid w:val="00D11CE9"/>
    <w:rsid w:val="00D12DAB"/>
    <w:rsid w:val="00D14B0C"/>
    <w:rsid w:val="00D17DDA"/>
    <w:rsid w:val="00D2018F"/>
    <w:rsid w:val="00D20911"/>
    <w:rsid w:val="00D212ED"/>
    <w:rsid w:val="00D21704"/>
    <w:rsid w:val="00D21908"/>
    <w:rsid w:val="00D224EA"/>
    <w:rsid w:val="00D22D2B"/>
    <w:rsid w:val="00D24020"/>
    <w:rsid w:val="00D25A3A"/>
    <w:rsid w:val="00D26345"/>
    <w:rsid w:val="00D2702B"/>
    <w:rsid w:val="00D30C8C"/>
    <w:rsid w:val="00D320CA"/>
    <w:rsid w:val="00D3352D"/>
    <w:rsid w:val="00D34D82"/>
    <w:rsid w:val="00D36F32"/>
    <w:rsid w:val="00D375DD"/>
    <w:rsid w:val="00D40DC7"/>
    <w:rsid w:val="00D41636"/>
    <w:rsid w:val="00D4215A"/>
    <w:rsid w:val="00D446CD"/>
    <w:rsid w:val="00D466C5"/>
    <w:rsid w:val="00D47293"/>
    <w:rsid w:val="00D474DC"/>
    <w:rsid w:val="00D50068"/>
    <w:rsid w:val="00D54B86"/>
    <w:rsid w:val="00D5568E"/>
    <w:rsid w:val="00D56A1F"/>
    <w:rsid w:val="00D5730B"/>
    <w:rsid w:val="00D57827"/>
    <w:rsid w:val="00D57899"/>
    <w:rsid w:val="00D57B6B"/>
    <w:rsid w:val="00D61024"/>
    <w:rsid w:val="00D61444"/>
    <w:rsid w:val="00D61A6D"/>
    <w:rsid w:val="00D61AEE"/>
    <w:rsid w:val="00D61E25"/>
    <w:rsid w:val="00D64259"/>
    <w:rsid w:val="00D6442A"/>
    <w:rsid w:val="00D668C7"/>
    <w:rsid w:val="00D673F2"/>
    <w:rsid w:val="00D67CF3"/>
    <w:rsid w:val="00D70477"/>
    <w:rsid w:val="00D706D2"/>
    <w:rsid w:val="00D70E5E"/>
    <w:rsid w:val="00D71036"/>
    <w:rsid w:val="00D71472"/>
    <w:rsid w:val="00D71A37"/>
    <w:rsid w:val="00D72F8C"/>
    <w:rsid w:val="00D75545"/>
    <w:rsid w:val="00D75D63"/>
    <w:rsid w:val="00D760FF"/>
    <w:rsid w:val="00D77F34"/>
    <w:rsid w:val="00D80854"/>
    <w:rsid w:val="00D80C7C"/>
    <w:rsid w:val="00D815ED"/>
    <w:rsid w:val="00D8609C"/>
    <w:rsid w:val="00D87957"/>
    <w:rsid w:val="00D9273E"/>
    <w:rsid w:val="00D92FC6"/>
    <w:rsid w:val="00D93356"/>
    <w:rsid w:val="00D93982"/>
    <w:rsid w:val="00D93A80"/>
    <w:rsid w:val="00D952DA"/>
    <w:rsid w:val="00D96B9E"/>
    <w:rsid w:val="00D97605"/>
    <w:rsid w:val="00D97AD7"/>
    <w:rsid w:val="00DA1DB8"/>
    <w:rsid w:val="00DA3068"/>
    <w:rsid w:val="00DA40D4"/>
    <w:rsid w:val="00DA4F06"/>
    <w:rsid w:val="00DA5761"/>
    <w:rsid w:val="00DB2C6D"/>
    <w:rsid w:val="00DB3570"/>
    <w:rsid w:val="00DB4038"/>
    <w:rsid w:val="00DB66BB"/>
    <w:rsid w:val="00DC4B0D"/>
    <w:rsid w:val="00DC503D"/>
    <w:rsid w:val="00DC6B14"/>
    <w:rsid w:val="00DD1AF7"/>
    <w:rsid w:val="00DD4A4D"/>
    <w:rsid w:val="00DD5C5C"/>
    <w:rsid w:val="00DD64A0"/>
    <w:rsid w:val="00DD7806"/>
    <w:rsid w:val="00DD7FF4"/>
    <w:rsid w:val="00DE1916"/>
    <w:rsid w:val="00DE3CEC"/>
    <w:rsid w:val="00DE52F8"/>
    <w:rsid w:val="00DE5F5E"/>
    <w:rsid w:val="00DE6C25"/>
    <w:rsid w:val="00DE6E1D"/>
    <w:rsid w:val="00DE7910"/>
    <w:rsid w:val="00DF1BF9"/>
    <w:rsid w:val="00DF567C"/>
    <w:rsid w:val="00DF5DA4"/>
    <w:rsid w:val="00DF7391"/>
    <w:rsid w:val="00DF749F"/>
    <w:rsid w:val="00E00E18"/>
    <w:rsid w:val="00E01CDE"/>
    <w:rsid w:val="00E03C6F"/>
    <w:rsid w:val="00E04004"/>
    <w:rsid w:val="00E05602"/>
    <w:rsid w:val="00E0616A"/>
    <w:rsid w:val="00E0792B"/>
    <w:rsid w:val="00E111AD"/>
    <w:rsid w:val="00E12B4E"/>
    <w:rsid w:val="00E14FA8"/>
    <w:rsid w:val="00E21A0B"/>
    <w:rsid w:val="00E24255"/>
    <w:rsid w:val="00E25B02"/>
    <w:rsid w:val="00E26122"/>
    <w:rsid w:val="00E26708"/>
    <w:rsid w:val="00E26726"/>
    <w:rsid w:val="00E27ED3"/>
    <w:rsid w:val="00E31279"/>
    <w:rsid w:val="00E33219"/>
    <w:rsid w:val="00E41F9B"/>
    <w:rsid w:val="00E43831"/>
    <w:rsid w:val="00E4488A"/>
    <w:rsid w:val="00E45538"/>
    <w:rsid w:val="00E46A86"/>
    <w:rsid w:val="00E506FB"/>
    <w:rsid w:val="00E52116"/>
    <w:rsid w:val="00E53864"/>
    <w:rsid w:val="00E560A5"/>
    <w:rsid w:val="00E56298"/>
    <w:rsid w:val="00E57B3E"/>
    <w:rsid w:val="00E6074B"/>
    <w:rsid w:val="00E61D2D"/>
    <w:rsid w:val="00E63960"/>
    <w:rsid w:val="00E63A92"/>
    <w:rsid w:val="00E647EE"/>
    <w:rsid w:val="00E64FE2"/>
    <w:rsid w:val="00E6697E"/>
    <w:rsid w:val="00E6759D"/>
    <w:rsid w:val="00E67A1C"/>
    <w:rsid w:val="00E707FD"/>
    <w:rsid w:val="00E81184"/>
    <w:rsid w:val="00E8142D"/>
    <w:rsid w:val="00E82219"/>
    <w:rsid w:val="00E825C0"/>
    <w:rsid w:val="00E82BA5"/>
    <w:rsid w:val="00E839D2"/>
    <w:rsid w:val="00E855F0"/>
    <w:rsid w:val="00E85C41"/>
    <w:rsid w:val="00E90783"/>
    <w:rsid w:val="00E926EF"/>
    <w:rsid w:val="00E9306A"/>
    <w:rsid w:val="00E936F5"/>
    <w:rsid w:val="00E96047"/>
    <w:rsid w:val="00EA1647"/>
    <w:rsid w:val="00EA1E48"/>
    <w:rsid w:val="00EA4905"/>
    <w:rsid w:val="00EA4F83"/>
    <w:rsid w:val="00EA5B00"/>
    <w:rsid w:val="00EA5FFA"/>
    <w:rsid w:val="00EA634B"/>
    <w:rsid w:val="00EA70BF"/>
    <w:rsid w:val="00EA76AC"/>
    <w:rsid w:val="00EA777D"/>
    <w:rsid w:val="00EB0D71"/>
    <w:rsid w:val="00EB0E56"/>
    <w:rsid w:val="00EB1D67"/>
    <w:rsid w:val="00EB365E"/>
    <w:rsid w:val="00EB4391"/>
    <w:rsid w:val="00EB4FFB"/>
    <w:rsid w:val="00EB5012"/>
    <w:rsid w:val="00EB5F2C"/>
    <w:rsid w:val="00EC1EEC"/>
    <w:rsid w:val="00EC26EA"/>
    <w:rsid w:val="00EC2E60"/>
    <w:rsid w:val="00EC3268"/>
    <w:rsid w:val="00EC4E6B"/>
    <w:rsid w:val="00EC584D"/>
    <w:rsid w:val="00EC63C2"/>
    <w:rsid w:val="00ED0628"/>
    <w:rsid w:val="00ED0AFD"/>
    <w:rsid w:val="00ED1A4F"/>
    <w:rsid w:val="00ED26E8"/>
    <w:rsid w:val="00ED2C41"/>
    <w:rsid w:val="00ED39DC"/>
    <w:rsid w:val="00ED4254"/>
    <w:rsid w:val="00ED5F51"/>
    <w:rsid w:val="00ED73A4"/>
    <w:rsid w:val="00EE3006"/>
    <w:rsid w:val="00EE4152"/>
    <w:rsid w:val="00EE4D18"/>
    <w:rsid w:val="00EE5428"/>
    <w:rsid w:val="00EE7CDD"/>
    <w:rsid w:val="00EF1DFA"/>
    <w:rsid w:val="00EF2622"/>
    <w:rsid w:val="00EF3920"/>
    <w:rsid w:val="00EF5934"/>
    <w:rsid w:val="00EF5FD8"/>
    <w:rsid w:val="00EF7F40"/>
    <w:rsid w:val="00F0003A"/>
    <w:rsid w:val="00F0098C"/>
    <w:rsid w:val="00F01C69"/>
    <w:rsid w:val="00F038B7"/>
    <w:rsid w:val="00F04786"/>
    <w:rsid w:val="00F04B3D"/>
    <w:rsid w:val="00F0574F"/>
    <w:rsid w:val="00F069A3"/>
    <w:rsid w:val="00F06B5A"/>
    <w:rsid w:val="00F071F9"/>
    <w:rsid w:val="00F1040F"/>
    <w:rsid w:val="00F10B3B"/>
    <w:rsid w:val="00F10EED"/>
    <w:rsid w:val="00F11808"/>
    <w:rsid w:val="00F118F8"/>
    <w:rsid w:val="00F11DEA"/>
    <w:rsid w:val="00F17087"/>
    <w:rsid w:val="00F203B9"/>
    <w:rsid w:val="00F23A38"/>
    <w:rsid w:val="00F256B0"/>
    <w:rsid w:val="00F266AA"/>
    <w:rsid w:val="00F268DB"/>
    <w:rsid w:val="00F275FD"/>
    <w:rsid w:val="00F304E0"/>
    <w:rsid w:val="00F3158E"/>
    <w:rsid w:val="00F31832"/>
    <w:rsid w:val="00F31A73"/>
    <w:rsid w:val="00F31E0A"/>
    <w:rsid w:val="00F32ED9"/>
    <w:rsid w:val="00F34980"/>
    <w:rsid w:val="00F358C9"/>
    <w:rsid w:val="00F35F20"/>
    <w:rsid w:val="00F37B50"/>
    <w:rsid w:val="00F44E24"/>
    <w:rsid w:val="00F46C70"/>
    <w:rsid w:val="00F512F7"/>
    <w:rsid w:val="00F51D40"/>
    <w:rsid w:val="00F52119"/>
    <w:rsid w:val="00F53183"/>
    <w:rsid w:val="00F53912"/>
    <w:rsid w:val="00F54416"/>
    <w:rsid w:val="00F57DCB"/>
    <w:rsid w:val="00F606AB"/>
    <w:rsid w:val="00F62092"/>
    <w:rsid w:val="00F63B56"/>
    <w:rsid w:val="00F65D81"/>
    <w:rsid w:val="00F709D6"/>
    <w:rsid w:val="00F70AF2"/>
    <w:rsid w:val="00F71482"/>
    <w:rsid w:val="00F72DF1"/>
    <w:rsid w:val="00F73310"/>
    <w:rsid w:val="00F75BB4"/>
    <w:rsid w:val="00F80BB4"/>
    <w:rsid w:val="00F80F75"/>
    <w:rsid w:val="00F8126D"/>
    <w:rsid w:val="00F84AF8"/>
    <w:rsid w:val="00F86134"/>
    <w:rsid w:val="00F870A6"/>
    <w:rsid w:val="00F871E5"/>
    <w:rsid w:val="00F90E5C"/>
    <w:rsid w:val="00F936A3"/>
    <w:rsid w:val="00FA15A6"/>
    <w:rsid w:val="00FA2317"/>
    <w:rsid w:val="00FA2465"/>
    <w:rsid w:val="00FA4206"/>
    <w:rsid w:val="00FA42BD"/>
    <w:rsid w:val="00FA452C"/>
    <w:rsid w:val="00FA4E2B"/>
    <w:rsid w:val="00FB01D2"/>
    <w:rsid w:val="00FB0722"/>
    <w:rsid w:val="00FB13CF"/>
    <w:rsid w:val="00FB3235"/>
    <w:rsid w:val="00FB42C3"/>
    <w:rsid w:val="00FB438C"/>
    <w:rsid w:val="00FB4767"/>
    <w:rsid w:val="00FB499C"/>
    <w:rsid w:val="00FB5D6A"/>
    <w:rsid w:val="00FB610C"/>
    <w:rsid w:val="00FB7059"/>
    <w:rsid w:val="00FB7E9E"/>
    <w:rsid w:val="00FC0BF0"/>
    <w:rsid w:val="00FC108D"/>
    <w:rsid w:val="00FC2FCF"/>
    <w:rsid w:val="00FC3938"/>
    <w:rsid w:val="00FC49DE"/>
    <w:rsid w:val="00FC60A8"/>
    <w:rsid w:val="00FC7D14"/>
    <w:rsid w:val="00FD1365"/>
    <w:rsid w:val="00FD14C4"/>
    <w:rsid w:val="00FD16C7"/>
    <w:rsid w:val="00FD3373"/>
    <w:rsid w:val="00FD4669"/>
    <w:rsid w:val="00FD47DA"/>
    <w:rsid w:val="00FD4EBB"/>
    <w:rsid w:val="00FD68A2"/>
    <w:rsid w:val="00FD6A0F"/>
    <w:rsid w:val="00FD6ADC"/>
    <w:rsid w:val="00FE023C"/>
    <w:rsid w:val="00FE66A3"/>
    <w:rsid w:val="00FE7511"/>
    <w:rsid w:val="00FE792F"/>
    <w:rsid w:val="00FF0248"/>
    <w:rsid w:val="00FF15CB"/>
    <w:rsid w:val="00FF1925"/>
    <w:rsid w:val="00FF2082"/>
    <w:rsid w:val="00FF4536"/>
    <w:rsid w:val="00FF54A4"/>
    <w:rsid w:val="00FF5ED4"/>
    <w:rsid w:val="01474C16"/>
    <w:rsid w:val="01C163A9"/>
    <w:rsid w:val="02D2F082"/>
    <w:rsid w:val="03BAA33C"/>
    <w:rsid w:val="04E4A643"/>
    <w:rsid w:val="06CAF75F"/>
    <w:rsid w:val="07269EA3"/>
    <w:rsid w:val="08437D01"/>
    <w:rsid w:val="087456BF"/>
    <w:rsid w:val="09054FCC"/>
    <w:rsid w:val="0956B20D"/>
    <w:rsid w:val="0B7562A3"/>
    <w:rsid w:val="0C51D319"/>
    <w:rsid w:val="0F7ADD10"/>
    <w:rsid w:val="1002FE1A"/>
    <w:rsid w:val="10B83A43"/>
    <w:rsid w:val="10EF63E9"/>
    <w:rsid w:val="113CCE62"/>
    <w:rsid w:val="133B619B"/>
    <w:rsid w:val="13868487"/>
    <w:rsid w:val="14630157"/>
    <w:rsid w:val="148DEBDA"/>
    <w:rsid w:val="14CDBB53"/>
    <w:rsid w:val="152688B7"/>
    <w:rsid w:val="156DFE95"/>
    <w:rsid w:val="18BB7D3C"/>
    <w:rsid w:val="1B7EF3FA"/>
    <w:rsid w:val="1B81ED1E"/>
    <w:rsid w:val="1C0D279C"/>
    <w:rsid w:val="1D4B3C8E"/>
    <w:rsid w:val="1D60A3F0"/>
    <w:rsid w:val="1DEC5AA7"/>
    <w:rsid w:val="1E804CB9"/>
    <w:rsid w:val="1F13DCEE"/>
    <w:rsid w:val="1F204185"/>
    <w:rsid w:val="1F3EC991"/>
    <w:rsid w:val="2103FA49"/>
    <w:rsid w:val="2345D956"/>
    <w:rsid w:val="235BCFED"/>
    <w:rsid w:val="2367F325"/>
    <w:rsid w:val="23A25535"/>
    <w:rsid w:val="2494EABA"/>
    <w:rsid w:val="25BC5B8F"/>
    <w:rsid w:val="25E39FCC"/>
    <w:rsid w:val="260D9929"/>
    <w:rsid w:val="262F32F9"/>
    <w:rsid w:val="2672B51F"/>
    <w:rsid w:val="2690E270"/>
    <w:rsid w:val="26D73DB8"/>
    <w:rsid w:val="28D2DD65"/>
    <w:rsid w:val="2BE8F83A"/>
    <w:rsid w:val="2C9A6F88"/>
    <w:rsid w:val="2DE6374B"/>
    <w:rsid w:val="2E00F35E"/>
    <w:rsid w:val="2E47CD80"/>
    <w:rsid w:val="2F4917BF"/>
    <w:rsid w:val="30A5628A"/>
    <w:rsid w:val="319B70FF"/>
    <w:rsid w:val="31CD4602"/>
    <w:rsid w:val="326568BF"/>
    <w:rsid w:val="3375DBB4"/>
    <w:rsid w:val="3494974A"/>
    <w:rsid w:val="34A301AE"/>
    <w:rsid w:val="3507E62C"/>
    <w:rsid w:val="35758E5A"/>
    <w:rsid w:val="363AB3B5"/>
    <w:rsid w:val="36909264"/>
    <w:rsid w:val="38126F45"/>
    <w:rsid w:val="386CA7D8"/>
    <w:rsid w:val="393A4F05"/>
    <w:rsid w:val="39622770"/>
    <w:rsid w:val="39B33CCD"/>
    <w:rsid w:val="3BC48999"/>
    <w:rsid w:val="3C05F93D"/>
    <w:rsid w:val="3C4D51CC"/>
    <w:rsid w:val="3C5D7665"/>
    <w:rsid w:val="3C73EC23"/>
    <w:rsid w:val="3CF2889D"/>
    <w:rsid w:val="3DC69EF0"/>
    <w:rsid w:val="3E84F3EB"/>
    <w:rsid w:val="3EE48888"/>
    <w:rsid w:val="426E8FA7"/>
    <w:rsid w:val="42A0789C"/>
    <w:rsid w:val="42BC417F"/>
    <w:rsid w:val="4315FE8A"/>
    <w:rsid w:val="4343DA79"/>
    <w:rsid w:val="43BE0533"/>
    <w:rsid w:val="441ACE5A"/>
    <w:rsid w:val="447EBE6A"/>
    <w:rsid w:val="45946883"/>
    <w:rsid w:val="45D18F3E"/>
    <w:rsid w:val="469001BB"/>
    <w:rsid w:val="4952C0BD"/>
    <w:rsid w:val="49903580"/>
    <w:rsid w:val="4B2C61DC"/>
    <w:rsid w:val="4C6EE7A4"/>
    <w:rsid w:val="4C94E50D"/>
    <w:rsid w:val="4D15170E"/>
    <w:rsid w:val="4D53FDFD"/>
    <w:rsid w:val="4D8D64FA"/>
    <w:rsid w:val="4EF1D7AF"/>
    <w:rsid w:val="4F34B7FE"/>
    <w:rsid w:val="4F68E573"/>
    <w:rsid w:val="4F9180F2"/>
    <w:rsid w:val="4F9349DB"/>
    <w:rsid w:val="4FD76B33"/>
    <w:rsid w:val="5009B595"/>
    <w:rsid w:val="5038B2E6"/>
    <w:rsid w:val="50CC4C57"/>
    <w:rsid w:val="51841C46"/>
    <w:rsid w:val="52B6AB14"/>
    <w:rsid w:val="52FCF08A"/>
    <w:rsid w:val="53623F99"/>
    <w:rsid w:val="545E652C"/>
    <w:rsid w:val="553BFE35"/>
    <w:rsid w:val="553F850C"/>
    <w:rsid w:val="574263E8"/>
    <w:rsid w:val="592FDB82"/>
    <w:rsid w:val="59D00EB5"/>
    <w:rsid w:val="5A37724C"/>
    <w:rsid w:val="5A83AF2A"/>
    <w:rsid w:val="5B370EB2"/>
    <w:rsid w:val="5C73700F"/>
    <w:rsid w:val="5DA21B10"/>
    <w:rsid w:val="5E32F125"/>
    <w:rsid w:val="5E865DAF"/>
    <w:rsid w:val="5F11146A"/>
    <w:rsid w:val="5F8912FC"/>
    <w:rsid w:val="5FE9ADDB"/>
    <w:rsid w:val="602AB635"/>
    <w:rsid w:val="60CA5F95"/>
    <w:rsid w:val="6224A52A"/>
    <w:rsid w:val="650F339C"/>
    <w:rsid w:val="67974A60"/>
    <w:rsid w:val="68BAA9BE"/>
    <w:rsid w:val="690DFDF8"/>
    <w:rsid w:val="6A7564CF"/>
    <w:rsid w:val="6A843026"/>
    <w:rsid w:val="6AA6BAF2"/>
    <w:rsid w:val="6C307211"/>
    <w:rsid w:val="6CBB94A8"/>
    <w:rsid w:val="6CD46FE3"/>
    <w:rsid w:val="6F20DB14"/>
    <w:rsid w:val="6F73587B"/>
    <w:rsid w:val="706FE9BC"/>
    <w:rsid w:val="714BA962"/>
    <w:rsid w:val="717D19AB"/>
    <w:rsid w:val="7350C125"/>
    <w:rsid w:val="73B722A2"/>
    <w:rsid w:val="74565161"/>
    <w:rsid w:val="748F18EF"/>
    <w:rsid w:val="76418533"/>
    <w:rsid w:val="7683E78B"/>
    <w:rsid w:val="76DC7021"/>
    <w:rsid w:val="7817E911"/>
    <w:rsid w:val="78FE1C6A"/>
    <w:rsid w:val="79062EC8"/>
    <w:rsid w:val="791C02E5"/>
    <w:rsid w:val="7A5CCADA"/>
    <w:rsid w:val="7A683F71"/>
    <w:rsid w:val="7BFB0AB3"/>
    <w:rsid w:val="7C64549A"/>
    <w:rsid w:val="7CB24173"/>
    <w:rsid w:val="7CEE468A"/>
    <w:rsid w:val="7DCF6C52"/>
    <w:rsid w:val="7E449CAF"/>
    <w:rsid w:val="7F48AFB7"/>
    <w:rsid w:val="7F4DF1D9"/>
    <w:rsid w:val="7FD104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F96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A3A"/>
    <w:pPr>
      <w:spacing w:after="0" w:line="360" w:lineRule="auto"/>
    </w:pPr>
    <w:rPr>
      <w:rFonts w:ascii="Times New Roman" w:hAnsi="Times New Roman"/>
    </w:rPr>
  </w:style>
  <w:style w:type="paragraph" w:styleId="Heading1">
    <w:name w:val="heading 1"/>
    <w:basedOn w:val="Normal"/>
    <w:next w:val="Normal"/>
    <w:link w:val="Heading1Char"/>
    <w:uiPriority w:val="9"/>
    <w:qFormat/>
    <w:rsid w:val="009809E9"/>
    <w:pPr>
      <w:spacing w:line="240" w:lineRule="auto"/>
      <w:jc w:val="center"/>
      <w:outlineLvl w:val="0"/>
    </w:pPr>
    <w:rPr>
      <w:b/>
      <w:bCs/>
      <w:sz w:val="26"/>
      <w:szCs w:val="26"/>
    </w:rPr>
  </w:style>
  <w:style w:type="paragraph" w:styleId="Heading2">
    <w:name w:val="heading 2"/>
    <w:basedOn w:val="Normal"/>
    <w:next w:val="Normal"/>
    <w:link w:val="Heading2Char"/>
    <w:uiPriority w:val="9"/>
    <w:unhideWhenUsed/>
    <w:qFormat/>
    <w:rsid w:val="002C664F"/>
    <w:pPr>
      <w:numPr>
        <w:numId w:val="16"/>
      </w:numPr>
      <w:spacing w:line="240" w:lineRule="auto"/>
      <w:ind w:left="720"/>
      <w:jc w:val="both"/>
      <w:outlineLvl w:val="1"/>
    </w:pPr>
    <w:rPr>
      <w:rFonts w:eastAsia="Times New Roman" w:cs="Times New Roman"/>
      <w:b/>
      <w:bCs/>
      <w:color w:val="000000"/>
      <w:kern w:val="0"/>
      <w:sz w:val="26"/>
      <w:szCs w:val="26"/>
      <w14:ligatures w14:val="none"/>
    </w:rPr>
  </w:style>
  <w:style w:type="paragraph" w:styleId="Heading3">
    <w:name w:val="heading 3"/>
    <w:basedOn w:val="ListParagraph"/>
    <w:next w:val="Normal"/>
    <w:link w:val="Heading3Char"/>
    <w:uiPriority w:val="9"/>
    <w:unhideWhenUsed/>
    <w:qFormat/>
    <w:rsid w:val="002C664F"/>
    <w:pPr>
      <w:numPr>
        <w:numId w:val="18"/>
      </w:numPr>
      <w:spacing w:line="240" w:lineRule="auto"/>
      <w:jc w:val="both"/>
      <w:outlineLvl w:val="2"/>
    </w:pPr>
    <w:rPr>
      <w:rFonts w:eastAsia="Times New Roman" w:cs="Times New Roman"/>
      <w:i/>
      <w:iCs/>
      <w:color w:val="000000"/>
      <w:kern w:val="0"/>
      <w:sz w:val="26"/>
      <w:szCs w:val="26"/>
      <w14:ligatures w14:val="none"/>
    </w:rPr>
  </w:style>
  <w:style w:type="paragraph" w:styleId="Heading4">
    <w:name w:val="heading 4"/>
    <w:basedOn w:val="ListParagraph"/>
    <w:next w:val="Normal"/>
    <w:link w:val="Heading4Char"/>
    <w:uiPriority w:val="9"/>
    <w:unhideWhenUsed/>
    <w:qFormat/>
    <w:rsid w:val="00731654"/>
    <w:pPr>
      <w:numPr>
        <w:numId w:val="15"/>
      </w:numPr>
      <w:spacing w:line="240" w:lineRule="auto"/>
      <w:jc w:val="both"/>
      <w:outlineLvl w:val="3"/>
    </w:pPr>
    <w:rPr>
      <w:rFonts w:eastAsia="Times New Roman" w:cs="Times New Roman"/>
      <w:i/>
      <w:iCs/>
      <w:kern w:val="0"/>
      <w14:ligatures w14:val="none"/>
    </w:rPr>
  </w:style>
  <w:style w:type="paragraph" w:styleId="Heading5">
    <w:name w:val="heading 5"/>
    <w:basedOn w:val="Normal"/>
    <w:next w:val="Normal"/>
    <w:link w:val="Heading5Char"/>
    <w:uiPriority w:val="9"/>
    <w:semiHidden/>
    <w:unhideWhenUsed/>
    <w:qFormat/>
    <w:rsid w:val="000D02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022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022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022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022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9E9"/>
    <w:rPr>
      <w:rFonts w:ascii="Times New Roman" w:hAnsi="Times New Roman"/>
      <w:b/>
      <w:bCs/>
      <w:sz w:val="26"/>
      <w:szCs w:val="26"/>
    </w:rPr>
  </w:style>
  <w:style w:type="character" w:customStyle="1" w:styleId="Heading2Char">
    <w:name w:val="Heading 2 Char"/>
    <w:basedOn w:val="DefaultParagraphFont"/>
    <w:link w:val="Heading2"/>
    <w:uiPriority w:val="9"/>
    <w:rsid w:val="002C664F"/>
    <w:rPr>
      <w:rFonts w:ascii="Times New Roman" w:eastAsia="Times New Roman" w:hAnsi="Times New Roman" w:cs="Times New Roman"/>
      <w:b/>
      <w:bCs/>
      <w:color w:val="000000"/>
      <w:kern w:val="0"/>
      <w:sz w:val="26"/>
      <w:szCs w:val="26"/>
      <w14:ligatures w14:val="none"/>
    </w:rPr>
  </w:style>
  <w:style w:type="character" w:customStyle="1" w:styleId="Heading3Char">
    <w:name w:val="Heading 3 Char"/>
    <w:basedOn w:val="DefaultParagraphFont"/>
    <w:link w:val="Heading3"/>
    <w:uiPriority w:val="9"/>
    <w:rsid w:val="002C664F"/>
    <w:rPr>
      <w:rFonts w:ascii="Times New Roman" w:eastAsia="Times New Roman" w:hAnsi="Times New Roman" w:cs="Times New Roman"/>
      <w:i/>
      <w:iCs/>
      <w:color w:val="000000"/>
      <w:kern w:val="0"/>
      <w:sz w:val="26"/>
      <w:szCs w:val="26"/>
      <w14:ligatures w14:val="none"/>
    </w:rPr>
  </w:style>
  <w:style w:type="paragraph" w:styleId="ListParagraph">
    <w:name w:val="List Paragraph"/>
    <w:basedOn w:val="Normal"/>
    <w:uiPriority w:val="34"/>
    <w:qFormat/>
    <w:rsid w:val="003B5A3A"/>
    <w:pPr>
      <w:ind w:left="720"/>
      <w:contextualSpacing/>
    </w:pPr>
  </w:style>
  <w:style w:type="character" w:customStyle="1" w:styleId="Heading4Char">
    <w:name w:val="Heading 4 Char"/>
    <w:basedOn w:val="DefaultParagraphFont"/>
    <w:link w:val="Heading4"/>
    <w:uiPriority w:val="9"/>
    <w:rsid w:val="00731654"/>
    <w:rPr>
      <w:rFonts w:ascii="Times New Roman" w:eastAsia="Times New Roman" w:hAnsi="Times New Roman" w:cs="Times New Roman"/>
      <w:i/>
      <w:iCs/>
      <w:kern w:val="0"/>
      <w14:ligatures w14:val="none"/>
    </w:rPr>
  </w:style>
  <w:style w:type="character" w:customStyle="1" w:styleId="Heading5Char">
    <w:name w:val="Heading 5 Char"/>
    <w:basedOn w:val="DefaultParagraphFont"/>
    <w:link w:val="Heading5"/>
    <w:uiPriority w:val="9"/>
    <w:semiHidden/>
    <w:rsid w:val="000D0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22F"/>
    <w:rPr>
      <w:rFonts w:eastAsiaTheme="majorEastAsia" w:cstheme="majorBidi"/>
      <w:color w:val="272727" w:themeColor="text1" w:themeTint="D8"/>
    </w:rPr>
  </w:style>
  <w:style w:type="paragraph" w:styleId="Title">
    <w:name w:val="Title"/>
    <w:basedOn w:val="Normal"/>
    <w:next w:val="Normal"/>
    <w:link w:val="TitleChar"/>
    <w:uiPriority w:val="10"/>
    <w:qFormat/>
    <w:rsid w:val="000D0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2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2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022F"/>
    <w:rPr>
      <w:rFonts w:ascii="Times New Roman" w:hAnsi="Times New Roman"/>
      <w:i/>
      <w:iCs/>
      <w:color w:val="404040" w:themeColor="text1" w:themeTint="BF"/>
    </w:rPr>
  </w:style>
  <w:style w:type="character" w:styleId="IntenseEmphasis">
    <w:name w:val="Intense Emphasis"/>
    <w:basedOn w:val="DefaultParagraphFont"/>
    <w:uiPriority w:val="21"/>
    <w:qFormat/>
    <w:rsid w:val="000D022F"/>
    <w:rPr>
      <w:i/>
      <w:iCs/>
      <w:color w:val="0F4761" w:themeColor="accent1" w:themeShade="BF"/>
    </w:rPr>
  </w:style>
  <w:style w:type="paragraph" w:styleId="IntenseQuote">
    <w:name w:val="Intense Quote"/>
    <w:basedOn w:val="Normal"/>
    <w:next w:val="Normal"/>
    <w:link w:val="IntenseQuoteChar"/>
    <w:uiPriority w:val="30"/>
    <w:qFormat/>
    <w:rsid w:val="000D0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22F"/>
    <w:rPr>
      <w:rFonts w:ascii="Times New Roman" w:hAnsi="Times New Roman"/>
      <w:i/>
      <w:iCs/>
      <w:color w:val="0F4761" w:themeColor="accent1" w:themeShade="BF"/>
    </w:rPr>
  </w:style>
  <w:style w:type="character" w:styleId="IntenseReference">
    <w:name w:val="Intense Reference"/>
    <w:basedOn w:val="DefaultParagraphFont"/>
    <w:uiPriority w:val="32"/>
    <w:qFormat/>
    <w:rsid w:val="000D022F"/>
    <w:rPr>
      <w:b/>
      <w:bCs/>
      <w:smallCaps/>
      <w:color w:val="0F4761" w:themeColor="accent1" w:themeShade="BF"/>
      <w:spacing w:val="5"/>
    </w:rPr>
  </w:style>
  <w:style w:type="paragraph" w:styleId="Header">
    <w:name w:val="header"/>
    <w:basedOn w:val="Normal"/>
    <w:link w:val="HeaderChar"/>
    <w:uiPriority w:val="99"/>
    <w:unhideWhenUsed/>
    <w:rsid w:val="00597BDD"/>
    <w:pPr>
      <w:tabs>
        <w:tab w:val="center" w:pos="4680"/>
        <w:tab w:val="right" w:pos="9360"/>
      </w:tabs>
      <w:spacing w:line="240" w:lineRule="auto"/>
    </w:pPr>
  </w:style>
  <w:style w:type="character" w:customStyle="1" w:styleId="HeaderChar">
    <w:name w:val="Header Char"/>
    <w:basedOn w:val="DefaultParagraphFont"/>
    <w:link w:val="Header"/>
    <w:uiPriority w:val="99"/>
    <w:rsid w:val="00597BDD"/>
    <w:rPr>
      <w:rFonts w:ascii="Times New Roman" w:hAnsi="Times New Roman"/>
    </w:rPr>
  </w:style>
  <w:style w:type="paragraph" w:styleId="Footer">
    <w:name w:val="footer"/>
    <w:basedOn w:val="Normal"/>
    <w:link w:val="FooterChar"/>
    <w:uiPriority w:val="99"/>
    <w:unhideWhenUsed/>
    <w:rsid w:val="00597BDD"/>
    <w:pPr>
      <w:tabs>
        <w:tab w:val="center" w:pos="4680"/>
        <w:tab w:val="right" w:pos="9360"/>
      </w:tabs>
      <w:spacing w:line="240" w:lineRule="auto"/>
    </w:pPr>
  </w:style>
  <w:style w:type="character" w:customStyle="1" w:styleId="FooterChar">
    <w:name w:val="Footer Char"/>
    <w:basedOn w:val="DefaultParagraphFont"/>
    <w:link w:val="Footer"/>
    <w:uiPriority w:val="99"/>
    <w:rsid w:val="00597BDD"/>
    <w:rPr>
      <w:rFonts w:ascii="Times New Roman" w:hAnsi="Times New Roman"/>
    </w:rPr>
  </w:style>
  <w:style w:type="paragraph" w:styleId="TOCHeading">
    <w:name w:val="TOC Heading"/>
    <w:basedOn w:val="Heading1"/>
    <w:next w:val="Normal"/>
    <w:uiPriority w:val="39"/>
    <w:unhideWhenUsed/>
    <w:qFormat/>
    <w:rsid w:val="005B6BF2"/>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5B6BF2"/>
    <w:pPr>
      <w:spacing w:after="100"/>
    </w:pPr>
  </w:style>
  <w:style w:type="paragraph" w:styleId="TOC2">
    <w:name w:val="toc 2"/>
    <w:basedOn w:val="Normal"/>
    <w:next w:val="Normal"/>
    <w:autoRedefine/>
    <w:uiPriority w:val="39"/>
    <w:unhideWhenUsed/>
    <w:rsid w:val="00246203"/>
    <w:pPr>
      <w:tabs>
        <w:tab w:val="left" w:pos="720"/>
        <w:tab w:val="right" w:leader="dot" w:pos="9350"/>
      </w:tabs>
      <w:spacing w:after="100"/>
      <w:ind w:left="240"/>
    </w:pPr>
    <w:rPr>
      <w:b/>
      <w:bCs/>
      <w:noProof/>
    </w:rPr>
  </w:style>
  <w:style w:type="paragraph" w:styleId="TOC3">
    <w:name w:val="toc 3"/>
    <w:basedOn w:val="Normal"/>
    <w:next w:val="Normal"/>
    <w:autoRedefine/>
    <w:uiPriority w:val="39"/>
    <w:unhideWhenUsed/>
    <w:rsid w:val="00246203"/>
    <w:pPr>
      <w:tabs>
        <w:tab w:val="left" w:pos="960"/>
        <w:tab w:val="right" w:leader="dot" w:pos="9350"/>
      </w:tabs>
      <w:spacing w:after="100"/>
      <w:ind w:left="480"/>
    </w:pPr>
    <w:rPr>
      <w:i/>
      <w:iCs/>
      <w:noProof/>
    </w:rPr>
  </w:style>
  <w:style w:type="character" w:styleId="Hyperlink">
    <w:name w:val="Hyperlink"/>
    <w:basedOn w:val="DefaultParagraphFont"/>
    <w:uiPriority w:val="99"/>
    <w:unhideWhenUsed/>
    <w:rsid w:val="005B6BF2"/>
    <w:rPr>
      <w:color w:val="467886" w:themeColor="hyperlink"/>
      <w:u w:val="single"/>
    </w:rPr>
  </w:style>
  <w:style w:type="paragraph" w:styleId="TOAHeading">
    <w:name w:val="toa heading"/>
    <w:basedOn w:val="Normal"/>
    <w:next w:val="Normal"/>
    <w:uiPriority w:val="99"/>
    <w:unhideWhenUsed/>
    <w:rsid w:val="002632B9"/>
    <w:pPr>
      <w:spacing w:before="120"/>
    </w:pPr>
    <w:rPr>
      <w:rFonts w:eastAsiaTheme="majorEastAsia" w:cstheme="majorBidi"/>
      <w:b/>
      <w:bCs/>
      <w:sz w:val="26"/>
    </w:rPr>
  </w:style>
  <w:style w:type="paragraph" w:styleId="TableofAuthorities">
    <w:name w:val="table of authorities"/>
    <w:basedOn w:val="Normal"/>
    <w:next w:val="Normal"/>
    <w:uiPriority w:val="99"/>
    <w:semiHidden/>
    <w:unhideWhenUsed/>
    <w:rsid w:val="000E485F"/>
    <w:pPr>
      <w:ind w:left="240" w:hanging="240"/>
    </w:pPr>
  </w:style>
  <w:style w:type="character" w:styleId="CommentReference">
    <w:name w:val="annotation reference"/>
    <w:basedOn w:val="DefaultParagraphFont"/>
    <w:uiPriority w:val="99"/>
    <w:semiHidden/>
    <w:unhideWhenUsed/>
    <w:rsid w:val="00B41755"/>
    <w:rPr>
      <w:sz w:val="16"/>
      <w:szCs w:val="16"/>
    </w:rPr>
  </w:style>
  <w:style w:type="paragraph" w:styleId="CommentText">
    <w:name w:val="annotation text"/>
    <w:basedOn w:val="Normal"/>
    <w:link w:val="CommentTextChar"/>
    <w:uiPriority w:val="99"/>
    <w:unhideWhenUsed/>
    <w:rsid w:val="00B41755"/>
    <w:pPr>
      <w:spacing w:line="240" w:lineRule="auto"/>
    </w:pPr>
    <w:rPr>
      <w:sz w:val="20"/>
      <w:szCs w:val="20"/>
    </w:rPr>
  </w:style>
  <w:style w:type="character" w:customStyle="1" w:styleId="CommentTextChar">
    <w:name w:val="Comment Text Char"/>
    <w:basedOn w:val="DefaultParagraphFont"/>
    <w:link w:val="CommentText"/>
    <w:uiPriority w:val="99"/>
    <w:rsid w:val="00B4175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41755"/>
    <w:rPr>
      <w:b/>
      <w:bCs/>
    </w:rPr>
  </w:style>
  <w:style w:type="character" w:customStyle="1" w:styleId="CommentSubjectChar">
    <w:name w:val="Comment Subject Char"/>
    <w:basedOn w:val="CommentTextChar"/>
    <w:link w:val="CommentSubject"/>
    <w:uiPriority w:val="99"/>
    <w:semiHidden/>
    <w:rsid w:val="00B41755"/>
    <w:rPr>
      <w:rFonts w:ascii="Times New Roman" w:hAnsi="Times New Roman"/>
      <w:b/>
      <w:bCs/>
      <w:sz w:val="20"/>
      <w:szCs w:val="20"/>
    </w:rPr>
  </w:style>
  <w:style w:type="paragraph" w:styleId="Revision">
    <w:name w:val="Revision"/>
    <w:hidden/>
    <w:uiPriority w:val="99"/>
    <w:semiHidden/>
    <w:rsid w:val="002C664F"/>
    <w:pPr>
      <w:spacing w:after="0" w:line="240" w:lineRule="auto"/>
    </w:pPr>
    <w:rPr>
      <w:rFonts w:ascii="Times New Roman" w:hAnsi="Times New Roman"/>
    </w:rPr>
  </w:style>
  <w:style w:type="paragraph" w:styleId="TOC4">
    <w:name w:val="toc 4"/>
    <w:basedOn w:val="Normal"/>
    <w:next w:val="Normal"/>
    <w:autoRedefine/>
    <w:uiPriority w:val="39"/>
    <w:unhideWhenUsed/>
    <w:rsid w:val="00A42845"/>
    <w:pPr>
      <w:tabs>
        <w:tab w:val="left" w:pos="1200"/>
        <w:tab w:val="right" w:leader="dot" w:pos="9350"/>
      </w:tabs>
      <w:spacing w:after="100"/>
      <w:ind w:left="720"/>
    </w:pPr>
    <w:rPr>
      <w:i/>
      <w:i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282FFA2F-39B0-46BB-B09A-26452DD2FDA5}"/>
</file>

<file path=customXml/itemProps2.xml><?xml version="1.0" encoding="utf-8"?>
<ds:datastoreItem xmlns:ds="http://schemas.openxmlformats.org/officeDocument/2006/customXml" ds:itemID="{46F3BB3D-582B-4373-86B9-1F23184C9415}"/>
</file>

<file path=customXml/itemProps3.xml><?xml version="1.0" encoding="utf-8"?>
<ds:datastoreItem xmlns:ds="http://schemas.openxmlformats.org/officeDocument/2006/customXml" ds:itemID="{77032C8E-132D-4E1F-BB9E-5FAAD2731CAD}"/>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5596</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2026-09-09T00:41:00Z</dcterms:created>
  <dcterms:modified xsi:type="dcterms:W3CDTF">2026-09-09T00:41:00Z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