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5082" w14:textId="77777777" w:rsidR="005375FB" w:rsidRPr="00102FD5" w:rsidRDefault="005375FB" w:rsidP="004B5F07">
      <w:pPr>
        <w:pBdr>
          <w:bottom w:val="thinThickThinMediumGap" w:sz="18" w:space="1" w:color="auto"/>
        </w:pBdr>
        <w:jc w:val="center"/>
        <w:rPr>
          <w:rFonts w:ascii="Times New Roman" w:hAnsi="Times New Roman" w:cs="Times New Roman"/>
          <w:b/>
          <w:color w:val="000000" w:themeColor="text1"/>
          <w:sz w:val="26"/>
          <w:szCs w:val="26"/>
        </w:rPr>
      </w:pPr>
    </w:p>
    <w:p w14:paraId="26470D9C" w14:textId="77777777" w:rsidR="005375FB" w:rsidRPr="00102FD5" w:rsidRDefault="005375FB" w:rsidP="004B5F07">
      <w:pPr>
        <w:pBdr>
          <w:bottom w:val="thinThickThinMediumGap" w:sz="18" w:space="1" w:color="auto"/>
        </w:pBdr>
        <w:jc w:val="center"/>
        <w:rPr>
          <w:rFonts w:ascii="Times New Roman" w:hAnsi="Times New Roman" w:cs="Times New Roman"/>
          <w:b/>
          <w:color w:val="000000" w:themeColor="text1"/>
          <w:sz w:val="26"/>
          <w:szCs w:val="26"/>
        </w:rPr>
      </w:pPr>
    </w:p>
    <w:p w14:paraId="373840AE" w14:textId="77777777" w:rsidR="005375FB" w:rsidRPr="00102FD5" w:rsidRDefault="005375FB" w:rsidP="007F0BA9">
      <w:pPr>
        <w:pBdr>
          <w:bottom w:val="thinThickThinMediumGap" w:sz="18" w:space="1" w:color="auto"/>
        </w:pBdr>
        <w:jc w:val="center"/>
        <w:rPr>
          <w:rFonts w:ascii="Times New Roman" w:hAnsi="Times New Roman" w:cs="Times New Roman"/>
          <w:b/>
          <w:color w:val="000000" w:themeColor="text1"/>
          <w:sz w:val="26"/>
          <w:szCs w:val="26"/>
        </w:rPr>
      </w:pPr>
    </w:p>
    <w:p w14:paraId="5FB75551" w14:textId="77777777" w:rsidR="005375FB" w:rsidRPr="00102FD5" w:rsidRDefault="005375FB" w:rsidP="004B5F07">
      <w:pPr>
        <w:pBdr>
          <w:bottom w:val="thinThickThinMediumGap" w:sz="18" w:space="1" w:color="auto"/>
        </w:pBdr>
        <w:jc w:val="center"/>
        <w:rPr>
          <w:rFonts w:ascii="Times New Roman" w:hAnsi="Times New Roman" w:cs="Times New Roman"/>
          <w:b/>
          <w:color w:val="000000" w:themeColor="text1"/>
          <w:sz w:val="26"/>
          <w:szCs w:val="26"/>
        </w:rPr>
      </w:pPr>
    </w:p>
    <w:p w14:paraId="4D7D1E5D" w14:textId="7921E068" w:rsidR="004B5F07" w:rsidRPr="00102FD5" w:rsidRDefault="000E2E84" w:rsidP="005375FB">
      <w:pPr>
        <w:pBdr>
          <w:bottom w:val="thinThickThinMediumGap" w:sz="18" w:space="1" w:color="auto"/>
        </w:pBdr>
        <w:jc w:val="center"/>
        <w:rPr>
          <w:rFonts w:ascii="Times New Roman" w:hAnsi="Times New Roman" w:cs="Times New Roman"/>
          <w:b/>
          <w:color w:val="000000" w:themeColor="text1"/>
          <w:sz w:val="26"/>
          <w:szCs w:val="26"/>
        </w:rPr>
      </w:pPr>
      <w:r w:rsidRPr="00102FD5">
        <w:rPr>
          <w:rFonts w:ascii="Times New Roman" w:hAnsi="Times New Roman" w:cs="Times New Roman"/>
          <w:b/>
          <w:color w:val="000000" w:themeColor="text1"/>
          <w:sz w:val="26"/>
          <w:szCs w:val="26"/>
        </w:rPr>
        <w:t xml:space="preserve">Case </w:t>
      </w:r>
      <w:r w:rsidR="001B4BBE" w:rsidRPr="00102FD5">
        <w:rPr>
          <w:rFonts w:ascii="Times New Roman" w:hAnsi="Times New Roman" w:cs="Times New Roman"/>
          <w:b/>
          <w:color w:val="000000" w:themeColor="text1"/>
          <w:sz w:val="26"/>
          <w:szCs w:val="26"/>
        </w:rPr>
        <w:t>No. 2</w:t>
      </w:r>
      <w:r w:rsidRPr="00102FD5">
        <w:rPr>
          <w:rFonts w:ascii="Times New Roman" w:hAnsi="Times New Roman" w:cs="Times New Roman"/>
          <w:b/>
          <w:color w:val="000000" w:themeColor="text1"/>
          <w:sz w:val="26"/>
          <w:szCs w:val="26"/>
        </w:rPr>
        <w:t>025-CF-00417</w:t>
      </w:r>
    </w:p>
    <w:p w14:paraId="56B68A65" w14:textId="77777777" w:rsidR="004B5F07" w:rsidRPr="00102FD5" w:rsidRDefault="004B5F07" w:rsidP="004B5F07">
      <w:pPr>
        <w:jc w:val="center"/>
        <w:rPr>
          <w:rFonts w:ascii="Times New Roman" w:hAnsi="Times New Roman" w:cs="Times New Roman"/>
          <w:b/>
          <w:color w:val="000000" w:themeColor="text1"/>
          <w:sz w:val="26"/>
          <w:szCs w:val="26"/>
        </w:rPr>
      </w:pPr>
    </w:p>
    <w:p w14:paraId="11821201" w14:textId="4DFD7196" w:rsidR="004B5F07" w:rsidRPr="00102FD5" w:rsidRDefault="004B5F07" w:rsidP="00DA2DF9">
      <w:pPr>
        <w:jc w:val="center"/>
        <w:rPr>
          <w:rFonts w:ascii="Times New Roman" w:hAnsi="Times New Roman" w:cs="Times New Roman"/>
          <w:b/>
          <w:color w:val="000000" w:themeColor="text1"/>
          <w:sz w:val="26"/>
          <w:szCs w:val="26"/>
        </w:rPr>
      </w:pPr>
      <w:r w:rsidRPr="00102FD5">
        <w:rPr>
          <w:rFonts w:ascii="Times New Roman" w:hAnsi="Times New Roman" w:cs="Times New Roman"/>
          <w:b/>
          <w:color w:val="000000" w:themeColor="text1"/>
          <w:sz w:val="26"/>
          <w:szCs w:val="26"/>
        </w:rPr>
        <w:t xml:space="preserve">UNITED STATES COURT </w:t>
      </w:r>
      <w:r w:rsidR="000F4E08" w:rsidRPr="00102FD5">
        <w:rPr>
          <w:rFonts w:ascii="Times New Roman" w:hAnsi="Times New Roman" w:cs="Times New Roman"/>
          <w:b/>
          <w:color w:val="000000" w:themeColor="text1"/>
          <w:sz w:val="26"/>
          <w:szCs w:val="26"/>
        </w:rPr>
        <w:t>OF APPEALS</w:t>
      </w:r>
    </w:p>
    <w:p w14:paraId="02D27BFF" w14:textId="6A47D8A3" w:rsidR="004B5F07" w:rsidRPr="00102FD5" w:rsidRDefault="000F4E08" w:rsidP="00DA2DF9">
      <w:pPr>
        <w:jc w:val="center"/>
        <w:rPr>
          <w:rFonts w:ascii="Times New Roman" w:hAnsi="Times New Roman" w:cs="Times New Roman"/>
          <w:b/>
          <w:color w:val="000000" w:themeColor="text1"/>
          <w:sz w:val="26"/>
          <w:szCs w:val="26"/>
        </w:rPr>
      </w:pPr>
      <w:r w:rsidRPr="00102FD5">
        <w:rPr>
          <w:rFonts w:ascii="Times New Roman" w:hAnsi="Times New Roman" w:cs="Times New Roman"/>
          <w:b/>
          <w:color w:val="000000" w:themeColor="text1"/>
          <w:sz w:val="26"/>
          <w:szCs w:val="26"/>
        </w:rPr>
        <w:t>FOURTEENTH CIRCUIT</w:t>
      </w:r>
    </w:p>
    <w:p w14:paraId="3C60AC71" w14:textId="77777777" w:rsidR="001B4BBE" w:rsidRPr="00102FD5" w:rsidRDefault="001B4BBE" w:rsidP="001B4BBE">
      <w:pPr>
        <w:widowControl w:val="0"/>
        <w:jc w:val="center"/>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___________________________________________</w:t>
      </w:r>
    </w:p>
    <w:p w14:paraId="63C43B99" w14:textId="77777777" w:rsidR="001B4BBE" w:rsidRPr="00102FD5" w:rsidRDefault="001B4BBE" w:rsidP="001B4BBE">
      <w:pPr>
        <w:widowControl w:val="0"/>
        <w:jc w:val="center"/>
        <w:rPr>
          <w:rFonts w:ascii="Times New Roman" w:hAnsi="Times New Roman" w:cs="Times New Roman"/>
          <w:b/>
          <w:color w:val="000000" w:themeColor="text1"/>
          <w:sz w:val="26"/>
          <w:szCs w:val="26"/>
        </w:rPr>
      </w:pPr>
    </w:p>
    <w:p w14:paraId="7A2F4088" w14:textId="77777777" w:rsidR="001B4BBE" w:rsidRPr="00102FD5" w:rsidRDefault="001B4BBE" w:rsidP="001B4BBE">
      <w:pPr>
        <w:widowControl w:val="0"/>
        <w:jc w:val="center"/>
        <w:rPr>
          <w:rFonts w:ascii="Times New Roman" w:hAnsi="Times New Roman" w:cs="Times New Roman"/>
          <w:b/>
          <w:color w:val="000000" w:themeColor="text1"/>
          <w:sz w:val="26"/>
          <w:szCs w:val="26"/>
        </w:rPr>
      </w:pPr>
    </w:p>
    <w:p w14:paraId="01CBAD74" w14:textId="3C900784" w:rsidR="001B4BBE" w:rsidRPr="00102FD5" w:rsidRDefault="000E2E84" w:rsidP="001B4BBE">
      <w:pPr>
        <w:widowControl w:val="0"/>
        <w:jc w:val="center"/>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UNITED STATES OF AMERICA</w:t>
      </w:r>
      <w:r w:rsidR="001B4BBE" w:rsidRPr="00102FD5">
        <w:rPr>
          <w:rFonts w:ascii="Times New Roman" w:hAnsi="Times New Roman" w:cs="Times New Roman"/>
          <w:color w:val="000000" w:themeColor="text1"/>
          <w:sz w:val="26"/>
          <w:szCs w:val="26"/>
        </w:rPr>
        <w:t>,</w:t>
      </w:r>
    </w:p>
    <w:p w14:paraId="705D4480" w14:textId="77777777" w:rsidR="001B4BBE" w:rsidRPr="00102FD5" w:rsidRDefault="001B4BBE" w:rsidP="000E2E84">
      <w:pPr>
        <w:widowControl w:val="0"/>
        <w:rPr>
          <w:rFonts w:ascii="Times New Roman" w:hAnsi="Times New Roman" w:cs="Times New Roman"/>
          <w:color w:val="000000" w:themeColor="text1"/>
          <w:sz w:val="26"/>
          <w:szCs w:val="26"/>
        </w:rPr>
      </w:pPr>
    </w:p>
    <w:p w14:paraId="4519D7FD"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0B7FD78F"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427D49D6"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v.</w:t>
      </w:r>
    </w:p>
    <w:p w14:paraId="5B867C1E"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515481E2"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3207A607"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6A7915BC" w14:textId="6B8BF969" w:rsidR="001B4BBE" w:rsidRPr="00102FD5" w:rsidRDefault="000E2E84" w:rsidP="00D26791">
      <w:pPr>
        <w:widowControl w:val="0"/>
        <w:contextualSpacing/>
        <w:jc w:val="center"/>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EMILY CALLOWAY</w:t>
      </w:r>
      <w:r w:rsidR="001B4BBE" w:rsidRPr="00102FD5">
        <w:rPr>
          <w:rFonts w:ascii="Times New Roman" w:hAnsi="Times New Roman" w:cs="Times New Roman"/>
          <w:color w:val="000000" w:themeColor="text1"/>
          <w:sz w:val="26"/>
          <w:szCs w:val="26"/>
        </w:rPr>
        <w:t>,</w:t>
      </w:r>
    </w:p>
    <w:p w14:paraId="4243BA2B"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3B49DA8A" w14:textId="77777777" w:rsidR="001B4BBE" w:rsidRPr="00102FD5" w:rsidRDefault="001B4BBE" w:rsidP="00D26791">
      <w:pPr>
        <w:widowControl w:val="0"/>
        <w:contextualSpacing/>
        <w:jc w:val="center"/>
        <w:rPr>
          <w:rFonts w:ascii="Times New Roman" w:hAnsi="Times New Roman" w:cs="Times New Roman"/>
          <w:i/>
          <w:color w:val="000000" w:themeColor="text1"/>
          <w:sz w:val="26"/>
          <w:szCs w:val="26"/>
        </w:rPr>
      </w:pPr>
      <w:r w:rsidRPr="00102FD5">
        <w:rPr>
          <w:rFonts w:ascii="Times New Roman" w:hAnsi="Times New Roman" w:cs="Times New Roman"/>
          <w:i/>
          <w:color w:val="000000" w:themeColor="text1"/>
          <w:sz w:val="26"/>
          <w:szCs w:val="26"/>
        </w:rPr>
        <w:t>Defendant.</w:t>
      </w:r>
    </w:p>
    <w:p w14:paraId="1B51AE96" w14:textId="77777777" w:rsidR="001B4BBE" w:rsidRPr="00102FD5" w:rsidRDefault="001B4BBE" w:rsidP="00D26791">
      <w:pPr>
        <w:widowControl w:val="0"/>
        <w:contextualSpacing/>
        <w:jc w:val="center"/>
        <w:rPr>
          <w:rFonts w:ascii="Times New Roman" w:hAnsi="Times New Roman" w:cs="Times New Roman"/>
          <w:color w:val="000000" w:themeColor="text1"/>
          <w:sz w:val="26"/>
          <w:szCs w:val="26"/>
        </w:rPr>
      </w:pPr>
    </w:p>
    <w:p w14:paraId="0C8D1207" w14:textId="77777777" w:rsidR="004B5F07" w:rsidRPr="00102FD5" w:rsidRDefault="004B5F07" w:rsidP="00D26791">
      <w:pPr>
        <w:contextualSpacing/>
        <w:jc w:val="center"/>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________________________________________</w:t>
      </w:r>
    </w:p>
    <w:p w14:paraId="434486FF" w14:textId="77777777" w:rsidR="001B4BBE" w:rsidRPr="00102FD5" w:rsidRDefault="001B4BBE" w:rsidP="00D26791">
      <w:pPr>
        <w:ind w:right="720"/>
        <w:contextualSpacing/>
        <w:rPr>
          <w:rFonts w:ascii="Times New Roman" w:hAnsi="Times New Roman" w:cs="Times New Roman"/>
          <w:i/>
          <w:color w:val="000000" w:themeColor="text1"/>
          <w:sz w:val="26"/>
          <w:szCs w:val="26"/>
        </w:rPr>
      </w:pPr>
    </w:p>
    <w:p w14:paraId="3674816D" w14:textId="6E463BE4" w:rsidR="009942BC" w:rsidRPr="00102FD5" w:rsidRDefault="002F0EEE" w:rsidP="00D26791">
      <w:pPr>
        <w:ind w:left="720" w:right="720"/>
        <w:contextualSpacing/>
        <w:jc w:val="center"/>
        <w:rPr>
          <w:rFonts w:ascii="Times New Roman" w:hAnsi="Times New Roman" w:cs="Times New Roman"/>
          <w:b/>
          <w:color w:val="000000" w:themeColor="text1"/>
          <w:sz w:val="26"/>
          <w:szCs w:val="26"/>
        </w:rPr>
      </w:pPr>
      <w:r w:rsidRPr="00102FD5">
        <w:rPr>
          <w:rFonts w:ascii="Times New Roman" w:hAnsi="Times New Roman" w:cs="Times New Roman"/>
          <w:b/>
          <w:color w:val="000000" w:themeColor="text1"/>
          <w:sz w:val="26"/>
          <w:szCs w:val="26"/>
        </w:rPr>
        <w:t xml:space="preserve">MEMORANDUM OF LAW IN </w:t>
      </w:r>
      <w:r w:rsidR="000F4E08" w:rsidRPr="00102FD5">
        <w:rPr>
          <w:rFonts w:ascii="Times New Roman" w:hAnsi="Times New Roman" w:cs="Times New Roman"/>
          <w:b/>
          <w:color w:val="000000" w:themeColor="text1"/>
          <w:sz w:val="26"/>
          <w:szCs w:val="26"/>
        </w:rPr>
        <w:t>OPPOSITION</w:t>
      </w:r>
      <w:r w:rsidRPr="00102FD5">
        <w:rPr>
          <w:rFonts w:ascii="Times New Roman" w:hAnsi="Times New Roman" w:cs="Times New Roman"/>
          <w:b/>
          <w:color w:val="000000" w:themeColor="text1"/>
          <w:sz w:val="26"/>
          <w:szCs w:val="26"/>
        </w:rPr>
        <w:t xml:space="preserve"> </w:t>
      </w:r>
      <w:r w:rsidR="000F4E08" w:rsidRPr="00102FD5">
        <w:rPr>
          <w:rFonts w:ascii="Times New Roman" w:hAnsi="Times New Roman" w:cs="Times New Roman"/>
          <w:b/>
          <w:color w:val="000000" w:themeColor="text1"/>
          <w:sz w:val="26"/>
          <w:szCs w:val="26"/>
        </w:rPr>
        <w:t>TO</w:t>
      </w:r>
      <w:r w:rsidRPr="00102FD5">
        <w:rPr>
          <w:rFonts w:ascii="Times New Roman" w:hAnsi="Times New Roman" w:cs="Times New Roman"/>
          <w:b/>
          <w:color w:val="000000" w:themeColor="text1"/>
          <w:sz w:val="26"/>
          <w:szCs w:val="26"/>
        </w:rPr>
        <w:t xml:space="preserve"> </w:t>
      </w:r>
    </w:p>
    <w:p w14:paraId="36FBC6A5" w14:textId="0651667E" w:rsidR="001B4BBE" w:rsidRPr="00102FD5" w:rsidRDefault="001B4BBE" w:rsidP="00D26791">
      <w:pPr>
        <w:ind w:left="720" w:right="720"/>
        <w:contextualSpacing/>
        <w:jc w:val="center"/>
        <w:rPr>
          <w:rFonts w:ascii="Times New Roman" w:hAnsi="Times New Roman" w:cs="Times New Roman"/>
          <w:b/>
          <w:color w:val="000000" w:themeColor="text1"/>
          <w:sz w:val="26"/>
          <w:szCs w:val="26"/>
        </w:rPr>
      </w:pPr>
      <w:r w:rsidRPr="00102FD5">
        <w:rPr>
          <w:rFonts w:ascii="Times New Roman" w:hAnsi="Times New Roman" w:cs="Times New Roman"/>
          <w:b/>
          <w:color w:val="000000" w:themeColor="text1"/>
          <w:sz w:val="26"/>
          <w:szCs w:val="26"/>
        </w:rPr>
        <w:t xml:space="preserve">DEFENDANT’S MOTION </w:t>
      </w:r>
      <w:r w:rsidR="000E2E84" w:rsidRPr="00102FD5">
        <w:rPr>
          <w:rFonts w:ascii="Times New Roman" w:hAnsi="Times New Roman" w:cs="Times New Roman"/>
          <w:b/>
          <w:color w:val="000000" w:themeColor="text1"/>
          <w:sz w:val="26"/>
          <w:szCs w:val="26"/>
        </w:rPr>
        <w:t>TO SUPPRESS EVIDENCE</w:t>
      </w:r>
    </w:p>
    <w:p w14:paraId="740071E5" w14:textId="738CDC5E" w:rsidR="001B4BBE" w:rsidRPr="00102FD5" w:rsidRDefault="000E2E84" w:rsidP="00D26791">
      <w:pPr>
        <w:ind w:left="720" w:right="720"/>
        <w:contextualSpacing/>
        <w:jc w:val="center"/>
        <w:rPr>
          <w:rFonts w:ascii="Times New Roman" w:hAnsi="Times New Roman" w:cs="Times New Roman"/>
          <w:b/>
          <w:color w:val="000000" w:themeColor="text1"/>
          <w:sz w:val="26"/>
          <w:szCs w:val="26"/>
        </w:rPr>
      </w:pPr>
      <w:r w:rsidRPr="00102FD5">
        <w:rPr>
          <w:rFonts w:ascii="Times New Roman" w:hAnsi="Times New Roman" w:cs="Times New Roman"/>
          <w:b/>
          <w:color w:val="000000" w:themeColor="text1"/>
          <w:sz w:val="26"/>
          <w:szCs w:val="26"/>
        </w:rPr>
        <w:t>AND MOTION TO QUASH SUBPOENA</w:t>
      </w:r>
    </w:p>
    <w:p w14:paraId="501E42BF" w14:textId="77777777" w:rsidR="001B4BBE" w:rsidRPr="00102FD5" w:rsidRDefault="001B4BBE" w:rsidP="00D26791">
      <w:pPr>
        <w:contextualSpacing/>
        <w:jc w:val="center"/>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________________________________________</w:t>
      </w:r>
    </w:p>
    <w:p w14:paraId="33F36A16" w14:textId="77777777" w:rsidR="001B4BBE" w:rsidRPr="00102FD5" w:rsidRDefault="001B4BBE" w:rsidP="00D26791">
      <w:pPr>
        <w:pBdr>
          <w:bottom w:val="thinThickThinMediumGap" w:sz="18" w:space="1" w:color="auto"/>
        </w:pBdr>
        <w:contextualSpacing/>
        <w:jc w:val="center"/>
        <w:rPr>
          <w:rFonts w:ascii="Times New Roman" w:hAnsi="Times New Roman" w:cs="Times New Roman"/>
          <w:smallCaps/>
          <w:color w:val="000000" w:themeColor="text1"/>
          <w:sz w:val="26"/>
          <w:szCs w:val="26"/>
        </w:rPr>
      </w:pPr>
    </w:p>
    <w:p w14:paraId="1C399986" w14:textId="1B5C6492" w:rsidR="001B4BBE" w:rsidRPr="00102FD5" w:rsidRDefault="001B4BBE" w:rsidP="00D26791">
      <w:pPr>
        <w:pBdr>
          <w:bottom w:val="thinThickThinMediumGap" w:sz="18" w:space="1" w:color="auto"/>
        </w:pBdr>
        <w:contextualSpacing/>
        <w:jc w:val="center"/>
        <w:rPr>
          <w:rFonts w:ascii="Times New Roman" w:hAnsi="Times New Roman" w:cs="Times New Roman"/>
          <w:iCs/>
          <w:color w:val="000000" w:themeColor="text1"/>
          <w:sz w:val="26"/>
          <w:szCs w:val="26"/>
        </w:rPr>
      </w:pPr>
      <w:r w:rsidRPr="00102FD5">
        <w:rPr>
          <w:rFonts w:ascii="Times New Roman" w:hAnsi="Times New Roman" w:cs="Times New Roman"/>
          <w:iCs/>
          <w:color w:val="000000" w:themeColor="text1"/>
          <w:sz w:val="26"/>
          <w:szCs w:val="26"/>
        </w:rPr>
        <w:t xml:space="preserve">Team No. </w:t>
      </w:r>
      <w:r w:rsidR="00A04698" w:rsidRPr="00102FD5">
        <w:rPr>
          <w:rFonts w:ascii="Times New Roman" w:hAnsi="Times New Roman" w:cs="Times New Roman"/>
          <w:iCs/>
          <w:color w:val="000000" w:themeColor="text1"/>
          <w:sz w:val="26"/>
          <w:szCs w:val="26"/>
        </w:rPr>
        <w:t>312</w:t>
      </w:r>
    </w:p>
    <w:p w14:paraId="6987FE21" w14:textId="77777777" w:rsidR="004B5F07" w:rsidRPr="00102FD5" w:rsidRDefault="004B5F07" w:rsidP="00D26791">
      <w:pPr>
        <w:pBdr>
          <w:bottom w:val="thinThickThinMediumGap" w:sz="18" w:space="1" w:color="auto"/>
        </w:pBdr>
        <w:contextualSpacing/>
        <w:jc w:val="center"/>
        <w:rPr>
          <w:rFonts w:ascii="Times New Roman" w:hAnsi="Times New Roman" w:cs="Times New Roman"/>
          <w:iCs/>
          <w:color w:val="000000" w:themeColor="text1"/>
          <w:sz w:val="26"/>
          <w:szCs w:val="26"/>
        </w:rPr>
      </w:pPr>
    </w:p>
    <w:p w14:paraId="68C360C0" w14:textId="6ADAEACB" w:rsidR="001B4BBE" w:rsidRPr="00102FD5" w:rsidRDefault="001B4BBE" w:rsidP="00D26791">
      <w:pPr>
        <w:pBdr>
          <w:bottom w:val="thinThickThinMediumGap" w:sz="18" w:space="1" w:color="auto"/>
        </w:pBdr>
        <w:contextualSpacing/>
        <w:jc w:val="center"/>
        <w:rPr>
          <w:rFonts w:ascii="Times New Roman" w:hAnsi="Times New Roman" w:cs="Times New Roman"/>
          <w:i/>
          <w:color w:val="000000" w:themeColor="text1"/>
          <w:sz w:val="26"/>
          <w:szCs w:val="26"/>
        </w:rPr>
      </w:pPr>
      <w:r w:rsidRPr="00102FD5">
        <w:rPr>
          <w:rFonts w:ascii="Times New Roman" w:hAnsi="Times New Roman" w:cs="Times New Roman"/>
          <w:i/>
          <w:color w:val="000000" w:themeColor="text1"/>
          <w:sz w:val="26"/>
          <w:szCs w:val="26"/>
        </w:rPr>
        <w:t xml:space="preserve">Counsel for </w:t>
      </w:r>
      <w:r w:rsidR="00A04698" w:rsidRPr="00102FD5">
        <w:rPr>
          <w:rFonts w:ascii="Times New Roman" w:hAnsi="Times New Roman" w:cs="Times New Roman"/>
          <w:i/>
          <w:color w:val="000000" w:themeColor="text1"/>
          <w:sz w:val="26"/>
          <w:szCs w:val="26"/>
        </w:rPr>
        <w:t>Prosecution</w:t>
      </w:r>
      <w:r w:rsidR="000E2E84" w:rsidRPr="00102FD5">
        <w:rPr>
          <w:rFonts w:ascii="Times New Roman" w:hAnsi="Times New Roman" w:cs="Times New Roman"/>
          <w:i/>
          <w:color w:val="000000" w:themeColor="text1"/>
          <w:sz w:val="26"/>
          <w:szCs w:val="26"/>
        </w:rPr>
        <w:t xml:space="preserve">, </w:t>
      </w:r>
      <w:r w:rsidR="00A04698" w:rsidRPr="00102FD5">
        <w:rPr>
          <w:rFonts w:ascii="Times New Roman" w:hAnsi="Times New Roman" w:cs="Times New Roman"/>
          <w:i/>
          <w:color w:val="000000" w:themeColor="text1"/>
          <w:sz w:val="26"/>
          <w:szCs w:val="26"/>
        </w:rPr>
        <w:t>Non-Movant</w:t>
      </w:r>
    </w:p>
    <w:p w14:paraId="2A6392FF" w14:textId="77777777" w:rsidR="001B4BBE" w:rsidRPr="00102FD5" w:rsidRDefault="001B4BBE" w:rsidP="00D26791">
      <w:pPr>
        <w:pBdr>
          <w:bottom w:val="thinThickThinMediumGap" w:sz="18" w:space="1" w:color="auto"/>
        </w:pBdr>
        <w:contextualSpacing/>
        <w:jc w:val="center"/>
        <w:rPr>
          <w:rFonts w:ascii="Times New Roman" w:hAnsi="Times New Roman" w:cs="Times New Roman"/>
          <w:i/>
          <w:color w:val="000000" w:themeColor="text1"/>
          <w:sz w:val="26"/>
          <w:szCs w:val="26"/>
        </w:rPr>
      </w:pPr>
    </w:p>
    <w:p w14:paraId="490B1408" w14:textId="77777777" w:rsidR="001B4BBE" w:rsidRPr="00102FD5" w:rsidRDefault="001B4BBE" w:rsidP="00D26791">
      <w:pPr>
        <w:pBdr>
          <w:bottom w:val="thinThickThinMediumGap" w:sz="18" w:space="1" w:color="auto"/>
        </w:pBdr>
        <w:contextualSpacing/>
        <w:jc w:val="center"/>
        <w:rPr>
          <w:rFonts w:ascii="Times New Roman" w:hAnsi="Times New Roman" w:cs="Times New Roman"/>
          <w:i/>
          <w:color w:val="000000" w:themeColor="text1"/>
          <w:sz w:val="26"/>
          <w:szCs w:val="26"/>
        </w:rPr>
      </w:pPr>
    </w:p>
    <w:p w14:paraId="490C571D" w14:textId="77777777" w:rsidR="001B4BBE" w:rsidRPr="00102FD5" w:rsidRDefault="001B4BBE" w:rsidP="00D26791">
      <w:pPr>
        <w:contextualSpacing/>
        <w:jc w:val="both"/>
        <w:rPr>
          <w:rFonts w:ascii="Times New Roman" w:hAnsi="Times New Roman" w:cs="Times New Roman"/>
          <w:color w:val="000000" w:themeColor="text1"/>
          <w:sz w:val="26"/>
          <w:szCs w:val="26"/>
        </w:rPr>
      </w:pPr>
    </w:p>
    <w:p w14:paraId="53046AC7" w14:textId="77777777" w:rsidR="005375FB" w:rsidRPr="00102FD5" w:rsidRDefault="005375FB" w:rsidP="00D26791">
      <w:pPr>
        <w:contextualSpacing/>
        <w:jc w:val="both"/>
        <w:rPr>
          <w:rFonts w:ascii="Times New Roman" w:hAnsi="Times New Roman" w:cs="Times New Roman"/>
          <w:color w:val="000000" w:themeColor="text1"/>
          <w:sz w:val="26"/>
          <w:szCs w:val="26"/>
        </w:rPr>
      </w:pPr>
    </w:p>
    <w:p w14:paraId="4E15A28A" w14:textId="77777777" w:rsidR="004B5F07" w:rsidRPr="00102FD5" w:rsidRDefault="004B5F07" w:rsidP="00D26791">
      <w:pPr>
        <w:contextualSpacing/>
        <w:jc w:val="both"/>
        <w:rPr>
          <w:rFonts w:ascii="Times New Roman" w:hAnsi="Times New Roman" w:cs="Times New Roman"/>
          <w:color w:val="000000" w:themeColor="text1"/>
          <w:sz w:val="26"/>
          <w:szCs w:val="26"/>
        </w:rPr>
      </w:pPr>
    </w:p>
    <w:p w14:paraId="32A7518B" w14:textId="77777777" w:rsidR="00322774" w:rsidRPr="00102FD5" w:rsidRDefault="00322774" w:rsidP="005375FB">
      <w:pPr>
        <w:contextualSpacing/>
        <w:jc w:val="center"/>
        <w:rPr>
          <w:rFonts w:ascii="Times New Roman" w:hAnsi="Times New Roman" w:cs="Times New Roman"/>
          <w:b/>
          <w:bCs/>
          <w:smallCaps/>
          <w:color w:val="000000" w:themeColor="text1"/>
          <w:sz w:val="26"/>
          <w:szCs w:val="26"/>
        </w:rPr>
        <w:sectPr w:rsidR="00322774" w:rsidRPr="00102FD5" w:rsidSect="005375FB">
          <w:headerReference w:type="default" r:id="rId7"/>
          <w:footerReference w:type="even" r:id="rId8"/>
          <w:headerReference w:type="first" r:id="rId9"/>
          <w:pgSz w:w="12240" w:h="15840"/>
          <w:pgMar w:top="1440" w:right="1440" w:bottom="1440" w:left="1440" w:header="720" w:footer="720" w:gutter="0"/>
          <w:cols w:space="720"/>
          <w:titlePg/>
          <w:docGrid w:linePitch="360"/>
        </w:sectPr>
      </w:pPr>
    </w:p>
    <w:p w14:paraId="11918AF0" w14:textId="4A480DE9" w:rsidR="00283F1C" w:rsidRPr="00102FD5" w:rsidRDefault="001B4BBE" w:rsidP="005375FB">
      <w:pPr>
        <w:pStyle w:val="Heading1"/>
        <w:jc w:val="center"/>
        <w:rPr>
          <w:rFonts w:ascii="Times New Roman" w:hAnsi="Times New Roman" w:cs="Times New Roman"/>
          <w:b/>
          <w:bCs/>
          <w:smallCaps/>
          <w:color w:val="000000" w:themeColor="text1"/>
          <w:sz w:val="26"/>
          <w:szCs w:val="26"/>
        </w:rPr>
      </w:pPr>
      <w:bookmarkStart w:id="0" w:name="_Toc207630150"/>
      <w:r w:rsidRPr="00102FD5">
        <w:rPr>
          <w:rFonts w:ascii="Times New Roman" w:hAnsi="Times New Roman" w:cs="Times New Roman"/>
          <w:b/>
          <w:bCs/>
          <w:smallCaps/>
          <w:color w:val="000000" w:themeColor="text1"/>
          <w:sz w:val="26"/>
          <w:szCs w:val="26"/>
        </w:rPr>
        <w:lastRenderedPageBreak/>
        <w:t>Table of Contents</w:t>
      </w:r>
      <w:bookmarkEnd w:id="0"/>
    </w:p>
    <w:p w14:paraId="19A54D9D" w14:textId="6CF5DA39" w:rsidR="00283F1C" w:rsidRPr="00102FD5" w:rsidRDefault="00283F1C" w:rsidP="00322774">
      <w:pPr>
        <w:pStyle w:val="Heading1"/>
        <w:tabs>
          <w:tab w:val="right" w:leader="dot" w:pos="9360"/>
        </w:tabs>
        <w:ind w:right="720"/>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t>Table of Contents</w:t>
      </w:r>
      <w:r w:rsidR="00322774" w:rsidRPr="00102FD5">
        <w:rPr>
          <w:rFonts w:ascii="Times New Roman" w:hAnsi="Times New Roman" w:cs="Times New Roman"/>
          <w:smallCaps/>
          <w:color w:val="000000" w:themeColor="text1"/>
          <w:sz w:val="26"/>
          <w:szCs w:val="26"/>
        </w:rPr>
        <w:tab/>
      </w:r>
      <w:r w:rsidR="007F0BA9" w:rsidRPr="00102FD5">
        <w:rPr>
          <w:rFonts w:ascii="Times New Roman" w:hAnsi="Times New Roman" w:cs="Times New Roman"/>
          <w:color w:val="000000" w:themeColor="text1"/>
          <w:sz w:val="26"/>
          <w:szCs w:val="26"/>
        </w:rPr>
        <w:t>i</w:t>
      </w:r>
    </w:p>
    <w:p w14:paraId="759F39E0" w14:textId="56096FF7" w:rsidR="00283F1C" w:rsidRPr="00102FD5" w:rsidRDefault="00283F1C" w:rsidP="002E4103">
      <w:pPr>
        <w:tabs>
          <w:tab w:val="right" w:leader="dot" w:pos="9360"/>
        </w:tabs>
        <w:spacing w:before="240"/>
        <w:ind w:right="720"/>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t>Table of Authorities</w:t>
      </w:r>
      <w:r w:rsidR="00322774" w:rsidRPr="00102FD5">
        <w:rPr>
          <w:rFonts w:ascii="Times New Roman" w:hAnsi="Times New Roman" w:cs="Times New Roman"/>
          <w:smallCaps/>
          <w:color w:val="000000" w:themeColor="text1"/>
          <w:sz w:val="26"/>
          <w:szCs w:val="26"/>
        </w:rPr>
        <w:tab/>
      </w:r>
      <w:r w:rsidR="007F0BA9" w:rsidRPr="00102FD5">
        <w:rPr>
          <w:rFonts w:ascii="Times New Roman" w:hAnsi="Times New Roman" w:cs="Times New Roman"/>
          <w:color w:val="000000" w:themeColor="text1"/>
          <w:sz w:val="26"/>
          <w:szCs w:val="26"/>
        </w:rPr>
        <w:t>iii</w:t>
      </w:r>
    </w:p>
    <w:p w14:paraId="787C4F44" w14:textId="77777777" w:rsidR="00283F1C" w:rsidRPr="00102FD5" w:rsidRDefault="00283F1C" w:rsidP="00322774">
      <w:pPr>
        <w:pStyle w:val="Heading1"/>
        <w:tabs>
          <w:tab w:val="right" w:leader="dot" w:pos="9360"/>
        </w:tabs>
        <w:spacing w:before="0" w:after="0"/>
        <w:ind w:right="720"/>
        <w:rPr>
          <w:rFonts w:ascii="Times New Roman" w:hAnsi="Times New Roman" w:cs="Times New Roman"/>
          <w:smallCaps/>
          <w:color w:val="000000" w:themeColor="text1"/>
          <w:sz w:val="26"/>
          <w:szCs w:val="26"/>
        </w:rPr>
      </w:pPr>
    </w:p>
    <w:p w14:paraId="53F9DE82" w14:textId="38A57FFF" w:rsidR="00283F1C" w:rsidRPr="00102FD5" w:rsidRDefault="00283F1C" w:rsidP="00322774">
      <w:pPr>
        <w:pStyle w:val="Heading1"/>
        <w:tabs>
          <w:tab w:val="right" w:leader="dot" w:pos="9360"/>
        </w:tabs>
        <w:spacing w:before="0" w:after="0" w:line="480" w:lineRule="auto"/>
        <w:ind w:right="720"/>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t>Introduction</w:t>
      </w:r>
      <w:r w:rsidR="00322774" w:rsidRPr="00102FD5">
        <w:rPr>
          <w:rFonts w:ascii="Times New Roman" w:hAnsi="Times New Roman" w:cs="Times New Roman"/>
          <w:smallCaps/>
          <w:color w:val="000000" w:themeColor="text1"/>
          <w:sz w:val="26"/>
          <w:szCs w:val="26"/>
        </w:rPr>
        <w:tab/>
      </w:r>
      <w:r w:rsidR="007F0BA9" w:rsidRPr="00102FD5">
        <w:rPr>
          <w:rFonts w:ascii="Times New Roman" w:hAnsi="Times New Roman" w:cs="Times New Roman"/>
          <w:smallCaps/>
          <w:color w:val="000000" w:themeColor="text1"/>
          <w:sz w:val="26"/>
          <w:szCs w:val="26"/>
        </w:rPr>
        <w:t>1</w:t>
      </w:r>
    </w:p>
    <w:p w14:paraId="33DA1657" w14:textId="7935D2B5" w:rsidR="00283F1C" w:rsidRPr="00102FD5" w:rsidRDefault="00283F1C" w:rsidP="00322774">
      <w:pPr>
        <w:pStyle w:val="Heading1"/>
        <w:tabs>
          <w:tab w:val="right" w:leader="dot" w:pos="9360"/>
        </w:tabs>
        <w:spacing w:before="0" w:after="0" w:line="480" w:lineRule="auto"/>
        <w:ind w:right="720"/>
        <w:contextualSpacing/>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t>Statement of the Facts</w:t>
      </w:r>
      <w:r w:rsidR="00322774" w:rsidRPr="00102FD5">
        <w:rPr>
          <w:rFonts w:ascii="Times New Roman" w:hAnsi="Times New Roman" w:cs="Times New Roman"/>
          <w:smallCaps/>
          <w:color w:val="000000" w:themeColor="text1"/>
          <w:sz w:val="26"/>
          <w:szCs w:val="26"/>
        </w:rPr>
        <w:tab/>
      </w:r>
      <w:r w:rsidR="007F0BA9" w:rsidRPr="00102FD5">
        <w:rPr>
          <w:rFonts w:ascii="Times New Roman" w:hAnsi="Times New Roman" w:cs="Times New Roman"/>
          <w:smallCaps/>
          <w:color w:val="000000" w:themeColor="text1"/>
          <w:sz w:val="26"/>
          <w:szCs w:val="26"/>
        </w:rPr>
        <w:t>1</w:t>
      </w:r>
    </w:p>
    <w:p w14:paraId="5097DDC6" w14:textId="1EC26655" w:rsidR="00283F1C" w:rsidRPr="002F7B10" w:rsidRDefault="00283F1C" w:rsidP="00322774">
      <w:pPr>
        <w:pStyle w:val="Heading1"/>
        <w:tabs>
          <w:tab w:val="right" w:leader="dot" w:pos="9360"/>
        </w:tabs>
        <w:spacing w:before="0" w:after="0" w:line="480" w:lineRule="auto"/>
        <w:ind w:right="720"/>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t>Argument</w:t>
      </w:r>
      <w:r w:rsidR="00322774" w:rsidRPr="00102FD5">
        <w:rPr>
          <w:rFonts w:ascii="Times New Roman" w:hAnsi="Times New Roman" w:cs="Times New Roman"/>
          <w:smallCaps/>
          <w:color w:val="000000" w:themeColor="text1"/>
          <w:sz w:val="26"/>
          <w:szCs w:val="26"/>
        </w:rPr>
        <w:tab/>
      </w:r>
      <w:r w:rsidR="002F7B10">
        <w:rPr>
          <w:rFonts w:ascii="Times New Roman" w:hAnsi="Times New Roman" w:cs="Times New Roman"/>
          <w:smallCaps/>
          <w:color w:val="000000" w:themeColor="text1"/>
          <w:sz w:val="26"/>
          <w:szCs w:val="26"/>
        </w:rPr>
        <w:t>7</w:t>
      </w:r>
    </w:p>
    <w:p w14:paraId="6D23CA6C" w14:textId="717A3CA4" w:rsidR="00283F1C" w:rsidRPr="00102FD5" w:rsidRDefault="000E2E84" w:rsidP="00322774">
      <w:pPr>
        <w:pStyle w:val="ListParagraph"/>
        <w:numPr>
          <w:ilvl w:val="0"/>
          <w:numId w:val="28"/>
        </w:numPr>
        <w:tabs>
          <w:tab w:val="right" w:leader="dot" w:pos="9360"/>
        </w:tabs>
        <w:ind w:right="720"/>
        <w:jc w:val="both"/>
        <w:outlineLvl w:val="1"/>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Defendant’s Motion to Suppress Evidence Obtained in Violation of Court Order Should be </w:t>
      </w:r>
      <w:r w:rsidR="000F4E08" w:rsidRPr="00102FD5">
        <w:rPr>
          <w:rFonts w:ascii="Times New Roman" w:hAnsi="Times New Roman" w:cs="Times New Roman"/>
          <w:color w:val="000000" w:themeColor="text1"/>
          <w:sz w:val="26"/>
          <w:szCs w:val="26"/>
        </w:rPr>
        <w:t>Denied</w:t>
      </w:r>
      <w:r w:rsidRPr="00102FD5">
        <w:rPr>
          <w:rFonts w:ascii="Times New Roman" w:hAnsi="Times New Roman" w:cs="Times New Roman"/>
          <w:color w:val="000000" w:themeColor="text1"/>
          <w:sz w:val="26"/>
          <w:szCs w:val="26"/>
        </w:rPr>
        <w:t>.</w:t>
      </w:r>
      <w:r w:rsidR="00322774" w:rsidRPr="00102FD5">
        <w:rPr>
          <w:rFonts w:ascii="Times New Roman" w:hAnsi="Times New Roman" w:cs="Times New Roman"/>
          <w:color w:val="000000" w:themeColor="text1"/>
          <w:sz w:val="26"/>
          <w:szCs w:val="26"/>
        </w:rPr>
        <w:tab/>
      </w:r>
      <w:r w:rsidR="00D73E3F">
        <w:rPr>
          <w:rFonts w:ascii="Times New Roman" w:hAnsi="Times New Roman" w:cs="Times New Roman"/>
          <w:color w:val="000000" w:themeColor="text1"/>
          <w:sz w:val="26"/>
          <w:szCs w:val="26"/>
        </w:rPr>
        <w:t>7</w:t>
      </w:r>
    </w:p>
    <w:p w14:paraId="111974BE" w14:textId="77777777" w:rsidR="00283F1C" w:rsidRPr="00102FD5" w:rsidRDefault="00283F1C" w:rsidP="00322774">
      <w:pPr>
        <w:pStyle w:val="ListParagraph"/>
        <w:tabs>
          <w:tab w:val="right" w:pos="3690"/>
          <w:tab w:val="right" w:leader="dot" w:pos="9360"/>
        </w:tabs>
        <w:ind w:left="1080" w:right="720"/>
        <w:jc w:val="both"/>
        <w:outlineLvl w:val="1"/>
        <w:rPr>
          <w:rFonts w:ascii="Times New Roman" w:hAnsi="Times New Roman" w:cs="Times New Roman"/>
          <w:color w:val="000000" w:themeColor="text1"/>
          <w:sz w:val="26"/>
          <w:szCs w:val="26"/>
        </w:rPr>
      </w:pPr>
    </w:p>
    <w:p w14:paraId="18A058E5" w14:textId="034F338C" w:rsidR="00283F1C" w:rsidRPr="00102FD5" w:rsidRDefault="00154A12" w:rsidP="00322774">
      <w:pPr>
        <w:pStyle w:val="ListParagraph"/>
        <w:numPr>
          <w:ilvl w:val="0"/>
          <w:numId w:val="29"/>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The Government Discovered the Testimony of Kennedy Parker and Exhibit 19 Through Proper Investigative Techniques and Separation Procedures which Constitute a Legitimate Source Wholly Independent of Defendant’s Compelled Testimony.</w:t>
      </w:r>
      <w:r w:rsidR="00322774" w:rsidRPr="00102FD5">
        <w:rPr>
          <w:rFonts w:ascii="Times New Roman" w:hAnsi="Times New Roman" w:cs="Times New Roman"/>
          <w:color w:val="000000" w:themeColor="text1"/>
          <w:sz w:val="26"/>
          <w:szCs w:val="26"/>
        </w:rPr>
        <w:tab/>
      </w:r>
      <w:r w:rsidR="002F7B10">
        <w:rPr>
          <w:rFonts w:ascii="Times New Roman" w:hAnsi="Times New Roman" w:cs="Times New Roman"/>
          <w:color w:val="000000" w:themeColor="text1"/>
          <w:sz w:val="26"/>
          <w:szCs w:val="26"/>
        </w:rPr>
        <w:t>7</w:t>
      </w:r>
    </w:p>
    <w:p w14:paraId="5A7F01B0" w14:textId="011417F6" w:rsidR="00283F1C" w:rsidRPr="00102FD5" w:rsidRDefault="00283F1C" w:rsidP="00322774">
      <w:pPr>
        <w:pStyle w:val="ListParagraph"/>
        <w:tabs>
          <w:tab w:val="right" w:leader="dot" w:pos="9360"/>
        </w:tabs>
        <w:ind w:left="1440" w:right="720"/>
        <w:jc w:val="both"/>
        <w:outlineLvl w:val="2"/>
        <w:rPr>
          <w:rFonts w:ascii="Times New Roman" w:hAnsi="Times New Roman" w:cs="Times New Roman"/>
          <w:color w:val="000000" w:themeColor="text1"/>
          <w:sz w:val="26"/>
          <w:szCs w:val="26"/>
        </w:rPr>
      </w:pPr>
    </w:p>
    <w:p w14:paraId="6EC9EF4A" w14:textId="266D13CD" w:rsidR="00283F1C" w:rsidRPr="00102FD5" w:rsidRDefault="00154A12" w:rsidP="00154A12">
      <w:pPr>
        <w:pStyle w:val="ListParagraph"/>
        <w:keepNext/>
        <w:numPr>
          <w:ilvl w:val="0"/>
          <w:numId w:val="30"/>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Even if Exposed to Defendant’s Testimony, the Government Did Not Use or Derive Use of Defendant’s Compelled Testimony Against Defendant in this Proceeding.</w:t>
      </w:r>
      <w:r w:rsidR="00322774" w:rsidRPr="00102FD5">
        <w:rPr>
          <w:rFonts w:ascii="Times New Roman" w:hAnsi="Times New Roman" w:cs="Times New Roman"/>
          <w:color w:val="000000" w:themeColor="text1"/>
          <w:sz w:val="26"/>
          <w:szCs w:val="26"/>
        </w:rPr>
        <w:tab/>
      </w:r>
      <w:r w:rsidR="002F7B10">
        <w:rPr>
          <w:rFonts w:ascii="Times New Roman" w:hAnsi="Times New Roman" w:cs="Times New Roman"/>
          <w:color w:val="000000" w:themeColor="text1"/>
          <w:sz w:val="26"/>
          <w:szCs w:val="26"/>
        </w:rPr>
        <w:t>10</w:t>
      </w:r>
    </w:p>
    <w:p w14:paraId="1F79E014" w14:textId="77777777" w:rsidR="008829AC" w:rsidRPr="00102FD5" w:rsidRDefault="008829AC" w:rsidP="008829AC">
      <w:pPr>
        <w:pStyle w:val="ListParagraph"/>
        <w:rPr>
          <w:rFonts w:ascii="Times New Roman" w:hAnsi="Times New Roman" w:cs="Times New Roman"/>
          <w:color w:val="000000" w:themeColor="text1"/>
          <w:sz w:val="26"/>
          <w:szCs w:val="26"/>
        </w:rPr>
      </w:pPr>
    </w:p>
    <w:p w14:paraId="17546A9C" w14:textId="4D9679D2" w:rsidR="008829AC" w:rsidRPr="00102FD5" w:rsidRDefault="00154A12" w:rsidP="008829AC">
      <w:pPr>
        <w:pStyle w:val="ListParagraph"/>
        <w:keepNext/>
        <w:numPr>
          <w:ilvl w:val="0"/>
          <w:numId w:val="30"/>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Government Took the Same Steps </w:t>
      </w:r>
      <w:proofErr w:type="gramStart"/>
      <w:r w:rsidRPr="00102FD5">
        <w:rPr>
          <w:rFonts w:ascii="Times New Roman" w:hAnsi="Times New Roman" w:cs="Times New Roman"/>
          <w:color w:val="000000" w:themeColor="text1"/>
          <w:sz w:val="26"/>
          <w:szCs w:val="26"/>
        </w:rPr>
        <w:t>it</w:t>
      </w:r>
      <w:proofErr w:type="gramEnd"/>
      <w:r w:rsidRPr="00102FD5">
        <w:rPr>
          <w:rFonts w:ascii="Times New Roman" w:hAnsi="Times New Roman" w:cs="Times New Roman"/>
          <w:color w:val="000000" w:themeColor="text1"/>
          <w:sz w:val="26"/>
          <w:szCs w:val="26"/>
        </w:rPr>
        <w:t xml:space="preserve"> Would Have Taken Entirely Apart from the Compelled Testimony</w:t>
      </w:r>
      <w:r w:rsidR="008829AC" w:rsidRPr="00102FD5">
        <w:rPr>
          <w:rFonts w:ascii="Times New Roman" w:hAnsi="Times New Roman" w:cs="Times New Roman"/>
          <w:color w:val="000000" w:themeColor="text1"/>
          <w:sz w:val="26"/>
          <w:szCs w:val="26"/>
        </w:rPr>
        <w:t>.</w:t>
      </w:r>
      <w:r w:rsidR="008829AC" w:rsidRPr="00102FD5">
        <w:rPr>
          <w:rFonts w:ascii="Times New Roman" w:hAnsi="Times New Roman" w:cs="Times New Roman"/>
          <w:color w:val="000000" w:themeColor="text1"/>
          <w:sz w:val="26"/>
          <w:szCs w:val="26"/>
        </w:rPr>
        <w:tab/>
      </w:r>
      <w:r w:rsidR="002F7B10">
        <w:rPr>
          <w:rFonts w:ascii="Times New Roman" w:hAnsi="Times New Roman" w:cs="Times New Roman"/>
          <w:color w:val="000000" w:themeColor="text1"/>
          <w:sz w:val="26"/>
          <w:szCs w:val="26"/>
        </w:rPr>
        <w:t>12</w:t>
      </w:r>
    </w:p>
    <w:p w14:paraId="69B4232A" w14:textId="77777777" w:rsidR="00737CD9" w:rsidRPr="00102FD5" w:rsidRDefault="00737CD9" w:rsidP="00737CD9">
      <w:pPr>
        <w:pStyle w:val="ListParagraph"/>
        <w:rPr>
          <w:rFonts w:ascii="Times New Roman" w:hAnsi="Times New Roman" w:cs="Times New Roman"/>
          <w:color w:val="000000" w:themeColor="text1"/>
          <w:sz w:val="26"/>
          <w:szCs w:val="26"/>
        </w:rPr>
      </w:pPr>
    </w:p>
    <w:p w14:paraId="20163468" w14:textId="07B44772" w:rsidR="006079C2" w:rsidRPr="00102FD5" w:rsidRDefault="006079C2" w:rsidP="006079C2">
      <w:pPr>
        <w:pStyle w:val="ListParagraph"/>
        <w:numPr>
          <w:ilvl w:val="0"/>
          <w:numId w:val="29"/>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The Compelled Testimony and Su</w:t>
      </w:r>
      <w:r w:rsidR="00605DF7" w:rsidRPr="00102FD5">
        <w:rPr>
          <w:rFonts w:ascii="Times New Roman" w:hAnsi="Times New Roman" w:cs="Times New Roman"/>
          <w:color w:val="000000" w:themeColor="text1"/>
          <w:sz w:val="26"/>
          <w:szCs w:val="26"/>
        </w:rPr>
        <w:t xml:space="preserve"> Subsequent Prosecution of Defendant Complies with Defendant’s Fifth Amendment Privilege Against Self-Incrimination</w:t>
      </w:r>
      <w:r w:rsidRPr="00102FD5">
        <w:rPr>
          <w:rFonts w:ascii="Times New Roman" w:hAnsi="Times New Roman" w:cs="Times New Roman"/>
          <w:color w:val="000000" w:themeColor="text1"/>
          <w:sz w:val="26"/>
          <w:szCs w:val="26"/>
        </w:rPr>
        <w:t>.</w:t>
      </w:r>
      <w:r w:rsidRPr="00102FD5">
        <w:rPr>
          <w:rFonts w:ascii="Times New Roman" w:hAnsi="Times New Roman" w:cs="Times New Roman"/>
          <w:color w:val="000000" w:themeColor="text1"/>
          <w:sz w:val="26"/>
          <w:szCs w:val="26"/>
        </w:rPr>
        <w:tab/>
      </w:r>
      <w:r w:rsidR="002F7B10">
        <w:rPr>
          <w:rFonts w:ascii="Times New Roman" w:hAnsi="Times New Roman" w:cs="Times New Roman"/>
          <w:color w:val="000000" w:themeColor="text1"/>
          <w:sz w:val="26"/>
          <w:szCs w:val="26"/>
        </w:rPr>
        <w:t>13</w:t>
      </w:r>
    </w:p>
    <w:p w14:paraId="079AE8FA" w14:textId="77777777" w:rsidR="003E3694" w:rsidRPr="00102FD5" w:rsidRDefault="003E3694" w:rsidP="00322774">
      <w:pPr>
        <w:keepNext/>
        <w:tabs>
          <w:tab w:val="right" w:leader="dot" w:pos="9360"/>
        </w:tabs>
        <w:ind w:right="720"/>
        <w:jc w:val="both"/>
        <w:outlineLvl w:val="2"/>
        <w:rPr>
          <w:rFonts w:ascii="Times New Roman" w:hAnsi="Times New Roman" w:cs="Times New Roman"/>
          <w:color w:val="000000" w:themeColor="text1"/>
          <w:sz w:val="26"/>
          <w:szCs w:val="26"/>
        </w:rPr>
      </w:pPr>
    </w:p>
    <w:p w14:paraId="4232A1A6" w14:textId="7C939B6C" w:rsidR="003E3694" w:rsidRPr="00102FD5" w:rsidRDefault="00F1658D" w:rsidP="00322774">
      <w:pPr>
        <w:pStyle w:val="ListParagraph"/>
        <w:keepNext/>
        <w:numPr>
          <w:ilvl w:val="0"/>
          <w:numId w:val="28"/>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Defendant’s Motion to Quash United States Subpoena Duces Tecum on Maddox Armana </w:t>
      </w:r>
      <w:proofErr w:type="gramStart"/>
      <w:r w:rsidRPr="00102FD5">
        <w:rPr>
          <w:rFonts w:ascii="Times New Roman" w:hAnsi="Times New Roman" w:cs="Times New Roman"/>
          <w:color w:val="000000" w:themeColor="text1"/>
          <w:sz w:val="26"/>
          <w:szCs w:val="26"/>
        </w:rPr>
        <w:t>for the Production of</w:t>
      </w:r>
      <w:proofErr w:type="gramEnd"/>
      <w:r w:rsidRPr="00102FD5">
        <w:rPr>
          <w:rFonts w:ascii="Times New Roman" w:hAnsi="Times New Roman" w:cs="Times New Roman"/>
          <w:color w:val="000000" w:themeColor="text1"/>
          <w:sz w:val="26"/>
          <w:szCs w:val="26"/>
        </w:rPr>
        <w:t xml:space="preserve"> </w:t>
      </w:r>
      <w:proofErr w:type="gramStart"/>
      <w:r w:rsidRPr="00102FD5">
        <w:rPr>
          <w:rFonts w:ascii="Times New Roman" w:hAnsi="Times New Roman" w:cs="Times New Roman"/>
          <w:color w:val="000000" w:themeColor="text1"/>
          <w:sz w:val="26"/>
          <w:szCs w:val="26"/>
        </w:rPr>
        <w:t>any and all</w:t>
      </w:r>
      <w:proofErr w:type="gramEnd"/>
      <w:r w:rsidRPr="00102FD5">
        <w:rPr>
          <w:rFonts w:ascii="Times New Roman" w:hAnsi="Times New Roman" w:cs="Times New Roman"/>
          <w:color w:val="000000" w:themeColor="text1"/>
          <w:sz w:val="26"/>
          <w:szCs w:val="26"/>
        </w:rPr>
        <w:t xml:space="preserve"> records of Armana’s </w:t>
      </w:r>
      <w:r w:rsidRPr="00102FD5">
        <w:rPr>
          <w:rFonts w:ascii="Times New Roman" w:hAnsi="Times New Roman" w:cs="Times New Roman"/>
          <w:color w:val="000000" w:themeColor="text1"/>
          <w:sz w:val="26"/>
          <w:szCs w:val="26"/>
        </w:rPr>
        <w:lastRenderedPageBreak/>
        <w:t>Interview of Sierra Seton on February 15, 2024, as Protected under the Work-Product Privilege Should be Denied</w:t>
      </w:r>
      <w:r w:rsidR="00322774" w:rsidRPr="00102FD5">
        <w:rPr>
          <w:rFonts w:ascii="Times New Roman" w:hAnsi="Times New Roman" w:cs="Times New Roman"/>
          <w:color w:val="000000" w:themeColor="text1"/>
          <w:sz w:val="26"/>
          <w:szCs w:val="26"/>
        </w:rPr>
        <w:tab/>
      </w:r>
      <w:r w:rsidR="007F0BA9" w:rsidRPr="00102FD5">
        <w:rPr>
          <w:rFonts w:ascii="Times New Roman" w:hAnsi="Times New Roman" w:cs="Times New Roman"/>
          <w:color w:val="000000" w:themeColor="text1"/>
          <w:sz w:val="26"/>
          <w:szCs w:val="26"/>
        </w:rPr>
        <w:t>1</w:t>
      </w:r>
      <w:r w:rsidR="002F7B10">
        <w:rPr>
          <w:rFonts w:ascii="Times New Roman" w:hAnsi="Times New Roman" w:cs="Times New Roman"/>
          <w:color w:val="000000" w:themeColor="text1"/>
          <w:sz w:val="26"/>
          <w:szCs w:val="26"/>
        </w:rPr>
        <w:t>4</w:t>
      </w:r>
    </w:p>
    <w:p w14:paraId="767B510B" w14:textId="75922339" w:rsidR="003E3694" w:rsidRPr="00102FD5" w:rsidRDefault="003E3694" w:rsidP="00322774">
      <w:pPr>
        <w:keepNext/>
        <w:tabs>
          <w:tab w:val="right" w:leader="dot" w:pos="9360"/>
        </w:tabs>
        <w:ind w:left="360" w:right="720"/>
        <w:jc w:val="both"/>
        <w:outlineLvl w:val="2"/>
        <w:rPr>
          <w:rFonts w:ascii="Times New Roman" w:hAnsi="Times New Roman" w:cs="Times New Roman"/>
          <w:color w:val="000000" w:themeColor="text1"/>
          <w:sz w:val="26"/>
          <w:szCs w:val="26"/>
        </w:rPr>
      </w:pPr>
    </w:p>
    <w:p w14:paraId="07FF0BAA" w14:textId="3739498B" w:rsidR="003E3694" w:rsidRPr="00102FD5" w:rsidRDefault="006B0B8E" w:rsidP="00322774">
      <w:pPr>
        <w:pStyle w:val="ListParagraph"/>
        <w:keepNext/>
        <w:numPr>
          <w:ilvl w:val="0"/>
          <w:numId w:val="32"/>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Subpoena Satisfies Rule 17(c) and </w:t>
      </w:r>
      <w:proofErr w:type="gramStart"/>
      <w:r w:rsidRPr="00102FD5">
        <w:rPr>
          <w:rFonts w:ascii="Times New Roman" w:hAnsi="Times New Roman" w:cs="Times New Roman"/>
          <w:color w:val="000000" w:themeColor="text1"/>
          <w:sz w:val="26"/>
          <w:szCs w:val="26"/>
        </w:rPr>
        <w:t>Should</w:t>
      </w:r>
      <w:proofErr w:type="gramEnd"/>
      <w:r w:rsidRPr="00102FD5">
        <w:rPr>
          <w:rFonts w:ascii="Times New Roman" w:hAnsi="Times New Roman" w:cs="Times New Roman"/>
          <w:color w:val="000000" w:themeColor="text1"/>
          <w:sz w:val="26"/>
          <w:szCs w:val="26"/>
        </w:rPr>
        <w:t xml:space="preserve"> not be Quashed as Unreasonable or Oppressive</w:t>
      </w:r>
      <w:r w:rsidR="003E3694" w:rsidRPr="00102FD5">
        <w:rPr>
          <w:rFonts w:ascii="Times New Roman" w:hAnsi="Times New Roman" w:cs="Times New Roman"/>
          <w:color w:val="000000" w:themeColor="text1"/>
          <w:sz w:val="26"/>
          <w:szCs w:val="26"/>
        </w:rPr>
        <w:t>.</w:t>
      </w:r>
      <w:r w:rsidR="00322774" w:rsidRPr="00102FD5">
        <w:rPr>
          <w:rFonts w:ascii="Times New Roman" w:hAnsi="Times New Roman" w:cs="Times New Roman"/>
          <w:color w:val="000000" w:themeColor="text1"/>
          <w:sz w:val="26"/>
          <w:szCs w:val="26"/>
        </w:rPr>
        <w:tab/>
      </w:r>
      <w:r w:rsidR="007F0BA9" w:rsidRPr="00102FD5">
        <w:rPr>
          <w:rFonts w:ascii="Times New Roman" w:hAnsi="Times New Roman" w:cs="Times New Roman"/>
          <w:color w:val="000000" w:themeColor="text1"/>
          <w:sz w:val="26"/>
          <w:szCs w:val="26"/>
        </w:rPr>
        <w:t>1</w:t>
      </w:r>
      <w:r w:rsidR="002F7B10">
        <w:rPr>
          <w:rFonts w:ascii="Times New Roman" w:hAnsi="Times New Roman" w:cs="Times New Roman"/>
          <w:color w:val="000000" w:themeColor="text1"/>
          <w:sz w:val="26"/>
          <w:szCs w:val="26"/>
        </w:rPr>
        <w:t>4</w:t>
      </w:r>
    </w:p>
    <w:p w14:paraId="33A8855A" w14:textId="77777777" w:rsidR="00322774" w:rsidRPr="00102FD5" w:rsidRDefault="00322774" w:rsidP="00322774">
      <w:pPr>
        <w:keepNext/>
        <w:tabs>
          <w:tab w:val="right" w:leader="dot" w:pos="9360"/>
        </w:tabs>
        <w:ind w:right="720"/>
        <w:jc w:val="both"/>
        <w:outlineLvl w:val="2"/>
        <w:rPr>
          <w:rFonts w:ascii="Times New Roman" w:hAnsi="Times New Roman" w:cs="Times New Roman"/>
          <w:color w:val="000000" w:themeColor="text1"/>
          <w:sz w:val="26"/>
          <w:szCs w:val="26"/>
        </w:rPr>
      </w:pPr>
    </w:p>
    <w:p w14:paraId="4AE516EE" w14:textId="11D2F565" w:rsidR="00283F1C" w:rsidRPr="00102FD5" w:rsidRDefault="006B0B8E" w:rsidP="00322774">
      <w:pPr>
        <w:pStyle w:val="ListParagraph"/>
        <w:keepNext/>
        <w:numPr>
          <w:ilvl w:val="0"/>
          <w:numId w:val="32"/>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Seton Interview Records Are </w:t>
      </w:r>
      <w:proofErr w:type="gramStart"/>
      <w:r w:rsidRPr="00102FD5">
        <w:rPr>
          <w:rFonts w:ascii="Times New Roman" w:hAnsi="Times New Roman" w:cs="Times New Roman"/>
          <w:color w:val="000000" w:themeColor="text1"/>
          <w:sz w:val="26"/>
          <w:szCs w:val="26"/>
        </w:rPr>
        <w:t>not</w:t>
      </w:r>
      <w:proofErr w:type="gramEnd"/>
      <w:r w:rsidRPr="00102FD5">
        <w:rPr>
          <w:rFonts w:ascii="Times New Roman" w:hAnsi="Times New Roman" w:cs="Times New Roman"/>
          <w:color w:val="000000" w:themeColor="text1"/>
          <w:sz w:val="26"/>
          <w:szCs w:val="26"/>
        </w:rPr>
        <w:t xml:space="preserve"> Work Product Because Defendant Has </w:t>
      </w:r>
      <w:proofErr w:type="gramStart"/>
      <w:r w:rsidRPr="00102FD5">
        <w:rPr>
          <w:rFonts w:ascii="Times New Roman" w:hAnsi="Times New Roman" w:cs="Times New Roman"/>
          <w:color w:val="000000" w:themeColor="text1"/>
          <w:sz w:val="26"/>
          <w:szCs w:val="26"/>
        </w:rPr>
        <w:t>not</w:t>
      </w:r>
      <w:proofErr w:type="gramEnd"/>
      <w:r w:rsidRPr="00102FD5">
        <w:rPr>
          <w:rFonts w:ascii="Times New Roman" w:hAnsi="Times New Roman" w:cs="Times New Roman"/>
          <w:color w:val="000000" w:themeColor="text1"/>
          <w:sz w:val="26"/>
          <w:szCs w:val="26"/>
        </w:rPr>
        <w:t xml:space="preserve"> Established that They Were Prepared in Anticipation of this Litigation</w:t>
      </w:r>
      <w:r w:rsidR="003E3694" w:rsidRPr="00102FD5">
        <w:rPr>
          <w:rFonts w:ascii="Times New Roman" w:hAnsi="Times New Roman" w:cs="Times New Roman"/>
          <w:color w:val="000000" w:themeColor="text1"/>
          <w:sz w:val="26"/>
          <w:szCs w:val="26"/>
        </w:rPr>
        <w:t>.</w:t>
      </w:r>
      <w:r w:rsidR="00322774" w:rsidRPr="00102FD5">
        <w:rPr>
          <w:rFonts w:ascii="Times New Roman" w:hAnsi="Times New Roman" w:cs="Times New Roman"/>
          <w:color w:val="000000" w:themeColor="text1"/>
          <w:sz w:val="26"/>
          <w:szCs w:val="26"/>
        </w:rPr>
        <w:tab/>
      </w:r>
      <w:r w:rsidR="007F0BA9" w:rsidRPr="00102FD5">
        <w:rPr>
          <w:rFonts w:ascii="Times New Roman" w:hAnsi="Times New Roman" w:cs="Times New Roman"/>
          <w:color w:val="000000" w:themeColor="text1"/>
          <w:sz w:val="26"/>
          <w:szCs w:val="26"/>
        </w:rPr>
        <w:t>1</w:t>
      </w:r>
      <w:r w:rsidR="002F7B10">
        <w:rPr>
          <w:rFonts w:ascii="Times New Roman" w:hAnsi="Times New Roman" w:cs="Times New Roman"/>
          <w:color w:val="000000" w:themeColor="text1"/>
          <w:sz w:val="26"/>
          <w:szCs w:val="26"/>
        </w:rPr>
        <w:t>6</w:t>
      </w:r>
    </w:p>
    <w:p w14:paraId="7089037F" w14:textId="77777777" w:rsidR="003E3694" w:rsidRPr="00102FD5" w:rsidRDefault="003E3694" w:rsidP="00322774">
      <w:pPr>
        <w:pStyle w:val="ListParagraph"/>
        <w:tabs>
          <w:tab w:val="right" w:leader="dot" w:pos="9360"/>
        </w:tabs>
        <w:ind w:right="720"/>
        <w:rPr>
          <w:rFonts w:ascii="Times New Roman" w:hAnsi="Times New Roman" w:cs="Times New Roman"/>
          <w:color w:val="000000" w:themeColor="text1"/>
          <w:sz w:val="26"/>
          <w:szCs w:val="26"/>
        </w:rPr>
      </w:pPr>
    </w:p>
    <w:p w14:paraId="1B38E3D4" w14:textId="1F54B456" w:rsidR="003E3694" w:rsidRPr="00102FD5" w:rsidRDefault="006B0B8E" w:rsidP="00322774">
      <w:pPr>
        <w:pStyle w:val="ListParagraph"/>
        <w:keepNext/>
        <w:numPr>
          <w:ilvl w:val="0"/>
          <w:numId w:val="32"/>
        </w:numPr>
        <w:tabs>
          <w:tab w:val="right" w:leader="dot" w:pos="9360"/>
        </w:tabs>
        <w:ind w:right="720"/>
        <w:jc w:val="both"/>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If Some Work-Product Protection Applies, It Does not Justify Quashing the Subpoena</w:t>
      </w:r>
      <w:r w:rsidR="003E3694" w:rsidRPr="00102FD5">
        <w:rPr>
          <w:rFonts w:ascii="Times New Roman" w:hAnsi="Times New Roman" w:cs="Times New Roman"/>
          <w:color w:val="000000" w:themeColor="text1"/>
          <w:sz w:val="26"/>
          <w:szCs w:val="26"/>
        </w:rPr>
        <w:t>.</w:t>
      </w:r>
      <w:r w:rsidR="00322774" w:rsidRPr="00102FD5">
        <w:rPr>
          <w:rFonts w:ascii="Times New Roman" w:hAnsi="Times New Roman" w:cs="Times New Roman"/>
          <w:color w:val="000000" w:themeColor="text1"/>
          <w:sz w:val="26"/>
          <w:szCs w:val="26"/>
        </w:rPr>
        <w:tab/>
      </w:r>
      <w:r w:rsidR="007F0BA9" w:rsidRPr="00102FD5">
        <w:rPr>
          <w:rFonts w:ascii="Times New Roman" w:hAnsi="Times New Roman" w:cs="Times New Roman"/>
          <w:color w:val="000000" w:themeColor="text1"/>
          <w:sz w:val="26"/>
          <w:szCs w:val="26"/>
        </w:rPr>
        <w:t>1</w:t>
      </w:r>
      <w:r w:rsidR="002F7B10">
        <w:rPr>
          <w:rFonts w:ascii="Times New Roman" w:hAnsi="Times New Roman" w:cs="Times New Roman"/>
          <w:color w:val="000000" w:themeColor="text1"/>
          <w:sz w:val="26"/>
          <w:szCs w:val="26"/>
        </w:rPr>
        <w:t>8</w:t>
      </w:r>
    </w:p>
    <w:p w14:paraId="473D0948" w14:textId="77777777" w:rsidR="003E3694" w:rsidRPr="00102FD5" w:rsidRDefault="003E3694" w:rsidP="00322774">
      <w:pPr>
        <w:keepNext/>
        <w:tabs>
          <w:tab w:val="right" w:leader="dot" w:pos="9360"/>
        </w:tabs>
        <w:ind w:right="720"/>
        <w:jc w:val="both"/>
        <w:outlineLvl w:val="2"/>
        <w:rPr>
          <w:rFonts w:ascii="Times New Roman" w:hAnsi="Times New Roman" w:cs="Times New Roman"/>
          <w:color w:val="000000" w:themeColor="text1"/>
          <w:sz w:val="26"/>
          <w:szCs w:val="26"/>
        </w:rPr>
      </w:pPr>
    </w:p>
    <w:p w14:paraId="4279F8DE" w14:textId="323C270E" w:rsidR="003E3694" w:rsidRPr="00102FD5" w:rsidRDefault="003E3694" w:rsidP="00322774">
      <w:pPr>
        <w:keepNext/>
        <w:tabs>
          <w:tab w:val="right" w:leader="dot" w:pos="9360"/>
        </w:tabs>
        <w:ind w:right="720"/>
        <w:jc w:val="both"/>
        <w:outlineLvl w:val="2"/>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t>Conclusion</w:t>
      </w:r>
      <w:r w:rsidR="00322774" w:rsidRPr="00102FD5">
        <w:rPr>
          <w:rFonts w:ascii="Times New Roman" w:hAnsi="Times New Roman" w:cs="Times New Roman"/>
          <w:smallCaps/>
          <w:color w:val="000000" w:themeColor="text1"/>
          <w:sz w:val="26"/>
          <w:szCs w:val="26"/>
        </w:rPr>
        <w:tab/>
      </w:r>
      <w:r w:rsidR="007F0BA9" w:rsidRPr="00102FD5">
        <w:rPr>
          <w:rFonts w:ascii="Times New Roman" w:hAnsi="Times New Roman" w:cs="Times New Roman"/>
          <w:smallCaps/>
          <w:color w:val="000000" w:themeColor="text1"/>
          <w:sz w:val="26"/>
          <w:szCs w:val="26"/>
        </w:rPr>
        <w:t>1</w:t>
      </w:r>
      <w:r w:rsidR="002F7B10">
        <w:rPr>
          <w:rFonts w:ascii="Times New Roman" w:hAnsi="Times New Roman" w:cs="Times New Roman"/>
          <w:smallCaps/>
          <w:color w:val="000000" w:themeColor="text1"/>
          <w:sz w:val="26"/>
          <w:szCs w:val="26"/>
        </w:rPr>
        <w:t>9</w:t>
      </w:r>
    </w:p>
    <w:p w14:paraId="084A1733" w14:textId="77777777" w:rsidR="00283F1C" w:rsidRPr="00102FD5" w:rsidRDefault="00283F1C" w:rsidP="00322774">
      <w:pPr>
        <w:rPr>
          <w:rFonts w:ascii="Times New Roman" w:hAnsi="Times New Roman" w:cs="Times New Roman"/>
          <w:color w:val="000000" w:themeColor="text1"/>
          <w:sz w:val="26"/>
          <w:szCs w:val="26"/>
        </w:rPr>
      </w:pPr>
    </w:p>
    <w:p w14:paraId="56402CAB" w14:textId="77777777" w:rsidR="00283F1C" w:rsidRPr="00102FD5" w:rsidRDefault="00283F1C" w:rsidP="00322774">
      <w:pPr>
        <w:rPr>
          <w:rFonts w:ascii="Times New Roman" w:hAnsi="Times New Roman" w:cs="Times New Roman"/>
          <w:color w:val="000000" w:themeColor="text1"/>
          <w:sz w:val="26"/>
          <w:szCs w:val="26"/>
        </w:rPr>
      </w:pPr>
    </w:p>
    <w:p w14:paraId="3CBBF819" w14:textId="77777777" w:rsidR="00322774" w:rsidRPr="00102FD5" w:rsidRDefault="00322774">
      <w:pPr>
        <w:spacing w:after="160" w:line="278" w:lineRule="auto"/>
        <w:rPr>
          <w:rFonts w:ascii="Times New Roman" w:hAnsi="Times New Roman" w:cs="Times New Roman"/>
          <w:smallCaps/>
          <w:color w:val="000000" w:themeColor="text1"/>
          <w:sz w:val="26"/>
          <w:szCs w:val="26"/>
        </w:rPr>
      </w:pPr>
      <w:r w:rsidRPr="00102FD5">
        <w:rPr>
          <w:rFonts w:ascii="Times New Roman" w:hAnsi="Times New Roman" w:cs="Times New Roman"/>
          <w:smallCaps/>
          <w:color w:val="000000" w:themeColor="text1"/>
          <w:sz w:val="26"/>
          <w:szCs w:val="26"/>
        </w:rPr>
        <w:br w:type="page"/>
      </w:r>
    </w:p>
    <w:p w14:paraId="19443938" w14:textId="368C3AE3" w:rsidR="001B4BBE" w:rsidRPr="00102FD5" w:rsidRDefault="001B4BBE" w:rsidP="002E4103">
      <w:pPr>
        <w:spacing w:before="240"/>
        <w:jc w:val="center"/>
        <w:rPr>
          <w:rFonts w:ascii="Times New Roman" w:hAnsi="Times New Roman" w:cs="Times New Roman"/>
          <w:b/>
          <w:bCs/>
          <w:smallCaps/>
          <w:color w:val="000000" w:themeColor="text1"/>
          <w:sz w:val="26"/>
          <w:szCs w:val="26"/>
        </w:rPr>
      </w:pPr>
      <w:r w:rsidRPr="00102FD5">
        <w:rPr>
          <w:rFonts w:ascii="Times New Roman" w:hAnsi="Times New Roman" w:cs="Times New Roman"/>
          <w:b/>
          <w:bCs/>
          <w:smallCaps/>
          <w:color w:val="000000" w:themeColor="text1"/>
          <w:sz w:val="26"/>
          <w:szCs w:val="26"/>
        </w:rPr>
        <w:lastRenderedPageBreak/>
        <w:t>Table of Authorities</w:t>
      </w:r>
    </w:p>
    <w:p w14:paraId="054557BA" w14:textId="3361A53F" w:rsidR="00DA2DF9" w:rsidRPr="00102FD5" w:rsidRDefault="00DA2DF9" w:rsidP="00CB0F91">
      <w:pPr>
        <w:pStyle w:val="TOAHeading"/>
        <w:tabs>
          <w:tab w:val="right" w:leader="dot" w:pos="9350"/>
        </w:tabs>
        <w:spacing w:line="240" w:lineRule="auto"/>
        <w:rPr>
          <w:rFonts w:cs="Times New Roman"/>
          <w:caps w:val="0"/>
          <w:smallCaps/>
          <w:noProof/>
          <w:color w:val="000000" w:themeColor="text1"/>
          <w:szCs w:val="26"/>
        </w:rPr>
      </w:pPr>
      <w:r w:rsidRPr="00102FD5">
        <w:rPr>
          <w:rFonts w:cs="Times New Roman"/>
          <w:b w:val="0"/>
          <w:bCs w:val="0"/>
          <w:smallCaps/>
          <w:color w:val="000000" w:themeColor="text1"/>
          <w:szCs w:val="26"/>
        </w:rPr>
        <w:fldChar w:fldCharType="begin"/>
      </w:r>
      <w:r w:rsidRPr="00102FD5">
        <w:rPr>
          <w:rFonts w:cs="Times New Roman"/>
          <w:b w:val="0"/>
          <w:bCs w:val="0"/>
          <w:smallCaps/>
          <w:color w:val="000000" w:themeColor="text1"/>
          <w:szCs w:val="26"/>
        </w:rPr>
        <w:instrText xml:space="preserve"> TOA \h \c "1" </w:instrText>
      </w:r>
      <w:r w:rsidRPr="00102FD5">
        <w:rPr>
          <w:rFonts w:cs="Times New Roman"/>
          <w:b w:val="0"/>
          <w:bCs w:val="0"/>
          <w:smallCaps/>
          <w:color w:val="000000" w:themeColor="text1"/>
          <w:szCs w:val="26"/>
        </w:rPr>
        <w:fldChar w:fldCharType="separate"/>
      </w:r>
      <w:r w:rsidRPr="00102FD5">
        <w:rPr>
          <w:rFonts w:cs="Times New Roman"/>
          <w:caps w:val="0"/>
          <w:smallCaps/>
          <w:noProof/>
          <w:color w:val="000000" w:themeColor="text1"/>
          <w:szCs w:val="26"/>
        </w:rPr>
        <w:t>Cases</w:t>
      </w:r>
    </w:p>
    <w:p w14:paraId="47E4C0D5" w14:textId="20C75596" w:rsidR="000E2E84" w:rsidRPr="00102FD5" w:rsidRDefault="00C2138D" w:rsidP="000E2E84">
      <w:pPr>
        <w:rPr>
          <w:rFonts w:ascii="Times New Roman" w:hAnsi="Times New Roman" w:cs="Times New Roman"/>
          <w:b/>
          <w:bCs/>
          <w:sz w:val="26"/>
          <w:szCs w:val="26"/>
        </w:rPr>
      </w:pPr>
      <w:r w:rsidRPr="00102FD5">
        <w:rPr>
          <w:rFonts w:ascii="Times New Roman" w:hAnsi="Times New Roman" w:cs="Times New Roman"/>
          <w:b/>
          <w:bCs/>
          <w:smallCaps/>
          <w:noProof/>
          <w:color w:val="000000" w:themeColor="text1"/>
          <w:sz w:val="26"/>
          <w:szCs w:val="26"/>
        </w:rPr>
        <w:t>Supreme Court Cases</w:t>
      </w:r>
    </w:p>
    <w:p w14:paraId="65E97D2C" w14:textId="3DD825EB" w:rsidR="000E2E84" w:rsidRPr="00102FD5" w:rsidRDefault="000E2E84" w:rsidP="00692DC9">
      <w:pPr>
        <w:pStyle w:val="TableofAuthorities"/>
        <w:tabs>
          <w:tab w:val="left" w:pos="3420"/>
          <w:tab w:val="right" w:leader="dot" w:pos="9350"/>
        </w:tabs>
        <w:spacing w:line="240" w:lineRule="auto"/>
        <w:ind w:left="0" w:firstLine="0"/>
        <w:rPr>
          <w:rFonts w:cs="Times New Roman"/>
          <w:noProof/>
          <w:color w:val="000000" w:themeColor="text1"/>
          <w:sz w:val="26"/>
          <w:szCs w:val="26"/>
        </w:rPr>
      </w:pPr>
    </w:p>
    <w:p w14:paraId="3536B30D" w14:textId="330AC909" w:rsidR="000E2E84" w:rsidRPr="00102FD5" w:rsidRDefault="00792E49" w:rsidP="000E2E84">
      <w:pPr>
        <w:pStyle w:val="TableofAuthorities"/>
        <w:tabs>
          <w:tab w:val="left" w:pos="3420"/>
          <w:tab w:val="right" w:leader="dot" w:pos="9350"/>
        </w:tabs>
        <w:spacing w:line="240" w:lineRule="auto"/>
        <w:rPr>
          <w:rFonts w:cs="Times New Roman"/>
          <w:noProof/>
          <w:color w:val="000000" w:themeColor="text1"/>
          <w:sz w:val="26"/>
          <w:szCs w:val="26"/>
        </w:rPr>
      </w:pPr>
      <w:r w:rsidRPr="00102FD5">
        <w:rPr>
          <w:rFonts w:cs="Times New Roman"/>
          <w:i/>
          <w:iCs/>
          <w:color w:val="000000"/>
          <w:sz w:val="26"/>
          <w:szCs w:val="26"/>
        </w:rPr>
        <w:t>Goldberg v. United States</w:t>
      </w:r>
      <w:r w:rsidR="000E2E84" w:rsidRPr="00102FD5">
        <w:rPr>
          <w:rFonts w:cs="Times New Roman"/>
          <w:noProof/>
          <w:color w:val="000000" w:themeColor="text1"/>
          <w:sz w:val="26"/>
          <w:szCs w:val="26"/>
        </w:rPr>
        <w:t xml:space="preserve">, </w:t>
      </w:r>
    </w:p>
    <w:p w14:paraId="74C9A396" w14:textId="58A28737" w:rsidR="000E2E84" w:rsidRPr="00102FD5" w:rsidRDefault="000E2E84" w:rsidP="000E2E84">
      <w:pPr>
        <w:pStyle w:val="TableofAuthorities"/>
        <w:tabs>
          <w:tab w:val="right" w:leader="dot" w:pos="9350"/>
        </w:tabs>
        <w:spacing w:after="240" w:line="240" w:lineRule="auto"/>
        <w:ind w:left="360" w:hanging="360"/>
        <w:rPr>
          <w:rFonts w:cs="Times New Roman"/>
          <w:noProof/>
          <w:color w:val="000000" w:themeColor="text1"/>
          <w:sz w:val="26"/>
          <w:szCs w:val="26"/>
        </w:rPr>
      </w:pPr>
      <w:r w:rsidRPr="00102FD5">
        <w:rPr>
          <w:rFonts w:cs="Times New Roman"/>
          <w:noProof/>
          <w:color w:val="000000" w:themeColor="text1"/>
          <w:sz w:val="26"/>
          <w:szCs w:val="26"/>
        </w:rPr>
        <w:tab/>
      </w:r>
      <w:r w:rsidR="00792E49" w:rsidRPr="00102FD5">
        <w:rPr>
          <w:rFonts w:cs="Times New Roman"/>
          <w:color w:val="000000"/>
          <w:sz w:val="26"/>
          <w:szCs w:val="26"/>
        </w:rPr>
        <w:t>425 U.S. 94 (1976)</w:t>
      </w:r>
      <w:r w:rsidRPr="00102FD5">
        <w:rPr>
          <w:rFonts w:cs="Times New Roman"/>
          <w:noProof/>
          <w:color w:val="000000" w:themeColor="text1"/>
          <w:sz w:val="26"/>
          <w:szCs w:val="26"/>
        </w:rPr>
        <w:t>.</w:t>
      </w:r>
      <w:r w:rsidRPr="00102FD5">
        <w:rPr>
          <w:rFonts w:cs="Times New Roman"/>
          <w:noProof/>
          <w:color w:val="000000" w:themeColor="text1"/>
          <w:sz w:val="26"/>
          <w:szCs w:val="26"/>
        </w:rPr>
        <w:tab/>
      </w:r>
      <w:r w:rsidR="00792E49" w:rsidRPr="00102FD5">
        <w:rPr>
          <w:rFonts w:cs="Times New Roman"/>
          <w:noProof/>
          <w:color w:val="000000" w:themeColor="text1"/>
          <w:sz w:val="26"/>
          <w:szCs w:val="26"/>
        </w:rPr>
        <w:t>20</w:t>
      </w:r>
    </w:p>
    <w:p w14:paraId="5FB3D23E" w14:textId="068F0B87" w:rsidR="000E2E84" w:rsidRPr="00102FD5" w:rsidRDefault="00BF6996" w:rsidP="000E2E84">
      <w:pPr>
        <w:pStyle w:val="TableofAuthorities"/>
        <w:tabs>
          <w:tab w:val="right" w:leader="dot" w:pos="9350"/>
        </w:tabs>
        <w:spacing w:line="240" w:lineRule="auto"/>
        <w:rPr>
          <w:rFonts w:cs="Times New Roman"/>
          <w:noProof/>
          <w:color w:val="000000" w:themeColor="text1"/>
          <w:sz w:val="26"/>
          <w:szCs w:val="26"/>
        </w:rPr>
      </w:pPr>
      <w:r w:rsidRPr="00102FD5">
        <w:rPr>
          <w:rFonts w:cs="Times New Roman"/>
          <w:i/>
          <w:iCs/>
          <w:color w:val="000000"/>
          <w:sz w:val="26"/>
          <w:szCs w:val="26"/>
        </w:rPr>
        <w:t>Hickman v. Taylor</w:t>
      </w:r>
      <w:r w:rsidR="000E2E84" w:rsidRPr="00102FD5">
        <w:rPr>
          <w:rFonts w:cs="Times New Roman"/>
          <w:noProof/>
          <w:color w:val="000000" w:themeColor="text1"/>
          <w:sz w:val="26"/>
          <w:szCs w:val="26"/>
        </w:rPr>
        <w:t xml:space="preserve">, </w:t>
      </w:r>
    </w:p>
    <w:p w14:paraId="109570FD" w14:textId="6E52A95E" w:rsidR="000E2E84" w:rsidRPr="00102FD5" w:rsidRDefault="00885652" w:rsidP="000E2E84">
      <w:pPr>
        <w:pStyle w:val="TableofAuthorities"/>
        <w:tabs>
          <w:tab w:val="right" w:leader="dot" w:pos="9350"/>
        </w:tabs>
        <w:spacing w:after="240" w:line="240" w:lineRule="auto"/>
        <w:ind w:left="630"/>
        <w:rPr>
          <w:rFonts w:cs="Times New Roman"/>
          <w:noProof/>
          <w:color w:val="000000" w:themeColor="text1"/>
          <w:sz w:val="26"/>
          <w:szCs w:val="26"/>
        </w:rPr>
      </w:pPr>
      <w:r w:rsidRPr="00102FD5">
        <w:rPr>
          <w:rFonts w:cs="Times New Roman"/>
          <w:color w:val="000000"/>
          <w:sz w:val="26"/>
          <w:szCs w:val="26"/>
        </w:rPr>
        <w:t>329 U.S. 495 (1947)</w:t>
      </w:r>
      <w:r w:rsidR="000E2E84" w:rsidRPr="00102FD5">
        <w:rPr>
          <w:rFonts w:cs="Times New Roman"/>
          <w:noProof/>
          <w:color w:val="000000" w:themeColor="text1"/>
          <w:sz w:val="26"/>
          <w:szCs w:val="26"/>
        </w:rPr>
        <w:t>.</w:t>
      </w:r>
      <w:r w:rsidR="000E2E84" w:rsidRPr="00102FD5">
        <w:rPr>
          <w:rFonts w:cs="Times New Roman"/>
          <w:noProof/>
          <w:color w:val="000000" w:themeColor="text1"/>
          <w:sz w:val="26"/>
          <w:szCs w:val="26"/>
        </w:rPr>
        <w:tab/>
      </w:r>
      <w:r w:rsidRPr="00102FD5">
        <w:rPr>
          <w:rFonts w:cs="Times New Roman"/>
          <w:noProof/>
          <w:color w:val="000000" w:themeColor="text1"/>
          <w:sz w:val="26"/>
          <w:szCs w:val="26"/>
        </w:rPr>
        <w:t>17, 19</w:t>
      </w:r>
    </w:p>
    <w:p w14:paraId="19C6A2CF" w14:textId="6C62BB27" w:rsidR="000E2E84" w:rsidRPr="00102FD5" w:rsidRDefault="00813B13" w:rsidP="000E2E84">
      <w:pPr>
        <w:pStyle w:val="TableofAuthorities"/>
        <w:tabs>
          <w:tab w:val="right" w:leader="dot" w:pos="9350"/>
        </w:tabs>
        <w:spacing w:line="240" w:lineRule="auto"/>
        <w:rPr>
          <w:rFonts w:cs="Times New Roman"/>
          <w:noProof/>
          <w:color w:val="000000" w:themeColor="text1"/>
          <w:sz w:val="26"/>
          <w:szCs w:val="26"/>
        </w:rPr>
      </w:pPr>
      <w:r w:rsidRPr="00102FD5">
        <w:rPr>
          <w:rFonts w:cs="Times New Roman"/>
          <w:i/>
          <w:iCs/>
          <w:noProof/>
          <w:color w:val="000000" w:themeColor="text1"/>
          <w:sz w:val="26"/>
          <w:szCs w:val="26"/>
        </w:rPr>
        <w:t>Kastigar v. United States</w:t>
      </w:r>
      <w:r w:rsidR="000E2E84" w:rsidRPr="00102FD5">
        <w:rPr>
          <w:rFonts w:cs="Times New Roman"/>
          <w:noProof/>
          <w:color w:val="000000" w:themeColor="text1"/>
          <w:sz w:val="26"/>
          <w:szCs w:val="26"/>
        </w:rPr>
        <w:t xml:space="preserve">, </w:t>
      </w:r>
    </w:p>
    <w:p w14:paraId="1387F9DA" w14:textId="12613172" w:rsidR="000E2E84" w:rsidRDefault="00813B13" w:rsidP="000E2E84">
      <w:pPr>
        <w:pStyle w:val="TableofAuthorities"/>
        <w:tabs>
          <w:tab w:val="right" w:leader="dot" w:pos="9350"/>
        </w:tabs>
        <w:spacing w:after="240" w:line="240" w:lineRule="auto"/>
        <w:ind w:left="630"/>
        <w:rPr>
          <w:rFonts w:cs="Times New Roman"/>
          <w:noProof/>
          <w:color w:val="000000" w:themeColor="text1"/>
          <w:sz w:val="26"/>
          <w:szCs w:val="26"/>
        </w:rPr>
      </w:pPr>
      <w:r w:rsidRPr="00102FD5">
        <w:rPr>
          <w:rFonts w:cs="Times New Roman"/>
          <w:color w:val="000000"/>
          <w:sz w:val="26"/>
          <w:szCs w:val="26"/>
        </w:rPr>
        <w:t>406 U.S. 441 (1972)</w:t>
      </w:r>
      <w:r w:rsidR="000E2E84" w:rsidRPr="00102FD5">
        <w:rPr>
          <w:rFonts w:cs="Times New Roman"/>
          <w:noProof/>
          <w:color w:val="000000" w:themeColor="text1"/>
          <w:sz w:val="26"/>
          <w:szCs w:val="26"/>
        </w:rPr>
        <w:t>.</w:t>
      </w:r>
      <w:r w:rsidR="000E2E84" w:rsidRPr="00102FD5">
        <w:rPr>
          <w:rFonts w:cs="Times New Roman"/>
          <w:noProof/>
          <w:color w:val="000000" w:themeColor="text1"/>
          <w:sz w:val="26"/>
          <w:szCs w:val="26"/>
        </w:rPr>
        <w:tab/>
      </w:r>
      <w:r w:rsidRPr="00102FD5">
        <w:rPr>
          <w:rFonts w:cs="Times New Roman"/>
          <w:noProof/>
          <w:color w:val="000000" w:themeColor="text1"/>
          <w:sz w:val="26"/>
          <w:szCs w:val="26"/>
        </w:rPr>
        <w:t>7</w:t>
      </w:r>
      <w:r w:rsidR="00E7025B" w:rsidRPr="00102FD5">
        <w:rPr>
          <w:rFonts w:cs="Times New Roman"/>
          <w:noProof/>
          <w:color w:val="000000" w:themeColor="text1"/>
          <w:sz w:val="26"/>
          <w:szCs w:val="26"/>
        </w:rPr>
        <w:t>, 8, 9, 11, 13</w:t>
      </w:r>
    </w:p>
    <w:p w14:paraId="0D17C97C" w14:textId="50CAD9E7" w:rsidR="00426218" w:rsidRPr="00102FD5" w:rsidRDefault="00426218" w:rsidP="00426218">
      <w:pPr>
        <w:pStyle w:val="TableofAuthorities"/>
        <w:tabs>
          <w:tab w:val="right" w:leader="dot" w:pos="9350"/>
        </w:tabs>
        <w:spacing w:line="240" w:lineRule="auto"/>
        <w:rPr>
          <w:rFonts w:cs="Times New Roman"/>
          <w:noProof/>
          <w:color w:val="000000" w:themeColor="text1"/>
          <w:sz w:val="26"/>
          <w:szCs w:val="26"/>
        </w:rPr>
      </w:pPr>
      <w:r w:rsidRPr="00102FD5">
        <w:rPr>
          <w:rFonts w:cs="Times New Roman"/>
          <w:i/>
          <w:iCs/>
          <w:noProof/>
          <w:color w:val="000000" w:themeColor="text1"/>
          <w:sz w:val="26"/>
          <w:szCs w:val="26"/>
        </w:rPr>
        <w:t xml:space="preserve">United States v. </w:t>
      </w:r>
      <w:r>
        <w:rPr>
          <w:rFonts w:cs="Times New Roman"/>
          <w:i/>
          <w:iCs/>
          <w:noProof/>
          <w:color w:val="000000" w:themeColor="text1"/>
          <w:sz w:val="26"/>
          <w:szCs w:val="26"/>
        </w:rPr>
        <w:t>Nixon</w:t>
      </w:r>
      <w:r w:rsidRPr="00102FD5">
        <w:rPr>
          <w:rFonts w:cs="Times New Roman"/>
          <w:noProof/>
          <w:color w:val="000000" w:themeColor="text1"/>
          <w:sz w:val="26"/>
          <w:szCs w:val="26"/>
        </w:rPr>
        <w:t xml:space="preserve">, </w:t>
      </w:r>
    </w:p>
    <w:p w14:paraId="7696FA74" w14:textId="5624F2CA" w:rsidR="00426218" w:rsidRPr="00426218" w:rsidRDefault="008C7B7E" w:rsidP="00426218">
      <w:pPr>
        <w:pStyle w:val="TableofAuthorities"/>
        <w:tabs>
          <w:tab w:val="right" w:leader="dot" w:pos="9350"/>
        </w:tabs>
        <w:spacing w:after="240" w:line="240" w:lineRule="auto"/>
        <w:ind w:left="630"/>
        <w:rPr>
          <w:rFonts w:cs="Times New Roman"/>
          <w:noProof/>
          <w:color w:val="000000" w:themeColor="text1"/>
          <w:sz w:val="26"/>
          <w:szCs w:val="26"/>
        </w:rPr>
      </w:pPr>
      <w:r>
        <w:rPr>
          <w:color w:val="000000"/>
          <w:sz w:val="26"/>
          <w:szCs w:val="26"/>
        </w:rPr>
        <w:t>418 U.S. 683 (1974)</w:t>
      </w:r>
      <w:r w:rsidR="00426218" w:rsidRPr="00102FD5">
        <w:rPr>
          <w:rFonts w:cs="Times New Roman"/>
          <w:noProof/>
          <w:color w:val="000000" w:themeColor="text1"/>
          <w:sz w:val="26"/>
          <w:szCs w:val="26"/>
        </w:rPr>
        <w:t>.</w:t>
      </w:r>
      <w:r w:rsidR="00426218" w:rsidRPr="00102FD5">
        <w:rPr>
          <w:rFonts w:cs="Times New Roman"/>
          <w:noProof/>
          <w:color w:val="000000" w:themeColor="text1"/>
          <w:sz w:val="26"/>
          <w:szCs w:val="26"/>
        </w:rPr>
        <w:tab/>
        <w:t>1</w:t>
      </w:r>
      <w:r>
        <w:rPr>
          <w:rFonts w:cs="Times New Roman"/>
          <w:noProof/>
          <w:color w:val="000000" w:themeColor="text1"/>
          <w:sz w:val="26"/>
          <w:szCs w:val="26"/>
        </w:rPr>
        <w:t>6</w:t>
      </w:r>
    </w:p>
    <w:p w14:paraId="3D1BC236" w14:textId="53E250BA" w:rsidR="000E2E84" w:rsidRPr="00102FD5" w:rsidRDefault="0049159F" w:rsidP="000E2E84">
      <w:pPr>
        <w:pStyle w:val="TableofAuthorities"/>
        <w:tabs>
          <w:tab w:val="right" w:leader="dot" w:pos="9350"/>
        </w:tabs>
        <w:spacing w:line="240" w:lineRule="auto"/>
        <w:rPr>
          <w:rFonts w:cs="Times New Roman"/>
          <w:noProof/>
          <w:color w:val="000000" w:themeColor="text1"/>
          <w:sz w:val="26"/>
          <w:szCs w:val="26"/>
        </w:rPr>
      </w:pPr>
      <w:r w:rsidRPr="00102FD5">
        <w:rPr>
          <w:rFonts w:cs="Times New Roman"/>
          <w:i/>
          <w:iCs/>
          <w:noProof/>
          <w:color w:val="000000" w:themeColor="text1"/>
          <w:sz w:val="26"/>
          <w:szCs w:val="26"/>
        </w:rPr>
        <w:t>United States v. Nobles</w:t>
      </w:r>
      <w:r w:rsidR="000E2E84" w:rsidRPr="00102FD5">
        <w:rPr>
          <w:rFonts w:cs="Times New Roman"/>
          <w:noProof/>
          <w:color w:val="000000" w:themeColor="text1"/>
          <w:sz w:val="26"/>
          <w:szCs w:val="26"/>
        </w:rPr>
        <w:t xml:space="preserve">, </w:t>
      </w:r>
    </w:p>
    <w:p w14:paraId="7D821441" w14:textId="16620758" w:rsidR="000E2E84" w:rsidRPr="00102FD5" w:rsidRDefault="0049159F" w:rsidP="000E2E84">
      <w:pPr>
        <w:pStyle w:val="TableofAuthorities"/>
        <w:tabs>
          <w:tab w:val="right" w:leader="dot" w:pos="9350"/>
        </w:tabs>
        <w:spacing w:after="240" w:line="240" w:lineRule="auto"/>
        <w:ind w:left="630"/>
        <w:rPr>
          <w:rFonts w:cs="Times New Roman"/>
          <w:noProof/>
          <w:color w:val="000000" w:themeColor="text1"/>
          <w:sz w:val="26"/>
          <w:szCs w:val="26"/>
        </w:rPr>
      </w:pPr>
      <w:r w:rsidRPr="00102FD5">
        <w:rPr>
          <w:rFonts w:cs="Times New Roman"/>
          <w:noProof/>
          <w:color w:val="000000" w:themeColor="text1"/>
          <w:sz w:val="26"/>
          <w:szCs w:val="26"/>
        </w:rPr>
        <w:t>422 U.S. 225 (1975)</w:t>
      </w:r>
      <w:r w:rsidR="000E2E84" w:rsidRPr="00102FD5">
        <w:rPr>
          <w:rFonts w:cs="Times New Roman"/>
          <w:noProof/>
          <w:color w:val="000000" w:themeColor="text1"/>
          <w:sz w:val="26"/>
          <w:szCs w:val="26"/>
        </w:rPr>
        <w:t>.</w:t>
      </w:r>
      <w:r w:rsidR="000E2E84" w:rsidRPr="00102FD5">
        <w:rPr>
          <w:rFonts w:cs="Times New Roman"/>
          <w:noProof/>
          <w:color w:val="000000" w:themeColor="text1"/>
          <w:sz w:val="26"/>
          <w:szCs w:val="26"/>
        </w:rPr>
        <w:tab/>
      </w:r>
      <w:r w:rsidRPr="00102FD5">
        <w:rPr>
          <w:rFonts w:cs="Times New Roman"/>
          <w:noProof/>
          <w:color w:val="000000" w:themeColor="text1"/>
          <w:sz w:val="26"/>
          <w:szCs w:val="26"/>
        </w:rPr>
        <w:t>17, 18</w:t>
      </w:r>
    </w:p>
    <w:p w14:paraId="5E4AC2F2" w14:textId="7DE66591" w:rsidR="000E2E84" w:rsidRPr="00102FD5" w:rsidRDefault="0049159F" w:rsidP="000E2E84">
      <w:pPr>
        <w:pStyle w:val="TableofAuthorities"/>
        <w:tabs>
          <w:tab w:val="right" w:leader="dot" w:pos="9350"/>
        </w:tabs>
        <w:spacing w:line="240" w:lineRule="auto"/>
        <w:rPr>
          <w:rFonts w:cs="Times New Roman"/>
          <w:noProof/>
          <w:color w:val="000000" w:themeColor="text1"/>
          <w:sz w:val="26"/>
          <w:szCs w:val="26"/>
        </w:rPr>
      </w:pPr>
      <w:r w:rsidRPr="00102FD5">
        <w:rPr>
          <w:rFonts w:cs="Times New Roman"/>
          <w:i/>
          <w:iCs/>
          <w:noProof/>
          <w:color w:val="000000" w:themeColor="text1"/>
          <w:sz w:val="26"/>
          <w:szCs w:val="26"/>
        </w:rPr>
        <w:t>Upjohn Co. v. United States</w:t>
      </w:r>
      <w:r w:rsidR="000E2E84" w:rsidRPr="00102FD5">
        <w:rPr>
          <w:rFonts w:cs="Times New Roman"/>
          <w:noProof/>
          <w:color w:val="000000" w:themeColor="text1"/>
          <w:sz w:val="26"/>
          <w:szCs w:val="26"/>
        </w:rPr>
        <w:t xml:space="preserve">, </w:t>
      </w:r>
    </w:p>
    <w:p w14:paraId="1A7BD026" w14:textId="54AA5D87" w:rsidR="000E2E84" w:rsidRPr="00102FD5" w:rsidRDefault="0049159F" w:rsidP="000E2E84">
      <w:pPr>
        <w:pStyle w:val="TableofAuthorities"/>
        <w:tabs>
          <w:tab w:val="right" w:leader="dot" w:pos="9350"/>
        </w:tabs>
        <w:spacing w:after="240" w:line="240" w:lineRule="auto"/>
        <w:ind w:left="630"/>
        <w:rPr>
          <w:rFonts w:cs="Times New Roman"/>
          <w:noProof/>
          <w:color w:val="000000" w:themeColor="text1"/>
          <w:sz w:val="26"/>
          <w:szCs w:val="26"/>
        </w:rPr>
      </w:pPr>
      <w:r w:rsidRPr="00102FD5">
        <w:rPr>
          <w:rFonts w:cs="Times New Roman"/>
          <w:noProof/>
          <w:color w:val="000000" w:themeColor="text1"/>
          <w:sz w:val="26"/>
          <w:szCs w:val="26"/>
        </w:rPr>
        <w:t>449</w:t>
      </w:r>
      <w:r w:rsidR="000E2E84" w:rsidRPr="00102FD5">
        <w:rPr>
          <w:rFonts w:cs="Times New Roman"/>
          <w:noProof/>
          <w:color w:val="000000" w:themeColor="text1"/>
          <w:sz w:val="26"/>
          <w:szCs w:val="26"/>
        </w:rPr>
        <w:t xml:space="preserve"> U.S. </w:t>
      </w:r>
      <w:r w:rsidRPr="00102FD5">
        <w:rPr>
          <w:rFonts w:cs="Times New Roman"/>
          <w:noProof/>
          <w:color w:val="000000" w:themeColor="text1"/>
          <w:sz w:val="26"/>
          <w:szCs w:val="26"/>
        </w:rPr>
        <w:t>383</w:t>
      </w:r>
      <w:r w:rsidR="000E2E84" w:rsidRPr="00102FD5">
        <w:rPr>
          <w:rFonts w:cs="Times New Roman"/>
          <w:noProof/>
          <w:color w:val="000000" w:themeColor="text1"/>
          <w:sz w:val="26"/>
          <w:szCs w:val="26"/>
        </w:rPr>
        <w:t xml:space="preserve"> (19</w:t>
      </w:r>
      <w:r w:rsidRPr="00102FD5">
        <w:rPr>
          <w:rFonts w:cs="Times New Roman"/>
          <w:noProof/>
          <w:color w:val="000000" w:themeColor="text1"/>
          <w:sz w:val="26"/>
          <w:szCs w:val="26"/>
        </w:rPr>
        <w:t>81</w:t>
      </w:r>
      <w:r w:rsidR="000E2E84" w:rsidRPr="00102FD5">
        <w:rPr>
          <w:rFonts w:cs="Times New Roman"/>
          <w:noProof/>
          <w:color w:val="000000" w:themeColor="text1"/>
          <w:sz w:val="26"/>
          <w:szCs w:val="26"/>
        </w:rPr>
        <w:t>).</w:t>
      </w:r>
      <w:r w:rsidR="000E2E84" w:rsidRPr="00102FD5">
        <w:rPr>
          <w:rFonts w:cs="Times New Roman"/>
          <w:noProof/>
          <w:color w:val="000000" w:themeColor="text1"/>
          <w:sz w:val="26"/>
          <w:szCs w:val="26"/>
        </w:rPr>
        <w:tab/>
      </w:r>
      <w:r w:rsidRPr="00102FD5">
        <w:rPr>
          <w:rFonts w:cs="Times New Roman"/>
          <w:noProof/>
          <w:color w:val="000000" w:themeColor="text1"/>
          <w:sz w:val="26"/>
          <w:szCs w:val="26"/>
        </w:rPr>
        <w:t>19</w:t>
      </w:r>
    </w:p>
    <w:p w14:paraId="575B2C00" w14:textId="77777777" w:rsidR="000E2E84" w:rsidRPr="00102FD5" w:rsidRDefault="000E2E84" w:rsidP="000E2E84">
      <w:pPr>
        <w:rPr>
          <w:rFonts w:ascii="Times New Roman" w:hAnsi="Times New Roman" w:cs="Times New Roman"/>
          <w:sz w:val="26"/>
          <w:szCs w:val="26"/>
        </w:rPr>
      </w:pPr>
    </w:p>
    <w:p w14:paraId="53033B40" w14:textId="38A3650E" w:rsidR="00C2138D" w:rsidRPr="00102FD5" w:rsidRDefault="00B47BB4" w:rsidP="00C2138D">
      <w:pPr>
        <w:rPr>
          <w:rFonts w:ascii="Times New Roman" w:hAnsi="Times New Roman" w:cs="Times New Roman"/>
          <w:b/>
          <w:bCs/>
          <w:sz w:val="26"/>
          <w:szCs w:val="26"/>
        </w:rPr>
      </w:pPr>
      <w:r w:rsidRPr="00102FD5">
        <w:rPr>
          <w:rFonts w:ascii="Times New Roman" w:hAnsi="Times New Roman" w:cs="Times New Roman"/>
          <w:b/>
          <w:bCs/>
          <w:smallCaps/>
          <w:noProof/>
          <w:color w:val="000000" w:themeColor="text1"/>
          <w:sz w:val="26"/>
          <w:szCs w:val="26"/>
        </w:rPr>
        <w:t xml:space="preserve">Federal District </w:t>
      </w:r>
      <w:r w:rsidR="00C2138D" w:rsidRPr="00102FD5">
        <w:rPr>
          <w:rFonts w:ascii="Times New Roman" w:hAnsi="Times New Roman" w:cs="Times New Roman"/>
          <w:b/>
          <w:bCs/>
          <w:smallCaps/>
          <w:noProof/>
          <w:color w:val="000000" w:themeColor="text1"/>
          <w:sz w:val="26"/>
          <w:szCs w:val="26"/>
        </w:rPr>
        <w:t>Court Cases</w:t>
      </w:r>
    </w:p>
    <w:p w14:paraId="33BAE267" w14:textId="77777777" w:rsidR="007E5E50" w:rsidRPr="00102FD5" w:rsidRDefault="007E5E50" w:rsidP="00CB0F91">
      <w:pPr>
        <w:pStyle w:val="TableofAuthorities"/>
        <w:tabs>
          <w:tab w:val="right" w:leader="dot" w:pos="9350"/>
        </w:tabs>
        <w:spacing w:line="240" w:lineRule="auto"/>
        <w:rPr>
          <w:rFonts w:cs="Times New Roman"/>
          <w:i/>
          <w:iCs/>
          <w:noProof/>
          <w:color w:val="000000" w:themeColor="text1"/>
          <w:sz w:val="26"/>
          <w:szCs w:val="26"/>
        </w:rPr>
      </w:pPr>
    </w:p>
    <w:p w14:paraId="53BF5BDD" w14:textId="1985CDDD" w:rsidR="00CB0F91" w:rsidRPr="00102FD5" w:rsidRDefault="007E6CBB" w:rsidP="00CB0F91">
      <w:pPr>
        <w:pStyle w:val="TableofAuthorities"/>
        <w:tabs>
          <w:tab w:val="right" w:leader="dot" w:pos="9350"/>
        </w:tabs>
        <w:spacing w:line="240" w:lineRule="auto"/>
        <w:rPr>
          <w:rFonts w:cs="Times New Roman"/>
          <w:noProof/>
          <w:color w:val="000000" w:themeColor="text1"/>
          <w:sz w:val="26"/>
          <w:szCs w:val="26"/>
        </w:rPr>
      </w:pPr>
      <w:r w:rsidRPr="007E6CBB">
        <w:rPr>
          <w:i/>
          <w:iCs/>
          <w:color w:val="000000"/>
          <w:sz w:val="26"/>
          <w:szCs w:val="26"/>
        </w:rPr>
        <w:t>Diversified Indus., Inc. v. Meredith</w:t>
      </w:r>
      <w:r w:rsidR="00DA2DF9" w:rsidRPr="00102FD5">
        <w:rPr>
          <w:rFonts w:cs="Times New Roman"/>
          <w:noProof/>
          <w:color w:val="000000" w:themeColor="text1"/>
          <w:sz w:val="26"/>
          <w:szCs w:val="26"/>
        </w:rPr>
        <w:t xml:space="preserve">, </w:t>
      </w:r>
    </w:p>
    <w:p w14:paraId="054B1573" w14:textId="5980F23D" w:rsidR="0054655E" w:rsidRPr="00C6673E" w:rsidRDefault="00CB0F91" w:rsidP="0054655E">
      <w:pPr>
        <w:pStyle w:val="TableofAuthorities"/>
        <w:tabs>
          <w:tab w:val="right" w:leader="dot" w:pos="9350"/>
        </w:tabs>
        <w:spacing w:after="240" w:line="240" w:lineRule="auto"/>
        <w:ind w:left="360" w:hanging="360"/>
        <w:rPr>
          <w:rFonts w:cs="Times New Roman"/>
          <w:b/>
          <w:bCs/>
          <w:smallCaps/>
          <w:color w:val="000000" w:themeColor="text1"/>
          <w:sz w:val="26"/>
          <w:szCs w:val="26"/>
        </w:rPr>
      </w:pPr>
      <w:r w:rsidRPr="00102FD5">
        <w:rPr>
          <w:rFonts w:cs="Times New Roman"/>
          <w:noProof/>
          <w:color w:val="000000" w:themeColor="text1"/>
          <w:sz w:val="26"/>
          <w:szCs w:val="26"/>
        </w:rPr>
        <w:tab/>
      </w:r>
      <w:r w:rsidR="007E6CBB" w:rsidRPr="007E6CBB">
        <w:rPr>
          <w:color w:val="000000"/>
          <w:sz w:val="26"/>
          <w:szCs w:val="26"/>
        </w:rPr>
        <w:t>572 F.2d 596 (8th Cir. 1977)</w:t>
      </w:r>
      <w:r w:rsidR="00DA2DF9" w:rsidRPr="007E6CBB">
        <w:rPr>
          <w:rFonts w:cs="Times New Roman"/>
          <w:noProof/>
          <w:color w:val="000000" w:themeColor="text1"/>
          <w:sz w:val="26"/>
          <w:szCs w:val="26"/>
        </w:rPr>
        <w:t>.</w:t>
      </w:r>
      <w:r w:rsidR="00DA2DF9" w:rsidRPr="00102FD5">
        <w:rPr>
          <w:rFonts w:cs="Times New Roman"/>
          <w:noProof/>
          <w:color w:val="000000" w:themeColor="text1"/>
          <w:sz w:val="26"/>
          <w:szCs w:val="26"/>
        </w:rPr>
        <w:tab/>
      </w:r>
      <w:r w:rsidR="007E6CBB">
        <w:rPr>
          <w:rFonts w:cs="Times New Roman"/>
          <w:noProof/>
          <w:color w:val="000000" w:themeColor="text1"/>
          <w:sz w:val="26"/>
          <w:szCs w:val="26"/>
        </w:rPr>
        <w:t>18</w:t>
      </w:r>
      <w:r w:rsidR="00DA2DF9" w:rsidRPr="00102FD5">
        <w:rPr>
          <w:rFonts w:cs="Times New Roman"/>
          <w:b/>
          <w:bCs/>
          <w:smallCaps/>
          <w:color w:val="000000" w:themeColor="text1"/>
          <w:sz w:val="26"/>
          <w:szCs w:val="26"/>
        </w:rPr>
        <w:fldChar w:fldCharType="end"/>
      </w:r>
      <w:r w:rsidR="0054655E" w:rsidRPr="00C6673E">
        <w:rPr>
          <w:rFonts w:cs="Times New Roman"/>
          <w:caps/>
          <w:smallCaps/>
          <w:color w:val="000000" w:themeColor="text1"/>
          <w:sz w:val="26"/>
          <w:szCs w:val="26"/>
        </w:rPr>
        <w:fldChar w:fldCharType="begin"/>
      </w:r>
      <w:r w:rsidR="0054655E" w:rsidRPr="00C6673E">
        <w:rPr>
          <w:rFonts w:cs="Times New Roman"/>
          <w:smallCaps/>
          <w:color w:val="000000" w:themeColor="text1"/>
          <w:sz w:val="26"/>
          <w:szCs w:val="26"/>
        </w:rPr>
        <w:instrText xml:space="preserve"> TOA \h \c "1" </w:instrText>
      </w:r>
      <w:r w:rsidR="0054655E" w:rsidRPr="00C6673E">
        <w:rPr>
          <w:rFonts w:cs="Times New Roman"/>
          <w:caps/>
          <w:smallCaps/>
          <w:color w:val="000000" w:themeColor="text1"/>
          <w:sz w:val="26"/>
          <w:szCs w:val="26"/>
        </w:rPr>
        <w:fldChar w:fldCharType="separate"/>
      </w:r>
    </w:p>
    <w:p w14:paraId="2C828517" w14:textId="31EB3912" w:rsidR="0054655E" w:rsidRPr="00C6673E" w:rsidRDefault="009D34CC" w:rsidP="0054655E">
      <w:pPr>
        <w:pStyle w:val="TableofAuthorities"/>
        <w:tabs>
          <w:tab w:val="left" w:pos="3420"/>
          <w:tab w:val="right" w:leader="dot" w:pos="9350"/>
        </w:tabs>
        <w:spacing w:line="240" w:lineRule="auto"/>
        <w:rPr>
          <w:rFonts w:cs="Times New Roman"/>
          <w:noProof/>
          <w:color w:val="000000" w:themeColor="text1"/>
          <w:sz w:val="26"/>
          <w:szCs w:val="26"/>
        </w:rPr>
      </w:pPr>
      <w:r w:rsidRPr="00C6673E">
        <w:rPr>
          <w:i/>
          <w:iCs/>
          <w:color w:val="000000"/>
          <w:sz w:val="26"/>
          <w:szCs w:val="26"/>
        </w:rPr>
        <w:t>Fox v. Cal. Sierra Fin. Servs.</w:t>
      </w:r>
      <w:r w:rsidR="0054655E" w:rsidRPr="00C6673E">
        <w:rPr>
          <w:rFonts w:cs="Times New Roman"/>
          <w:noProof/>
          <w:color w:val="000000" w:themeColor="text1"/>
          <w:sz w:val="26"/>
          <w:szCs w:val="26"/>
        </w:rPr>
        <w:t xml:space="preserve">, </w:t>
      </w:r>
    </w:p>
    <w:p w14:paraId="2638928E" w14:textId="75F4132D" w:rsidR="0054655E" w:rsidRPr="00C6673E" w:rsidRDefault="0054655E" w:rsidP="0054655E">
      <w:pPr>
        <w:pStyle w:val="TableofAuthorities"/>
        <w:tabs>
          <w:tab w:val="right" w:leader="dot" w:pos="9350"/>
        </w:tabs>
        <w:spacing w:after="240" w:line="240" w:lineRule="auto"/>
        <w:ind w:left="360" w:hanging="360"/>
        <w:rPr>
          <w:rFonts w:cs="Times New Roman"/>
          <w:noProof/>
          <w:color w:val="000000" w:themeColor="text1"/>
          <w:sz w:val="26"/>
          <w:szCs w:val="26"/>
        </w:rPr>
      </w:pPr>
      <w:r w:rsidRPr="00C6673E">
        <w:rPr>
          <w:rFonts w:cs="Times New Roman"/>
          <w:noProof/>
          <w:color w:val="000000" w:themeColor="text1"/>
          <w:sz w:val="26"/>
          <w:szCs w:val="26"/>
        </w:rPr>
        <w:tab/>
      </w:r>
      <w:r w:rsidR="009D34CC" w:rsidRPr="00C6673E">
        <w:rPr>
          <w:color w:val="000000"/>
          <w:sz w:val="26"/>
          <w:szCs w:val="26"/>
        </w:rPr>
        <w:t>120 F.R.D. 520 (N.D. Cal. 1988)</w:t>
      </w:r>
      <w:r w:rsidRPr="00C6673E">
        <w:rPr>
          <w:rFonts w:cs="Times New Roman"/>
          <w:noProof/>
          <w:color w:val="000000" w:themeColor="text1"/>
          <w:sz w:val="26"/>
          <w:szCs w:val="26"/>
        </w:rPr>
        <w:t>.</w:t>
      </w:r>
      <w:r w:rsidRPr="00C6673E">
        <w:rPr>
          <w:rFonts w:cs="Times New Roman"/>
          <w:noProof/>
          <w:color w:val="000000" w:themeColor="text1"/>
          <w:sz w:val="26"/>
          <w:szCs w:val="26"/>
        </w:rPr>
        <w:tab/>
      </w:r>
      <w:r w:rsidR="009D34CC" w:rsidRPr="00C6673E">
        <w:rPr>
          <w:rFonts w:cs="Times New Roman"/>
          <w:noProof/>
          <w:color w:val="000000" w:themeColor="text1"/>
          <w:sz w:val="26"/>
          <w:szCs w:val="26"/>
        </w:rPr>
        <w:t>18</w:t>
      </w:r>
    </w:p>
    <w:p w14:paraId="635B2B33" w14:textId="35EF5CEC" w:rsidR="0054655E" w:rsidRPr="00C6673E" w:rsidRDefault="00ED0F49" w:rsidP="0054655E">
      <w:pPr>
        <w:pStyle w:val="TableofAuthorities"/>
        <w:tabs>
          <w:tab w:val="right" w:leader="dot" w:pos="9350"/>
        </w:tabs>
        <w:spacing w:line="240" w:lineRule="auto"/>
        <w:rPr>
          <w:rFonts w:cs="Times New Roman"/>
          <w:noProof/>
          <w:color w:val="000000" w:themeColor="text1"/>
          <w:sz w:val="26"/>
          <w:szCs w:val="26"/>
        </w:rPr>
      </w:pPr>
      <w:r w:rsidRPr="00C6673E">
        <w:rPr>
          <w:i/>
          <w:iCs/>
          <w:color w:val="000000"/>
          <w:sz w:val="26"/>
          <w:szCs w:val="26"/>
        </w:rPr>
        <w:t>United States v. Adlman</w:t>
      </w:r>
      <w:r w:rsidRPr="00C6673E">
        <w:rPr>
          <w:color w:val="000000"/>
          <w:sz w:val="26"/>
          <w:szCs w:val="26"/>
        </w:rPr>
        <w:t>,</w:t>
      </w:r>
      <w:r w:rsidR="0054655E" w:rsidRPr="00C6673E">
        <w:rPr>
          <w:rFonts w:cs="Times New Roman"/>
          <w:noProof/>
          <w:color w:val="000000" w:themeColor="text1"/>
          <w:sz w:val="26"/>
          <w:szCs w:val="26"/>
        </w:rPr>
        <w:t xml:space="preserve"> </w:t>
      </w:r>
    </w:p>
    <w:p w14:paraId="3B9526A8" w14:textId="2A7F8CD4" w:rsidR="0054655E" w:rsidRPr="00C6673E" w:rsidRDefault="00ED0F49" w:rsidP="0054655E">
      <w:pPr>
        <w:pStyle w:val="TableofAuthorities"/>
        <w:tabs>
          <w:tab w:val="right" w:leader="dot" w:pos="9350"/>
        </w:tabs>
        <w:spacing w:after="240" w:line="240" w:lineRule="auto"/>
        <w:ind w:left="630"/>
        <w:rPr>
          <w:rFonts w:cs="Times New Roman"/>
          <w:noProof/>
          <w:color w:val="000000" w:themeColor="text1"/>
          <w:sz w:val="26"/>
          <w:szCs w:val="26"/>
        </w:rPr>
      </w:pPr>
      <w:r w:rsidRPr="00C6673E">
        <w:rPr>
          <w:color w:val="000000"/>
          <w:sz w:val="26"/>
          <w:szCs w:val="26"/>
        </w:rPr>
        <w:t>134 F.3d 1194 (2d Cir. 1998)</w:t>
      </w:r>
      <w:r w:rsidR="0054655E" w:rsidRPr="00C6673E">
        <w:rPr>
          <w:rFonts w:cs="Times New Roman"/>
          <w:noProof/>
          <w:color w:val="000000" w:themeColor="text1"/>
          <w:sz w:val="26"/>
          <w:szCs w:val="26"/>
        </w:rPr>
        <w:t>.</w:t>
      </w:r>
      <w:r w:rsidR="0054655E" w:rsidRPr="00C6673E">
        <w:rPr>
          <w:rFonts w:cs="Times New Roman"/>
          <w:noProof/>
          <w:color w:val="000000" w:themeColor="text1"/>
          <w:sz w:val="26"/>
          <w:szCs w:val="26"/>
        </w:rPr>
        <w:tab/>
        <w:t>1</w:t>
      </w:r>
      <w:r w:rsidRPr="00C6673E">
        <w:rPr>
          <w:rFonts w:cs="Times New Roman"/>
          <w:noProof/>
          <w:color w:val="000000" w:themeColor="text1"/>
          <w:sz w:val="26"/>
          <w:szCs w:val="26"/>
        </w:rPr>
        <w:t>8</w:t>
      </w:r>
    </w:p>
    <w:p w14:paraId="63F8E0C8" w14:textId="1DF0D146" w:rsidR="0054655E" w:rsidRPr="00C6673E" w:rsidRDefault="00E828B6" w:rsidP="0054655E">
      <w:pPr>
        <w:pStyle w:val="TableofAuthorities"/>
        <w:tabs>
          <w:tab w:val="right" w:leader="dot" w:pos="9350"/>
        </w:tabs>
        <w:spacing w:line="240" w:lineRule="auto"/>
        <w:rPr>
          <w:rFonts w:cs="Times New Roman"/>
          <w:noProof/>
          <w:color w:val="000000" w:themeColor="text1"/>
          <w:sz w:val="26"/>
          <w:szCs w:val="26"/>
        </w:rPr>
      </w:pPr>
      <w:r w:rsidRPr="00C6673E">
        <w:rPr>
          <w:rFonts w:cs="Times New Roman"/>
          <w:i/>
          <w:iCs/>
          <w:noProof/>
          <w:color w:val="000000" w:themeColor="text1"/>
          <w:sz w:val="26"/>
          <w:szCs w:val="26"/>
        </w:rPr>
        <w:t>United States v. Davis</w:t>
      </w:r>
      <w:r w:rsidR="0054655E" w:rsidRPr="00C6673E">
        <w:rPr>
          <w:rFonts w:cs="Times New Roman"/>
          <w:noProof/>
          <w:color w:val="000000" w:themeColor="text1"/>
          <w:sz w:val="26"/>
          <w:szCs w:val="26"/>
        </w:rPr>
        <w:t xml:space="preserve">, </w:t>
      </w:r>
    </w:p>
    <w:p w14:paraId="5DD44C1F" w14:textId="3F6E0322" w:rsidR="0054655E" w:rsidRPr="00C6673E" w:rsidRDefault="00434400" w:rsidP="0054655E">
      <w:pPr>
        <w:pStyle w:val="TableofAuthorities"/>
        <w:tabs>
          <w:tab w:val="right" w:leader="dot" w:pos="9350"/>
        </w:tabs>
        <w:spacing w:after="240" w:line="240" w:lineRule="auto"/>
        <w:ind w:left="630"/>
        <w:rPr>
          <w:rFonts w:cs="Times New Roman"/>
          <w:noProof/>
          <w:color w:val="000000" w:themeColor="text1"/>
          <w:sz w:val="26"/>
          <w:szCs w:val="26"/>
        </w:rPr>
      </w:pPr>
      <w:r w:rsidRPr="00C6673E">
        <w:rPr>
          <w:color w:val="000000"/>
          <w:sz w:val="26"/>
          <w:szCs w:val="26"/>
        </w:rPr>
        <w:t>636 F.2d 1028 (5th Cir. 1981)</w:t>
      </w:r>
      <w:r w:rsidR="0054655E" w:rsidRPr="00C6673E">
        <w:rPr>
          <w:rFonts w:cs="Times New Roman"/>
          <w:noProof/>
          <w:color w:val="000000" w:themeColor="text1"/>
          <w:sz w:val="26"/>
          <w:szCs w:val="26"/>
        </w:rPr>
        <w:t>.</w:t>
      </w:r>
      <w:r w:rsidR="0054655E" w:rsidRPr="00C6673E">
        <w:rPr>
          <w:rFonts w:cs="Times New Roman"/>
          <w:noProof/>
          <w:color w:val="000000" w:themeColor="text1"/>
          <w:sz w:val="26"/>
          <w:szCs w:val="26"/>
        </w:rPr>
        <w:tab/>
      </w:r>
      <w:r w:rsidRPr="00C6673E">
        <w:rPr>
          <w:rFonts w:cs="Times New Roman"/>
          <w:noProof/>
          <w:color w:val="000000" w:themeColor="text1"/>
          <w:sz w:val="26"/>
          <w:szCs w:val="26"/>
        </w:rPr>
        <w:t>17</w:t>
      </w:r>
    </w:p>
    <w:p w14:paraId="34791795" w14:textId="310CB849" w:rsidR="0054655E" w:rsidRPr="00C6673E" w:rsidRDefault="0054655E" w:rsidP="0054655E">
      <w:pPr>
        <w:pStyle w:val="TableofAuthorities"/>
        <w:tabs>
          <w:tab w:val="right" w:leader="dot" w:pos="9350"/>
        </w:tabs>
        <w:spacing w:line="240" w:lineRule="auto"/>
        <w:rPr>
          <w:rFonts w:cs="Times New Roman"/>
          <w:noProof/>
          <w:color w:val="000000" w:themeColor="text1"/>
          <w:sz w:val="26"/>
          <w:szCs w:val="26"/>
        </w:rPr>
      </w:pPr>
      <w:r w:rsidRPr="00C6673E">
        <w:rPr>
          <w:rFonts w:cs="Times New Roman"/>
          <w:i/>
          <w:iCs/>
          <w:noProof/>
          <w:color w:val="000000" w:themeColor="text1"/>
          <w:sz w:val="26"/>
          <w:szCs w:val="26"/>
        </w:rPr>
        <w:t xml:space="preserve">United States v. </w:t>
      </w:r>
      <w:r w:rsidR="00C355E0" w:rsidRPr="00C6673E">
        <w:rPr>
          <w:rFonts w:cs="Times New Roman"/>
          <w:i/>
          <w:iCs/>
          <w:noProof/>
          <w:color w:val="000000" w:themeColor="text1"/>
          <w:sz w:val="26"/>
          <w:szCs w:val="26"/>
        </w:rPr>
        <w:t>Biaggi</w:t>
      </w:r>
      <w:r w:rsidRPr="00C6673E">
        <w:rPr>
          <w:rFonts w:cs="Times New Roman"/>
          <w:noProof/>
          <w:color w:val="000000" w:themeColor="text1"/>
          <w:sz w:val="26"/>
          <w:szCs w:val="26"/>
        </w:rPr>
        <w:t xml:space="preserve">, </w:t>
      </w:r>
    </w:p>
    <w:p w14:paraId="248A6C33" w14:textId="54469D92" w:rsidR="0054655E" w:rsidRPr="00C6673E" w:rsidRDefault="0054655E" w:rsidP="0054655E">
      <w:pPr>
        <w:pStyle w:val="TableofAuthorities"/>
        <w:tabs>
          <w:tab w:val="right" w:leader="dot" w:pos="9350"/>
        </w:tabs>
        <w:spacing w:after="240" w:line="240" w:lineRule="auto"/>
        <w:ind w:left="630"/>
        <w:rPr>
          <w:rFonts w:cs="Times New Roman"/>
          <w:noProof/>
          <w:color w:val="000000" w:themeColor="text1"/>
          <w:sz w:val="26"/>
          <w:szCs w:val="26"/>
        </w:rPr>
      </w:pPr>
      <w:r w:rsidRPr="00C6673E">
        <w:rPr>
          <w:rFonts w:cs="Times New Roman"/>
          <w:noProof/>
          <w:color w:val="000000" w:themeColor="text1"/>
          <w:sz w:val="26"/>
          <w:szCs w:val="26"/>
        </w:rPr>
        <w:t>4</w:t>
      </w:r>
      <w:r w:rsidR="00C355E0" w:rsidRPr="00C6673E">
        <w:rPr>
          <w:color w:val="000000"/>
          <w:sz w:val="26"/>
          <w:szCs w:val="26"/>
        </w:rPr>
        <w:t xml:space="preserve"> 909 F.2d 662 (2d Cir. 1990)</w:t>
      </w:r>
      <w:r w:rsidRPr="00C6673E">
        <w:rPr>
          <w:rFonts w:cs="Times New Roman"/>
          <w:noProof/>
          <w:color w:val="000000" w:themeColor="text1"/>
          <w:sz w:val="26"/>
          <w:szCs w:val="26"/>
        </w:rPr>
        <w:t>.</w:t>
      </w:r>
      <w:r w:rsidRPr="00C6673E">
        <w:rPr>
          <w:rFonts w:cs="Times New Roman"/>
          <w:noProof/>
          <w:color w:val="000000" w:themeColor="text1"/>
          <w:sz w:val="26"/>
          <w:szCs w:val="26"/>
        </w:rPr>
        <w:tab/>
        <w:t>1</w:t>
      </w:r>
      <w:r w:rsidR="00C355E0" w:rsidRPr="00C6673E">
        <w:rPr>
          <w:rFonts w:cs="Times New Roman"/>
          <w:noProof/>
          <w:color w:val="000000" w:themeColor="text1"/>
          <w:sz w:val="26"/>
          <w:szCs w:val="26"/>
        </w:rPr>
        <w:t>2</w:t>
      </w:r>
    </w:p>
    <w:p w14:paraId="6D65956D" w14:textId="3C9DD0F2" w:rsidR="0054655E" w:rsidRPr="00C6673E" w:rsidRDefault="0054655E" w:rsidP="0054655E">
      <w:pPr>
        <w:pStyle w:val="TableofAuthorities"/>
        <w:tabs>
          <w:tab w:val="right" w:leader="dot" w:pos="9350"/>
        </w:tabs>
        <w:spacing w:line="240" w:lineRule="auto"/>
        <w:rPr>
          <w:rFonts w:cs="Times New Roman"/>
          <w:noProof/>
          <w:color w:val="000000" w:themeColor="text1"/>
          <w:sz w:val="26"/>
          <w:szCs w:val="26"/>
        </w:rPr>
      </w:pPr>
      <w:r w:rsidRPr="00C6673E">
        <w:rPr>
          <w:rFonts w:cs="Times New Roman"/>
          <w:i/>
          <w:iCs/>
          <w:noProof/>
          <w:color w:val="000000" w:themeColor="text1"/>
          <w:sz w:val="26"/>
          <w:szCs w:val="26"/>
        </w:rPr>
        <w:t>United States</w:t>
      </w:r>
      <w:r w:rsidR="002B0797" w:rsidRPr="00C6673E">
        <w:rPr>
          <w:rFonts w:cs="Times New Roman"/>
          <w:i/>
          <w:iCs/>
          <w:noProof/>
          <w:color w:val="000000" w:themeColor="text1"/>
          <w:sz w:val="26"/>
          <w:szCs w:val="26"/>
        </w:rPr>
        <w:t xml:space="preserve"> v. Byrd</w:t>
      </w:r>
      <w:r w:rsidRPr="00C6673E">
        <w:rPr>
          <w:rFonts w:cs="Times New Roman"/>
          <w:noProof/>
          <w:color w:val="000000" w:themeColor="text1"/>
          <w:sz w:val="26"/>
          <w:szCs w:val="26"/>
        </w:rPr>
        <w:t xml:space="preserve">, </w:t>
      </w:r>
    </w:p>
    <w:p w14:paraId="53A7D049" w14:textId="580F487E" w:rsidR="0054655E" w:rsidRPr="00C6673E" w:rsidRDefault="002B0797" w:rsidP="0054655E">
      <w:pPr>
        <w:pStyle w:val="TableofAuthorities"/>
        <w:tabs>
          <w:tab w:val="right" w:leader="dot" w:pos="9350"/>
        </w:tabs>
        <w:spacing w:after="240" w:line="240" w:lineRule="auto"/>
        <w:ind w:left="630"/>
        <w:rPr>
          <w:rFonts w:cs="Times New Roman"/>
          <w:noProof/>
          <w:color w:val="000000" w:themeColor="text1"/>
          <w:sz w:val="26"/>
          <w:szCs w:val="26"/>
        </w:rPr>
      </w:pPr>
      <w:r w:rsidRPr="00C6673E">
        <w:rPr>
          <w:color w:val="000000"/>
          <w:sz w:val="26"/>
          <w:szCs w:val="26"/>
        </w:rPr>
        <w:t>765 F.2d 1524 (11th Cir. 1985)</w:t>
      </w:r>
      <w:r w:rsidR="0054655E" w:rsidRPr="00C6673E">
        <w:rPr>
          <w:rFonts w:cs="Times New Roman"/>
          <w:noProof/>
          <w:color w:val="000000" w:themeColor="text1"/>
          <w:sz w:val="26"/>
          <w:szCs w:val="26"/>
        </w:rPr>
        <w:t>.</w:t>
      </w:r>
      <w:r w:rsidR="0054655E" w:rsidRPr="00C6673E">
        <w:rPr>
          <w:rFonts w:cs="Times New Roman"/>
          <w:noProof/>
          <w:color w:val="000000" w:themeColor="text1"/>
          <w:sz w:val="26"/>
          <w:szCs w:val="26"/>
        </w:rPr>
        <w:tab/>
      </w:r>
      <w:r w:rsidRPr="00C6673E">
        <w:rPr>
          <w:rFonts w:cs="Times New Roman"/>
          <w:noProof/>
          <w:color w:val="000000" w:themeColor="text1"/>
          <w:sz w:val="26"/>
          <w:szCs w:val="26"/>
        </w:rPr>
        <w:t>8, 13, 14</w:t>
      </w:r>
    </w:p>
    <w:p w14:paraId="67EE673E" w14:textId="55563D28" w:rsidR="0054655E" w:rsidRPr="00C6673E" w:rsidRDefault="000857D3" w:rsidP="0054655E">
      <w:pPr>
        <w:pStyle w:val="TableofAuthorities"/>
        <w:tabs>
          <w:tab w:val="right" w:leader="dot" w:pos="9350"/>
        </w:tabs>
        <w:spacing w:line="240" w:lineRule="auto"/>
        <w:rPr>
          <w:rFonts w:cs="Times New Roman"/>
          <w:noProof/>
          <w:color w:val="000000" w:themeColor="text1"/>
          <w:sz w:val="26"/>
          <w:szCs w:val="26"/>
        </w:rPr>
      </w:pPr>
      <w:r w:rsidRPr="00C6673E">
        <w:rPr>
          <w:i/>
          <w:iCs/>
          <w:color w:val="000000"/>
          <w:sz w:val="26"/>
          <w:szCs w:val="26"/>
        </w:rPr>
        <w:t>United States v. Caporale</w:t>
      </w:r>
      <w:r w:rsidR="0054655E" w:rsidRPr="00C6673E">
        <w:rPr>
          <w:rFonts w:cs="Times New Roman"/>
          <w:noProof/>
          <w:color w:val="000000" w:themeColor="text1"/>
          <w:sz w:val="26"/>
          <w:szCs w:val="26"/>
        </w:rPr>
        <w:t xml:space="preserve">, </w:t>
      </w:r>
    </w:p>
    <w:p w14:paraId="3FFBB6DA" w14:textId="77021214" w:rsidR="0054655E" w:rsidRPr="00C6673E" w:rsidRDefault="0054655E" w:rsidP="0054655E">
      <w:pPr>
        <w:pStyle w:val="TableofAuthorities"/>
        <w:tabs>
          <w:tab w:val="right" w:leader="dot" w:pos="9350"/>
        </w:tabs>
        <w:spacing w:after="240" w:line="240" w:lineRule="auto"/>
        <w:ind w:left="360" w:hanging="360"/>
        <w:rPr>
          <w:rFonts w:cs="Times New Roman"/>
          <w:b/>
          <w:bCs/>
          <w:smallCaps/>
          <w:color w:val="000000" w:themeColor="text1"/>
          <w:sz w:val="26"/>
          <w:szCs w:val="26"/>
        </w:rPr>
      </w:pPr>
      <w:r w:rsidRPr="00C6673E">
        <w:rPr>
          <w:rFonts w:cs="Times New Roman"/>
          <w:noProof/>
          <w:color w:val="000000" w:themeColor="text1"/>
          <w:sz w:val="26"/>
          <w:szCs w:val="26"/>
        </w:rPr>
        <w:lastRenderedPageBreak/>
        <w:tab/>
      </w:r>
      <w:r w:rsidR="000857D3" w:rsidRPr="00C6673E">
        <w:rPr>
          <w:color w:val="000000"/>
          <w:sz w:val="26"/>
          <w:szCs w:val="26"/>
        </w:rPr>
        <w:t>806 F.2d 1487 (11th Cir. 1986)</w:t>
      </w:r>
      <w:r w:rsidRPr="00C6673E">
        <w:rPr>
          <w:rFonts w:cs="Times New Roman"/>
          <w:noProof/>
          <w:color w:val="000000" w:themeColor="text1"/>
          <w:sz w:val="26"/>
          <w:szCs w:val="26"/>
        </w:rPr>
        <w:t>.</w:t>
      </w:r>
      <w:r w:rsidRPr="00C6673E">
        <w:rPr>
          <w:rFonts w:cs="Times New Roman"/>
          <w:noProof/>
          <w:color w:val="000000" w:themeColor="text1"/>
          <w:sz w:val="26"/>
          <w:szCs w:val="26"/>
        </w:rPr>
        <w:tab/>
      </w:r>
      <w:r w:rsidR="004D5A61" w:rsidRPr="00C6673E">
        <w:rPr>
          <w:rFonts w:cs="Times New Roman"/>
          <w:noProof/>
          <w:color w:val="000000" w:themeColor="text1"/>
          <w:sz w:val="26"/>
          <w:szCs w:val="26"/>
        </w:rPr>
        <w:t>11</w:t>
      </w:r>
      <w:r w:rsidRPr="00C6673E">
        <w:rPr>
          <w:rFonts w:cs="Times New Roman"/>
          <w:b/>
          <w:bCs/>
          <w:smallCaps/>
          <w:color w:val="000000" w:themeColor="text1"/>
          <w:sz w:val="26"/>
          <w:szCs w:val="26"/>
        </w:rPr>
        <w:fldChar w:fldCharType="end"/>
      </w:r>
    </w:p>
    <w:p w14:paraId="3DF8426C" w14:textId="3871A763" w:rsidR="00ED0F49" w:rsidRPr="00C6673E" w:rsidRDefault="00ED0F49" w:rsidP="00ED0F49">
      <w:pPr>
        <w:pStyle w:val="TableofAuthorities"/>
        <w:tabs>
          <w:tab w:val="right" w:leader="dot" w:pos="9350"/>
        </w:tabs>
        <w:spacing w:line="240" w:lineRule="auto"/>
        <w:rPr>
          <w:rFonts w:cs="Times New Roman"/>
          <w:noProof/>
          <w:color w:val="000000" w:themeColor="text1"/>
          <w:sz w:val="26"/>
          <w:szCs w:val="26"/>
        </w:rPr>
      </w:pPr>
      <w:r w:rsidRPr="00C6673E">
        <w:rPr>
          <w:i/>
          <w:iCs/>
          <w:color w:val="000000"/>
          <w:sz w:val="26"/>
          <w:szCs w:val="26"/>
        </w:rPr>
        <w:t>United States v.</w:t>
      </w:r>
      <w:r w:rsidR="004D5A61" w:rsidRPr="00C6673E">
        <w:rPr>
          <w:i/>
          <w:iCs/>
          <w:color w:val="000000"/>
          <w:sz w:val="26"/>
          <w:szCs w:val="26"/>
        </w:rPr>
        <w:t xml:space="preserve"> Crowson</w:t>
      </w:r>
      <w:r w:rsidRPr="00C6673E">
        <w:rPr>
          <w:color w:val="000000"/>
          <w:sz w:val="26"/>
          <w:szCs w:val="26"/>
        </w:rPr>
        <w:t>,</w:t>
      </w:r>
      <w:r w:rsidRPr="00C6673E">
        <w:rPr>
          <w:rFonts w:cs="Times New Roman"/>
          <w:noProof/>
          <w:color w:val="000000" w:themeColor="text1"/>
          <w:sz w:val="26"/>
          <w:szCs w:val="26"/>
        </w:rPr>
        <w:t xml:space="preserve"> </w:t>
      </w:r>
    </w:p>
    <w:p w14:paraId="7818FF53" w14:textId="271EE44E" w:rsidR="00ED0F49" w:rsidRPr="00102FD5" w:rsidRDefault="00C6673E" w:rsidP="00ED0F49">
      <w:pPr>
        <w:pStyle w:val="TableofAuthorities"/>
        <w:tabs>
          <w:tab w:val="right" w:leader="dot" w:pos="9350"/>
        </w:tabs>
        <w:spacing w:after="240" w:line="240" w:lineRule="auto"/>
        <w:ind w:left="630"/>
        <w:rPr>
          <w:rFonts w:cs="Times New Roman"/>
          <w:noProof/>
          <w:color w:val="000000" w:themeColor="text1"/>
          <w:sz w:val="26"/>
          <w:szCs w:val="26"/>
        </w:rPr>
      </w:pPr>
      <w:r w:rsidRPr="00C6673E">
        <w:rPr>
          <w:color w:val="000000"/>
          <w:sz w:val="26"/>
          <w:szCs w:val="26"/>
        </w:rPr>
        <w:t>828 F.2d 1427 (9th Cir. 1987)</w:t>
      </w:r>
      <w:r w:rsidR="00ED0F49" w:rsidRPr="00102FD5">
        <w:rPr>
          <w:rFonts w:cs="Times New Roman"/>
          <w:noProof/>
          <w:color w:val="000000" w:themeColor="text1"/>
          <w:sz w:val="26"/>
          <w:szCs w:val="26"/>
        </w:rPr>
        <w:tab/>
        <w:t>1</w:t>
      </w:r>
      <w:r>
        <w:rPr>
          <w:rFonts w:cs="Times New Roman"/>
          <w:noProof/>
          <w:color w:val="000000" w:themeColor="text1"/>
          <w:sz w:val="26"/>
          <w:szCs w:val="26"/>
        </w:rPr>
        <w:t>0, 11</w:t>
      </w:r>
    </w:p>
    <w:p w14:paraId="7208080A" w14:textId="5BED3F06" w:rsidR="00ED0F49" w:rsidRPr="00102FD5" w:rsidRDefault="00ED0F49" w:rsidP="00ED0F49">
      <w:pPr>
        <w:pStyle w:val="TableofAuthorities"/>
        <w:tabs>
          <w:tab w:val="right" w:leader="dot" w:pos="9350"/>
        </w:tabs>
        <w:spacing w:line="240" w:lineRule="auto"/>
        <w:rPr>
          <w:rFonts w:cs="Times New Roman"/>
          <w:noProof/>
          <w:color w:val="000000" w:themeColor="text1"/>
          <w:sz w:val="26"/>
          <w:szCs w:val="26"/>
        </w:rPr>
      </w:pPr>
      <w:r w:rsidRPr="00102FD5">
        <w:rPr>
          <w:rFonts w:cs="Times New Roman"/>
          <w:i/>
          <w:iCs/>
          <w:noProof/>
          <w:color w:val="000000" w:themeColor="text1"/>
          <w:sz w:val="26"/>
          <w:szCs w:val="26"/>
        </w:rPr>
        <w:t>United States</w:t>
      </w:r>
      <w:r w:rsidR="00C6673E">
        <w:rPr>
          <w:rFonts w:cs="Times New Roman"/>
          <w:i/>
          <w:iCs/>
          <w:noProof/>
          <w:color w:val="000000" w:themeColor="text1"/>
          <w:sz w:val="26"/>
          <w:szCs w:val="26"/>
        </w:rPr>
        <w:t xml:space="preserve"> v. Harris</w:t>
      </w:r>
      <w:r w:rsidRPr="00102FD5">
        <w:rPr>
          <w:rFonts w:cs="Times New Roman"/>
          <w:noProof/>
          <w:color w:val="000000" w:themeColor="text1"/>
          <w:sz w:val="26"/>
          <w:szCs w:val="26"/>
        </w:rPr>
        <w:t xml:space="preserve">, </w:t>
      </w:r>
    </w:p>
    <w:p w14:paraId="39294F42" w14:textId="49219736" w:rsidR="00ED0F49" w:rsidRPr="008B62C0" w:rsidRDefault="00600B2B" w:rsidP="00ED0F49">
      <w:pPr>
        <w:pStyle w:val="TableofAuthorities"/>
        <w:tabs>
          <w:tab w:val="right" w:leader="dot" w:pos="9350"/>
        </w:tabs>
        <w:spacing w:after="240" w:line="240" w:lineRule="auto"/>
        <w:ind w:left="630"/>
        <w:rPr>
          <w:rFonts w:cs="Times New Roman"/>
          <w:noProof/>
          <w:color w:val="000000" w:themeColor="text1"/>
          <w:sz w:val="26"/>
          <w:szCs w:val="26"/>
        </w:rPr>
      </w:pPr>
      <w:r w:rsidRPr="008B62C0">
        <w:rPr>
          <w:color w:val="000000"/>
          <w:sz w:val="26"/>
          <w:szCs w:val="26"/>
        </w:rPr>
        <w:t>973 F.2d 333 (4th Cir. 1992)</w:t>
      </w:r>
      <w:r w:rsidR="00ED0F49" w:rsidRPr="008B62C0">
        <w:rPr>
          <w:rFonts w:cs="Times New Roman"/>
          <w:noProof/>
          <w:color w:val="000000" w:themeColor="text1"/>
          <w:sz w:val="26"/>
          <w:szCs w:val="26"/>
        </w:rPr>
        <w:t>.</w:t>
      </w:r>
      <w:r w:rsidR="00ED0F49" w:rsidRPr="008B62C0">
        <w:rPr>
          <w:rFonts w:cs="Times New Roman"/>
          <w:noProof/>
          <w:color w:val="000000" w:themeColor="text1"/>
          <w:sz w:val="26"/>
          <w:szCs w:val="26"/>
        </w:rPr>
        <w:tab/>
      </w:r>
      <w:r w:rsidRPr="008B62C0">
        <w:rPr>
          <w:rFonts w:cs="Times New Roman"/>
          <w:noProof/>
          <w:color w:val="000000" w:themeColor="text1"/>
          <w:sz w:val="26"/>
          <w:szCs w:val="26"/>
        </w:rPr>
        <w:t>8, 10</w:t>
      </w:r>
    </w:p>
    <w:p w14:paraId="00D278E9" w14:textId="20FD2389" w:rsidR="00ED0F49" w:rsidRPr="008B62C0" w:rsidRDefault="00ED0F49" w:rsidP="00ED0F49">
      <w:pPr>
        <w:pStyle w:val="TableofAuthorities"/>
        <w:tabs>
          <w:tab w:val="right" w:leader="dot" w:pos="9350"/>
        </w:tabs>
        <w:spacing w:line="240" w:lineRule="auto"/>
        <w:rPr>
          <w:rFonts w:cs="Times New Roman"/>
          <w:noProof/>
          <w:color w:val="000000" w:themeColor="text1"/>
          <w:sz w:val="26"/>
          <w:szCs w:val="26"/>
        </w:rPr>
      </w:pPr>
      <w:r w:rsidRPr="008B62C0">
        <w:rPr>
          <w:rFonts w:cs="Times New Roman"/>
          <w:i/>
          <w:iCs/>
          <w:noProof/>
          <w:color w:val="000000" w:themeColor="text1"/>
          <w:sz w:val="26"/>
          <w:szCs w:val="26"/>
        </w:rPr>
        <w:t xml:space="preserve">United States v. </w:t>
      </w:r>
      <w:r w:rsidR="002F0E78" w:rsidRPr="008B62C0">
        <w:rPr>
          <w:rFonts w:cs="Times New Roman"/>
          <w:i/>
          <w:iCs/>
          <w:noProof/>
          <w:color w:val="000000" w:themeColor="text1"/>
          <w:sz w:val="26"/>
          <w:szCs w:val="26"/>
        </w:rPr>
        <w:t>Hubbell</w:t>
      </w:r>
      <w:r w:rsidRPr="008B62C0">
        <w:rPr>
          <w:rFonts w:cs="Times New Roman"/>
          <w:noProof/>
          <w:color w:val="000000" w:themeColor="text1"/>
          <w:sz w:val="26"/>
          <w:szCs w:val="26"/>
        </w:rPr>
        <w:t xml:space="preserve">, </w:t>
      </w:r>
    </w:p>
    <w:p w14:paraId="257545A2" w14:textId="307E9CC3" w:rsidR="00ED0F49" w:rsidRPr="008B62C0" w:rsidRDefault="002F0E78" w:rsidP="00ED0F49">
      <w:pPr>
        <w:pStyle w:val="TableofAuthorities"/>
        <w:tabs>
          <w:tab w:val="right" w:leader="dot" w:pos="9350"/>
        </w:tabs>
        <w:spacing w:after="240" w:line="240" w:lineRule="auto"/>
        <w:ind w:left="630"/>
        <w:rPr>
          <w:rFonts w:cs="Times New Roman"/>
          <w:noProof/>
          <w:color w:val="000000" w:themeColor="text1"/>
          <w:sz w:val="26"/>
          <w:szCs w:val="26"/>
        </w:rPr>
      </w:pPr>
      <w:r w:rsidRPr="008B62C0">
        <w:rPr>
          <w:color w:val="000000"/>
          <w:sz w:val="26"/>
          <w:szCs w:val="26"/>
        </w:rPr>
        <w:t>167 F.3d 552 (D.C. Cir. 1999)</w:t>
      </w:r>
      <w:r w:rsidR="00ED0F49" w:rsidRPr="008B62C0">
        <w:rPr>
          <w:rFonts w:cs="Times New Roman"/>
          <w:noProof/>
          <w:color w:val="000000" w:themeColor="text1"/>
          <w:sz w:val="26"/>
          <w:szCs w:val="26"/>
        </w:rPr>
        <w:t>.</w:t>
      </w:r>
      <w:r w:rsidR="00ED0F49" w:rsidRPr="008B62C0">
        <w:rPr>
          <w:rFonts w:cs="Times New Roman"/>
          <w:noProof/>
          <w:color w:val="000000" w:themeColor="text1"/>
          <w:sz w:val="26"/>
          <w:szCs w:val="26"/>
        </w:rPr>
        <w:tab/>
        <w:t>1</w:t>
      </w:r>
      <w:r w:rsidRPr="008B62C0">
        <w:rPr>
          <w:rFonts w:cs="Times New Roman"/>
          <w:noProof/>
          <w:color w:val="000000" w:themeColor="text1"/>
          <w:sz w:val="26"/>
          <w:szCs w:val="26"/>
        </w:rPr>
        <w:t>3</w:t>
      </w:r>
    </w:p>
    <w:p w14:paraId="1EFD1A2B" w14:textId="298714DB" w:rsidR="00ED0F49" w:rsidRPr="008B62C0" w:rsidRDefault="00ED0F49" w:rsidP="00ED0F49">
      <w:pPr>
        <w:pStyle w:val="TableofAuthorities"/>
        <w:tabs>
          <w:tab w:val="right" w:leader="dot" w:pos="9350"/>
        </w:tabs>
        <w:spacing w:line="240" w:lineRule="auto"/>
        <w:rPr>
          <w:rFonts w:cs="Times New Roman"/>
          <w:noProof/>
          <w:color w:val="000000" w:themeColor="text1"/>
          <w:sz w:val="26"/>
          <w:szCs w:val="26"/>
        </w:rPr>
      </w:pPr>
      <w:r w:rsidRPr="008B62C0">
        <w:rPr>
          <w:rFonts w:cs="Times New Roman"/>
          <w:i/>
          <w:iCs/>
          <w:noProof/>
          <w:color w:val="000000" w:themeColor="text1"/>
          <w:sz w:val="26"/>
          <w:szCs w:val="26"/>
        </w:rPr>
        <w:t>United State</w:t>
      </w:r>
      <w:r w:rsidR="008B62C0" w:rsidRPr="008B62C0">
        <w:rPr>
          <w:rFonts w:cs="Times New Roman"/>
          <w:i/>
          <w:iCs/>
          <w:noProof/>
          <w:color w:val="000000" w:themeColor="text1"/>
          <w:sz w:val="26"/>
          <w:szCs w:val="26"/>
        </w:rPr>
        <w:t>s v. Iozia</w:t>
      </w:r>
      <w:r w:rsidR="008B62C0" w:rsidRPr="008B62C0">
        <w:rPr>
          <w:rFonts w:cs="Times New Roman"/>
          <w:noProof/>
          <w:color w:val="000000" w:themeColor="text1"/>
          <w:sz w:val="26"/>
          <w:szCs w:val="26"/>
        </w:rPr>
        <w:t>,</w:t>
      </w:r>
      <w:r w:rsidRPr="008B62C0">
        <w:rPr>
          <w:rFonts w:cs="Times New Roman"/>
          <w:noProof/>
          <w:color w:val="000000" w:themeColor="text1"/>
          <w:sz w:val="26"/>
          <w:szCs w:val="26"/>
        </w:rPr>
        <w:t xml:space="preserve"> </w:t>
      </w:r>
    </w:p>
    <w:p w14:paraId="6EE19914" w14:textId="7B345E2A" w:rsidR="00ED0F49" w:rsidRPr="008B62C0" w:rsidRDefault="008B62C0" w:rsidP="00ED0F49">
      <w:pPr>
        <w:pStyle w:val="TableofAuthorities"/>
        <w:tabs>
          <w:tab w:val="right" w:leader="dot" w:pos="9350"/>
        </w:tabs>
        <w:spacing w:after="240" w:line="240" w:lineRule="auto"/>
        <w:ind w:left="630"/>
        <w:rPr>
          <w:rFonts w:cs="Times New Roman"/>
          <w:noProof/>
          <w:color w:val="000000" w:themeColor="text1"/>
          <w:sz w:val="26"/>
          <w:szCs w:val="26"/>
        </w:rPr>
      </w:pPr>
      <w:r w:rsidRPr="008B62C0">
        <w:rPr>
          <w:color w:val="000000"/>
          <w:sz w:val="26"/>
          <w:szCs w:val="26"/>
        </w:rPr>
        <w:t>13 F.R.D. 335 (S.D.N.Y. 1952)</w:t>
      </w:r>
      <w:r w:rsidR="00ED0F49" w:rsidRPr="008B62C0">
        <w:rPr>
          <w:rFonts w:cs="Times New Roman"/>
          <w:noProof/>
          <w:color w:val="000000" w:themeColor="text1"/>
          <w:sz w:val="26"/>
          <w:szCs w:val="26"/>
        </w:rPr>
        <w:t>.</w:t>
      </w:r>
      <w:r w:rsidR="00ED0F49" w:rsidRPr="008B62C0">
        <w:rPr>
          <w:rFonts w:cs="Times New Roman"/>
          <w:noProof/>
          <w:color w:val="000000" w:themeColor="text1"/>
          <w:sz w:val="26"/>
          <w:szCs w:val="26"/>
        </w:rPr>
        <w:tab/>
        <w:t>1</w:t>
      </w:r>
      <w:r w:rsidRPr="008B62C0">
        <w:rPr>
          <w:rFonts w:cs="Times New Roman"/>
          <w:noProof/>
          <w:color w:val="000000" w:themeColor="text1"/>
          <w:sz w:val="26"/>
          <w:szCs w:val="26"/>
        </w:rPr>
        <w:t>6</w:t>
      </w:r>
    </w:p>
    <w:p w14:paraId="7DFFB75B" w14:textId="0946F68E" w:rsidR="005F35DD" w:rsidRPr="00D74C64" w:rsidRDefault="005F35DD" w:rsidP="005F35DD">
      <w:pPr>
        <w:pStyle w:val="TableofAuthorities"/>
        <w:tabs>
          <w:tab w:val="left" w:pos="3420"/>
          <w:tab w:val="right" w:leader="dot" w:pos="9350"/>
        </w:tabs>
        <w:spacing w:line="240" w:lineRule="auto"/>
        <w:rPr>
          <w:rFonts w:cs="Times New Roman"/>
          <w:noProof/>
          <w:color w:val="000000" w:themeColor="text1"/>
          <w:sz w:val="26"/>
          <w:szCs w:val="26"/>
        </w:rPr>
      </w:pPr>
      <w:r w:rsidRPr="00D74C64">
        <w:rPr>
          <w:rFonts w:cs="Times New Roman"/>
          <w:i/>
          <w:iCs/>
          <w:color w:val="000000"/>
          <w:sz w:val="26"/>
          <w:szCs w:val="26"/>
        </w:rPr>
        <w:t>United States v. Mapelli</w:t>
      </w:r>
      <w:r w:rsidRPr="00D74C64">
        <w:rPr>
          <w:rFonts w:cs="Times New Roman"/>
          <w:noProof/>
          <w:color w:val="000000" w:themeColor="text1"/>
          <w:sz w:val="26"/>
          <w:szCs w:val="26"/>
        </w:rPr>
        <w:t xml:space="preserve">, </w:t>
      </w:r>
    </w:p>
    <w:p w14:paraId="562A25FA" w14:textId="1D7501BB" w:rsidR="005F35DD" w:rsidRPr="00D74C64" w:rsidRDefault="005F35DD" w:rsidP="005F35DD">
      <w:pPr>
        <w:pStyle w:val="TableofAuthorities"/>
        <w:tabs>
          <w:tab w:val="right" w:leader="dot" w:pos="9350"/>
        </w:tabs>
        <w:spacing w:after="240" w:line="240" w:lineRule="auto"/>
        <w:ind w:left="360" w:hanging="360"/>
        <w:rPr>
          <w:rFonts w:cs="Times New Roman"/>
          <w:noProof/>
          <w:color w:val="000000" w:themeColor="text1"/>
          <w:sz w:val="26"/>
          <w:szCs w:val="26"/>
        </w:rPr>
      </w:pPr>
      <w:r w:rsidRPr="00D74C64">
        <w:rPr>
          <w:rFonts w:cs="Times New Roman"/>
          <w:noProof/>
          <w:color w:val="000000" w:themeColor="text1"/>
          <w:sz w:val="26"/>
          <w:szCs w:val="26"/>
        </w:rPr>
        <w:tab/>
      </w:r>
      <w:r w:rsidR="00624E21" w:rsidRPr="00D74C64">
        <w:rPr>
          <w:color w:val="1F1F1F"/>
          <w:sz w:val="26"/>
          <w:szCs w:val="26"/>
        </w:rPr>
        <w:t>971 F.2d 284 (9th Cir. 1992.)</w:t>
      </w:r>
      <w:r w:rsidRPr="00D74C64">
        <w:rPr>
          <w:rFonts w:cs="Times New Roman"/>
          <w:noProof/>
          <w:color w:val="000000" w:themeColor="text1"/>
          <w:sz w:val="26"/>
          <w:szCs w:val="26"/>
        </w:rPr>
        <w:t>.</w:t>
      </w:r>
      <w:r w:rsidRPr="00D74C64">
        <w:rPr>
          <w:rFonts w:cs="Times New Roman"/>
          <w:noProof/>
          <w:color w:val="000000" w:themeColor="text1"/>
          <w:sz w:val="26"/>
          <w:szCs w:val="26"/>
        </w:rPr>
        <w:tab/>
      </w:r>
      <w:r w:rsidR="00624E21" w:rsidRPr="00D74C64">
        <w:rPr>
          <w:rFonts w:cs="Times New Roman"/>
          <w:noProof/>
          <w:color w:val="000000" w:themeColor="text1"/>
          <w:sz w:val="26"/>
          <w:szCs w:val="26"/>
        </w:rPr>
        <w:t>11</w:t>
      </w:r>
    </w:p>
    <w:p w14:paraId="29FFD4B1" w14:textId="3427042F" w:rsidR="005F35DD" w:rsidRPr="00D74C64" w:rsidRDefault="00624E21" w:rsidP="005F35DD">
      <w:pPr>
        <w:pStyle w:val="TableofAuthorities"/>
        <w:tabs>
          <w:tab w:val="right" w:leader="dot" w:pos="9350"/>
        </w:tabs>
        <w:spacing w:line="240" w:lineRule="auto"/>
        <w:rPr>
          <w:rFonts w:cs="Times New Roman"/>
          <w:noProof/>
          <w:color w:val="000000" w:themeColor="text1"/>
          <w:sz w:val="26"/>
          <w:szCs w:val="26"/>
        </w:rPr>
      </w:pPr>
      <w:r w:rsidRPr="00D74C64">
        <w:rPr>
          <w:rFonts w:cs="Times New Roman"/>
          <w:i/>
          <w:iCs/>
          <w:color w:val="000000"/>
          <w:sz w:val="26"/>
          <w:szCs w:val="26"/>
        </w:rPr>
        <w:t>United States v. Montoya</w:t>
      </w:r>
      <w:r w:rsidR="005F35DD" w:rsidRPr="00D74C64">
        <w:rPr>
          <w:rFonts w:cs="Times New Roman"/>
          <w:noProof/>
          <w:color w:val="000000" w:themeColor="text1"/>
          <w:sz w:val="26"/>
          <w:szCs w:val="26"/>
        </w:rPr>
        <w:t xml:space="preserve">, </w:t>
      </w:r>
    </w:p>
    <w:p w14:paraId="568F6137" w14:textId="3F473AE6" w:rsidR="005F35DD" w:rsidRPr="00D74C64" w:rsidRDefault="00F90031" w:rsidP="005F35DD">
      <w:pPr>
        <w:pStyle w:val="TableofAuthorities"/>
        <w:tabs>
          <w:tab w:val="right" w:leader="dot" w:pos="9350"/>
        </w:tabs>
        <w:spacing w:after="240" w:line="240" w:lineRule="auto"/>
        <w:ind w:left="630"/>
        <w:rPr>
          <w:rFonts w:cs="Times New Roman"/>
          <w:noProof/>
          <w:color w:val="000000" w:themeColor="text1"/>
          <w:sz w:val="26"/>
          <w:szCs w:val="26"/>
        </w:rPr>
      </w:pPr>
      <w:r w:rsidRPr="00D74C64">
        <w:rPr>
          <w:color w:val="000000"/>
          <w:sz w:val="26"/>
          <w:szCs w:val="26"/>
        </w:rPr>
        <w:t>45 F.3d 1286 (9th Cir. 1995)</w:t>
      </w:r>
      <w:r w:rsidR="005F35DD" w:rsidRPr="00D74C64">
        <w:rPr>
          <w:rFonts w:cs="Times New Roman"/>
          <w:noProof/>
          <w:color w:val="000000" w:themeColor="text1"/>
          <w:sz w:val="26"/>
          <w:szCs w:val="26"/>
        </w:rPr>
        <w:t>.</w:t>
      </w:r>
      <w:r w:rsidR="005F35DD" w:rsidRPr="00D74C64">
        <w:rPr>
          <w:rFonts w:cs="Times New Roman"/>
          <w:noProof/>
          <w:color w:val="000000" w:themeColor="text1"/>
          <w:sz w:val="26"/>
          <w:szCs w:val="26"/>
        </w:rPr>
        <w:tab/>
        <w:t>1</w:t>
      </w:r>
      <w:r w:rsidRPr="00D74C64">
        <w:rPr>
          <w:rFonts w:cs="Times New Roman"/>
          <w:noProof/>
          <w:color w:val="000000" w:themeColor="text1"/>
          <w:sz w:val="26"/>
          <w:szCs w:val="26"/>
        </w:rPr>
        <w:t>1</w:t>
      </w:r>
    </w:p>
    <w:p w14:paraId="55916FCB" w14:textId="1535748A" w:rsidR="005F35DD" w:rsidRPr="00D74C64" w:rsidRDefault="005F35DD" w:rsidP="005F35DD">
      <w:pPr>
        <w:pStyle w:val="TableofAuthorities"/>
        <w:tabs>
          <w:tab w:val="right" w:leader="dot" w:pos="9350"/>
        </w:tabs>
        <w:spacing w:line="240" w:lineRule="auto"/>
        <w:rPr>
          <w:rFonts w:cs="Times New Roman"/>
          <w:noProof/>
          <w:color w:val="000000" w:themeColor="text1"/>
          <w:sz w:val="26"/>
          <w:szCs w:val="26"/>
        </w:rPr>
      </w:pPr>
      <w:r w:rsidRPr="00D74C64">
        <w:rPr>
          <w:rFonts w:cs="Times New Roman"/>
          <w:i/>
          <w:iCs/>
          <w:noProof/>
          <w:color w:val="000000" w:themeColor="text1"/>
          <w:sz w:val="26"/>
          <w:szCs w:val="26"/>
        </w:rPr>
        <w:t>United States</w:t>
      </w:r>
      <w:r w:rsidR="00F90031" w:rsidRPr="00D74C64">
        <w:rPr>
          <w:rFonts w:cs="Times New Roman"/>
          <w:i/>
          <w:iCs/>
          <w:noProof/>
          <w:color w:val="000000" w:themeColor="text1"/>
          <w:sz w:val="26"/>
          <w:szCs w:val="26"/>
        </w:rPr>
        <w:t xml:space="preserve"> v. Nanni</w:t>
      </w:r>
      <w:r w:rsidRPr="00D74C64">
        <w:rPr>
          <w:rFonts w:cs="Times New Roman"/>
          <w:noProof/>
          <w:color w:val="000000" w:themeColor="text1"/>
          <w:sz w:val="26"/>
          <w:szCs w:val="26"/>
        </w:rPr>
        <w:t xml:space="preserve">, </w:t>
      </w:r>
    </w:p>
    <w:p w14:paraId="477A9F67" w14:textId="3D288D8D" w:rsidR="005F35DD" w:rsidRPr="00D74C64" w:rsidRDefault="00F90031" w:rsidP="005F35DD">
      <w:pPr>
        <w:pStyle w:val="TableofAuthorities"/>
        <w:tabs>
          <w:tab w:val="right" w:leader="dot" w:pos="9350"/>
        </w:tabs>
        <w:spacing w:after="240" w:line="240" w:lineRule="auto"/>
        <w:ind w:left="630"/>
        <w:rPr>
          <w:rFonts w:cs="Times New Roman"/>
          <w:noProof/>
          <w:color w:val="000000" w:themeColor="text1"/>
          <w:sz w:val="26"/>
          <w:szCs w:val="26"/>
        </w:rPr>
      </w:pPr>
      <w:r w:rsidRPr="00D74C64">
        <w:rPr>
          <w:color w:val="000000"/>
          <w:sz w:val="26"/>
          <w:szCs w:val="26"/>
        </w:rPr>
        <w:t>59 F.3d 1425 (2d Cir. 1995)</w:t>
      </w:r>
      <w:r w:rsidR="005F35DD" w:rsidRPr="00D74C64">
        <w:rPr>
          <w:rFonts w:cs="Times New Roman"/>
          <w:noProof/>
          <w:color w:val="000000" w:themeColor="text1"/>
          <w:sz w:val="26"/>
          <w:szCs w:val="26"/>
        </w:rPr>
        <w:t>.</w:t>
      </w:r>
      <w:r w:rsidR="005F35DD" w:rsidRPr="00D74C64">
        <w:rPr>
          <w:rFonts w:cs="Times New Roman"/>
          <w:noProof/>
          <w:color w:val="000000" w:themeColor="text1"/>
          <w:sz w:val="26"/>
          <w:szCs w:val="26"/>
        </w:rPr>
        <w:tab/>
      </w:r>
      <w:r w:rsidRPr="00D74C64">
        <w:rPr>
          <w:rFonts w:cs="Times New Roman"/>
          <w:noProof/>
          <w:color w:val="000000" w:themeColor="text1"/>
          <w:sz w:val="26"/>
          <w:szCs w:val="26"/>
        </w:rPr>
        <w:t>12</w:t>
      </w:r>
    </w:p>
    <w:p w14:paraId="46421865" w14:textId="0D09321C" w:rsidR="005F35DD" w:rsidRPr="00D74C64" w:rsidRDefault="005F35DD" w:rsidP="005F35DD">
      <w:pPr>
        <w:pStyle w:val="TableofAuthorities"/>
        <w:tabs>
          <w:tab w:val="right" w:leader="dot" w:pos="9350"/>
        </w:tabs>
        <w:spacing w:line="240" w:lineRule="auto"/>
        <w:rPr>
          <w:rFonts w:cs="Times New Roman"/>
          <w:noProof/>
          <w:color w:val="000000" w:themeColor="text1"/>
          <w:sz w:val="26"/>
          <w:szCs w:val="26"/>
        </w:rPr>
      </w:pPr>
      <w:r w:rsidRPr="00D74C64">
        <w:rPr>
          <w:rFonts w:cs="Times New Roman"/>
          <w:i/>
          <w:iCs/>
          <w:noProof/>
          <w:color w:val="000000" w:themeColor="text1"/>
          <w:sz w:val="26"/>
          <w:szCs w:val="26"/>
        </w:rPr>
        <w:t xml:space="preserve">United States v. </w:t>
      </w:r>
      <w:r w:rsidR="005165F1" w:rsidRPr="00D74C64">
        <w:rPr>
          <w:rFonts w:cs="Times New Roman"/>
          <w:i/>
          <w:iCs/>
          <w:noProof/>
          <w:color w:val="000000" w:themeColor="text1"/>
          <w:sz w:val="26"/>
          <w:szCs w:val="26"/>
        </w:rPr>
        <w:t>Nemes</w:t>
      </w:r>
      <w:r w:rsidRPr="00D74C64">
        <w:rPr>
          <w:rFonts w:cs="Times New Roman"/>
          <w:noProof/>
          <w:color w:val="000000" w:themeColor="text1"/>
          <w:sz w:val="26"/>
          <w:szCs w:val="26"/>
        </w:rPr>
        <w:t xml:space="preserve">, </w:t>
      </w:r>
    </w:p>
    <w:p w14:paraId="70AEBCB2" w14:textId="0380E84D" w:rsidR="005F35DD" w:rsidRPr="00D74C64" w:rsidRDefault="005165F1" w:rsidP="005F35DD">
      <w:pPr>
        <w:pStyle w:val="TableofAuthorities"/>
        <w:tabs>
          <w:tab w:val="right" w:leader="dot" w:pos="9350"/>
        </w:tabs>
        <w:spacing w:after="240" w:line="240" w:lineRule="auto"/>
        <w:ind w:left="630"/>
        <w:rPr>
          <w:rFonts w:cs="Times New Roman"/>
          <w:noProof/>
          <w:color w:val="000000" w:themeColor="text1"/>
          <w:sz w:val="26"/>
          <w:szCs w:val="26"/>
        </w:rPr>
      </w:pPr>
      <w:r w:rsidRPr="00D74C64">
        <w:rPr>
          <w:color w:val="000000"/>
          <w:sz w:val="26"/>
          <w:szCs w:val="26"/>
        </w:rPr>
        <w:t>555 F.2d 51, 52 (2d Cir. 1977)</w:t>
      </w:r>
      <w:r w:rsidR="005F35DD" w:rsidRPr="00D74C64">
        <w:rPr>
          <w:rFonts w:cs="Times New Roman"/>
          <w:noProof/>
          <w:color w:val="000000" w:themeColor="text1"/>
          <w:sz w:val="26"/>
          <w:szCs w:val="26"/>
        </w:rPr>
        <w:t>.</w:t>
      </w:r>
      <w:r w:rsidR="005F35DD" w:rsidRPr="00D74C64">
        <w:rPr>
          <w:rFonts w:cs="Times New Roman"/>
          <w:noProof/>
          <w:color w:val="000000" w:themeColor="text1"/>
          <w:sz w:val="26"/>
          <w:szCs w:val="26"/>
        </w:rPr>
        <w:tab/>
      </w:r>
      <w:r w:rsidRPr="00D74C64">
        <w:rPr>
          <w:rFonts w:cs="Times New Roman"/>
          <w:noProof/>
          <w:color w:val="000000" w:themeColor="text1"/>
          <w:sz w:val="26"/>
          <w:szCs w:val="26"/>
        </w:rPr>
        <w:t>9</w:t>
      </w:r>
    </w:p>
    <w:p w14:paraId="7A89E8FA" w14:textId="0375E606" w:rsidR="005F35DD" w:rsidRPr="00D74C64" w:rsidRDefault="005F35DD" w:rsidP="005F35DD">
      <w:pPr>
        <w:pStyle w:val="TableofAuthorities"/>
        <w:tabs>
          <w:tab w:val="right" w:leader="dot" w:pos="9350"/>
        </w:tabs>
        <w:spacing w:line="240" w:lineRule="auto"/>
        <w:rPr>
          <w:rFonts w:cs="Times New Roman"/>
          <w:noProof/>
          <w:color w:val="000000" w:themeColor="text1"/>
          <w:sz w:val="26"/>
          <w:szCs w:val="26"/>
        </w:rPr>
      </w:pPr>
      <w:r w:rsidRPr="00D74C64">
        <w:rPr>
          <w:rFonts w:cs="Times New Roman"/>
          <w:i/>
          <w:iCs/>
          <w:noProof/>
          <w:color w:val="000000" w:themeColor="text1"/>
          <w:sz w:val="26"/>
          <w:szCs w:val="26"/>
        </w:rPr>
        <w:t>United States</w:t>
      </w:r>
      <w:r w:rsidR="008C7B7E" w:rsidRPr="00D74C64">
        <w:rPr>
          <w:rFonts w:cs="Times New Roman"/>
          <w:i/>
          <w:iCs/>
          <w:noProof/>
          <w:color w:val="000000" w:themeColor="text1"/>
          <w:sz w:val="26"/>
          <w:szCs w:val="26"/>
        </w:rPr>
        <w:t xml:space="preserve"> v. Pantone</w:t>
      </w:r>
      <w:r w:rsidRPr="00D74C64">
        <w:rPr>
          <w:rFonts w:cs="Times New Roman"/>
          <w:noProof/>
          <w:color w:val="000000" w:themeColor="text1"/>
          <w:sz w:val="26"/>
          <w:szCs w:val="26"/>
        </w:rPr>
        <w:t xml:space="preserve">, </w:t>
      </w:r>
    </w:p>
    <w:p w14:paraId="17BBC9D1" w14:textId="4261EAC3" w:rsidR="005F35DD" w:rsidRPr="00102FD5" w:rsidRDefault="00D74C64" w:rsidP="005F35DD">
      <w:pPr>
        <w:pStyle w:val="TableofAuthorities"/>
        <w:tabs>
          <w:tab w:val="right" w:leader="dot" w:pos="9350"/>
        </w:tabs>
        <w:spacing w:after="240" w:line="240" w:lineRule="auto"/>
        <w:ind w:left="630"/>
        <w:rPr>
          <w:rFonts w:cs="Times New Roman"/>
          <w:noProof/>
          <w:color w:val="000000" w:themeColor="text1"/>
          <w:sz w:val="26"/>
          <w:szCs w:val="26"/>
        </w:rPr>
      </w:pPr>
      <w:r w:rsidRPr="00D74C64">
        <w:rPr>
          <w:color w:val="000000"/>
          <w:sz w:val="26"/>
          <w:szCs w:val="26"/>
        </w:rPr>
        <w:t>634 F.2d 716 (3d Cir. 1980)</w:t>
      </w:r>
      <w:r w:rsidR="005F35DD" w:rsidRPr="00D74C64">
        <w:rPr>
          <w:rFonts w:cs="Times New Roman"/>
          <w:noProof/>
          <w:color w:val="000000" w:themeColor="text1"/>
          <w:sz w:val="26"/>
          <w:szCs w:val="26"/>
        </w:rPr>
        <w:t>.</w:t>
      </w:r>
      <w:r w:rsidR="005F35DD" w:rsidRPr="00102FD5">
        <w:rPr>
          <w:rFonts w:cs="Times New Roman"/>
          <w:noProof/>
          <w:color w:val="000000" w:themeColor="text1"/>
          <w:sz w:val="26"/>
          <w:szCs w:val="26"/>
        </w:rPr>
        <w:tab/>
        <w:t>1</w:t>
      </w:r>
      <w:r>
        <w:rPr>
          <w:rFonts w:cs="Times New Roman"/>
          <w:noProof/>
          <w:color w:val="000000" w:themeColor="text1"/>
          <w:sz w:val="26"/>
          <w:szCs w:val="26"/>
        </w:rPr>
        <w:t>0</w:t>
      </w:r>
    </w:p>
    <w:p w14:paraId="308DAE47" w14:textId="258B5B8F" w:rsidR="00283F1C" w:rsidRPr="00102FD5" w:rsidRDefault="00283F1C" w:rsidP="00283F1C">
      <w:pPr>
        <w:pStyle w:val="TOAHeading"/>
        <w:tabs>
          <w:tab w:val="right" w:leader="dot" w:pos="9350"/>
        </w:tabs>
        <w:rPr>
          <w:rFonts w:cs="Times New Roman"/>
          <w:caps w:val="0"/>
          <w:smallCaps/>
          <w:noProof/>
          <w:color w:val="000000" w:themeColor="text1"/>
          <w:szCs w:val="26"/>
        </w:rPr>
      </w:pPr>
      <w:r w:rsidRPr="00102FD5">
        <w:rPr>
          <w:rFonts w:cs="Times New Roman"/>
          <w:b w:val="0"/>
          <w:bCs w:val="0"/>
          <w:smallCaps/>
          <w:color w:val="000000" w:themeColor="text1"/>
          <w:szCs w:val="26"/>
        </w:rPr>
        <w:fldChar w:fldCharType="begin"/>
      </w:r>
      <w:r w:rsidRPr="00102FD5">
        <w:rPr>
          <w:rFonts w:cs="Times New Roman"/>
          <w:b w:val="0"/>
          <w:bCs w:val="0"/>
          <w:smallCaps/>
          <w:color w:val="000000" w:themeColor="text1"/>
          <w:szCs w:val="26"/>
        </w:rPr>
        <w:instrText xml:space="preserve"> TOA \h \c "2" \p </w:instrText>
      </w:r>
      <w:r w:rsidRPr="00102FD5">
        <w:rPr>
          <w:rFonts w:cs="Times New Roman"/>
          <w:b w:val="0"/>
          <w:bCs w:val="0"/>
          <w:smallCaps/>
          <w:color w:val="000000" w:themeColor="text1"/>
          <w:szCs w:val="26"/>
        </w:rPr>
        <w:fldChar w:fldCharType="separate"/>
      </w:r>
      <w:r w:rsidRPr="00102FD5">
        <w:rPr>
          <w:rFonts w:cs="Times New Roman"/>
          <w:caps w:val="0"/>
          <w:smallCaps/>
          <w:noProof/>
          <w:color w:val="000000" w:themeColor="text1"/>
          <w:szCs w:val="26"/>
        </w:rPr>
        <w:t>Statutes</w:t>
      </w:r>
    </w:p>
    <w:p w14:paraId="46639AFB" w14:textId="1D32DF05" w:rsidR="00283F1C" w:rsidRPr="00F21C81" w:rsidRDefault="000E2E84" w:rsidP="00283F1C">
      <w:pPr>
        <w:pStyle w:val="TableofAuthorities"/>
        <w:tabs>
          <w:tab w:val="right" w:leader="dot" w:pos="9350"/>
        </w:tabs>
        <w:rPr>
          <w:rFonts w:cs="Times New Roman"/>
          <w:noProof/>
          <w:color w:val="000000" w:themeColor="text1"/>
          <w:sz w:val="26"/>
          <w:szCs w:val="26"/>
        </w:rPr>
      </w:pPr>
      <w:r w:rsidRPr="00102FD5">
        <w:rPr>
          <w:rFonts w:cs="Times New Roman"/>
          <w:noProof/>
          <w:color w:val="000000" w:themeColor="text1"/>
          <w:sz w:val="26"/>
          <w:szCs w:val="26"/>
        </w:rPr>
        <w:t>18</w:t>
      </w:r>
      <w:r w:rsidR="00283F1C" w:rsidRPr="00102FD5">
        <w:rPr>
          <w:rFonts w:cs="Times New Roman"/>
          <w:noProof/>
          <w:color w:val="000000" w:themeColor="text1"/>
          <w:sz w:val="26"/>
          <w:szCs w:val="26"/>
        </w:rPr>
        <w:t xml:space="preserve"> U.S.C. §</w:t>
      </w:r>
      <w:r w:rsidRPr="00102FD5">
        <w:rPr>
          <w:rFonts w:cs="Times New Roman"/>
          <w:noProof/>
          <w:color w:val="000000" w:themeColor="text1"/>
          <w:sz w:val="26"/>
          <w:szCs w:val="26"/>
        </w:rPr>
        <w:t>§ 6002-6003</w:t>
      </w:r>
      <w:r w:rsidR="00283F1C" w:rsidRPr="00102FD5">
        <w:rPr>
          <w:rFonts w:cs="Times New Roman"/>
          <w:noProof/>
          <w:color w:val="000000" w:themeColor="text1"/>
          <w:sz w:val="26"/>
          <w:szCs w:val="26"/>
        </w:rPr>
        <w:tab/>
      </w:r>
      <w:r w:rsidR="00F21C81">
        <w:rPr>
          <w:rFonts w:cs="Times New Roman"/>
          <w:noProof/>
          <w:color w:val="000000" w:themeColor="text1"/>
          <w:sz w:val="26"/>
          <w:szCs w:val="26"/>
        </w:rPr>
        <w:t>7, 11, 13</w:t>
      </w:r>
    </w:p>
    <w:p w14:paraId="1760359A" w14:textId="73B5A972" w:rsidR="009021C5" w:rsidRDefault="009021C5" w:rsidP="009021C5">
      <w:pPr>
        <w:pStyle w:val="TableofAuthorities"/>
        <w:tabs>
          <w:tab w:val="right" w:leader="dot" w:pos="9350"/>
        </w:tabs>
        <w:rPr>
          <w:rFonts w:cs="Times New Roman"/>
          <w:noProof/>
          <w:color w:val="000000" w:themeColor="text1"/>
          <w:sz w:val="26"/>
          <w:szCs w:val="26"/>
        </w:rPr>
      </w:pPr>
      <w:r>
        <w:rPr>
          <w:rFonts w:cs="Times New Roman"/>
          <w:noProof/>
          <w:color w:val="000000" w:themeColor="text1"/>
          <w:sz w:val="26"/>
          <w:szCs w:val="26"/>
        </w:rPr>
        <w:t>Fed. R. Crim. P. 17(c)(1)</w:t>
      </w:r>
      <w:r w:rsidRPr="00102FD5">
        <w:rPr>
          <w:rFonts w:cs="Times New Roman"/>
          <w:noProof/>
          <w:color w:val="000000" w:themeColor="text1"/>
          <w:sz w:val="26"/>
          <w:szCs w:val="26"/>
        </w:rPr>
        <w:tab/>
      </w:r>
      <w:r>
        <w:rPr>
          <w:rFonts w:cs="Times New Roman"/>
          <w:noProof/>
          <w:color w:val="000000" w:themeColor="text1"/>
          <w:sz w:val="26"/>
          <w:szCs w:val="26"/>
        </w:rPr>
        <w:t>15, 16</w:t>
      </w:r>
    </w:p>
    <w:p w14:paraId="425CEC3E" w14:textId="18EF9CBF" w:rsidR="00FF1DEA" w:rsidRDefault="00FF1DEA" w:rsidP="00FF1DEA">
      <w:pPr>
        <w:pStyle w:val="TableofAuthorities"/>
        <w:tabs>
          <w:tab w:val="right" w:leader="dot" w:pos="9350"/>
        </w:tabs>
        <w:rPr>
          <w:rFonts w:cs="Times New Roman"/>
          <w:noProof/>
          <w:color w:val="000000" w:themeColor="text1"/>
          <w:sz w:val="26"/>
          <w:szCs w:val="26"/>
        </w:rPr>
      </w:pPr>
      <w:r>
        <w:rPr>
          <w:rFonts w:cs="Times New Roman"/>
          <w:noProof/>
          <w:color w:val="000000" w:themeColor="text1"/>
          <w:sz w:val="26"/>
          <w:szCs w:val="26"/>
        </w:rPr>
        <w:t>Fed. R. Crim. P. 17 (c)(2)</w:t>
      </w:r>
      <w:r w:rsidRPr="00102FD5">
        <w:rPr>
          <w:rFonts w:cs="Times New Roman"/>
          <w:noProof/>
          <w:color w:val="000000" w:themeColor="text1"/>
          <w:sz w:val="26"/>
          <w:szCs w:val="26"/>
        </w:rPr>
        <w:tab/>
      </w:r>
      <w:r>
        <w:rPr>
          <w:rFonts w:cs="Times New Roman"/>
          <w:noProof/>
          <w:color w:val="000000" w:themeColor="text1"/>
          <w:sz w:val="26"/>
          <w:szCs w:val="26"/>
        </w:rPr>
        <w:t>15</w:t>
      </w:r>
    </w:p>
    <w:p w14:paraId="6A967B83" w14:textId="6EA313B9" w:rsidR="00FF1DEA" w:rsidRDefault="00FF1DEA" w:rsidP="00FF1DEA">
      <w:pPr>
        <w:pStyle w:val="TableofAuthorities"/>
        <w:tabs>
          <w:tab w:val="right" w:leader="dot" w:pos="9350"/>
        </w:tabs>
        <w:rPr>
          <w:rFonts w:cs="Times New Roman"/>
          <w:noProof/>
          <w:color w:val="000000" w:themeColor="text1"/>
          <w:sz w:val="26"/>
          <w:szCs w:val="26"/>
        </w:rPr>
      </w:pPr>
      <w:r>
        <w:rPr>
          <w:rFonts w:cs="Times New Roman"/>
          <w:noProof/>
          <w:color w:val="000000" w:themeColor="text1"/>
          <w:sz w:val="26"/>
          <w:szCs w:val="26"/>
        </w:rPr>
        <w:t>Fed. R. Evid. 502(g)(2)</w:t>
      </w:r>
      <w:r w:rsidRPr="00102FD5">
        <w:rPr>
          <w:rFonts w:cs="Times New Roman"/>
          <w:noProof/>
          <w:color w:val="000000" w:themeColor="text1"/>
          <w:sz w:val="26"/>
          <w:szCs w:val="26"/>
        </w:rPr>
        <w:tab/>
      </w:r>
      <w:r>
        <w:rPr>
          <w:rFonts w:cs="Times New Roman"/>
          <w:noProof/>
          <w:color w:val="000000" w:themeColor="text1"/>
          <w:sz w:val="26"/>
          <w:szCs w:val="26"/>
        </w:rPr>
        <w:t>17</w:t>
      </w:r>
    </w:p>
    <w:p w14:paraId="1F7C0D2D" w14:textId="4B34AD1C" w:rsidR="005E55F8" w:rsidRPr="00F21C81" w:rsidRDefault="005E55F8" w:rsidP="005E55F8">
      <w:pPr>
        <w:pStyle w:val="TableofAuthorities"/>
        <w:tabs>
          <w:tab w:val="right" w:leader="dot" w:pos="9350"/>
        </w:tabs>
        <w:rPr>
          <w:rFonts w:cs="Times New Roman"/>
          <w:noProof/>
          <w:color w:val="000000" w:themeColor="text1"/>
          <w:sz w:val="26"/>
          <w:szCs w:val="26"/>
        </w:rPr>
      </w:pPr>
      <w:r>
        <w:rPr>
          <w:rFonts w:cs="Times New Roman"/>
          <w:noProof/>
          <w:color w:val="000000" w:themeColor="text1"/>
          <w:sz w:val="26"/>
          <w:szCs w:val="26"/>
        </w:rPr>
        <w:t>U.S. Const. amend. V</w:t>
      </w:r>
      <w:r w:rsidRPr="00102FD5">
        <w:rPr>
          <w:rFonts w:cs="Times New Roman"/>
          <w:noProof/>
          <w:color w:val="000000" w:themeColor="text1"/>
          <w:sz w:val="26"/>
          <w:szCs w:val="26"/>
        </w:rPr>
        <w:tab/>
      </w:r>
      <w:r>
        <w:rPr>
          <w:rFonts w:cs="Times New Roman"/>
          <w:noProof/>
          <w:color w:val="000000" w:themeColor="text1"/>
          <w:sz w:val="26"/>
          <w:szCs w:val="26"/>
        </w:rPr>
        <w:t>13</w:t>
      </w:r>
    </w:p>
    <w:p w14:paraId="38FEBBEC" w14:textId="77777777" w:rsidR="005E55F8" w:rsidRPr="005E55F8" w:rsidRDefault="005E55F8" w:rsidP="005E55F8"/>
    <w:p w14:paraId="7E27A545" w14:textId="77777777" w:rsidR="000E2E84" w:rsidRPr="00102FD5" w:rsidRDefault="000E2E84" w:rsidP="000E2E84">
      <w:pPr>
        <w:rPr>
          <w:rFonts w:ascii="Times New Roman" w:hAnsi="Times New Roman" w:cs="Times New Roman"/>
          <w:sz w:val="26"/>
          <w:szCs w:val="26"/>
        </w:rPr>
      </w:pPr>
    </w:p>
    <w:p w14:paraId="4F4918E2" w14:textId="77777777" w:rsidR="000E2E84" w:rsidRPr="00102FD5" w:rsidRDefault="000E2E84" w:rsidP="000E2E84">
      <w:pPr>
        <w:rPr>
          <w:rFonts w:ascii="Times New Roman" w:hAnsi="Times New Roman" w:cs="Times New Roman"/>
          <w:sz w:val="26"/>
          <w:szCs w:val="26"/>
        </w:rPr>
      </w:pPr>
    </w:p>
    <w:p w14:paraId="485C09D2" w14:textId="77777777" w:rsidR="00322774" w:rsidRPr="00102FD5" w:rsidRDefault="00283F1C" w:rsidP="00283F1C">
      <w:pPr>
        <w:rPr>
          <w:rFonts w:ascii="Times New Roman" w:hAnsi="Times New Roman" w:cs="Times New Roman"/>
          <w:b/>
          <w:bCs/>
          <w:smallCaps/>
          <w:color w:val="000000" w:themeColor="text1"/>
          <w:sz w:val="26"/>
          <w:szCs w:val="26"/>
        </w:rPr>
        <w:sectPr w:rsidR="00322774" w:rsidRPr="00102FD5" w:rsidSect="00322774">
          <w:footerReference w:type="default" r:id="rId10"/>
          <w:headerReference w:type="first" r:id="rId11"/>
          <w:footerReference w:type="first" r:id="rId12"/>
          <w:pgSz w:w="12240" w:h="15840"/>
          <w:pgMar w:top="1440" w:right="1440" w:bottom="1440" w:left="1440" w:header="720" w:footer="720" w:gutter="0"/>
          <w:pgNumType w:fmt="lowerRoman" w:start="1"/>
          <w:cols w:space="720"/>
          <w:titlePg/>
          <w:docGrid w:linePitch="360"/>
        </w:sectPr>
      </w:pPr>
      <w:r w:rsidRPr="00102FD5">
        <w:rPr>
          <w:rFonts w:ascii="Times New Roman" w:hAnsi="Times New Roman" w:cs="Times New Roman"/>
          <w:b/>
          <w:bCs/>
          <w:smallCaps/>
          <w:color w:val="000000" w:themeColor="text1"/>
          <w:sz w:val="26"/>
          <w:szCs w:val="26"/>
        </w:rPr>
        <w:fldChar w:fldCharType="end"/>
      </w:r>
    </w:p>
    <w:p w14:paraId="4F335823" w14:textId="7DFE761C" w:rsidR="00CC5FC4" w:rsidRPr="00102FD5" w:rsidRDefault="00212F6D" w:rsidP="00322774">
      <w:pPr>
        <w:pStyle w:val="Heading1"/>
        <w:spacing w:before="0" w:after="0"/>
        <w:jc w:val="center"/>
        <w:rPr>
          <w:rFonts w:ascii="Times New Roman" w:hAnsi="Times New Roman" w:cs="Times New Roman"/>
          <w:b/>
          <w:bCs/>
          <w:smallCaps/>
          <w:color w:val="000000" w:themeColor="text1"/>
          <w:sz w:val="26"/>
          <w:szCs w:val="26"/>
        </w:rPr>
      </w:pPr>
      <w:bookmarkStart w:id="1" w:name="_Toc207630151"/>
      <w:r w:rsidRPr="00102FD5">
        <w:rPr>
          <w:rFonts w:ascii="Times New Roman" w:hAnsi="Times New Roman" w:cs="Times New Roman"/>
          <w:b/>
          <w:bCs/>
          <w:smallCaps/>
          <w:color w:val="000000" w:themeColor="text1"/>
          <w:sz w:val="26"/>
          <w:szCs w:val="26"/>
        </w:rPr>
        <w:lastRenderedPageBreak/>
        <w:t>Introduction</w:t>
      </w:r>
      <w:bookmarkEnd w:id="1"/>
    </w:p>
    <w:p w14:paraId="7A148988" w14:textId="77777777" w:rsidR="00AC2BB2" w:rsidRPr="00102FD5" w:rsidRDefault="00AC2BB2" w:rsidP="00AC2BB2">
      <w:pPr>
        <w:rPr>
          <w:rFonts w:ascii="Times New Roman" w:hAnsi="Times New Roman" w:cs="Times New Roman"/>
          <w:sz w:val="26"/>
          <w:szCs w:val="26"/>
        </w:rPr>
      </w:pPr>
    </w:p>
    <w:p w14:paraId="76BB5F7B" w14:textId="77777777" w:rsidR="00AC2BB2" w:rsidRPr="00102FD5" w:rsidRDefault="00AC2BB2" w:rsidP="00AC2BB2">
      <w:pPr>
        <w:spacing w:line="480" w:lineRule="auto"/>
        <w:ind w:firstLine="72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Court should deny Emily Calloway’s (“Defendant”) Motion to Suppress Evidence and Motion to Quash Subpoena because the government derived the disputed evidence through legitimate, independent sources and because the Defendant has failed to establish that the subpoena is unreasonable or oppressive. </w:t>
      </w:r>
    </w:p>
    <w:p w14:paraId="0D4AE500" w14:textId="77777777" w:rsidR="00AC2BB2" w:rsidRPr="00102FD5" w:rsidRDefault="00AC2BB2" w:rsidP="00AC2BB2">
      <w:pPr>
        <w:spacing w:line="480" w:lineRule="auto"/>
        <w:ind w:firstLine="72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government followed proper precautionary procedures to ensure investigators were not exposed to Defendant’s compelled testimony. The government did not use or derive use of the testimony against Defendant in this proceeding. The Defendant will not meet the burden of showing that the materials requested are protected work </w:t>
      </w:r>
      <w:proofErr w:type="gramStart"/>
      <w:r w:rsidRPr="00102FD5">
        <w:rPr>
          <w:rFonts w:ascii="Times New Roman" w:hAnsi="Times New Roman" w:cs="Times New Roman"/>
          <w:color w:val="000000" w:themeColor="text1"/>
          <w:sz w:val="26"/>
          <w:szCs w:val="26"/>
        </w:rPr>
        <w:t>product</w:t>
      </w:r>
      <w:proofErr w:type="gramEnd"/>
      <w:r w:rsidRPr="00102FD5">
        <w:rPr>
          <w:rFonts w:ascii="Times New Roman" w:hAnsi="Times New Roman" w:cs="Times New Roman"/>
          <w:color w:val="000000" w:themeColor="text1"/>
          <w:sz w:val="26"/>
          <w:szCs w:val="26"/>
        </w:rPr>
        <w:t>.</w:t>
      </w:r>
    </w:p>
    <w:p w14:paraId="0D3FF976" w14:textId="77777777" w:rsidR="00AC2BB2" w:rsidRPr="00102FD5" w:rsidRDefault="00AC2BB2" w:rsidP="00AC2BB2">
      <w:pPr>
        <w:spacing w:line="480" w:lineRule="auto"/>
        <w:ind w:firstLine="72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Because the government satisfies the requisite burden of proof to prove a legitimate, independent source for the disputed evidence, Defendant’s motion to suppress should be denied. Because the subpoena is neither unreasonable nor oppressive, the Defendant’s motion to quash should be denied. </w:t>
      </w:r>
    </w:p>
    <w:p w14:paraId="26D68EE9" w14:textId="260600F1" w:rsidR="00CC5FC4" w:rsidRPr="00102FD5" w:rsidRDefault="00CC5FC4" w:rsidP="00401C40">
      <w:pPr>
        <w:jc w:val="center"/>
        <w:rPr>
          <w:rFonts w:ascii="Times New Roman" w:hAnsi="Times New Roman" w:cs="Times New Roman"/>
          <w:b/>
          <w:bCs/>
          <w:color w:val="000000" w:themeColor="text1"/>
          <w:sz w:val="26"/>
          <w:szCs w:val="26"/>
        </w:rPr>
      </w:pPr>
    </w:p>
    <w:p w14:paraId="6CCA4BEE" w14:textId="7A00B0B2" w:rsidR="001B11BD" w:rsidRPr="00102FD5" w:rsidRDefault="00212F6D" w:rsidP="00EA10DF">
      <w:pPr>
        <w:pStyle w:val="Heading1"/>
        <w:spacing w:before="0" w:after="0" w:line="480" w:lineRule="auto"/>
        <w:contextualSpacing/>
        <w:jc w:val="center"/>
        <w:rPr>
          <w:rFonts w:ascii="Times New Roman" w:hAnsi="Times New Roman" w:cs="Times New Roman"/>
          <w:b/>
          <w:bCs/>
          <w:smallCaps/>
          <w:color w:val="000000" w:themeColor="text1"/>
          <w:sz w:val="26"/>
          <w:szCs w:val="26"/>
        </w:rPr>
      </w:pPr>
      <w:bookmarkStart w:id="2" w:name="_Toc207630152"/>
      <w:r w:rsidRPr="00102FD5">
        <w:rPr>
          <w:rFonts w:ascii="Times New Roman" w:hAnsi="Times New Roman" w:cs="Times New Roman"/>
          <w:b/>
          <w:bCs/>
          <w:smallCaps/>
          <w:color w:val="000000" w:themeColor="text1"/>
          <w:sz w:val="26"/>
          <w:szCs w:val="26"/>
        </w:rPr>
        <w:t>Statement of the Facts</w:t>
      </w:r>
      <w:bookmarkEnd w:id="2"/>
    </w:p>
    <w:p w14:paraId="0D7B8E7B" w14:textId="6DBC088B" w:rsidR="00C67DE2" w:rsidRPr="00102FD5" w:rsidRDefault="001B11BD" w:rsidP="00C67DE2">
      <w:pPr>
        <w:spacing w:after="240"/>
        <w:jc w:val="center"/>
        <w:rPr>
          <w:rFonts w:ascii="Times New Roman" w:hAnsi="Times New Roman" w:cs="Times New Roman"/>
          <w:b/>
          <w:bCs/>
          <w:i/>
          <w:iCs/>
          <w:color w:val="000000" w:themeColor="text1"/>
          <w:sz w:val="26"/>
          <w:szCs w:val="26"/>
        </w:rPr>
      </w:pPr>
      <w:r w:rsidRPr="00102FD5">
        <w:rPr>
          <w:rFonts w:ascii="Times New Roman" w:hAnsi="Times New Roman" w:cs="Times New Roman"/>
          <w:b/>
          <w:bCs/>
          <w:color w:val="000000" w:themeColor="text1"/>
          <w:sz w:val="26"/>
          <w:szCs w:val="26"/>
        </w:rPr>
        <w:tab/>
      </w:r>
      <w:r w:rsidR="00C67DE2" w:rsidRPr="00102FD5">
        <w:rPr>
          <w:rFonts w:ascii="Times New Roman" w:hAnsi="Times New Roman" w:cs="Times New Roman"/>
          <w:b/>
          <w:bCs/>
          <w:i/>
          <w:iCs/>
          <w:color w:val="000000" w:themeColor="text1"/>
          <w:sz w:val="26"/>
          <w:szCs w:val="26"/>
        </w:rPr>
        <w:t>Initial Investigation of the Silver Palm</w:t>
      </w:r>
    </w:p>
    <w:p w14:paraId="43E7D42C" w14:textId="77777777" w:rsidR="000C35A1" w:rsidRPr="00102FD5" w:rsidRDefault="000C35A1" w:rsidP="000C35A1">
      <w:pPr>
        <w:spacing w:after="240" w:line="480" w:lineRule="auto"/>
        <w:ind w:firstLine="72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The Silver Palms is a famed Gulf Haven resort, first opened in 1926 and operated for generations by the Calloway family. In 2013, Defendant inherited the property. (Sinclair Dep. 9:38–9:54.) Saint Donovan is a New York financial consultant who returned to Gulf Haven in 2018. Defendant brought Donovan on as a 50/50 partner. (</w:t>
      </w:r>
      <w:r w:rsidRPr="00102FD5">
        <w:rPr>
          <w:rFonts w:ascii="Times New Roman" w:hAnsi="Times New Roman" w:cs="Times New Roman"/>
          <w:i/>
          <w:color w:val="000000" w:themeColor="text1"/>
          <w:sz w:val="26"/>
          <w:szCs w:val="26"/>
        </w:rPr>
        <w:t>Id</w:t>
      </w:r>
      <w:r w:rsidRPr="00102FD5">
        <w:rPr>
          <w:rFonts w:ascii="Times New Roman" w:hAnsi="Times New Roman" w:cs="Times New Roman"/>
          <w:color w:val="000000" w:themeColor="text1"/>
          <w:sz w:val="26"/>
          <w:szCs w:val="26"/>
        </w:rPr>
        <w:t xml:space="preserve">. at 9:66–10:78.) Defendant remained the public face of Silver Palms and managed employees, events, and </w:t>
      </w:r>
      <w:r w:rsidRPr="00102FD5">
        <w:rPr>
          <w:rFonts w:ascii="Times New Roman" w:hAnsi="Times New Roman" w:cs="Times New Roman"/>
          <w:color w:val="000000" w:themeColor="text1"/>
          <w:sz w:val="26"/>
          <w:szCs w:val="26"/>
        </w:rPr>
        <w:lastRenderedPageBreak/>
        <w:t>public appearances. Donovan oversaw outside contracting, company growth, and sales. (</w:t>
      </w:r>
      <w:r w:rsidRPr="00102FD5">
        <w:rPr>
          <w:rFonts w:ascii="Times New Roman" w:hAnsi="Times New Roman" w:cs="Times New Roman"/>
          <w:i/>
          <w:color w:val="000000" w:themeColor="text1"/>
          <w:sz w:val="26"/>
          <w:szCs w:val="26"/>
        </w:rPr>
        <w:t>Id</w:t>
      </w:r>
      <w:r w:rsidRPr="00102FD5">
        <w:rPr>
          <w:rFonts w:ascii="Times New Roman" w:hAnsi="Times New Roman" w:cs="Times New Roman"/>
          <w:color w:val="000000" w:themeColor="text1"/>
          <w:sz w:val="26"/>
          <w:szCs w:val="26"/>
        </w:rPr>
        <w:t>. at 10:86–10:90.)</w:t>
      </w:r>
    </w:p>
    <w:p w14:paraId="2FC36EA2" w14:textId="77777777" w:rsidR="000C35A1" w:rsidRPr="00102FD5" w:rsidRDefault="000C35A1" w:rsidP="000C35A1">
      <w:pPr>
        <w:spacing w:after="240" w:line="480" w:lineRule="auto"/>
        <w:ind w:firstLine="720"/>
        <w:jc w:val="both"/>
        <w:rPr>
          <w:rFonts w:ascii="Times New Roman" w:hAnsi="Times New Roman" w:cs="Times New Roman"/>
          <w:sz w:val="26"/>
          <w:szCs w:val="26"/>
        </w:rPr>
      </w:pPr>
      <w:r w:rsidRPr="00102FD5">
        <w:rPr>
          <w:rFonts w:ascii="Times New Roman" w:hAnsi="Times New Roman" w:cs="Times New Roman"/>
          <w:color w:val="000000" w:themeColor="text1"/>
          <w:sz w:val="26"/>
          <w:szCs w:val="26"/>
        </w:rPr>
        <w:t>Around the same time, Emerald Coast Consulting, LLC and a series of other related entities, including Coast Event Solutions, LLC, were formed. Emerald began billing Silver Palms for event staffing and similar services.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at 16:312–314.)</w:t>
      </w:r>
    </w:p>
    <w:p w14:paraId="77780933" w14:textId="77777777" w:rsidR="000C35A1" w:rsidRPr="00102FD5" w:rsidRDefault="000C35A1" w:rsidP="000C35A1">
      <w:pPr>
        <w:spacing w:after="240" w:line="480" w:lineRule="auto"/>
        <w:ind w:firstLine="720"/>
        <w:jc w:val="both"/>
        <w:rPr>
          <w:rFonts w:ascii="Times New Roman" w:hAnsi="Times New Roman" w:cs="Times New Roman"/>
          <w:sz w:val="26"/>
          <w:szCs w:val="26"/>
        </w:rPr>
      </w:pPr>
      <w:r w:rsidRPr="00102FD5">
        <w:rPr>
          <w:rFonts w:ascii="Times New Roman" w:hAnsi="Times New Roman" w:cs="Times New Roman"/>
          <w:color w:val="000000" w:themeColor="text1"/>
          <w:sz w:val="26"/>
          <w:szCs w:val="26"/>
        </w:rPr>
        <w:t>The investigation into Silver Palms began with Daniel Blake’s contact with Assistant United States Attorney Tatum Sinclair. (Sinclair Dep. 10:96–10:101.)</w:t>
      </w:r>
      <w:r w:rsidRPr="00102FD5">
        <w:rPr>
          <w:rFonts w:ascii="Times New Roman" w:hAnsi="Times New Roman" w:cs="Times New Roman"/>
          <w:sz w:val="26"/>
          <w:szCs w:val="26"/>
        </w:rPr>
        <w:t xml:space="preserve"> </w:t>
      </w:r>
      <w:r w:rsidRPr="00102FD5">
        <w:rPr>
          <w:rFonts w:ascii="Times New Roman" w:hAnsi="Times New Roman" w:cs="Times New Roman"/>
          <w:color w:val="000000" w:themeColor="text1"/>
          <w:sz w:val="26"/>
          <w:szCs w:val="26"/>
        </w:rPr>
        <w:t>In January 2023 Mr. Blake was hired as an accountant for Silver Palms.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at 10:95.) He began noticing discrepancies in payroll. In April 2023, he approached the Defendant with these irregularities. Defendant’s response was that Blake should just approve whatever Emerald charged.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at 12:190–12:194.)</w:t>
      </w:r>
    </w:p>
    <w:p w14:paraId="5305ED40" w14:textId="77777777" w:rsidR="000C35A1" w:rsidRPr="00102FD5" w:rsidRDefault="000C35A1" w:rsidP="000C35A1">
      <w:pPr>
        <w:spacing w:after="240" w:line="480" w:lineRule="auto"/>
        <w:ind w:firstLine="720"/>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Mr. Blake continued to investigate. By July 2023 he compared Emerald and Coastal invoices against the Silver Palms staffing schedules and event calendars. The billed work did not match with the work </w:t>
      </w:r>
      <w:proofErr w:type="gramStart"/>
      <w:r w:rsidRPr="00102FD5">
        <w:rPr>
          <w:rFonts w:ascii="Times New Roman" w:hAnsi="Times New Roman" w:cs="Times New Roman"/>
          <w:color w:val="000000" w:themeColor="text1"/>
          <w:sz w:val="26"/>
          <w:szCs w:val="26"/>
        </w:rPr>
        <w:t>actually performed</w:t>
      </w:r>
      <w:proofErr w:type="gramEnd"/>
      <w:r w:rsidRPr="00102FD5">
        <w:rPr>
          <w:rFonts w:ascii="Times New Roman" w:hAnsi="Times New Roman" w:cs="Times New Roman"/>
          <w:color w:val="000000" w:themeColor="text1"/>
          <w:sz w:val="26"/>
          <w:szCs w:val="26"/>
        </w:rPr>
        <w:t>. Money was leaving the resort through invoices that did not line up with the performed labor and events. (Sinclair Dep. 11:117–11:147.)</w:t>
      </w:r>
    </w:p>
    <w:p w14:paraId="1866DCEF" w14:textId="77777777" w:rsidR="00333949" w:rsidRPr="00102FD5" w:rsidRDefault="000C35A1" w:rsidP="00333949">
      <w:pPr>
        <w:spacing w:after="240" w:line="480" w:lineRule="auto"/>
        <w:ind w:firstLine="720"/>
        <w:rPr>
          <w:rFonts w:ascii="Times New Roman" w:hAnsi="Times New Roman" w:cs="Times New Roman"/>
          <w:sz w:val="26"/>
          <w:szCs w:val="26"/>
        </w:rPr>
      </w:pPr>
      <w:r w:rsidRPr="00102FD5">
        <w:rPr>
          <w:rFonts w:ascii="Times New Roman" w:hAnsi="Times New Roman" w:cs="Times New Roman"/>
          <w:color w:val="000000" w:themeColor="text1"/>
          <w:sz w:val="26"/>
          <w:szCs w:val="26"/>
        </w:rPr>
        <w:t>On September 5, 2023, Mr. Blake confronted Defendant again. She became agitated and told him to back off and leave it alone.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at 12:190–12:194.)</w:t>
      </w:r>
    </w:p>
    <w:p w14:paraId="46B86C8E" w14:textId="50CB0AB7" w:rsidR="00DB7C9C" w:rsidRPr="00102FD5" w:rsidRDefault="000C35A1" w:rsidP="00333949">
      <w:pPr>
        <w:spacing w:after="240" w:line="480" w:lineRule="auto"/>
        <w:ind w:firstLine="720"/>
        <w:rPr>
          <w:rFonts w:ascii="Times New Roman" w:hAnsi="Times New Roman" w:cs="Times New Roman"/>
          <w:sz w:val="26"/>
          <w:szCs w:val="26"/>
        </w:rPr>
      </w:pPr>
      <w:r w:rsidRPr="00102FD5">
        <w:rPr>
          <w:rFonts w:ascii="Times New Roman" w:hAnsi="Times New Roman" w:cs="Times New Roman"/>
          <w:color w:val="000000" w:themeColor="text1"/>
          <w:sz w:val="26"/>
          <w:szCs w:val="26"/>
        </w:rPr>
        <w:lastRenderedPageBreak/>
        <w:t>On October 9, 2023, Mr. Blake met with AUSA Sinclair and reported what he had found: unsupported vendor charges and invoices that did not match actual staffing and events. (Sinclair Dep. 10:103–10:115.)</w:t>
      </w:r>
    </w:p>
    <w:p w14:paraId="0A1BC648" w14:textId="77777777" w:rsidR="00333949" w:rsidRPr="00102FD5" w:rsidRDefault="00333949" w:rsidP="00C67DE2">
      <w:pPr>
        <w:spacing w:after="240"/>
        <w:jc w:val="center"/>
        <w:rPr>
          <w:rFonts w:ascii="Times New Roman" w:hAnsi="Times New Roman" w:cs="Times New Roman"/>
          <w:b/>
          <w:bCs/>
          <w:i/>
          <w:iCs/>
          <w:color w:val="000000" w:themeColor="text1"/>
          <w:sz w:val="26"/>
          <w:szCs w:val="26"/>
        </w:rPr>
      </w:pPr>
      <w:r w:rsidRPr="00102FD5">
        <w:rPr>
          <w:rFonts w:ascii="Times New Roman" w:hAnsi="Times New Roman" w:cs="Times New Roman"/>
          <w:b/>
          <w:bCs/>
          <w:i/>
          <w:iCs/>
          <w:color w:val="000000" w:themeColor="text1"/>
          <w:sz w:val="26"/>
          <w:szCs w:val="26"/>
        </w:rPr>
        <w:t>The Indictment of Saint Donovan</w:t>
      </w:r>
    </w:p>
    <w:p w14:paraId="4088D622" w14:textId="77777777" w:rsidR="006F7E10" w:rsidRPr="00102FD5" w:rsidRDefault="006F7E10" w:rsidP="006F7E10">
      <w:pPr>
        <w:spacing w:after="240" w:line="480" w:lineRule="auto"/>
        <w:ind w:firstLine="72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On December 9, 2023, Mr. Blake called AUSA Sinclair as he “believed he found the connection to the true owner of the Coastal account.” (Sinclair Dep. 13:200–13:206.) Three days later, Mr. Blake was tragically shot and killed in his Silver Palms office.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13:216–217.) </w:t>
      </w:r>
    </w:p>
    <w:p w14:paraId="5C8BB19D" w14:textId="77777777" w:rsidR="006F7E10" w:rsidRPr="00102FD5" w:rsidRDefault="006F7E10" w:rsidP="006F7E10">
      <w:pPr>
        <w:spacing w:after="240" w:line="480" w:lineRule="auto"/>
        <w:ind w:firstLine="36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AUSA Sinclair brought on FBI Special Agent, Bryce Nolan, and the team obtained a search warrant.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13:227–13:228.) The office was ransacked, and the only thing left was Mr. Blake’s index which pointed to a folder that wasn’t there. (Ex. 4; Ex. 5; Sinclair Dep. 14:243–14:250.) On January 20, 2024, the shooter was identified and arrested. (Sinclair Dep. 14:258–14:263.) The shooter’s bank records uncovered a check for “maintenance-work” drawn on Emerald’s account, signed by Donovan. (Ex. 6; Sinclair Dep. 14:263–14:270.) Donovan hired the shooter to kill Mr. Blake, and Donovan was arrested for homicide. (Sinclair Dep. 15:273–15:277.) Donovan refused to speak with investigators. (</w:t>
      </w:r>
      <w:r w:rsidRPr="00102FD5">
        <w:rPr>
          <w:rFonts w:ascii="Times New Roman" w:hAnsi="Times New Roman" w:cs="Times New Roman"/>
          <w:i/>
          <w:iCs/>
          <w:color w:val="000000" w:themeColor="text1"/>
          <w:sz w:val="26"/>
          <w:szCs w:val="26"/>
        </w:rPr>
        <w:t xml:space="preserve">Id. </w:t>
      </w:r>
      <w:r w:rsidRPr="00102FD5">
        <w:rPr>
          <w:rFonts w:ascii="Times New Roman" w:hAnsi="Times New Roman" w:cs="Times New Roman"/>
          <w:color w:val="000000" w:themeColor="text1"/>
          <w:sz w:val="26"/>
          <w:szCs w:val="26"/>
        </w:rPr>
        <w:t xml:space="preserve">at 15:281–15:284.) </w:t>
      </w:r>
    </w:p>
    <w:p w14:paraId="344DD2DD" w14:textId="77777777" w:rsidR="00B614B4" w:rsidRDefault="006F7E10" w:rsidP="006F7E10">
      <w:pPr>
        <w:spacing w:after="240" w:line="480" w:lineRule="auto"/>
        <w:ind w:firstLine="36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Investigators “immediately sought out search warrants” for Donovan’s records.” (</w:t>
      </w:r>
      <w:r w:rsidRPr="00102FD5">
        <w:rPr>
          <w:rFonts w:ascii="Times New Roman" w:hAnsi="Times New Roman" w:cs="Times New Roman"/>
          <w:i/>
          <w:iCs/>
          <w:color w:val="000000" w:themeColor="text1"/>
          <w:sz w:val="26"/>
          <w:szCs w:val="26"/>
        </w:rPr>
        <w:t xml:space="preserve">Id. </w:t>
      </w:r>
      <w:r w:rsidRPr="00102FD5">
        <w:rPr>
          <w:rFonts w:ascii="Times New Roman" w:hAnsi="Times New Roman" w:cs="Times New Roman"/>
          <w:color w:val="000000" w:themeColor="text1"/>
          <w:sz w:val="26"/>
          <w:szCs w:val="26"/>
        </w:rPr>
        <w:t xml:space="preserve">at 15:286–15:287.) Phone records uncovered a call from Donovan to the shooter as well as a call between Donovan and Defendant at 11:47 p.m. on December 10, 2023, followed by a text from Defendant saying, “Handle it.” (Ex. 7; Sinclair Dep. 15:289–15:297.) The </w:t>
      </w:r>
      <w:r w:rsidRPr="00102FD5">
        <w:rPr>
          <w:rFonts w:ascii="Times New Roman" w:hAnsi="Times New Roman" w:cs="Times New Roman"/>
          <w:color w:val="000000" w:themeColor="text1"/>
          <w:sz w:val="26"/>
          <w:szCs w:val="26"/>
        </w:rPr>
        <w:lastRenderedPageBreak/>
        <w:t xml:space="preserve">Emerald bank records showed a history of Emerald paying large monthly sums to various corporations. (Ex. 8; Sinclair Dep. 15:307–16:314.) The companies were shell corporations operating with a nominee owner, Ky Chandler, who transferred funds into separate accounts held by the true owners. (Sinclair Dep. 16:316–16:331.) </w:t>
      </w:r>
    </w:p>
    <w:p w14:paraId="026377F3" w14:textId="69D8915F" w:rsidR="006F7E10" w:rsidRPr="00102FD5" w:rsidRDefault="006F7E10" w:rsidP="006F7E10">
      <w:pPr>
        <w:spacing w:after="240" w:line="480" w:lineRule="auto"/>
        <w:ind w:firstLine="36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From 2019-2023, the true owner of Coastal wired over seven million dollars into an account in the Cayman Islands.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17:347–17:370.) To identify the true owner, investigators submitted a Mutual Legal Assistance Treaty (“MLAT”) request to the Caymans as well identified Sierra Seton, the operations manager associated with one of </w:t>
      </w:r>
      <w:proofErr w:type="spellStart"/>
      <w:r w:rsidRPr="00102FD5">
        <w:rPr>
          <w:rFonts w:ascii="Times New Roman" w:hAnsi="Times New Roman" w:cs="Times New Roman"/>
          <w:color w:val="000000" w:themeColor="text1"/>
          <w:sz w:val="26"/>
          <w:szCs w:val="26"/>
        </w:rPr>
        <w:t>Coastal’s</w:t>
      </w:r>
      <w:proofErr w:type="spellEnd"/>
      <w:r w:rsidRPr="00102FD5">
        <w:rPr>
          <w:rFonts w:ascii="Times New Roman" w:hAnsi="Times New Roman" w:cs="Times New Roman"/>
          <w:color w:val="000000" w:themeColor="text1"/>
          <w:sz w:val="26"/>
          <w:szCs w:val="26"/>
        </w:rPr>
        <w:t xml:space="preserve"> payroll transactions.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17:373–18:390.) In March of 2024, Seton and Chandler left the country and despite persistent investigative efforts, investigators could not confirm their exact location.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18:392–18:396.) In February of 2024, investigators subpoenaed the Silver Palms employee roster. (Ex. 10; Sinclair Dep. 18:398–18:410.)</w:t>
      </w:r>
    </w:p>
    <w:p w14:paraId="376367B9" w14:textId="5085DE4A" w:rsidR="00C67DE2" w:rsidRPr="00102FD5" w:rsidRDefault="00C67DE2" w:rsidP="00C67DE2">
      <w:pPr>
        <w:spacing w:after="240"/>
        <w:jc w:val="center"/>
        <w:rPr>
          <w:rFonts w:ascii="Times New Roman" w:hAnsi="Times New Roman" w:cs="Times New Roman"/>
          <w:b/>
          <w:bCs/>
          <w:i/>
          <w:iCs/>
          <w:color w:val="000000" w:themeColor="text1"/>
          <w:sz w:val="26"/>
          <w:szCs w:val="26"/>
        </w:rPr>
      </w:pPr>
      <w:r w:rsidRPr="00102FD5">
        <w:rPr>
          <w:rFonts w:ascii="Times New Roman" w:hAnsi="Times New Roman" w:cs="Times New Roman"/>
          <w:b/>
          <w:bCs/>
          <w:i/>
          <w:iCs/>
          <w:color w:val="000000" w:themeColor="text1"/>
          <w:sz w:val="26"/>
          <w:szCs w:val="26"/>
        </w:rPr>
        <w:t xml:space="preserve">Maddox Armana </w:t>
      </w:r>
      <w:r w:rsidR="00471F66" w:rsidRPr="00102FD5">
        <w:rPr>
          <w:rFonts w:ascii="Times New Roman" w:hAnsi="Times New Roman" w:cs="Times New Roman"/>
          <w:b/>
          <w:bCs/>
          <w:i/>
          <w:iCs/>
          <w:color w:val="000000" w:themeColor="text1"/>
          <w:sz w:val="26"/>
          <w:szCs w:val="26"/>
        </w:rPr>
        <w:t>I</w:t>
      </w:r>
      <w:r w:rsidRPr="00102FD5">
        <w:rPr>
          <w:rFonts w:ascii="Times New Roman" w:hAnsi="Times New Roman" w:cs="Times New Roman"/>
          <w:b/>
          <w:bCs/>
          <w:i/>
          <w:iCs/>
          <w:color w:val="000000" w:themeColor="text1"/>
          <w:sz w:val="26"/>
          <w:szCs w:val="26"/>
        </w:rPr>
        <w:t>nterview</w:t>
      </w:r>
    </w:p>
    <w:p w14:paraId="20F104B4" w14:textId="77777777" w:rsidR="00471F66" w:rsidRPr="00102FD5" w:rsidRDefault="00471F66" w:rsidP="00471F66">
      <w:pPr>
        <w:pStyle w:val="NormalWeb"/>
        <w:spacing w:before="0" w:beforeAutospacing="0" w:after="240" w:afterAutospacing="0" w:line="480" w:lineRule="auto"/>
        <w:ind w:firstLine="720"/>
        <w:rPr>
          <w:sz w:val="26"/>
          <w:szCs w:val="26"/>
        </w:rPr>
      </w:pPr>
      <w:r w:rsidRPr="00102FD5">
        <w:rPr>
          <w:sz w:val="26"/>
          <w:szCs w:val="26"/>
        </w:rPr>
        <w:t>After Donovan’s arrest, Maddox Armana, a private investigator, was retained by the Defendant’s counsel in early 2024. (Armana Dep. 43:35</w:t>
      </w:r>
      <w:r w:rsidRPr="00102FD5">
        <w:rPr>
          <w:color w:val="000000" w:themeColor="text1"/>
          <w:sz w:val="26"/>
          <w:szCs w:val="26"/>
        </w:rPr>
        <w:t>–</w:t>
      </w:r>
      <w:r w:rsidRPr="00102FD5">
        <w:rPr>
          <w:sz w:val="26"/>
          <w:szCs w:val="26"/>
        </w:rPr>
        <w:t>43:38.) Armana assisted counsel in understanding the financial and organizational structure of Silver Palms and the shell companies. (</w:t>
      </w:r>
      <w:r w:rsidRPr="00102FD5">
        <w:rPr>
          <w:i/>
          <w:iCs/>
          <w:sz w:val="26"/>
          <w:szCs w:val="26"/>
        </w:rPr>
        <w:t>Id</w:t>
      </w:r>
      <w:r w:rsidRPr="00102FD5">
        <w:rPr>
          <w:sz w:val="26"/>
          <w:szCs w:val="26"/>
        </w:rPr>
        <w:t>. at 44:40–44:45.) Armana’s investigation led them to Sierra Seton. (</w:t>
      </w:r>
      <w:r w:rsidRPr="00102FD5">
        <w:rPr>
          <w:i/>
          <w:iCs/>
          <w:sz w:val="26"/>
          <w:szCs w:val="26"/>
        </w:rPr>
        <w:t>Id</w:t>
      </w:r>
      <w:r w:rsidRPr="00102FD5">
        <w:rPr>
          <w:sz w:val="26"/>
          <w:szCs w:val="26"/>
        </w:rPr>
        <w:t>. at 44:53</w:t>
      </w:r>
      <w:r w:rsidRPr="00102FD5">
        <w:rPr>
          <w:color w:val="000000" w:themeColor="text1"/>
          <w:sz w:val="26"/>
          <w:szCs w:val="26"/>
        </w:rPr>
        <w:t>–</w:t>
      </w:r>
      <w:r w:rsidRPr="00102FD5">
        <w:rPr>
          <w:sz w:val="26"/>
          <w:szCs w:val="26"/>
        </w:rPr>
        <w:t>44:58.)</w:t>
      </w:r>
    </w:p>
    <w:p w14:paraId="594E29EE" w14:textId="77777777" w:rsidR="00471F66" w:rsidRPr="00102FD5" w:rsidRDefault="00471F66" w:rsidP="00471F66">
      <w:pPr>
        <w:pStyle w:val="NormalWeb"/>
        <w:spacing w:before="0" w:beforeAutospacing="0" w:after="240" w:afterAutospacing="0" w:line="480" w:lineRule="auto"/>
        <w:ind w:firstLine="720"/>
        <w:rPr>
          <w:sz w:val="26"/>
          <w:szCs w:val="26"/>
        </w:rPr>
      </w:pPr>
      <w:r w:rsidRPr="00102FD5">
        <w:rPr>
          <w:sz w:val="26"/>
          <w:szCs w:val="26"/>
        </w:rPr>
        <w:t xml:space="preserve">On February 15, 2024, Armana interviewed Seton. This interview occurred three weeks after Donovan’s arrest and nearly a year and a half before the Defendant’s </w:t>
      </w:r>
      <w:r w:rsidRPr="00102FD5">
        <w:rPr>
          <w:sz w:val="26"/>
          <w:szCs w:val="26"/>
        </w:rPr>
        <w:lastRenderedPageBreak/>
        <w:t>indictment. The records being sought (Exhibit 21) are of Armana’s records of that interview. (Ex. 21; Armana Dep. 46:146.) Seton detailed the limited nature of the work performed at Silver Palms, Chandler’s role as a nominee, the movement of funds offshore, and the source of the real decision-making authority. (Ex. 21; Armana Dep. 46:127–46:128.) Shortly after the interview, Seton left the country with Chandler, being last seen off the coast of Spain. (</w:t>
      </w:r>
      <w:r w:rsidRPr="00102FD5">
        <w:rPr>
          <w:i/>
          <w:iCs/>
          <w:sz w:val="26"/>
          <w:szCs w:val="26"/>
        </w:rPr>
        <w:t>Id</w:t>
      </w:r>
      <w:r w:rsidRPr="00102FD5">
        <w:rPr>
          <w:sz w:val="26"/>
          <w:szCs w:val="26"/>
        </w:rPr>
        <w:t>. at 46:151–46:159.)</w:t>
      </w:r>
    </w:p>
    <w:p w14:paraId="33676741" w14:textId="465F0AE5" w:rsidR="00471F66" w:rsidRPr="00102FD5" w:rsidRDefault="00471F66" w:rsidP="00471F66">
      <w:pPr>
        <w:pStyle w:val="NormalWeb"/>
        <w:spacing w:before="0" w:beforeAutospacing="0" w:after="240" w:afterAutospacing="0" w:line="480" w:lineRule="auto"/>
        <w:ind w:firstLine="360"/>
        <w:rPr>
          <w:sz w:val="26"/>
          <w:szCs w:val="26"/>
        </w:rPr>
      </w:pPr>
      <w:r w:rsidRPr="00102FD5">
        <w:rPr>
          <w:sz w:val="26"/>
          <w:szCs w:val="26"/>
        </w:rPr>
        <w:t>On September 23, 2025, a grand jury indicted the Defendant. The United States served a subpoena duces tecum on Armana for the Seton interview records. The Defendant has moved to quash the subpoena, asserting work-product protection. (Case File_007.)</w:t>
      </w:r>
    </w:p>
    <w:p w14:paraId="7B8F0828" w14:textId="77777777" w:rsidR="00C67DE2" w:rsidRPr="00102FD5" w:rsidRDefault="00C67DE2" w:rsidP="00C67DE2">
      <w:pPr>
        <w:spacing w:after="240"/>
        <w:jc w:val="center"/>
        <w:rPr>
          <w:rFonts w:ascii="Times New Roman" w:hAnsi="Times New Roman" w:cs="Times New Roman"/>
          <w:b/>
          <w:bCs/>
          <w:i/>
          <w:iCs/>
          <w:color w:val="000000" w:themeColor="text1"/>
          <w:sz w:val="26"/>
          <w:szCs w:val="26"/>
        </w:rPr>
      </w:pPr>
      <w:r w:rsidRPr="00102FD5">
        <w:rPr>
          <w:rFonts w:ascii="Times New Roman" w:hAnsi="Times New Roman" w:cs="Times New Roman"/>
          <w:b/>
          <w:bCs/>
          <w:i/>
          <w:iCs/>
          <w:color w:val="000000" w:themeColor="text1"/>
          <w:sz w:val="26"/>
          <w:szCs w:val="26"/>
        </w:rPr>
        <w:t>Bifurcation of Investigations &amp; Grant of Immunity</w:t>
      </w:r>
    </w:p>
    <w:p w14:paraId="5A8751D7" w14:textId="77777777" w:rsidR="00905372" w:rsidRPr="00102FD5" w:rsidRDefault="00905372" w:rsidP="00905372">
      <w:pPr>
        <w:pStyle w:val="NormalWeb"/>
        <w:spacing w:before="0" w:beforeAutospacing="0" w:after="240" w:afterAutospacing="0" w:line="480" w:lineRule="auto"/>
        <w:ind w:firstLine="360"/>
        <w:rPr>
          <w:sz w:val="26"/>
          <w:szCs w:val="26"/>
        </w:rPr>
      </w:pPr>
      <w:r w:rsidRPr="00102FD5">
        <w:rPr>
          <w:sz w:val="26"/>
          <w:szCs w:val="26"/>
        </w:rPr>
        <w:t xml:space="preserve">When preparing for the Donovan trial, investigators had difficulty making “Donovan’s shell corporation game make sense to a jury.” (Sinclair Dep. 21:517–21:518.) Mr. Blake was murdered, Chandler and Seton were nowhere to be found, and owners associated with the shell corporations invoked. (Nolan Dep. 28:161–28:171.) Investigators decided Defendant “was the one person left standing” who could explain Emerald’s existence and the vendor payments. (Sinclair Dep. 21:522-21:531.) After Defendant invoked, the government subpoenaed her testimony. (Ex. 12; Sinclair Dep. 21:531–21:538.) After the order was entered on August 23, 2024, the investigation split into two teams, and AUSA Sinclair led Team Donovan while Agent Nolan handled Defendant’s investigation. (Sinclair Dep. 21:547–22:552.) Those investigating Defendant </w:t>
      </w:r>
      <w:r w:rsidRPr="00102FD5">
        <w:rPr>
          <w:sz w:val="26"/>
          <w:szCs w:val="26"/>
        </w:rPr>
        <w:lastRenderedPageBreak/>
        <w:t xml:space="preserve">could not receive or be made aware of Defendant’s </w:t>
      </w:r>
      <w:proofErr w:type="gramStart"/>
      <w:r w:rsidRPr="00102FD5">
        <w:rPr>
          <w:sz w:val="26"/>
          <w:szCs w:val="26"/>
        </w:rPr>
        <w:t>testimony, “</w:t>
      </w:r>
      <w:proofErr w:type="gramEnd"/>
      <w:r w:rsidRPr="00102FD5">
        <w:rPr>
          <w:sz w:val="26"/>
          <w:szCs w:val="26"/>
        </w:rPr>
        <w:t xml:space="preserve">could not receive anyone’s strategic impressions drawn from them, and could not follow any investigative lead that came out of </w:t>
      </w:r>
      <w:proofErr w:type="gramStart"/>
      <w:r w:rsidRPr="00102FD5">
        <w:rPr>
          <w:sz w:val="26"/>
          <w:szCs w:val="26"/>
        </w:rPr>
        <w:t>them.”</w:t>
      </w:r>
      <w:proofErr w:type="gramEnd"/>
      <w:r w:rsidRPr="00102FD5">
        <w:rPr>
          <w:sz w:val="26"/>
          <w:szCs w:val="26"/>
        </w:rPr>
        <w:t xml:space="preserve"> (Nolan Dep. 28:190–28:194.) “Every piece of new evidence or investigative note received or made after August 23, 2024, would be marked[.]” (</w:t>
      </w:r>
      <w:r w:rsidRPr="00102FD5">
        <w:rPr>
          <w:i/>
          <w:iCs/>
          <w:sz w:val="26"/>
          <w:szCs w:val="26"/>
        </w:rPr>
        <w:t>Id.</w:t>
      </w:r>
      <w:r w:rsidRPr="00102FD5">
        <w:rPr>
          <w:sz w:val="26"/>
          <w:szCs w:val="26"/>
        </w:rPr>
        <w:t xml:space="preserve"> at 30:236–30:241.) The investigative wall’s formal protocol is documented. (Ex. 15.) </w:t>
      </w:r>
    </w:p>
    <w:p w14:paraId="145B8A1D" w14:textId="77777777" w:rsidR="00905372" w:rsidRPr="00102FD5" w:rsidRDefault="00905372" w:rsidP="00905372">
      <w:pPr>
        <w:pStyle w:val="NormalWeb"/>
        <w:spacing w:before="0" w:beforeAutospacing="0" w:after="240" w:afterAutospacing="0" w:line="480" w:lineRule="auto"/>
        <w:ind w:firstLine="360"/>
        <w:rPr>
          <w:sz w:val="26"/>
          <w:szCs w:val="26"/>
        </w:rPr>
      </w:pPr>
      <w:r w:rsidRPr="00102FD5">
        <w:rPr>
          <w:sz w:val="26"/>
          <w:szCs w:val="26"/>
        </w:rPr>
        <w:t xml:space="preserve">Between August 23 and 27 of 2024, Agent Nolan wrote an investigative to-do list listing Parker as an intended interviewee. (Ex. 16; Nolan Dep. 29:229–30:241.) Before Defendant’s testimony, Agent Nolan took the full roster of Silver Palms employees, which amounted to roughly 100 individuals, and identified ten employees to interview based on tenure and frequency of work. (Ex. 10, 17; Nolan Dep. 30:264–31:276.) In October of 2024, Agent Nolan re-interviewed three individuals along with a fourth. (Nolan Dep. 31:309–31:310.) The MLAT came back as a dead end, but Agent Nolan located </w:t>
      </w:r>
      <w:proofErr w:type="spellStart"/>
      <w:r w:rsidRPr="00102FD5">
        <w:rPr>
          <w:sz w:val="26"/>
          <w:szCs w:val="26"/>
        </w:rPr>
        <w:t>Coastal’s</w:t>
      </w:r>
      <w:proofErr w:type="spellEnd"/>
      <w:r w:rsidRPr="00102FD5">
        <w:rPr>
          <w:sz w:val="26"/>
          <w:szCs w:val="26"/>
        </w:rPr>
        <w:t xml:space="preserve"> account-opening paperwork and found a pre-paid cellphone number that contacted “exactly two numbers” registered to Donovan and Defendant.” (</w:t>
      </w:r>
      <w:r w:rsidRPr="00102FD5">
        <w:rPr>
          <w:i/>
          <w:iCs/>
          <w:sz w:val="26"/>
          <w:szCs w:val="26"/>
        </w:rPr>
        <w:t>Id.</w:t>
      </w:r>
      <w:r w:rsidRPr="00102FD5">
        <w:rPr>
          <w:sz w:val="26"/>
          <w:szCs w:val="26"/>
        </w:rPr>
        <w:t xml:space="preserve"> at 27:127–27:132.) </w:t>
      </w:r>
    </w:p>
    <w:p w14:paraId="7BF9C222" w14:textId="16CE2852" w:rsidR="00AC3016" w:rsidRPr="00102FD5" w:rsidRDefault="00905372" w:rsidP="00B844CF">
      <w:pPr>
        <w:spacing w:after="240" w:line="480" w:lineRule="auto"/>
        <w:ind w:firstLine="360"/>
        <w:contextualSpacing/>
        <w:jc w:val="both"/>
        <w:rPr>
          <w:rFonts w:ascii="Times New Roman" w:hAnsi="Times New Roman" w:cs="Times New Roman"/>
          <w:color w:val="000000" w:themeColor="text1"/>
          <w:sz w:val="26"/>
          <w:szCs w:val="26"/>
        </w:rPr>
      </w:pPr>
      <w:r w:rsidRPr="00102FD5">
        <w:rPr>
          <w:rFonts w:ascii="Times New Roman" w:hAnsi="Times New Roman" w:cs="Times New Roman"/>
          <w:sz w:val="26"/>
          <w:szCs w:val="26"/>
        </w:rPr>
        <w:t>Pursuant to the immunity order, AUSA Sinclair met with Defendant on August 28, 2024. (Sinclair Dep. 22:554–22:555.) Donovan’s trial began on October 7, 2024, and he was convicted on October 24, 2024. (</w:t>
      </w:r>
      <w:r w:rsidRPr="00102FD5">
        <w:rPr>
          <w:rFonts w:ascii="Times New Roman" w:hAnsi="Times New Roman" w:cs="Times New Roman"/>
          <w:i/>
          <w:iCs/>
          <w:sz w:val="26"/>
          <w:szCs w:val="26"/>
        </w:rPr>
        <w:t>Id.</w:t>
      </w:r>
      <w:r w:rsidRPr="00102FD5">
        <w:rPr>
          <w:rFonts w:ascii="Times New Roman" w:hAnsi="Times New Roman" w:cs="Times New Roman"/>
          <w:sz w:val="26"/>
          <w:szCs w:val="26"/>
        </w:rPr>
        <w:t xml:space="preserve"> at 23:590–23:598.) Defendant testified on October 10, 2024, and her testimony was reported in the Gulf Haven Tribune as well as </w:t>
      </w:r>
      <w:proofErr w:type="gramStart"/>
      <w:r w:rsidRPr="00102FD5">
        <w:rPr>
          <w:rFonts w:ascii="Times New Roman" w:hAnsi="Times New Roman" w:cs="Times New Roman"/>
          <w:sz w:val="26"/>
          <w:szCs w:val="26"/>
        </w:rPr>
        <w:t>broadcasted</w:t>
      </w:r>
      <w:proofErr w:type="gramEnd"/>
      <w:r w:rsidRPr="00102FD5">
        <w:rPr>
          <w:rFonts w:ascii="Times New Roman" w:hAnsi="Times New Roman" w:cs="Times New Roman"/>
          <w:sz w:val="26"/>
          <w:szCs w:val="26"/>
        </w:rPr>
        <w:t xml:space="preserve"> on local channels. (Ex. 13, 14; Sinclair Dep. 23:590–23:598.) </w:t>
      </w:r>
      <w:r w:rsidRPr="00102FD5">
        <w:rPr>
          <w:rFonts w:ascii="Times New Roman" w:hAnsi="Times New Roman" w:cs="Times New Roman"/>
          <w:color w:val="000000" w:themeColor="text1"/>
          <w:sz w:val="26"/>
          <w:szCs w:val="26"/>
        </w:rPr>
        <w:t xml:space="preserve">Agent Nolan did not watch any of the stations broadcasting the trial. (Nolan Dep. 32:322–32:324.) </w:t>
      </w:r>
      <w:r w:rsidRPr="00102FD5">
        <w:rPr>
          <w:rFonts w:ascii="Times New Roman" w:hAnsi="Times New Roman" w:cs="Times New Roman"/>
          <w:sz w:val="26"/>
          <w:szCs w:val="26"/>
        </w:rPr>
        <w:t xml:space="preserve">Defendant’s </w:t>
      </w:r>
      <w:r w:rsidRPr="00102FD5">
        <w:rPr>
          <w:rFonts w:ascii="Times New Roman" w:hAnsi="Times New Roman" w:cs="Times New Roman"/>
          <w:sz w:val="26"/>
          <w:szCs w:val="26"/>
        </w:rPr>
        <w:lastRenderedPageBreak/>
        <w:t>testimony consisted of identifying Parker as her employee and detailing December 10, 2023, the night of the resort staff holiday party. (Ex. 13.) On October 31, 2024, after working his way through the priority interview list, Agent Nolan interviewed Parker. (Ex. 18.) Parker states that on December 20, 2023, Defendant asked her to take a file box labeled “Coastal” to storage unit off-site. (</w:t>
      </w:r>
      <w:r w:rsidRPr="00102FD5">
        <w:rPr>
          <w:rFonts w:ascii="Times New Roman" w:hAnsi="Times New Roman" w:cs="Times New Roman"/>
          <w:i/>
          <w:iCs/>
          <w:sz w:val="26"/>
          <w:szCs w:val="26"/>
        </w:rPr>
        <w:t>Id.</w:t>
      </w:r>
      <w:r w:rsidRPr="00102FD5">
        <w:rPr>
          <w:rFonts w:ascii="Times New Roman" w:hAnsi="Times New Roman" w:cs="Times New Roman"/>
          <w:sz w:val="26"/>
          <w:szCs w:val="26"/>
        </w:rPr>
        <w:t>) Agent Nolan obtained a search warrant and found the records identifying Defendant as the true owner of the Cayman account. (Ex. 19, 20; Nolan Dep. 33:352–33:360.)</w:t>
      </w:r>
    </w:p>
    <w:p w14:paraId="34AE5D7F" w14:textId="5961B6F7" w:rsidR="00FF7153" w:rsidRPr="00102FD5" w:rsidRDefault="00F9582C" w:rsidP="00FF7153">
      <w:pPr>
        <w:pStyle w:val="Heading1"/>
        <w:spacing w:before="0" w:after="0" w:line="480" w:lineRule="auto"/>
        <w:jc w:val="center"/>
        <w:rPr>
          <w:rFonts w:ascii="Times New Roman" w:hAnsi="Times New Roman" w:cs="Times New Roman"/>
          <w:b/>
          <w:bCs/>
          <w:smallCaps/>
          <w:color w:val="000000" w:themeColor="text1"/>
          <w:sz w:val="26"/>
          <w:szCs w:val="26"/>
        </w:rPr>
      </w:pPr>
      <w:bookmarkStart w:id="3" w:name="_Toc207630153"/>
      <w:r w:rsidRPr="00102FD5">
        <w:rPr>
          <w:rFonts w:ascii="Times New Roman" w:hAnsi="Times New Roman" w:cs="Times New Roman"/>
          <w:b/>
          <w:bCs/>
          <w:smallCaps/>
          <w:color w:val="000000" w:themeColor="text1"/>
          <w:sz w:val="26"/>
          <w:szCs w:val="26"/>
        </w:rPr>
        <w:t>Argument</w:t>
      </w:r>
      <w:bookmarkEnd w:id="3"/>
      <w:r w:rsidR="00AC3016" w:rsidRPr="00102FD5">
        <w:rPr>
          <w:rFonts w:ascii="Times New Roman" w:hAnsi="Times New Roman" w:cs="Times New Roman"/>
          <w:b/>
          <w:bCs/>
          <w:color w:val="000000" w:themeColor="text1"/>
          <w:sz w:val="26"/>
          <w:szCs w:val="26"/>
        </w:rPr>
        <w:t xml:space="preserve"> </w:t>
      </w:r>
    </w:p>
    <w:p w14:paraId="1D414196" w14:textId="41AAE7A9" w:rsidR="00AC3016" w:rsidRPr="00102FD5" w:rsidRDefault="00AC3016" w:rsidP="007B16A2">
      <w:pPr>
        <w:pStyle w:val="ListParagraph"/>
        <w:numPr>
          <w:ilvl w:val="0"/>
          <w:numId w:val="23"/>
        </w:numPr>
        <w:ind w:left="720"/>
        <w:jc w:val="both"/>
        <w:outlineLvl w:val="1"/>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Defendant’s Motion to Suppress Evidence Obtained in Violation of Court Order Should be </w:t>
      </w:r>
      <w:r w:rsidR="000F4E08" w:rsidRPr="00102FD5">
        <w:rPr>
          <w:rFonts w:ascii="Times New Roman" w:hAnsi="Times New Roman" w:cs="Times New Roman"/>
          <w:b/>
          <w:bCs/>
          <w:color w:val="000000" w:themeColor="text1"/>
          <w:sz w:val="26"/>
          <w:szCs w:val="26"/>
        </w:rPr>
        <w:t>Denied</w:t>
      </w:r>
      <w:r w:rsidR="00C27FAB" w:rsidRPr="00102FD5">
        <w:rPr>
          <w:rFonts w:ascii="Times New Roman" w:hAnsi="Times New Roman" w:cs="Times New Roman"/>
          <w:b/>
          <w:bCs/>
          <w:color w:val="000000" w:themeColor="text1"/>
          <w:sz w:val="26"/>
          <w:szCs w:val="26"/>
        </w:rPr>
        <w:t>.</w:t>
      </w:r>
    </w:p>
    <w:p w14:paraId="328588D7" w14:textId="77777777" w:rsidR="00C67DE2" w:rsidRPr="00102FD5" w:rsidRDefault="00C67DE2" w:rsidP="00C67DE2">
      <w:pPr>
        <w:pStyle w:val="ListParagraph"/>
        <w:jc w:val="both"/>
        <w:outlineLvl w:val="1"/>
        <w:rPr>
          <w:rFonts w:ascii="Times New Roman" w:hAnsi="Times New Roman" w:cs="Times New Roman"/>
          <w:b/>
          <w:bCs/>
          <w:color w:val="000000" w:themeColor="text1"/>
          <w:sz w:val="26"/>
          <w:szCs w:val="26"/>
        </w:rPr>
      </w:pPr>
    </w:p>
    <w:p w14:paraId="5B0FA609" w14:textId="77777777" w:rsidR="002C1186" w:rsidRPr="00102FD5" w:rsidRDefault="002C1186" w:rsidP="002C1186">
      <w:pPr>
        <w:spacing w:line="480" w:lineRule="auto"/>
        <w:ind w:firstLine="63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Defendant’s motion to suppress the testimony of Kennedy Parker and the evidence enclosed in Exhibit 19 should be denied because investigators derived the evidence from a legitimate source, wholly independent of Defendant’s compelled testimony and thereby did not use or derive use of the testimony against Defendant in this current criminal proceeding. On August 23, 2024, the United States District Court for the Fourteenth Judicial District granted an order giving Defendant use immunity pursuant to Title 18, United States Code, Sections 6002, 6003. (Ex. 12; Sinclair Dep. 21:536–21:537.) When a witness is compelled to testify over a claim of privilege, “no testimony or other information compelled under the order (or any information directly or indirectly derived…) may be used against the witness in any criminal case.” 18 U.S.C. § 6002; </w:t>
      </w:r>
      <w:r w:rsidRPr="00102FD5">
        <w:rPr>
          <w:rFonts w:ascii="Times New Roman" w:hAnsi="Times New Roman" w:cs="Times New Roman"/>
          <w:i/>
          <w:iCs/>
          <w:color w:val="000000" w:themeColor="text1"/>
          <w:sz w:val="26"/>
          <w:szCs w:val="26"/>
        </w:rPr>
        <w:t>Kastigar v. United States</w:t>
      </w:r>
      <w:r w:rsidRPr="00102FD5">
        <w:rPr>
          <w:rFonts w:ascii="Times New Roman" w:hAnsi="Times New Roman" w:cs="Times New Roman"/>
          <w:color w:val="000000" w:themeColor="text1"/>
          <w:sz w:val="26"/>
          <w:szCs w:val="26"/>
        </w:rPr>
        <w:t xml:space="preserve">, 406 U.S. 441, 448–49 (1972). For the reasons explained below, Defendant’s motion to suppress should be denied. </w:t>
      </w:r>
    </w:p>
    <w:p w14:paraId="4EDE7137" w14:textId="77777777" w:rsidR="007B70E9" w:rsidRPr="00102FD5" w:rsidRDefault="007B70E9" w:rsidP="007B70E9">
      <w:pPr>
        <w:pStyle w:val="ListParagraph"/>
        <w:numPr>
          <w:ilvl w:val="0"/>
          <w:numId w:val="44"/>
        </w:numPr>
        <w:jc w:val="both"/>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lastRenderedPageBreak/>
        <w:t>The Government Discovered the Testimony of Kennedy Parker and Exhibit 19 Through Proper Investigation Techniques and Separation Procedures which Constitute a Legitimate Source Wholly Independent of Defendant’s Compelled Testimony.</w:t>
      </w:r>
    </w:p>
    <w:p w14:paraId="3E6C9E21" w14:textId="77777777" w:rsidR="00C67DE2" w:rsidRPr="00102FD5"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3A188292" w14:textId="77777777" w:rsidR="00F406C0" w:rsidRPr="00102FD5" w:rsidRDefault="00F406C0" w:rsidP="00F406C0">
      <w:pPr>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Investigators, AUSA Sinclair and Agent Nolan, followed exacting procedures to ensure that the disputed evidence discovered arose from </w:t>
      </w:r>
      <w:proofErr w:type="gramStart"/>
      <w:r w:rsidRPr="00102FD5">
        <w:rPr>
          <w:rFonts w:ascii="Times New Roman" w:hAnsi="Times New Roman" w:cs="Times New Roman"/>
          <w:color w:val="000000" w:themeColor="text1"/>
          <w:sz w:val="26"/>
          <w:szCs w:val="26"/>
        </w:rPr>
        <w:t>independent of Defendant’s</w:t>
      </w:r>
      <w:proofErr w:type="gramEnd"/>
      <w:r w:rsidRPr="00102FD5">
        <w:rPr>
          <w:rFonts w:ascii="Times New Roman" w:hAnsi="Times New Roman" w:cs="Times New Roman"/>
          <w:color w:val="000000" w:themeColor="text1"/>
          <w:sz w:val="26"/>
          <w:szCs w:val="26"/>
        </w:rPr>
        <w:t xml:space="preserve"> testimony. The “burden of proof… is not limited to a negation of taint; rather, it imposes on the prosecution the affirmative duty to prove that the evidence it proposes to use is derived from a legitimate source wholly independent of the compelled testimony.” </w:t>
      </w:r>
      <w:r w:rsidRPr="00102FD5">
        <w:rPr>
          <w:rFonts w:ascii="Times New Roman" w:hAnsi="Times New Roman" w:cs="Times New Roman"/>
          <w:i/>
          <w:iCs/>
          <w:color w:val="000000" w:themeColor="text1"/>
          <w:sz w:val="26"/>
          <w:szCs w:val="26"/>
        </w:rPr>
        <w:t>Kastigar</w:t>
      </w:r>
      <w:r w:rsidRPr="00102FD5">
        <w:rPr>
          <w:rFonts w:ascii="Times New Roman" w:hAnsi="Times New Roman" w:cs="Times New Roman"/>
          <w:color w:val="000000" w:themeColor="text1"/>
          <w:sz w:val="26"/>
          <w:szCs w:val="26"/>
        </w:rPr>
        <w:t xml:space="preserve">, 406 U.S. at 460. This burden is by a preponderance of the evidence. </w:t>
      </w:r>
      <w:r w:rsidRPr="00102FD5">
        <w:rPr>
          <w:rFonts w:ascii="Times New Roman" w:hAnsi="Times New Roman" w:cs="Times New Roman"/>
          <w:i/>
          <w:iCs/>
          <w:color w:val="000000" w:themeColor="text1"/>
          <w:sz w:val="26"/>
          <w:szCs w:val="26"/>
        </w:rPr>
        <w:t>United States v. Byrd</w:t>
      </w:r>
      <w:r w:rsidRPr="00102FD5">
        <w:rPr>
          <w:rFonts w:ascii="Times New Roman" w:hAnsi="Times New Roman" w:cs="Times New Roman"/>
          <w:color w:val="000000" w:themeColor="text1"/>
          <w:sz w:val="26"/>
          <w:szCs w:val="26"/>
        </w:rPr>
        <w:t>, 765 F.2d 1524, 1529 (11th Cir. 1985).</w:t>
      </w:r>
    </w:p>
    <w:p w14:paraId="4F553F14" w14:textId="77777777" w:rsidR="00F406C0" w:rsidRPr="00102FD5" w:rsidRDefault="00F406C0" w:rsidP="00F406C0">
      <w:pPr>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After the order granting Defendant immunity was entered on August 23, 2024, the investigations of Donovan and Defendant “split into two teams.” (Sinclair Dep. 22:548; Nolan Dep. 28:183.) </w:t>
      </w:r>
      <w:proofErr w:type="gramStart"/>
      <w:r w:rsidRPr="00102FD5">
        <w:rPr>
          <w:rFonts w:ascii="Times New Roman" w:hAnsi="Times New Roman" w:cs="Times New Roman"/>
          <w:color w:val="000000" w:themeColor="text1"/>
          <w:sz w:val="26"/>
          <w:szCs w:val="26"/>
        </w:rPr>
        <w:t>Team Donovan</w:t>
      </w:r>
      <w:proofErr w:type="gramEnd"/>
      <w:r w:rsidRPr="00102FD5">
        <w:rPr>
          <w:rFonts w:ascii="Times New Roman" w:hAnsi="Times New Roman" w:cs="Times New Roman"/>
          <w:color w:val="000000" w:themeColor="text1"/>
          <w:sz w:val="26"/>
          <w:szCs w:val="26"/>
        </w:rPr>
        <w:t xml:space="preserve">, led by AUSA Sinclair, continued prosecuting Donovan and received Defendant’s testimony. (Sinclair Dep. 22:548–22:552; Nolan Dep. 28:183–28:188.) Team Calloway, led by Agent Nolan, continued to investigate Defendant, but was walled off from her testimony. (Sinclair Dep. 22:548–22:552; Nolan Dep. 28:183–28:188.) “Every piece of new evidence or investigative note received after August 23, 2024, [was] [] marked as Team Calloway or Team Donovan.” (Nolan Dep. 30:236–30:238.) Exhibit 15 shows the magnitude of the investigative wall and details the explicit procedures followed by personnel (Ex. 15). Here, the government followed “[t]he usual precautions… to insulate a[n]… investigator who is familiar with the immunized statement from subsequent prosecution of the compelled witness[.]” </w:t>
      </w:r>
      <w:r w:rsidRPr="00102FD5">
        <w:rPr>
          <w:rFonts w:ascii="Times New Roman" w:hAnsi="Times New Roman" w:cs="Times New Roman"/>
          <w:i/>
          <w:iCs/>
          <w:color w:val="000000" w:themeColor="text1"/>
          <w:sz w:val="26"/>
          <w:szCs w:val="26"/>
        </w:rPr>
        <w:t>United States v. Harris</w:t>
      </w:r>
      <w:r w:rsidRPr="00102FD5">
        <w:rPr>
          <w:rFonts w:ascii="Times New Roman" w:hAnsi="Times New Roman" w:cs="Times New Roman"/>
          <w:color w:val="000000" w:themeColor="text1"/>
          <w:sz w:val="26"/>
          <w:szCs w:val="26"/>
        </w:rPr>
        <w:t xml:space="preserve">, 973 F.2d 333, </w:t>
      </w:r>
      <w:r w:rsidRPr="00102FD5">
        <w:rPr>
          <w:rFonts w:ascii="Times New Roman" w:hAnsi="Times New Roman" w:cs="Times New Roman"/>
          <w:color w:val="000000" w:themeColor="text1"/>
          <w:sz w:val="26"/>
          <w:szCs w:val="26"/>
        </w:rPr>
        <w:lastRenderedPageBreak/>
        <w:t xml:space="preserve">337 (4th Cir. 1992). The division of teams ensured that any evidence obtained remained entirely divorced from Defendant’s testimony. On October 10, 2024, Defendant testified under a grant of immunity. (Ex. 13.) While Defendant’s testimony mentioned Parker, Team Calloway did not receive nor was made aware of the testimony. (Ex. 13; Nolan Dep. 28:190–28:194.) In fact, Agent Nolan testified that he did not watch any of the stations broadcasting the Donovan trial. (Nolan Dep. 32:322–32:324.) </w:t>
      </w:r>
    </w:p>
    <w:p w14:paraId="17DA8115" w14:textId="1070B826" w:rsidR="00BF5B93" w:rsidRPr="00102FD5" w:rsidRDefault="00F406C0" w:rsidP="00F406C0">
      <w:pPr>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However, the government’s burden is not limited to </w:t>
      </w:r>
      <w:proofErr w:type="gramStart"/>
      <w:r w:rsidRPr="00102FD5">
        <w:rPr>
          <w:rFonts w:ascii="Times New Roman" w:hAnsi="Times New Roman" w:cs="Times New Roman"/>
          <w:color w:val="000000" w:themeColor="text1"/>
          <w:sz w:val="26"/>
          <w:szCs w:val="26"/>
        </w:rPr>
        <w:t>a negation</w:t>
      </w:r>
      <w:proofErr w:type="gramEnd"/>
      <w:r w:rsidRPr="00102FD5">
        <w:rPr>
          <w:rFonts w:ascii="Times New Roman" w:hAnsi="Times New Roman" w:cs="Times New Roman"/>
          <w:color w:val="000000" w:themeColor="text1"/>
          <w:sz w:val="26"/>
          <w:szCs w:val="26"/>
        </w:rPr>
        <w:t xml:space="preserve"> of taint but further requires proof that the evidence derived from a legitimate, independent source. </w:t>
      </w:r>
      <w:r w:rsidRPr="00102FD5">
        <w:rPr>
          <w:rFonts w:ascii="Times New Roman" w:hAnsi="Times New Roman" w:cs="Times New Roman"/>
          <w:i/>
          <w:iCs/>
          <w:color w:val="000000" w:themeColor="text1"/>
          <w:sz w:val="26"/>
          <w:szCs w:val="26"/>
        </w:rPr>
        <w:t>Kastigar</w:t>
      </w:r>
      <w:r w:rsidRPr="00102FD5">
        <w:rPr>
          <w:rFonts w:ascii="Times New Roman" w:hAnsi="Times New Roman" w:cs="Times New Roman"/>
          <w:color w:val="000000" w:themeColor="text1"/>
          <w:sz w:val="26"/>
          <w:szCs w:val="26"/>
        </w:rPr>
        <w:t xml:space="preserve">, 406 U.S. at 460. Simply denying that the Team Calloway did not see or use the testimony is insufficient, but Agent Nolan’s investigation techniques and timeline provide the requisite proof.  </w:t>
      </w:r>
      <w:r w:rsidRPr="00102FD5">
        <w:rPr>
          <w:rFonts w:ascii="Times New Roman" w:hAnsi="Times New Roman" w:cs="Times New Roman"/>
          <w:i/>
          <w:iCs/>
          <w:color w:val="000000" w:themeColor="text1"/>
          <w:sz w:val="26"/>
          <w:szCs w:val="26"/>
        </w:rPr>
        <w:t>United States v. Nemes</w:t>
      </w:r>
      <w:r w:rsidRPr="00102FD5">
        <w:rPr>
          <w:rFonts w:ascii="Times New Roman" w:hAnsi="Times New Roman" w:cs="Times New Roman"/>
          <w:color w:val="000000" w:themeColor="text1"/>
          <w:sz w:val="26"/>
          <w:szCs w:val="26"/>
        </w:rPr>
        <w:t xml:space="preserve">, 555 F.2d 51, 52 (2d Cir. 1977). Between August 23 and August 27, 2024, </w:t>
      </w:r>
      <w:r w:rsidRPr="00102FD5">
        <w:rPr>
          <w:rFonts w:ascii="Times New Roman" w:hAnsi="Times New Roman" w:cs="Times New Roman"/>
          <w:i/>
          <w:iCs/>
          <w:color w:val="000000" w:themeColor="text1"/>
          <w:sz w:val="26"/>
          <w:szCs w:val="26"/>
        </w:rPr>
        <w:t>before</w:t>
      </w:r>
      <w:r w:rsidRPr="00102FD5">
        <w:rPr>
          <w:rFonts w:ascii="Times New Roman" w:hAnsi="Times New Roman" w:cs="Times New Roman"/>
          <w:color w:val="000000" w:themeColor="text1"/>
          <w:sz w:val="26"/>
          <w:szCs w:val="26"/>
        </w:rPr>
        <w:t xml:space="preserve"> Defendant’s testimony, Agent Nolan wrote an investigative to-do list for Team Calloway which specifically mentions interviewing Parker. (Nolan Dep. 29:229–29:234.) Agent Nolan looked through the full roster of Silver Palms employees, roughly 100 individuals, and identified Parker among ten employees in the first-round interview list. (Ex. 10; Nolan Dep. 30:265–31:276.) Agent Nolan sufficiently followed the wall procedures to identify Parker based on his own investigation prior to Defendant’s testimony. On October 31, 2024, Agent Nolan interviewed Parker and learned about the file box marked “Coastal” in an off-site storage unit. (Nolan Dep. 32:327–32:342; Ex. 18.) Afterwards, Agent Nolan obtained a search warrant for the storage unit and recovered Exhibit 19. (Ex. 19; Nolan Dep. 33:351–33:364.) As evidenced by the detailed and stringent investigative wall procedures, not only does the government negate any </w:t>
      </w:r>
      <w:r w:rsidRPr="00102FD5">
        <w:rPr>
          <w:rFonts w:ascii="Times New Roman" w:hAnsi="Times New Roman" w:cs="Times New Roman"/>
          <w:color w:val="000000" w:themeColor="text1"/>
          <w:sz w:val="26"/>
          <w:szCs w:val="26"/>
        </w:rPr>
        <w:lastRenderedPageBreak/>
        <w:t>possibility of taint but Team Calloway identified Parker prior to Defendant’s testimony and Exhibit 19 derived from Parker as an independent source.</w:t>
      </w:r>
    </w:p>
    <w:p w14:paraId="78FB4D03" w14:textId="77777777" w:rsidR="00714470" w:rsidRPr="00102FD5" w:rsidRDefault="00714470" w:rsidP="00714470">
      <w:pPr>
        <w:pStyle w:val="ListParagraph"/>
        <w:numPr>
          <w:ilvl w:val="0"/>
          <w:numId w:val="45"/>
        </w:numPr>
        <w:jc w:val="both"/>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Even if Exposed to Defendant’s Testimony, the Government Did Not Use or Derive Use from Defendant’s Compelled Testimony Against Defendant in this Proceeding. </w:t>
      </w:r>
    </w:p>
    <w:p w14:paraId="5E5783FF" w14:textId="77777777" w:rsidR="00C67DE2" w:rsidRPr="00102FD5"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05069CC4" w14:textId="77777777" w:rsidR="00491BD5" w:rsidRPr="00102FD5" w:rsidRDefault="00491BD5" w:rsidP="00491BD5">
      <w:pPr>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Even if Team Calloway was exposed to Defendant’s testimony, “there is no per se rule requiring the withdrawal of a prosecutor or other government official who may have been exposed[.]” </w:t>
      </w:r>
      <w:r w:rsidRPr="00102FD5">
        <w:rPr>
          <w:rFonts w:ascii="Times New Roman" w:hAnsi="Times New Roman" w:cs="Times New Roman"/>
          <w:i/>
          <w:iCs/>
          <w:color w:val="000000" w:themeColor="text1"/>
          <w:sz w:val="26"/>
          <w:szCs w:val="26"/>
        </w:rPr>
        <w:t>United States v. Crowson</w:t>
      </w:r>
      <w:r w:rsidRPr="00102FD5">
        <w:rPr>
          <w:rFonts w:ascii="Times New Roman" w:hAnsi="Times New Roman" w:cs="Times New Roman"/>
          <w:color w:val="000000" w:themeColor="text1"/>
          <w:sz w:val="26"/>
          <w:szCs w:val="26"/>
        </w:rPr>
        <w:t xml:space="preserve">, 828 F.2d 1427, 1429–30 (9th Cir. 1987); </w:t>
      </w:r>
      <w:r w:rsidRPr="00102FD5">
        <w:rPr>
          <w:rFonts w:ascii="Times New Roman" w:hAnsi="Times New Roman" w:cs="Times New Roman"/>
          <w:i/>
          <w:iCs/>
          <w:color w:val="000000" w:themeColor="text1"/>
          <w:sz w:val="26"/>
          <w:szCs w:val="26"/>
        </w:rPr>
        <w:t>Harris</w:t>
      </w:r>
      <w:r w:rsidRPr="00102FD5">
        <w:rPr>
          <w:rFonts w:ascii="Times New Roman" w:hAnsi="Times New Roman" w:cs="Times New Roman"/>
          <w:color w:val="000000" w:themeColor="text1"/>
          <w:sz w:val="26"/>
          <w:szCs w:val="26"/>
        </w:rPr>
        <w:t xml:space="preserve">, 973 F.2d at 337 (4th Cir. 1992); </w:t>
      </w:r>
      <w:r w:rsidRPr="00102FD5">
        <w:rPr>
          <w:rFonts w:ascii="Times New Roman" w:hAnsi="Times New Roman" w:cs="Times New Roman"/>
          <w:i/>
          <w:iCs/>
          <w:color w:val="000000" w:themeColor="text1"/>
          <w:sz w:val="26"/>
          <w:szCs w:val="26"/>
        </w:rPr>
        <w:t>United States v. Pantone</w:t>
      </w:r>
      <w:r w:rsidRPr="00102FD5">
        <w:rPr>
          <w:rFonts w:ascii="Times New Roman" w:hAnsi="Times New Roman" w:cs="Times New Roman"/>
          <w:color w:val="000000" w:themeColor="text1"/>
          <w:sz w:val="26"/>
          <w:szCs w:val="26"/>
        </w:rPr>
        <w:t>, 634 F.2d 716, 720 (3d Cir. 1980). However, “[w]</w:t>
      </w:r>
      <w:proofErr w:type="spellStart"/>
      <w:r w:rsidRPr="00102FD5">
        <w:rPr>
          <w:rFonts w:ascii="Times New Roman" w:hAnsi="Times New Roman" w:cs="Times New Roman"/>
          <w:color w:val="000000" w:themeColor="text1"/>
          <w:sz w:val="26"/>
          <w:szCs w:val="26"/>
        </w:rPr>
        <w:t>hether</w:t>
      </w:r>
      <w:proofErr w:type="spellEnd"/>
      <w:r w:rsidRPr="00102FD5">
        <w:rPr>
          <w:rFonts w:ascii="Times New Roman" w:hAnsi="Times New Roman" w:cs="Times New Roman"/>
          <w:color w:val="000000" w:themeColor="text1"/>
          <w:sz w:val="26"/>
          <w:szCs w:val="26"/>
        </w:rPr>
        <w:t xml:space="preserve"> exposure… places a more difficult burden on the government” is in dispute amongst circuits. </w:t>
      </w:r>
      <w:r w:rsidRPr="00102FD5">
        <w:rPr>
          <w:rFonts w:ascii="Times New Roman" w:hAnsi="Times New Roman" w:cs="Times New Roman"/>
          <w:i/>
          <w:iCs/>
          <w:color w:val="000000" w:themeColor="text1"/>
          <w:sz w:val="26"/>
          <w:szCs w:val="26"/>
        </w:rPr>
        <w:t>Crowson</w:t>
      </w:r>
      <w:r w:rsidRPr="00102FD5">
        <w:rPr>
          <w:rFonts w:ascii="Times New Roman" w:hAnsi="Times New Roman" w:cs="Times New Roman"/>
          <w:color w:val="000000" w:themeColor="text1"/>
          <w:sz w:val="26"/>
          <w:szCs w:val="26"/>
        </w:rPr>
        <w:t xml:space="preserve">, 828 F.2d at 1430. Most circuit courts suggest the government must show “that the evidence it intends to present is derived from a prior, independent source.”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The government has met this burden by establishing that Parker was amongst Team Calloway’s intended interviewees prior to Defendant’s testimony and Exhibit 19 derived from Parker’s interview. (Ex. 17; Nolan Dep.  30:269–31:276;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33:351–33:364.) Furthermore, while it is true that government did not know of the storage unit prior to Parker’s interview, the government had knowledge of Exhibit 19 through Mr. Blake. (Nolan Dep. 32:346–33:348.) Prior to the separation of teams, Mr. Blake informed AUSA Sinclair of a breakthrough that he believed showed “the connection to the true owner of the Coastal account.” (Sinclair Dep. 13:201–13:206.) Mr. Blake was murdered on December 12, 2023, and while searching the scene, AUSA Sinclair and Agent Nolan found Mr. Blake’s index with an “entry point[</w:t>
      </w:r>
      <w:proofErr w:type="spellStart"/>
      <w:r w:rsidRPr="00102FD5">
        <w:rPr>
          <w:rFonts w:ascii="Times New Roman" w:hAnsi="Times New Roman" w:cs="Times New Roman"/>
          <w:color w:val="000000" w:themeColor="text1"/>
          <w:sz w:val="26"/>
          <w:szCs w:val="26"/>
        </w:rPr>
        <w:t>ing</w:t>
      </w:r>
      <w:proofErr w:type="spellEnd"/>
      <w:r w:rsidRPr="00102FD5">
        <w:rPr>
          <w:rFonts w:ascii="Times New Roman" w:hAnsi="Times New Roman" w:cs="Times New Roman"/>
          <w:color w:val="000000" w:themeColor="text1"/>
          <w:sz w:val="26"/>
          <w:szCs w:val="26"/>
        </w:rPr>
        <w:t xml:space="preserve">] to a folder that wasn’t there.” (Ex. 5; Sinclair Dep. 13:215–217;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at 14:243–14:250.) Investigators knew of the document </w:t>
      </w:r>
      <w:r w:rsidRPr="00102FD5">
        <w:rPr>
          <w:rFonts w:ascii="Times New Roman" w:hAnsi="Times New Roman" w:cs="Times New Roman"/>
          <w:color w:val="000000" w:themeColor="text1"/>
          <w:sz w:val="26"/>
          <w:szCs w:val="26"/>
        </w:rPr>
        <w:lastRenderedPageBreak/>
        <w:t xml:space="preserve">containing the identity of the true owner of Coastal prior to Defendant’s testimony and prior to interviewing Parker. </w:t>
      </w:r>
    </w:p>
    <w:p w14:paraId="3F93EB76" w14:textId="2EA40D79" w:rsidR="00A6252F" w:rsidRPr="00102FD5" w:rsidRDefault="00491BD5" w:rsidP="009114B9">
      <w:pPr>
        <w:pStyle w:val="paragraph"/>
        <w:spacing w:before="0" w:beforeAutospacing="0" w:after="0" w:afterAutospacing="0" w:line="480" w:lineRule="auto"/>
        <w:ind w:firstLine="360"/>
        <w:jc w:val="both"/>
        <w:textAlignment w:val="baseline"/>
        <w:rPr>
          <w:sz w:val="26"/>
          <w:szCs w:val="26"/>
        </w:rPr>
      </w:pPr>
      <w:r w:rsidRPr="00102FD5">
        <w:rPr>
          <w:color w:val="000000" w:themeColor="text1"/>
          <w:sz w:val="26"/>
          <w:szCs w:val="26"/>
        </w:rPr>
        <w:t xml:space="preserve">If the court finds this argument unpersuasive, then Prosecution urges the court to follow the circuits which hold that “if the prosecution team has been exposed to the immunized testimony the Government may still use the evidence if it meets its burden of proof that the evidence is derived from independent sources.” </w:t>
      </w:r>
      <w:r w:rsidRPr="00102FD5">
        <w:rPr>
          <w:i/>
          <w:iCs/>
          <w:color w:val="000000" w:themeColor="text1"/>
          <w:sz w:val="26"/>
          <w:szCs w:val="26"/>
        </w:rPr>
        <w:t>United States v. Montoya</w:t>
      </w:r>
      <w:r w:rsidRPr="00102FD5">
        <w:rPr>
          <w:color w:val="000000" w:themeColor="text1"/>
          <w:sz w:val="26"/>
          <w:szCs w:val="26"/>
        </w:rPr>
        <w:t xml:space="preserve">, 45 F.3d 1286, 1292 (9th Cir. 1995). The focus being on whether the prosecutor “used the testimony in any way to build a case against the defendant.” </w:t>
      </w:r>
      <w:r w:rsidRPr="00102FD5">
        <w:rPr>
          <w:i/>
          <w:iCs/>
          <w:color w:val="000000" w:themeColor="text1"/>
          <w:sz w:val="26"/>
          <w:szCs w:val="26"/>
        </w:rPr>
        <w:t>United States v. Caporale</w:t>
      </w:r>
      <w:r w:rsidRPr="00102FD5">
        <w:rPr>
          <w:color w:val="000000" w:themeColor="text1"/>
          <w:sz w:val="26"/>
          <w:szCs w:val="26"/>
        </w:rPr>
        <w:t xml:space="preserve">, 806 F.2d 1487, 1518 (11th Cir. 1986); </w:t>
      </w:r>
      <w:r w:rsidRPr="00102FD5">
        <w:rPr>
          <w:i/>
          <w:iCs/>
          <w:color w:val="000000" w:themeColor="text1"/>
          <w:sz w:val="26"/>
          <w:szCs w:val="26"/>
        </w:rPr>
        <w:t>Crowson</w:t>
      </w:r>
      <w:r w:rsidRPr="00102FD5">
        <w:rPr>
          <w:color w:val="000000" w:themeColor="text1"/>
          <w:sz w:val="26"/>
          <w:szCs w:val="26"/>
        </w:rPr>
        <w:t xml:space="preserve">, 828 F.2d at 1430. This prohibition on derivative use “provides a comprehensive safeguard, barring the use of compelled testimony as an ‘investigatory lead,’ and also barring the use of any evidence obtained by focusing investigation on a witness[.]” </w:t>
      </w:r>
      <w:r w:rsidRPr="00102FD5">
        <w:rPr>
          <w:i/>
          <w:iCs/>
          <w:color w:val="000000" w:themeColor="text1"/>
          <w:sz w:val="26"/>
          <w:szCs w:val="26"/>
        </w:rPr>
        <w:t>Kastigar</w:t>
      </w:r>
      <w:r w:rsidRPr="00102FD5">
        <w:rPr>
          <w:color w:val="000000" w:themeColor="text1"/>
          <w:sz w:val="26"/>
          <w:szCs w:val="26"/>
        </w:rPr>
        <w:t>, 406 U.S. at 460; 18 U.S.C. § 6002. Team Calloway did not receive Defendant’s testimony, “</w:t>
      </w:r>
      <w:r w:rsidRPr="00102FD5">
        <w:rPr>
          <w:sz w:val="26"/>
          <w:szCs w:val="26"/>
        </w:rPr>
        <w:t xml:space="preserve">could not receive anyone’s strategic impressions drawn from them, and could not follow any investigative lead that came out of them.” (Nolan Dep. 28:190–28:194.) </w:t>
      </w:r>
      <w:r w:rsidRPr="00102FD5">
        <w:rPr>
          <w:color w:val="000000" w:themeColor="text1"/>
          <w:sz w:val="26"/>
          <w:szCs w:val="26"/>
        </w:rPr>
        <w:t xml:space="preserve">Parker was already on the small, priority list of interviewees prior to Defendant’s testimony, and Parker’s interview as well as Mr. Blake’s discovery led to the recovery of Exhibit 19. (Ex. 10, 17; Nolan Dep. 33:351–33:364.) </w:t>
      </w:r>
      <w:r w:rsidRPr="00102FD5">
        <w:rPr>
          <w:color w:val="1F1F1F"/>
          <w:sz w:val="26"/>
          <w:szCs w:val="26"/>
          <w:shd w:val="clear" w:color="auto" w:fill="FFFFFF"/>
        </w:rPr>
        <w:t xml:space="preserve">Furthermore, the government “protects against a claim of indirect use by assigning the case to others not exposed and barring communication between them[.]” </w:t>
      </w:r>
      <w:r w:rsidRPr="00102FD5">
        <w:rPr>
          <w:i/>
          <w:iCs/>
          <w:color w:val="1F1F1F"/>
          <w:sz w:val="26"/>
          <w:szCs w:val="26"/>
          <w:shd w:val="clear" w:color="auto" w:fill="FFFFFF"/>
        </w:rPr>
        <w:t>United States v. Mapelli</w:t>
      </w:r>
      <w:r w:rsidRPr="00102FD5">
        <w:rPr>
          <w:color w:val="1F1F1F"/>
          <w:sz w:val="26"/>
          <w:szCs w:val="26"/>
          <w:shd w:val="clear" w:color="auto" w:fill="FFFFFF"/>
        </w:rPr>
        <w:t xml:space="preserve">, 971 F.2d 284, 288 (9th Cir. 1992). The government adhered to strict separation protocol to ensure no evidence discovered by Team Donovan ever reached Team Calloway. (Ex. 15.) The </w:t>
      </w:r>
      <w:r w:rsidRPr="00102FD5">
        <w:rPr>
          <w:color w:val="1F1F1F"/>
          <w:sz w:val="26"/>
          <w:szCs w:val="26"/>
          <w:shd w:val="clear" w:color="auto" w:fill="FFFFFF"/>
        </w:rPr>
        <w:lastRenderedPageBreak/>
        <w:t>Government therefore made no use of Defendant’s testimony against her in this proceeding.</w:t>
      </w:r>
      <w:r w:rsidR="00C67DE2" w:rsidRPr="00102FD5">
        <w:rPr>
          <w:rStyle w:val="eop"/>
          <w:color w:val="000000"/>
          <w:sz w:val="26"/>
          <w:szCs w:val="26"/>
        </w:rPr>
        <w:t> </w:t>
      </w:r>
    </w:p>
    <w:p w14:paraId="5BC9DD3A" w14:textId="5996D644" w:rsidR="00C67DE2" w:rsidRPr="00102FD5" w:rsidRDefault="004C0066" w:rsidP="009114B9">
      <w:pPr>
        <w:pStyle w:val="ListParagraph"/>
        <w:numPr>
          <w:ilvl w:val="0"/>
          <w:numId w:val="46"/>
        </w:numPr>
        <w:jc w:val="both"/>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The Government Took the Same Steps </w:t>
      </w:r>
      <w:proofErr w:type="gramStart"/>
      <w:r w:rsidRPr="00102FD5">
        <w:rPr>
          <w:rFonts w:ascii="Times New Roman" w:hAnsi="Times New Roman" w:cs="Times New Roman"/>
          <w:b/>
          <w:bCs/>
          <w:color w:val="000000" w:themeColor="text1"/>
          <w:sz w:val="26"/>
          <w:szCs w:val="26"/>
        </w:rPr>
        <w:t>it</w:t>
      </w:r>
      <w:proofErr w:type="gramEnd"/>
      <w:r w:rsidRPr="00102FD5">
        <w:rPr>
          <w:rFonts w:ascii="Times New Roman" w:hAnsi="Times New Roman" w:cs="Times New Roman"/>
          <w:b/>
          <w:bCs/>
          <w:color w:val="000000" w:themeColor="text1"/>
          <w:sz w:val="26"/>
          <w:szCs w:val="26"/>
        </w:rPr>
        <w:t xml:space="preserve"> Would Have Taken Entirely Apart from the Compelled Testimony.</w:t>
      </w:r>
    </w:p>
    <w:p w14:paraId="79D4BDBC" w14:textId="328C863E" w:rsidR="00C67DE2" w:rsidRPr="00102FD5" w:rsidRDefault="00C67DE2" w:rsidP="000A39F4">
      <w:pPr>
        <w:keepNext/>
        <w:jc w:val="both"/>
        <w:outlineLvl w:val="2"/>
        <w:rPr>
          <w:rFonts w:ascii="Times New Roman" w:hAnsi="Times New Roman" w:cs="Times New Roman"/>
          <w:b/>
          <w:bCs/>
          <w:color w:val="000000" w:themeColor="text1"/>
          <w:sz w:val="26"/>
          <w:szCs w:val="26"/>
        </w:rPr>
      </w:pPr>
    </w:p>
    <w:p w14:paraId="3E31A823" w14:textId="77777777" w:rsidR="00F70D4A" w:rsidRPr="00102FD5" w:rsidRDefault="00F70D4A" w:rsidP="00F70D4A">
      <w:pPr>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If the court finds the government’s “pursuit could have been motivated by both tainted and independent factors, the court must determine whether the government would have taken the same steps ‘entirely apart from the motivating effect of the immunized testimony.’” </w:t>
      </w:r>
      <w:r w:rsidRPr="00102FD5">
        <w:rPr>
          <w:rFonts w:ascii="Times New Roman" w:hAnsi="Times New Roman" w:cs="Times New Roman"/>
          <w:i/>
          <w:iCs/>
          <w:color w:val="000000" w:themeColor="text1"/>
          <w:sz w:val="26"/>
          <w:szCs w:val="26"/>
        </w:rPr>
        <w:t>United States v. Nanni</w:t>
      </w:r>
      <w:r w:rsidRPr="00102FD5">
        <w:rPr>
          <w:rFonts w:ascii="Times New Roman" w:hAnsi="Times New Roman" w:cs="Times New Roman"/>
          <w:color w:val="000000" w:themeColor="text1"/>
          <w:sz w:val="26"/>
          <w:szCs w:val="26"/>
        </w:rPr>
        <w:t xml:space="preserve">, 59 F.3d 1425, 1432 (2d Cir. 1995) (quoting </w:t>
      </w:r>
      <w:r w:rsidRPr="00102FD5">
        <w:rPr>
          <w:rFonts w:ascii="Times New Roman" w:hAnsi="Times New Roman" w:cs="Times New Roman"/>
          <w:i/>
          <w:iCs/>
          <w:color w:val="000000" w:themeColor="text1"/>
          <w:sz w:val="26"/>
          <w:szCs w:val="26"/>
        </w:rPr>
        <w:t>United States v. Biaggi</w:t>
      </w:r>
      <w:r w:rsidRPr="00102FD5">
        <w:rPr>
          <w:rFonts w:ascii="Times New Roman" w:hAnsi="Times New Roman" w:cs="Times New Roman"/>
          <w:color w:val="000000" w:themeColor="text1"/>
          <w:sz w:val="26"/>
          <w:szCs w:val="26"/>
        </w:rPr>
        <w:t xml:space="preserve">, 909 F.2d 662, 689 (2d Cir. 1990)). Parker was listed on Agent Nolan’s priority interviewee list, </w:t>
      </w:r>
      <w:proofErr w:type="gramStart"/>
      <w:r w:rsidRPr="00102FD5">
        <w:rPr>
          <w:rFonts w:ascii="Times New Roman" w:hAnsi="Times New Roman" w:cs="Times New Roman"/>
          <w:color w:val="000000" w:themeColor="text1"/>
          <w:sz w:val="26"/>
          <w:szCs w:val="26"/>
        </w:rPr>
        <w:t>and with or</w:t>
      </w:r>
      <w:proofErr w:type="gramEnd"/>
      <w:r w:rsidRPr="00102FD5">
        <w:rPr>
          <w:rFonts w:ascii="Times New Roman" w:hAnsi="Times New Roman" w:cs="Times New Roman"/>
          <w:color w:val="000000" w:themeColor="text1"/>
          <w:sz w:val="26"/>
          <w:szCs w:val="26"/>
        </w:rPr>
        <w:t xml:space="preserve"> without Defendant’s testimony, Agent Nolan intended to interview Parker. It is true that Team Calloway recovered Exhibit 19 after interviewing Parker, but the government always suspected Defendant’s participation in the homicide and money laundering scheme. (Nolan Dep. 26:134-26:135.) Investigators undertook major investigative strategies to recover Exhibit 19 prior to Defendant’s testimony and Parker’s interview.  In June of 2024, AUSA Sinclair and Agent Nolan submitted an MLAT to the Caymans seeking information on the Coastal account’s true ownership. (Sinclair Dep. 17:373-17:376). Although the MLAT came back in October 2024 as a dead end, Agent Nolan continued seeking all information on Coastal. (Nolan Dep. 27:122.) Agent Nolan subpoenaed the historical toll records for a prepaid cell listed on </w:t>
      </w:r>
      <w:proofErr w:type="spellStart"/>
      <w:r w:rsidRPr="00102FD5">
        <w:rPr>
          <w:rFonts w:ascii="Times New Roman" w:hAnsi="Times New Roman" w:cs="Times New Roman"/>
          <w:color w:val="000000" w:themeColor="text1"/>
          <w:sz w:val="26"/>
          <w:szCs w:val="26"/>
        </w:rPr>
        <w:t>Coastal’s</w:t>
      </w:r>
      <w:proofErr w:type="spellEnd"/>
      <w:r w:rsidRPr="00102FD5">
        <w:rPr>
          <w:rFonts w:ascii="Times New Roman" w:hAnsi="Times New Roman" w:cs="Times New Roman"/>
          <w:color w:val="000000" w:themeColor="text1"/>
          <w:sz w:val="26"/>
          <w:szCs w:val="26"/>
        </w:rPr>
        <w:t xml:space="preserve"> account-opening paperwork and found that the phone contacted only two numbers, Donovan’s and Defendant’s. As evidenced by their thorough investigative strategies and techniques, the </w:t>
      </w:r>
      <w:r w:rsidRPr="00102FD5">
        <w:rPr>
          <w:rFonts w:ascii="Times New Roman" w:hAnsi="Times New Roman" w:cs="Times New Roman"/>
          <w:color w:val="000000" w:themeColor="text1"/>
          <w:sz w:val="26"/>
          <w:szCs w:val="26"/>
        </w:rPr>
        <w:lastRenderedPageBreak/>
        <w:t xml:space="preserve">government was on track to recover Exhibit 19. It just so happens that Agent Nolan’s intended interview with Parker led to that recovery sooner. </w:t>
      </w:r>
    </w:p>
    <w:p w14:paraId="661C40B7" w14:textId="39200735" w:rsidR="00A6252F" w:rsidRPr="005342FA" w:rsidRDefault="00F70D4A" w:rsidP="005342FA">
      <w:pPr>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Even if it is argued that the government did not have “reasonably particular knowledge” of the Exhibit 19’s existence or its possession, the government has established its “existence through [] independent means[.]” </w:t>
      </w:r>
      <w:r w:rsidRPr="00102FD5">
        <w:rPr>
          <w:rFonts w:ascii="Times New Roman" w:hAnsi="Times New Roman" w:cs="Times New Roman"/>
          <w:i/>
          <w:iCs/>
          <w:color w:val="000000" w:themeColor="text1"/>
          <w:sz w:val="26"/>
          <w:szCs w:val="26"/>
        </w:rPr>
        <w:t>United States v. Hubbell</w:t>
      </w:r>
      <w:r w:rsidRPr="00102FD5">
        <w:rPr>
          <w:rFonts w:ascii="Times New Roman" w:hAnsi="Times New Roman" w:cs="Times New Roman"/>
          <w:color w:val="000000" w:themeColor="text1"/>
          <w:sz w:val="26"/>
          <w:szCs w:val="26"/>
        </w:rPr>
        <w:t>, 167 F.3d 552, 585 (D.C. Cir. 1999). Defendant’s testimony does not mention the storage unit nor the “Coastal” file box with Exhibit 19 contained therein. (Ex. 13.) Team Calloway knew of the evidence from Mr. Blake as well as internal investigation subpoenas and located the evidence through their interview with Parker.</w:t>
      </w:r>
    </w:p>
    <w:p w14:paraId="2F3BC4B4" w14:textId="77777777" w:rsidR="009114B9" w:rsidRPr="00102FD5" w:rsidRDefault="009114B9" w:rsidP="009114B9">
      <w:pPr>
        <w:pStyle w:val="ListParagraph"/>
        <w:numPr>
          <w:ilvl w:val="0"/>
          <w:numId w:val="44"/>
        </w:numPr>
        <w:jc w:val="both"/>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The Compelled Testimony and Subsequent Prosecution of Defendant Complies with Defendant’s Fifth Amendment Privilege Against Self-Incrimination. </w:t>
      </w:r>
    </w:p>
    <w:p w14:paraId="489EE73A" w14:textId="77777777" w:rsidR="00C67DE2" w:rsidRPr="00102FD5"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2E0A3C8D" w14:textId="67AD2E7F" w:rsidR="00DA677B" w:rsidRPr="00102FD5" w:rsidRDefault="00003D1B" w:rsidP="00A23E41">
      <w:pPr>
        <w:spacing w:line="480" w:lineRule="auto"/>
        <w:ind w:firstLine="72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Defendant’s compelled testimony complies with her Fifth Amendment privilege against self-incrimination. The privilege states that “[n]o person… shall be compelled in any criminal case to be a witness against himself[.]” U.S. Const. amend. V. The immunity provided by § 6002 is co-extensive with the privilege as it “leaves the witness and the prosecutorial authorities in substantially the same position as if the witness had claimed the Fifth Amendment privilege.” </w:t>
      </w:r>
      <w:r w:rsidRPr="00102FD5">
        <w:rPr>
          <w:rFonts w:ascii="Times New Roman" w:hAnsi="Times New Roman" w:cs="Times New Roman"/>
          <w:i/>
          <w:iCs/>
          <w:color w:val="000000" w:themeColor="text1"/>
          <w:sz w:val="26"/>
          <w:szCs w:val="26"/>
        </w:rPr>
        <w:t>Kastigar</w:t>
      </w:r>
      <w:r w:rsidRPr="00102FD5">
        <w:rPr>
          <w:rFonts w:ascii="Times New Roman" w:hAnsi="Times New Roman" w:cs="Times New Roman"/>
          <w:color w:val="000000" w:themeColor="text1"/>
          <w:sz w:val="26"/>
          <w:szCs w:val="26"/>
        </w:rPr>
        <w:t xml:space="preserve">, 406 U.S. at 462. </w:t>
      </w:r>
      <w:r w:rsidRPr="00102FD5">
        <w:rPr>
          <w:rFonts w:ascii="Times New Roman" w:hAnsi="Times New Roman" w:cs="Times New Roman"/>
          <w:i/>
          <w:iCs/>
          <w:color w:val="000000" w:themeColor="text1"/>
          <w:sz w:val="26"/>
          <w:szCs w:val="26"/>
        </w:rPr>
        <w:t>Kastigar</w:t>
      </w:r>
      <w:r w:rsidRPr="00102FD5">
        <w:rPr>
          <w:rFonts w:ascii="Times New Roman" w:hAnsi="Times New Roman" w:cs="Times New Roman"/>
          <w:color w:val="000000" w:themeColor="text1"/>
          <w:sz w:val="26"/>
          <w:szCs w:val="26"/>
        </w:rPr>
        <w:t xml:space="preserve"> does not require the position of the parties to remain </w:t>
      </w:r>
      <w:proofErr w:type="gramStart"/>
      <w:r w:rsidRPr="00102FD5">
        <w:rPr>
          <w:rFonts w:ascii="Times New Roman" w:hAnsi="Times New Roman" w:cs="Times New Roman"/>
          <w:color w:val="000000" w:themeColor="text1"/>
          <w:sz w:val="26"/>
          <w:szCs w:val="26"/>
        </w:rPr>
        <w:t>exactly identical</w:t>
      </w:r>
      <w:proofErr w:type="gramEnd"/>
      <w:r w:rsidRPr="00102FD5">
        <w:rPr>
          <w:rFonts w:ascii="Times New Roman" w:hAnsi="Times New Roman" w:cs="Times New Roman"/>
          <w:color w:val="000000" w:themeColor="text1"/>
          <w:sz w:val="26"/>
          <w:szCs w:val="26"/>
        </w:rPr>
        <w:t xml:space="preserve"> as that would “place a virtually insurmountable burden of proof upon the government[.]” </w:t>
      </w:r>
      <w:r w:rsidRPr="00102FD5">
        <w:rPr>
          <w:rFonts w:ascii="Times New Roman" w:hAnsi="Times New Roman" w:cs="Times New Roman"/>
          <w:i/>
          <w:iCs/>
          <w:color w:val="000000" w:themeColor="text1"/>
          <w:sz w:val="26"/>
          <w:szCs w:val="26"/>
        </w:rPr>
        <w:t>Byrd</w:t>
      </w:r>
      <w:r w:rsidRPr="00102FD5">
        <w:rPr>
          <w:rFonts w:ascii="Times New Roman" w:hAnsi="Times New Roman" w:cs="Times New Roman"/>
          <w:color w:val="000000" w:themeColor="text1"/>
          <w:sz w:val="26"/>
          <w:szCs w:val="26"/>
        </w:rPr>
        <w:t xml:space="preserve">, 765 F.2d at 1530. Because investigators employed precautionary measures and thereby derived evidence against Defendant via independent sources, Defendant and Team Calloway are left in substantially the same position as if Defendant had not testified. The government established an </w:t>
      </w:r>
      <w:r w:rsidRPr="00102FD5">
        <w:rPr>
          <w:rFonts w:ascii="Times New Roman" w:hAnsi="Times New Roman" w:cs="Times New Roman"/>
          <w:color w:val="000000" w:themeColor="text1"/>
          <w:sz w:val="26"/>
          <w:szCs w:val="26"/>
        </w:rPr>
        <w:lastRenderedPageBreak/>
        <w:t xml:space="preserve">independent source for the disputed evidence which warranted Defendant’s indictment. </w:t>
      </w:r>
      <w:r w:rsidRPr="00102FD5">
        <w:rPr>
          <w:rFonts w:ascii="Times New Roman" w:hAnsi="Times New Roman" w:cs="Times New Roman"/>
          <w:i/>
          <w:iCs/>
          <w:color w:val="000000" w:themeColor="text1"/>
          <w:sz w:val="26"/>
          <w:szCs w:val="26"/>
        </w:rPr>
        <w:t>Id.</w:t>
      </w:r>
      <w:r w:rsidRPr="00102FD5">
        <w:rPr>
          <w:rFonts w:ascii="Times New Roman" w:hAnsi="Times New Roman" w:cs="Times New Roman"/>
          <w:color w:val="000000" w:themeColor="text1"/>
          <w:sz w:val="26"/>
          <w:szCs w:val="26"/>
        </w:rPr>
        <w:t xml:space="preserve"> Therefore, “defendant’s privilege against self-incrimination has not been </w:t>
      </w:r>
      <w:proofErr w:type="gramStart"/>
      <w:r w:rsidRPr="00102FD5">
        <w:rPr>
          <w:rFonts w:ascii="Times New Roman" w:hAnsi="Times New Roman" w:cs="Times New Roman"/>
          <w:color w:val="000000" w:themeColor="text1"/>
          <w:sz w:val="26"/>
          <w:szCs w:val="26"/>
        </w:rPr>
        <w:t>violated[</w:t>
      </w:r>
      <w:proofErr w:type="gramEnd"/>
      <w:r w:rsidRPr="00102FD5">
        <w:rPr>
          <w:rFonts w:ascii="Times New Roman" w:hAnsi="Times New Roman" w:cs="Times New Roman"/>
          <w:color w:val="000000" w:themeColor="text1"/>
          <w:sz w:val="26"/>
          <w:szCs w:val="26"/>
        </w:rPr>
        <w:t xml:space="preserve">,]” and Defendant’s motion to suppress should be denied. </w:t>
      </w:r>
      <w:r w:rsidRPr="00102FD5">
        <w:rPr>
          <w:rFonts w:ascii="Times New Roman" w:hAnsi="Times New Roman" w:cs="Times New Roman"/>
          <w:i/>
          <w:iCs/>
          <w:color w:val="000000" w:themeColor="text1"/>
          <w:sz w:val="26"/>
          <w:szCs w:val="26"/>
        </w:rPr>
        <w:t>Id.</w:t>
      </w:r>
    </w:p>
    <w:p w14:paraId="4BAE9CA4" w14:textId="77777777" w:rsidR="00F403EC" w:rsidRPr="00102FD5" w:rsidRDefault="00F403EC" w:rsidP="00F403EC">
      <w:pPr>
        <w:pStyle w:val="Heading2"/>
        <w:numPr>
          <w:ilvl w:val="0"/>
          <w:numId w:val="23"/>
        </w:numPr>
        <w:contextualSpacing/>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Defendant’s Motion to Quash United States Subpoena Duces Tecum on Maddox Armana </w:t>
      </w:r>
      <w:proofErr w:type="gramStart"/>
      <w:r w:rsidRPr="00102FD5">
        <w:rPr>
          <w:rFonts w:ascii="Times New Roman" w:hAnsi="Times New Roman" w:cs="Times New Roman"/>
          <w:b/>
          <w:bCs/>
          <w:color w:val="000000" w:themeColor="text1"/>
          <w:sz w:val="26"/>
          <w:szCs w:val="26"/>
        </w:rPr>
        <w:t>for the Production of</w:t>
      </w:r>
      <w:proofErr w:type="gramEnd"/>
      <w:r w:rsidRPr="00102FD5">
        <w:rPr>
          <w:rFonts w:ascii="Times New Roman" w:hAnsi="Times New Roman" w:cs="Times New Roman"/>
          <w:b/>
          <w:bCs/>
          <w:color w:val="000000" w:themeColor="text1"/>
          <w:sz w:val="26"/>
          <w:szCs w:val="26"/>
        </w:rPr>
        <w:t xml:space="preserve"> </w:t>
      </w:r>
      <w:proofErr w:type="gramStart"/>
      <w:r w:rsidRPr="00102FD5">
        <w:rPr>
          <w:rFonts w:ascii="Times New Roman" w:hAnsi="Times New Roman" w:cs="Times New Roman"/>
          <w:b/>
          <w:bCs/>
          <w:color w:val="000000" w:themeColor="text1"/>
          <w:sz w:val="26"/>
          <w:szCs w:val="26"/>
        </w:rPr>
        <w:t>any and all</w:t>
      </w:r>
      <w:proofErr w:type="gramEnd"/>
      <w:r w:rsidRPr="00102FD5">
        <w:rPr>
          <w:rFonts w:ascii="Times New Roman" w:hAnsi="Times New Roman" w:cs="Times New Roman"/>
          <w:b/>
          <w:bCs/>
          <w:color w:val="000000" w:themeColor="text1"/>
          <w:sz w:val="26"/>
          <w:szCs w:val="26"/>
        </w:rPr>
        <w:t xml:space="preserve"> records of Armana’s interview of Sierra Seton on February 15, 2024, as protected under the work-product privilege should be denied.</w:t>
      </w:r>
    </w:p>
    <w:p w14:paraId="44C2A2B6" w14:textId="77777777" w:rsidR="00C67DE2" w:rsidRPr="00102FD5" w:rsidRDefault="00C67DE2" w:rsidP="00F403EC">
      <w:pPr>
        <w:keepNext/>
        <w:jc w:val="both"/>
        <w:outlineLvl w:val="2"/>
        <w:rPr>
          <w:rFonts w:ascii="Times New Roman" w:hAnsi="Times New Roman" w:cs="Times New Roman"/>
          <w:b/>
          <w:bCs/>
          <w:color w:val="000000" w:themeColor="text1"/>
          <w:sz w:val="26"/>
          <w:szCs w:val="26"/>
        </w:rPr>
      </w:pPr>
    </w:p>
    <w:p w14:paraId="6808144F" w14:textId="77777777" w:rsidR="00A23E41" w:rsidRPr="00102FD5" w:rsidRDefault="00A23E41" w:rsidP="00A23E41">
      <w:pPr>
        <w:keepNext/>
        <w:spacing w:line="480" w:lineRule="auto"/>
        <w:ind w:firstLine="630"/>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The Court should deny Defendant Emily Calloway’s motion to quash the United States’ subpoena duces tecum to Maddox Armana. The subpoena satisfies Rule 17(c) and seeks identified, evidentiary documents that are relevant to the charges. The materials subpoenaed cannot otherwise be obtained before trial and are needed for the government to prepare its case. It is not a fishing expedition. </w:t>
      </w:r>
    </w:p>
    <w:p w14:paraId="66D9893F" w14:textId="77777777" w:rsidR="00A23E41" w:rsidRPr="00102FD5" w:rsidRDefault="00A23E41" w:rsidP="00A23E41">
      <w:pPr>
        <w:keepNext/>
        <w:spacing w:line="480" w:lineRule="auto"/>
        <w:ind w:firstLine="63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Defendant claims that Armana’s record of their interview with Sierra Seton </w:t>
      </w:r>
      <w:proofErr w:type="gramStart"/>
      <w:r w:rsidRPr="00102FD5">
        <w:rPr>
          <w:rFonts w:ascii="Times New Roman" w:hAnsi="Times New Roman" w:cs="Times New Roman"/>
          <w:color w:val="000000" w:themeColor="text1"/>
          <w:sz w:val="26"/>
          <w:szCs w:val="26"/>
        </w:rPr>
        <w:t>are</w:t>
      </w:r>
      <w:proofErr w:type="gramEnd"/>
      <w:r w:rsidRPr="00102FD5">
        <w:rPr>
          <w:rFonts w:ascii="Times New Roman" w:hAnsi="Times New Roman" w:cs="Times New Roman"/>
          <w:color w:val="000000" w:themeColor="text1"/>
          <w:sz w:val="26"/>
          <w:szCs w:val="26"/>
        </w:rPr>
        <w:t xml:space="preserve"> protected work product. It is not. The Defendant has not established that these records were prepared in anticipation of litigation against the Defendant. Even if work product protection attaches, it is not a justification for quashing the subpoena. If any opinion work product appears in the notes, the proper remedy under Rule 17(c)(2) is a modification and redaction.</w:t>
      </w:r>
    </w:p>
    <w:p w14:paraId="3441CE2D" w14:textId="77777777" w:rsidR="00A23E41" w:rsidRPr="00102FD5" w:rsidRDefault="00A23E41" w:rsidP="00A23E41">
      <w:pPr>
        <w:pStyle w:val="ListParagraph"/>
        <w:numPr>
          <w:ilvl w:val="0"/>
          <w:numId w:val="48"/>
        </w:numPr>
        <w:rPr>
          <w:rFonts w:ascii="Times New Roman" w:hAnsi="Times New Roman" w:cs="Times New Roman"/>
          <w:b/>
          <w:bCs/>
          <w:sz w:val="26"/>
          <w:szCs w:val="26"/>
        </w:rPr>
      </w:pPr>
      <w:r w:rsidRPr="00102FD5">
        <w:rPr>
          <w:rFonts w:ascii="Times New Roman" w:hAnsi="Times New Roman" w:cs="Times New Roman"/>
          <w:b/>
          <w:bCs/>
          <w:sz w:val="26"/>
          <w:szCs w:val="26"/>
        </w:rPr>
        <w:t xml:space="preserve">The Subpoena Satisfies Rule 17(c) and </w:t>
      </w:r>
      <w:proofErr w:type="gramStart"/>
      <w:r w:rsidRPr="00102FD5">
        <w:rPr>
          <w:rFonts w:ascii="Times New Roman" w:hAnsi="Times New Roman" w:cs="Times New Roman"/>
          <w:b/>
          <w:bCs/>
          <w:sz w:val="26"/>
          <w:szCs w:val="26"/>
        </w:rPr>
        <w:t>Should</w:t>
      </w:r>
      <w:proofErr w:type="gramEnd"/>
      <w:r w:rsidRPr="00102FD5">
        <w:rPr>
          <w:rFonts w:ascii="Times New Roman" w:hAnsi="Times New Roman" w:cs="Times New Roman"/>
          <w:b/>
          <w:bCs/>
          <w:sz w:val="26"/>
          <w:szCs w:val="26"/>
        </w:rPr>
        <w:t xml:space="preserve"> not be Quashed as Unreasonable or Oppressive.</w:t>
      </w:r>
    </w:p>
    <w:p w14:paraId="7038FF5C" w14:textId="16ADB129" w:rsidR="00C67DE2" w:rsidRPr="00102FD5" w:rsidRDefault="00C67DE2" w:rsidP="00A23E41">
      <w:pPr>
        <w:keepNext/>
        <w:jc w:val="both"/>
        <w:outlineLvl w:val="2"/>
        <w:rPr>
          <w:rFonts w:ascii="Times New Roman" w:hAnsi="Times New Roman" w:cs="Times New Roman"/>
          <w:b/>
          <w:bCs/>
          <w:color w:val="000000" w:themeColor="text1"/>
          <w:sz w:val="26"/>
          <w:szCs w:val="26"/>
        </w:rPr>
      </w:pPr>
    </w:p>
    <w:p w14:paraId="70C0E622" w14:textId="02A33ECB" w:rsidR="00D167ED" w:rsidRPr="00102FD5" w:rsidRDefault="00D167ED" w:rsidP="00D167ED">
      <w:pPr>
        <w:keepNext/>
        <w:spacing w:line="480" w:lineRule="auto"/>
        <w:ind w:firstLine="360"/>
        <w:jc w:val="both"/>
        <w:outlineLvl w:val="2"/>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Rule 17(c) permits a subpoena to order a witness to produce “any books, papers, documents, data, or other objects the subpoena designates. Fed. R. Crim. P. 17(c)(1). On motion made promptly, the Court “may quash or modify the subpoena if compliance would </w:t>
      </w:r>
      <w:r w:rsidRPr="00102FD5">
        <w:rPr>
          <w:rFonts w:ascii="Times New Roman" w:hAnsi="Times New Roman" w:cs="Times New Roman"/>
          <w:color w:val="000000" w:themeColor="text1"/>
          <w:sz w:val="26"/>
          <w:szCs w:val="26"/>
        </w:rPr>
        <w:lastRenderedPageBreak/>
        <w:t xml:space="preserve">be unreasonable or oppressive.” Fed. R. Crim. P. 17(c)(2). The movant bears the burden of demonstrating that compliance would be unreasonable or oppressive. </w:t>
      </w:r>
      <w:r w:rsidRPr="005342FA">
        <w:rPr>
          <w:rFonts w:ascii="Times New Roman" w:hAnsi="Times New Roman" w:cs="Times New Roman"/>
          <w:i/>
          <w:iCs/>
          <w:color w:val="000000" w:themeColor="text1"/>
          <w:sz w:val="26"/>
          <w:szCs w:val="26"/>
        </w:rPr>
        <w:t>United States v. DNRB, Inc.</w:t>
      </w:r>
      <w:r w:rsidRPr="00102FD5">
        <w:rPr>
          <w:rFonts w:ascii="Times New Roman" w:hAnsi="Times New Roman" w:cs="Times New Roman"/>
          <w:color w:val="000000" w:themeColor="text1"/>
          <w:sz w:val="26"/>
          <w:szCs w:val="26"/>
        </w:rPr>
        <w:t>, 257 F. Supp. 3d 1033 (W.D. Mo. 2017).</w:t>
      </w:r>
    </w:p>
    <w:p w14:paraId="3349ABBA" w14:textId="77777777" w:rsidR="00D167ED" w:rsidRPr="00102FD5" w:rsidRDefault="00D167ED" w:rsidP="00D167ED">
      <w:pPr>
        <w:keepNext/>
        <w:spacing w:line="480" w:lineRule="auto"/>
        <w:ind w:firstLine="360"/>
        <w:jc w:val="both"/>
        <w:outlineLvl w:val="2"/>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The party seeking pretrial production under Rule 17(c) must show: (1) that the documents are evidentiary and relevant; (2) that they are not otherwise procurable reasonably in advance of trial by exercise of due diligence; (3) that the party cannot properly prepare for trial without such production and inspection in advance of trial, and that failure to obtain the inspection may tend unreasonably to delay the trial; and (4) that the application is made in good faith and is not intended as a general fishing expedition. </w:t>
      </w:r>
      <w:r w:rsidRPr="00102FD5">
        <w:rPr>
          <w:rFonts w:ascii="Times New Roman" w:hAnsi="Times New Roman" w:cs="Times New Roman"/>
          <w:i/>
          <w:iCs/>
          <w:color w:val="000000" w:themeColor="text1"/>
          <w:sz w:val="26"/>
          <w:szCs w:val="26"/>
        </w:rPr>
        <w:t>United States v. Nixon</w:t>
      </w:r>
      <w:r w:rsidRPr="00102FD5">
        <w:rPr>
          <w:rFonts w:ascii="Times New Roman" w:hAnsi="Times New Roman" w:cs="Times New Roman"/>
          <w:color w:val="000000" w:themeColor="text1"/>
          <w:sz w:val="26"/>
          <w:szCs w:val="26"/>
        </w:rPr>
        <w:t>, 418 U.S. 683, 699–700 (1974) (adopting the standard of</w:t>
      </w:r>
      <w:r w:rsidRPr="00102FD5">
        <w:rPr>
          <w:rFonts w:ascii="Times New Roman" w:hAnsi="Times New Roman" w:cs="Times New Roman"/>
          <w:i/>
          <w:iCs/>
          <w:color w:val="000000" w:themeColor="text1"/>
          <w:sz w:val="26"/>
          <w:szCs w:val="26"/>
        </w:rPr>
        <w:t xml:space="preserve"> United States v. </w:t>
      </w:r>
      <w:proofErr w:type="spellStart"/>
      <w:r w:rsidRPr="00102FD5">
        <w:rPr>
          <w:rFonts w:ascii="Times New Roman" w:hAnsi="Times New Roman" w:cs="Times New Roman"/>
          <w:i/>
          <w:iCs/>
          <w:color w:val="000000" w:themeColor="text1"/>
          <w:sz w:val="26"/>
          <w:szCs w:val="26"/>
        </w:rPr>
        <w:t>Iozia</w:t>
      </w:r>
      <w:proofErr w:type="spellEnd"/>
      <w:r w:rsidRPr="00102FD5">
        <w:rPr>
          <w:rFonts w:ascii="Times New Roman" w:hAnsi="Times New Roman" w:cs="Times New Roman"/>
          <w:color w:val="000000" w:themeColor="text1"/>
          <w:sz w:val="26"/>
          <w:szCs w:val="26"/>
        </w:rPr>
        <w:t>, 13 F.R.D. 335, 338 (S.D.N.Y. 1952)).</w:t>
      </w:r>
    </w:p>
    <w:p w14:paraId="2C4DBE56" w14:textId="77777777" w:rsidR="00D167ED" w:rsidRPr="00102FD5" w:rsidRDefault="00D167ED" w:rsidP="00D167ED">
      <w:pPr>
        <w:keepNext/>
        <w:spacing w:line="480" w:lineRule="auto"/>
        <w:ind w:firstLine="360"/>
        <w:jc w:val="both"/>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The defense, being the moving party, bears the burden of showing that compliance would be unreasonable or oppressive. </w:t>
      </w:r>
    </w:p>
    <w:p w14:paraId="3D8BB2D2" w14:textId="77777777" w:rsidR="00D167ED" w:rsidRPr="00102FD5" w:rsidRDefault="00D167ED" w:rsidP="00D167ED">
      <w:pPr>
        <w:keepNext/>
        <w:spacing w:line="480" w:lineRule="auto"/>
        <w:ind w:firstLine="360"/>
        <w:jc w:val="both"/>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The records requested are evidentiary and relevant. The subpoena seeks Armana’s records of a specific interview of a specific witness on a specific date. Seton’s interview is a detailed account of how Coastal functioned, the legitimacy of the work performed by the company, Chandler’s role as a nominee, and who had real decision-making authority. </w:t>
      </w:r>
      <w:r w:rsidRPr="00102FD5">
        <w:rPr>
          <w:rFonts w:ascii="Times New Roman" w:hAnsi="Times New Roman" w:cs="Times New Roman"/>
          <w:sz w:val="26"/>
          <w:szCs w:val="26"/>
        </w:rPr>
        <w:t>(Ex. 21; Armana Dep. 46:127–46:128.)</w:t>
      </w:r>
      <w:r w:rsidRPr="00102FD5">
        <w:rPr>
          <w:rFonts w:ascii="Times New Roman" w:hAnsi="Times New Roman" w:cs="Times New Roman"/>
          <w:color w:val="000000" w:themeColor="text1"/>
          <w:sz w:val="26"/>
          <w:szCs w:val="26"/>
        </w:rPr>
        <w:t xml:space="preserve"> These are a record of statements that directly bear on the elements that the government must prove. </w:t>
      </w:r>
    </w:p>
    <w:p w14:paraId="33580A5E" w14:textId="77777777" w:rsidR="00D167ED" w:rsidRPr="00102FD5" w:rsidRDefault="00D167ED" w:rsidP="00D167ED">
      <w:pPr>
        <w:keepNext/>
        <w:spacing w:line="480" w:lineRule="auto"/>
        <w:ind w:firstLine="360"/>
        <w:jc w:val="both"/>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The records are not otherwise procurable in advance of trial by due diligence. Seton fled the United States shortly after the interview with Armana. Last seen of the coast of Spain, neither Armana nor the government has been able to locate her.</w:t>
      </w:r>
      <w:r w:rsidRPr="00102FD5">
        <w:rPr>
          <w:rFonts w:ascii="Times New Roman" w:hAnsi="Times New Roman" w:cs="Times New Roman"/>
          <w:sz w:val="26"/>
          <w:szCs w:val="26"/>
        </w:rPr>
        <w:t xml:space="preserve"> (Armana Dep. at </w:t>
      </w:r>
      <w:r w:rsidRPr="00102FD5">
        <w:rPr>
          <w:rFonts w:ascii="Times New Roman" w:hAnsi="Times New Roman" w:cs="Times New Roman"/>
          <w:sz w:val="26"/>
          <w:szCs w:val="26"/>
        </w:rPr>
        <w:lastRenderedPageBreak/>
        <w:t>46:151–46:159.)</w:t>
      </w:r>
      <w:r w:rsidRPr="00102FD5">
        <w:rPr>
          <w:rFonts w:ascii="Times New Roman" w:hAnsi="Times New Roman" w:cs="Times New Roman"/>
          <w:color w:val="000000" w:themeColor="text1"/>
          <w:sz w:val="26"/>
          <w:szCs w:val="26"/>
        </w:rPr>
        <w:t xml:space="preserve"> She is not available to be interviewed or deposed. There are no witnesses that can give a testimony of equivalent factual value. Armana’s notes are the only detailed contemporaneous record of what Seton said. </w:t>
      </w:r>
    </w:p>
    <w:p w14:paraId="10433D55" w14:textId="77777777" w:rsidR="0060121C" w:rsidRPr="0060121C" w:rsidRDefault="0060121C" w:rsidP="0060121C">
      <w:pPr>
        <w:keepNext/>
        <w:spacing w:line="480" w:lineRule="auto"/>
        <w:ind w:firstLine="360"/>
        <w:jc w:val="both"/>
        <w:rPr>
          <w:rFonts w:ascii="Times New Roman" w:hAnsi="Times New Roman" w:cs="Times New Roman"/>
          <w:sz w:val="26"/>
          <w:szCs w:val="26"/>
        </w:rPr>
      </w:pPr>
      <w:r w:rsidRPr="0060121C">
        <w:rPr>
          <w:rFonts w:ascii="Times New Roman" w:hAnsi="Times New Roman" w:cs="Times New Roman"/>
          <w:sz w:val="26"/>
          <w:szCs w:val="26"/>
        </w:rPr>
        <w:t>The government cannot properly prepare for trial without such production and inspection. Coastal operations are key to proving a money-laundering conspiracy. Without access to the records before trial, the government is incapable of determining if the facts found within are admissible through another witness. Withholding these records would risk delay.</w:t>
      </w:r>
    </w:p>
    <w:p w14:paraId="7E949B60" w14:textId="77777777" w:rsidR="0060121C" w:rsidRPr="0060121C" w:rsidRDefault="0060121C" w:rsidP="0060121C">
      <w:pPr>
        <w:keepNext/>
        <w:spacing w:line="480" w:lineRule="auto"/>
        <w:ind w:firstLine="360"/>
        <w:jc w:val="both"/>
        <w:rPr>
          <w:rFonts w:ascii="Times New Roman" w:hAnsi="Times New Roman" w:cs="Times New Roman"/>
          <w:sz w:val="26"/>
          <w:szCs w:val="26"/>
        </w:rPr>
      </w:pPr>
      <w:r w:rsidRPr="0060121C">
        <w:rPr>
          <w:rFonts w:ascii="Times New Roman" w:hAnsi="Times New Roman" w:cs="Times New Roman"/>
          <w:sz w:val="26"/>
          <w:szCs w:val="26"/>
        </w:rPr>
        <w:t xml:space="preserve">The application is not a fishing expedition and was made in good faith. The materials requested are </w:t>
      </w:r>
      <w:proofErr w:type="gramStart"/>
      <w:r w:rsidRPr="0060121C">
        <w:rPr>
          <w:rFonts w:ascii="Times New Roman" w:hAnsi="Times New Roman" w:cs="Times New Roman"/>
          <w:sz w:val="26"/>
          <w:szCs w:val="26"/>
        </w:rPr>
        <w:t>of</w:t>
      </w:r>
      <w:proofErr w:type="gramEnd"/>
      <w:r w:rsidRPr="0060121C">
        <w:rPr>
          <w:rFonts w:ascii="Times New Roman" w:hAnsi="Times New Roman" w:cs="Times New Roman"/>
          <w:sz w:val="26"/>
          <w:szCs w:val="26"/>
        </w:rPr>
        <w:t xml:space="preserve"> a singular interview </w:t>
      </w:r>
      <w:proofErr w:type="gramStart"/>
      <w:r w:rsidRPr="0060121C">
        <w:rPr>
          <w:rFonts w:ascii="Times New Roman" w:hAnsi="Times New Roman" w:cs="Times New Roman"/>
          <w:sz w:val="26"/>
          <w:szCs w:val="26"/>
        </w:rPr>
        <w:t>of</w:t>
      </w:r>
      <w:proofErr w:type="gramEnd"/>
      <w:r w:rsidRPr="0060121C">
        <w:rPr>
          <w:rFonts w:ascii="Times New Roman" w:hAnsi="Times New Roman" w:cs="Times New Roman"/>
          <w:sz w:val="26"/>
          <w:szCs w:val="26"/>
        </w:rPr>
        <w:t xml:space="preserve"> only one witness. It does not seek a slew of documents. </w:t>
      </w:r>
    </w:p>
    <w:p w14:paraId="32D9D699" w14:textId="2619A63E" w:rsidR="0060121C" w:rsidRPr="00102FD5" w:rsidRDefault="0060121C" w:rsidP="0060121C">
      <w:pPr>
        <w:keepNext/>
        <w:spacing w:line="480" w:lineRule="auto"/>
        <w:ind w:firstLine="360"/>
        <w:jc w:val="both"/>
        <w:rPr>
          <w:rFonts w:ascii="Times New Roman" w:hAnsi="Times New Roman" w:cs="Times New Roman"/>
          <w:sz w:val="26"/>
          <w:szCs w:val="26"/>
        </w:rPr>
      </w:pPr>
      <w:r w:rsidRPr="00102FD5">
        <w:rPr>
          <w:rFonts w:ascii="Times New Roman" w:hAnsi="Times New Roman" w:cs="Times New Roman"/>
          <w:sz w:val="26"/>
          <w:szCs w:val="26"/>
        </w:rPr>
        <w:t>The subpoena is proper under Rule 17(c). The Court should deny the motion to quash on these grounds.</w:t>
      </w:r>
    </w:p>
    <w:p w14:paraId="62CB45B4" w14:textId="39CFE4BE" w:rsidR="00C67DE2" w:rsidRPr="00102FD5" w:rsidRDefault="00C67DE2" w:rsidP="002C7F06">
      <w:pPr>
        <w:pStyle w:val="ListParagraph"/>
        <w:keepNext/>
        <w:numPr>
          <w:ilvl w:val="0"/>
          <w:numId w:val="48"/>
        </w:numPr>
        <w:jc w:val="both"/>
        <w:outlineLvl w:val="2"/>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The </w:t>
      </w:r>
      <w:r w:rsidR="000E3A05" w:rsidRPr="00102FD5">
        <w:rPr>
          <w:rFonts w:ascii="Times New Roman" w:hAnsi="Times New Roman" w:cs="Times New Roman"/>
          <w:b/>
          <w:bCs/>
          <w:color w:val="000000" w:themeColor="text1"/>
          <w:sz w:val="26"/>
          <w:szCs w:val="26"/>
        </w:rPr>
        <w:t xml:space="preserve">Seton </w:t>
      </w:r>
      <w:r w:rsidR="002C7F06" w:rsidRPr="00102FD5">
        <w:rPr>
          <w:rFonts w:ascii="Times New Roman" w:hAnsi="Times New Roman" w:cs="Times New Roman"/>
          <w:b/>
          <w:bCs/>
          <w:color w:val="000000" w:themeColor="text1"/>
          <w:sz w:val="26"/>
          <w:szCs w:val="26"/>
        </w:rPr>
        <w:t>Interview</w:t>
      </w:r>
      <w:r w:rsidR="000E3A05" w:rsidRPr="00102FD5">
        <w:rPr>
          <w:rFonts w:ascii="Times New Roman" w:hAnsi="Times New Roman" w:cs="Times New Roman"/>
          <w:b/>
          <w:bCs/>
          <w:color w:val="000000" w:themeColor="text1"/>
          <w:sz w:val="26"/>
          <w:szCs w:val="26"/>
        </w:rPr>
        <w:t xml:space="preserve"> Records are not Work Product Because Defendant has not Established</w:t>
      </w:r>
      <w:r w:rsidRPr="00102FD5">
        <w:rPr>
          <w:rFonts w:ascii="Times New Roman" w:hAnsi="Times New Roman" w:cs="Times New Roman"/>
          <w:b/>
          <w:bCs/>
          <w:color w:val="000000" w:themeColor="text1"/>
          <w:sz w:val="26"/>
          <w:szCs w:val="26"/>
        </w:rPr>
        <w:t xml:space="preserve"> </w:t>
      </w:r>
      <w:r w:rsidR="002C7F06" w:rsidRPr="00102FD5">
        <w:rPr>
          <w:rFonts w:ascii="Times New Roman" w:hAnsi="Times New Roman" w:cs="Times New Roman"/>
          <w:b/>
          <w:bCs/>
          <w:color w:val="000000" w:themeColor="text1"/>
          <w:sz w:val="26"/>
          <w:szCs w:val="26"/>
        </w:rPr>
        <w:t>that they were Prepared in Anticipation of this Litigation.</w:t>
      </w:r>
    </w:p>
    <w:p w14:paraId="17B11509" w14:textId="77777777" w:rsidR="002C7F06" w:rsidRPr="00102FD5" w:rsidRDefault="002C7F06" w:rsidP="002C7F06">
      <w:pPr>
        <w:pStyle w:val="ListParagraph"/>
        <w:keepNext/>
        <w:jc w:val="both"/>
        <w:outlineLvl w:val="2"/>
        <w:rPr>
          <w:rFonts w:ascii="Times New Roman" w:hAnsi="Times New Roman" w:cs="Times New Roman"/>
          <w:b/>
          <w:bCs/>
          <w:color w:val="000000" w:themeColor="text1"/>
          <w:sz w:val="26"/>
          <w:szCs w:val="26"/>
        </w:rPr>
      </w:pPr>
    </w:p>
    <w:p w14:paraId="55D0366C" w14:textId="77777777" w:rsidR="000A742A" w:rsidRPr="00102FD5" w:rsidRDefault="000A742A" w:rsidP="000A742A">
      <w:pPr>
        <w:keepNext/>
        <w:spacing w:line="480" w:lineRule="auto"/>
        <w:ind w:firstLine="360"/>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Court should reject the work-product claim. This protection applies only to documents and tangible things that are prepared in anticipation of litigation or for trial by or for another party or its representative. The Defendant has failed to establish that Armana’s interview </w:t>
      </w:r>
      <w:proofErr w:type="gramStart"/>
      <w:r w:rsidRPr="00102FD5">
        <w:rPr>
          <w:rFonts w:ascii="Times New Roman" w:hAnsi="Times New Roman" w:cs="Times New Roman"/>
          <w:color w:val="000000" w:themeColor="text1"/>
          <w:sz w:val="26"/>
          <w:szCs w:val="26"/>
        </w:rPr>
        <w:t>of</w:t>
      </w:r>
      <w:proofErr w:type="gramEnd"/>
      <w:r w:rsidRPr="00102FD5">
        <w:rPr>
          <w:rFonts w:ascii="Times New Roman" w:hAnsi="Times New Roman" w:cs="Times New Roman"/>
          <w:color w:val="000000" w:themeColor="text1"/>
          <w:sz w:val="26"/>
          <w:szCs w:val="26"/>
        </w:rPr>
        <w:t xml:space="preserve"> Sierra Seton meets this standard. </w:t>
      </w:r>
    </w:p>
    <w:p w14:paraId="2FC4A427" w14:textId="77777777" w:rsidR="000A742A" w:rsidRPr="00102FD5" w:rsidRDefault="000A742A" w:rsidP="000A742A">
      <w:pPr>
        <w:keepNext/>
        <w:spacing w:line="480" w:lineRule="auto"/>
        <w:ind w:firstLine="360"/>
        <w:outlineLvl w:val="2"/>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The work-product doctrine protects materials prepared in anticipation of litigation by or for a party or that party’s representative. Fed. R. Evid. 502(g)(2), </w:t>
      </w:r>
      <w:r w:rsidRPr="00102FD5">
        <w:rPr>
          <w:rFonts w:ascii="Times New Roman" w:hAnsi="Times New Roman" w:cs="Times New Roman"/>
          <w:i/>
          <w:iCs/>
          <w:color w:val="000000" w:themeColor="text1"/>
          <w:sz w:val="26"/>
          <w:szCs w:val="26"/>
        </w:rPr>
        <w:t>Hickman v. Taylor</w:t>
      </w:r>
      <w:r w:rsidRPr="00102FD5">
        <w:rPr>
          <w:rFonts w:ascii="Times New Roman" w:hAnsi="Times New Roman" w:cs="Times New Roman"/>
          <w:color w:val="000000" w:themeColor="text1"/>
          <w:sz w:val="26"/>
          <w:szCs w:val="26"/>
        </w:rPr>
        <w:t xml:space="preserve">, 329 U.S. 495, 510–11 (1947); </w:t>
      </w:r>
      <w:r w:rsidRPr="00102FD5">
        <w:rPr>
          <w:rFonts w:ascii="Times New Roman" w:hAnsi="Times New Roman" w:cs="Times New Roman"/>
          <w:i/>
          <w:iCs/>
          <w:color w:val="000000" w:themeColor="text1"/>
          <w:sz w:val="26"/>
          <w:szCs w:val="26"/>
        </w:rPr>
        <w:t>United States v. Nobles</w:t>
      </w:r>
      <w:r w:rsidRPr="00102FD5">
        <w:rPr>
          <w:rFonts w:ascii="Times New Roman" w:hAnsi="Times New Roman" w:cs="Times New Roman"/>
          <w:color w:val="000000" w:themeColor="text1"/>
          <w:sz w:val="26"/>
          <w:szCs w:val="26"/>
        </w:rPr>
        <w:t xml:space="preserve">, 422 U.S. 225, 236–39 (1975). The </w:t>
      </w:r>
      <w:r w:rsidRPr="00102FD5">
        <w:rPr>
          <w:rFonts w:ascii="Times New Roman" w:hAnsi="Times New Roman" w:cs="Times New Roman"/>
          <w:color w:val="000000" w:themeColor="text1"/>
          <w:sz w:val="26"/>
          <w:szCs w:val="26"/>
        </w:rPr>
        <w:lastRenderedPageBreak/>
        <w:t>doctrine applies in criminal cases and can extend to materials prepared by a private investigator working at counsel’s direction.</w:t>
      </w:r>
      <w:r w:rsidRPr="00102FD5">
        <w:rPr>
          <w:rFonts w:ascii="Times New Roman" w:hAnsi="Times New Roman" w:cs="Times New Roman"/>
          <w:i/>
          <w:iCs/>
          <w:color w:val="000000" w:themeColor="text1"/>
          <w:sz w:val="26"/>
          <w:szCs w:val="26"/>
        </w:rPr>
        <w:t xml:space="preserve"> Nobles</w:t>
      </w:r>
      <w:r w:rsidRPr="00102FD5">
        <w:rPr>
          <w:rFonts w:ascii="Times New Roman" w:hAnsi="Times New Roman" w:cs="Times New Roman"/>
          <w:color w:val="000000" w:themeColor="text1"/>
          <w:sz w:val="26"/>
          <w:szCs w:val="26"/>
        </w:rPr>
        <w:t xml:space="preserve">, 422 U.S. at 238–39. To qualify as work product, the claimant must show that both (1) that the materials were prepared by or for the party, or the party’s representative, and (2) that they were prepared in anticipation of litigation.  </w:t>
      </w:r>
    </w:p>
    <w:p w14:paraId="25DA3A9F" w14:textId="77777777" w:rsidR="000A742A" w:rsidRPr="00102FD5" w:rsidRDefault="000A742A" w:rsidP="000A742A">
      <w:pPr>
        <w:keepNext/>
        <w:spacing w:line="480" w:lineRule="auto"/>
        <w:ind w:firstLine="360"/>
        <w:outlineLvl w:val="2"/>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Most courts apply the “because of” test: whether, </w:t>
      </w:r>
      <w:proofErr w:type="gramStart"/>
      <w:r w:rsidRPr="00102FD5">
        <w:rPr>
          <w:rFonts w:ascii="Times New Roman" w:hAnsi="Times New Roman" w:cs="Times New Roman"/>
          <w:color w:val="000000" w:themeColor="text1"/>
          <w:sz w:val="26"/>
          <w:szCs w:val="26"/>
        </w:rPr>
        <w:t>in light of</w:t>
      </w:r>
      <w:proofErr w:type="gramEnd"/>
      <w:r w:rsidRPr="00102FD5">
        <w:rPr>
          <w:rFonts w:ascii="Times New Roman" w:hAnsi="Times New Roman" w:cs="Times New Roman"/>
          <w:color w:val="000000" w:themeColor="text1"/>
          <w:sz w:val="26"/>
          <w:szCs w:val="26"/>
        </w:rPr>
        <w:t xml:space="preserve"> the nature of the document and the factual situation, the materials can fairly be said to have been prepared because of the prospect of litigation. </w:t>
      </w:r>
      <w:r w:rsidRPr="00102FD5">
        <w:rPr>
          <w:rFonts w:ascii="Times New Roman" w:hAnsi="Times New Roman" w:cs="Times New Roman"/>
          <w:i/>
          <w:iCs/>
          <w:color w:val="000000" w:themeColor="text1"/>
          <w:sz w:val="26"/>
          <w:szCs w:val="26"/>
        </w:rPr>
        <w:t>United States v. Adlman</w:t>
      </w:r>
      <w:r w:rsidRPr="00102FD5">
        <w:rPr>
          <w:rFonts w:ascii="Times New Roman" w:hAnsi="Times New Roman" w:cs="Times New Roman"/>
          <w:color w:val="000000" w:themeColor="text1"/>
          <w:sz w:val="26"/>
          <w:szCs w:val="26"/>
        </w:rPr>
        <w:t xml:space="preserve">, 134 F.3d 1194, 1202 (2d Cir. 1998). Materials prepared in the ordinary course of investigation, or that would have been created in substantially the same form irrespective of litigation, are not protected. </w:t>
      </w:r>
      <w:r w:rsidRPr="00102FD5">
        <w:rPr>
          <w:rFonts w:ascii="Times New Roman" w:hAnsi="Times New Roman" w:cs="Times New Roman"/>
          <w:i/>
          <w:iCs/>
          <w:color w:val="000000" w:themeColor="text1"/>
          <w:sz w:val="26"/>
          <w:szCs w:val="26"/>
        </w:rPr>
        <w:t>Adlman</w:t>
      </w:r>
      <w:r w:rsidRPr="00102FD5">
        <w:rPr>
          <w:rFonts w:ascii="Times New Roman" w:hAnsi="Times New Roman" w:cs="Times New Roman"/>
          <w:color w:val="000000" w:themeColor="text1"/>
          <w:sz w:val="26"/>
          <w:szCs w:val="26"/>
        </w:rPr>
        <w:t>, 134 F.3d at 1202.</w:t>
      </w:r>
    </w:p>
    <w:p w14:paraId="4007A00E" w14:textId="77777777" w:rsidR="000A742A" w:rsidRPr="00102FD5" w:rsidRDefault="000A742A" w:rsidP="000A742A">
      <w:pPr>
        <w:keepNext/>
        <w:spacing w:line="480" w:lineRule="auto"/>
        <w:ind w:firstLine="360"/>
        <w:outlineLvl w:val="2"/>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Work-product protection does not arise from a remote or inchoate possibility of future litigation. </w:t>
      </w:r>
      <w:r w:rsidRPr="00102FD5">
        <w:rPr>
          <w:rFonts w:ascii="Times New Roman" w:hAnsi="Times New Roman" w:cs="Times New Roman"/>
          <w:i/>
          <w:color w:val="000000" w:themeColor="text1"/>
          <w:sz w:val="26"/>
          <w:szCs w:val="26"/>
        </w:rPr>
        <w:t>Diversified Indus., Inc. v. Meredith</w:t>
      </w:r>
      <w:r w:rsidRPr="00102FD5">
        <w:rPr>
          <w:rFonts w:ascii="Times New Roman" w:hAnsi="Times New Roman" w:cs="Times New Roman"/>
          <w:color w:val="000000" w:themeColor="text1"/>
          <w:sz w:val="26"/>
          <w:szCs w:val="26"/>
        </w:rPr>
        <w:t xml:space="preserve">, 572 F.2d 596, 604 (8th Cir. 1977). “There must be more than a remote possibility; there must be an identifiable prospect of litigation and a specific claim supported by concrete facts.” </w:t>
      </w:r>
      <w:r w:rsidRPr="00102FD5">
        <w:rPr>
          <w:rFonts w:ascii="Times New Roman" w:hAnsi="Times New Roman" w:cs="Times New Roman"/>
          <w:i/>
          <w:color w:val="000000" w:themeColor="text1"/>
          <w:sz w:val="26"/>
          <w:szCs w:val="26"/>
        </w:rPr>
        <w:t>Fox v. Cal. Sierra Fin. Servs.</w:t>
      </w:r>
      <w:r w:rsidRPr="00102FD5">
        <w:rPr>
          <w:rFonts w:ascii="Times New Roman" w:hAnsi="Times New Roman" w:cs="Times New Roman"/>
          <w:color w:val="000000" w:themeColor="text1"/>
          <w:sz w:val="26"/>
          <w:szCs w:val="26"/>
        </w:rPr>
        <w:t>, 120 F.R.D. 520, 524–25 (N.D. Cal. 1988).</w:t>
      </w:r>
    </w:p>
    <w:p w14:paraId="7F941F0F" w14:textId="77777777" w:rsidR="000A742A" w:rsidRPr="00102FD5" w:rsidRDefault="000A742A" w:rsidP="000A742A">
      <w:pPr>
        <w:keepNext/>
        <w:spacing w:line="480" w:lineRule="auto"/>
        <w:ind w:firstLine="360"/>
        <w:outlineLvl w:val="2"/>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Saint Donovan was arrested on January 26, 2024. (Sinclair Dep. 15:273–15:277.) The interview conducted by Armana occurred on February 15, 2024. The defendant was not indicted until September 23, </w:t>
      </w:r>
      <w:proofErr w:type="gramStart"/>
      <w:r w:rsidRPr="00102FD5">
        <w:rPr>
          <w:rFonts w:ascii="Times New Roman" w:hAnsi="Times New Roman" w:cs="Times New Roman"/>
          <w:color w:val="000000" w:themeColor="text1"/>
          <w:sz w:val="26"/>
          <w:szCs w:val="26"/>
        </w:rPr>
        <w:t>2025</w:t>
      </w:r>
      <w:proofErr w:type="gramEnd"/>
      <w:r w:rsidRPr="00102FD5">
        <w:rPr>
          <w:rFonts w:ascii="Times New Roman" w:hAnsi="Times New Roman" w:cs="Times New Roman"/>
          <w:color w:val="000000" w:themeColor="text1"/>
          <w:sz w:val="26"/>
          <w:szCs w:val="26"/>
        </w:rPr>
        <w:t xml:space="preserve"> nearly a year and a half later. </w:t>
      </w:r>
      <w:r w:rsidRPr="00102FD5">
        <w:rPr>
          <w:rFonts w:ascii="Times New Roman" w:hAnsi="Times New Roman" w:cs="Times New Roman"/>
          <w:sz w:val="26"/>
          <w:szCs w:val="26"/>
        </w:rPr>
        <w:t>(Case File_007.)</w:t>
      </w:r>
      <w:r w:rsidRPr="00102FD5">
        <w:rPr>
          <w:rFonts w:ascii="Times New Roman" w:hAnsi="Times New Roman" w:cs="Times New Roman"/>
          <w:color w:val="000000" w:themeColor="text1"/>
          <w:sz w:val="26"/>
          <w:szCs w:val="26"/>
        </w:rPr>
        <w:t xml:space="preserve"> At the time of Armana’s interview with Seton, the only criminal proceeding was the homicide prosecution of Donovan. The defense has not established why an arrest of a business </w:t>
      </w:r>
      <w:r w:rsidRPr="00102FD5">
        <w:rPr>
          <w:rFonts w:ascii="Times New Roman" w:hAnsi="Times New Roman" w:cs="Times New Roman"/>
          <w:color w:val="000000" w:themeColor="text1"/>
          <w:sz w:val="26"/>
          <w:szCs w:val="26"/>
        </w:rPr>
        <w:lastRenderedPageBreak/>
        <w:t xml:space="preserve">partner for murder would constitute grounds for a prospect of litigation against the Defendant. </w:t>
      </w:r>
    </w:p>
    <w:p w14:paraId="70788AD1" w14:textId="77777777" w:rsidR="000A742A" w:rsidRPr="00102FD5" w:rsidRDefault="000A742A" w:rsidP="000A742A">
      <w:pPr>
        <w:keepNext/>
        <w:spacing w:line="480" w:lineRule="auto"/>
        <w:ind w:firstLine="360"/>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The defense has not met its burden of showing that Armana’s interview, </w:t>
      </w:r>
      <w:proofErr w:type="gramStart"/>
      <w:r w:rsidRPr="00102FD5">
        <w:rPr>
          <w:rFonts w:ascii="Times New Roman" w:hAnsi="Times New Roman" w:cs="Times New Roman"/>
          <w:color w:val="000000" w:themeColor="text1"/>
          <w:sz w:val="26"/>
          <w:szCs w:val="26"/>
        </w:rPr>
        <w:t>Exhibit</w:t>
      </w:r>
      <w:proofErr w:type="gramEnd"/>
      <w:r w:rsidRPr="00102FD5">
        <w:rPr>
          <w:rFonts w:ascii="Times New Roman" w:hAnsi="Times New Roman" w:cs="Times New Roman"/>
          <w:color w:val="000000" w:themeColor="text1"/>
          <w:sz w:val="26"/>
          <w:szCs w:val="26"/>
        </w:rPr>
        <w:t xml:space="preserve"> 21, was prepared in anticipation of litigation against the Defendant. The notes should be treated as unprotected investigative material and produced in response to the subpoena.</w:t>
      </w:r>
    </w:p>
    <w:p w14:paraId="1BB22920" w14:textId="5116F6E0" w:rsidR="00AC3016" w:rsidRPr="00102FD5" w:rsidRDefault="000A742A" w:rsidP="000A742A">
      <w:pPr>
        <w:pStyle w:val="ListParagraph"/>
        <w:keepNext/>
        <w:numPr>
          <w:ilvl w:val="0"/>
          <w:numId w:val="48"/>
        </w:numPr>
        <w:jc w:val="both"/>
        <w:outlineLvl w:val="2"/>
        <w:rPr>
          <w:rFonts w:ascii="Times New Roman" w:hAnsi="Times New Roman" w:cs="Times New Roman"/>
          <w:b/>
          <w:bCs/>
          <w:color w:val="000000" w:themeColor="text1"/>
          <w:sz w:val="26"/>
          <w:szCs w:val="26"/>
        </w:rPr>
      </w:pPr>
      <w:r w:rsidRPr="00102FD5">
        <w:rPr>
          <w:rFonts w:ascii="Times New Roman" w:hAnsi="Times New Roman" w:cs="Times New Roman"/>
          <w:b/>
          <w:bCs/>
          <w:color w:val="000000" w:themeColor="text1"/>
          <w:sz w:val="26"/>
          <w:szCs w:val="26"/>
        </w:rPr>
        <w:t xml:space="preserve">If Some Work-Product Protection Applies, </w:t>
      </w:r>
      <w:proofErr w:type="gramStart"/>
      <w:r w:rsidRPr="00102FD5">
        <w:rPr>
          <w:rFonts w:ascii="Times New Roman" w:hAnsi="Times New Roman" w:cs="Times New Roman"/>
          <w:b/>
          <w:bCs/>
          <w:color w:val="000000" w:themeColor="text1"/>
          <w:sz w:val="26"/>
          <w:szCs w:val="26"/>
        </w:rPr>
        <w:t>It</w:t>
      </w:r>
      <w:proofErr w:type="gramEnd"/>
      <w:r w:rsidRPr="00102FD5">
        <w:rPr>
          <w:rFonts w:ascii="Times New Roman" w:hAnsi="Times New Roman" w:cs="Times New Roman"/>
          <w:b/>
          <w:bCs/>
          <w:color w:val="000000" w:themeColor="text1"/>
          <w:sz w:val="26"/>
          <w:szCs w:val="26"/>
        </w:rPr>
        <w:t xml:space="preserve"> does not Justify Quashing the Subpoena.</w:t>
      </w:r>
    </w:p>
    <w:p w14:paraId="3226CCEC" w14:textId="77777777" w:rsidR="00C67DE2" w:rsidRPr="00102FD5"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263E2D7D" w14:textId="77777777" w:rsidR="00102FD5" w:rsidRPr="00102FD5" w:rsidRDefault="00102FD5" w:rsidP="00102FD5">
      <w:pPr>
        <w:spacing w:line="480" w:lineRule="auto"/>
        <w:ind w:firstLine="630"/>
        <w:outlineLvl w:val="2"/>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If the Court finds work-product protection, it should still order the production of the factual content of the Seton interview records. Work product is not an absolute privilege that permits the concealment of a third-party witness’s account of facts. </w:t>
      </w:r>
    </w:p>
    <w:p w14:paraId="3A63EDA7" w14:textId="77777777" w:rsidR="00102FD5" w:rsidRPr="00102FD5" w:rsidRDefault="00102FD5" w:rsidP="00102FD5">
      <w:pPr>
        <w:spacing w:line="480" w:lineRule="auto"/>
        <w:ind w:firstLine="630"/>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Work </w:t>
      </w:r>
      <w:proofErr w:type="gramStart"/>
      <w:r w:rsidRPr="00102FD5">
        <w:rPr>
          <w:rFonts w:ascii="Times New Roman" w:hAnsi="Times New Roman" w:cs="Times New Roman"/>
          <w:color w:val="000000" w:themeColor="text1"/>
          <w:sz w:val="26"/>
          <w:szCs w:val="26"/>
        </w:rPr>
        <w:t>product is</w:t>
      </w:r>
      <w:proofErr w:type="gramEnd"/>
      <w:r w:rsidRPr="00102FD5">
        <w:rPr>
          <w:rFonts w:ascii="Times New Roman" w:hAnsi="Times New Roman" w:cs="Times New Roman"/>
          <w:color w:val="000000" w:themeColor="text1"/>
          <w:sz w:val="26"/>
          <w:szCs w:val="26"/>
        </w:rPr>
        <w:t xml:space="preserve"> divided into two separate categories: ordinary and opinion. Ordinary work </w:t>
      </w:r>
      <w:proofErr w:type="gramStart"/>
      <w:r w:rsidRPr="00102FD5">
        <w:rPr>
          <w:rFonts w:ascii="Times New Roman" w:hAnsi="Times New Roman" w:cs="Times New Roman"/>
          <w:color w:val="000000" w:themeColor="text1"/>
          <w:sz w:val="26"/>
          <w:szCs w:val="26"/>
        </w:rPr>
        <w:t>product is</w:t>
      </w:r>
      <w:proofErr w:type="gramEnd"/>
      <w:r w:rsidRPr="00102FD5">
        <w:rPr>
          <w:rFonts w:ascii="Times New Roman" w:hAnsi="Times New Roman" w:cs="Times New Roman"/>
          <w:color w:val="000000" w:themeColor="text1"/>
          <w:sz w:val="26"/>
          <w:szCs w:val="26"/>
        </w:rPr>
        <w:t xml:space="preserve"> composed of factual material assembled in anticipation of litigation, including witness statements. Opinion work product consists of an attorney’s or their representative’s mental impressions, opinions, strategies, and legal theories. </w:t>
      </w:r>
      <w:r w:rsidRPr="00102FD5">
        <w:rPr>
          <w:rFonts w:ascii="Times New Roman" w:hAnsi="Times New Roman" w:cs="Times New Roman"/>
          <w:i/>
          <w:color w:val="000000" w:themeColor="text1"/>
          <w:sz w:val="26"/>
          <w:szCs w:val="26"/>
        </w:rPr>
        <w:t>Hickman</w:t>
      </w:r>
      <w:r w:rsidRPr="00102FD5">
        <w:rPr>
          <w:rFonts w:ascii="Times New Roman" w:hAnsi="Times New Roman" w:cs="Times New Roman"/>
          <w:color w:val="000000" w:themeColor="text1"/>
          <w:sz w:val="26"/>
          <w:szCs w:val="26"/>
        </w:rPr>
        <w:t xml:space="preserve">, 329 U.S. at 510–12; </w:t>
      </w:r>
      <w:r w:rsidRPr="00102FD5">
        <w:rPr>
          <w:rFonts w:ascii="Times New Roman" w:hAnsi="Times New Roman" w:cs="Times New Roman"/>
          <w:i/>
          <w:color w:val="000000" w:themeColor="text1"/>
          <w:sz w:val="26"/>
          <w:szCs w:val="26"/>
        </w:rPr>
        <w:t>Upjohn Co. v. United States</w:t>
      </w:r>
      <w:r w:rsidRPr="00102FD5">
        <w:rPr>
          <w:rFonts w:ascii="Times New Roman" w:hAnsi="Times New Roman" w:cs="Times New Roman"/>
          <w:color w:val="000000" w:themeColor="text1"/>
          <w:sz w:val="26"/>
          <w:szCs w:val="26"/>
        </w:rPr>
        <w:t>, 449 U.S. 383, 401–02 (1981).</w:t>
      </w:r>
    </w:p>
    <w:p w14:paraId="26A0F6F6" w14:textId="77777777" w:rsidR="00102FD5" w:rsidRPr="00102FD5" w:rsidRDefault="00102FD5" w:rsidP="00102FD5">
      <w:pPr>
        <w:spacing w:line="480" w:lineRule="auto"/>
        <w:ind w:firstLine="630"/>
        <w:rPr>
          <w:rFonts w:ascii="Times New Roman" w:hAnsi="Times New Roman" w:cs="Times New Roman"/>
          <w:sz w:val="26"/>
          <w:szCs w:val="26"/>
        </w:rPr>
      </w:pPr>
      <w:r w:rsidRPr="00102FD5">
        <w:rPr>
          <w:rFonts w:ascii="Times New Roman" w:hAnsi="Times New Roman" w:cs="Times New Roman"/>
          <w:color w:val="000000" w:themeColor="text1"/>
          <w:sz w:val="26"/>
          <w:szCs w:val="26"/>
        </w:rPr>
        <w:t xml:space="preserve">Ordinary work </w:t>
      </w:r>
      <w:proofErr w:type="gramStart"/>
      <w:r w:rsidRPr="00102FD5">
        <w:rPr>
          <w:rFonts w:ascii="Times New Roman" w:hAnsi="Times New Roman" w:cs="Times New Roman"/>
          <w:color w:val="000000" w:themeColor="text1"/>
          <w:sz w:val="26"/>
          <w:szCs w:val="26"/>
        </w:rPr>
        <w:t>product is</w:t>
      </w:r>
      <w:proofErr w:type="gramEnd"/>
      <w:r w:rsidRPr="00102FD5">
        <w:rPr>
          <w:rFonts w:ascii="Times New Roman" w:hAnsi="Times New Roman" w:cs="Times New Roman"/>
          <w:color w:val="000000" w:themeColor="text1"/>
          <w:sz w:val="26"/>
          <w:szCs w:val="26"/>
        </w:rPr>
        <w:t xml:space="preserve"> qualified, not absolute. When a witness’s own words are recorded, rather than commentary by a lawyer or investigator, they are the witness’s statements, not opinion work product. The Federal Rules of Criminal Procedure 26.2 </w:t>
      </w:r>
      <w:proofErr w:type="gramStart"/>
      <w:r w:rsidRPr="00102FD5">
        <w:rPr>
          <w:rFonts w:ascii="Times New Roman" w:hAnsi="Times New Roman" w:cs="Times New Roman"/>
          <w:color w:val="000000" w:themeColor="text1"/>
          <w:sz w:val="26"/>
          <w:szCs w:val="26"/>
        </w:rPr>
        <w:t>confirms</w:t>
      </w:r>
      <w:proofErr w:type="gramEnd"/>
      <w:r w:rsidRPr="00102FD5">
        <w:rPr>
          <w:rFonts w:ascii="Times New Roman" w:hAnsi="Times New Roman" w:cs="Times New Roman"/>
          <w:color w:val="000000" w:themeColor="text1"/>
          <w:sz w:val="26"/>
          <w:szCs w:val="26"/>
        </w:rPr>
        <w:t xml:space="preserve"> that a witness’s prior statements are a separate category of material, subject to production. Work </w:t>
      </w:r>
      <w:proofErr w:type="gramStart"/>
      <w:r w:rsidRPr="00102FD5">
        <w:rPr>
          <w:rFonts w:ascii="Times New Roman" w:hAnsi="Times New Roman" w:cs="Times New Roman"/>
          <w:color w:val="000000" w:themeColor="text1"/>
          <w:sz w:val="26"/>
          <w:szCs w:val="26"/>
        </w:rPr>
        <w:t>product does</w:t>
      </w:r>
      <w:proofErr w:type="gramEnd"/>
      <w:r w:rsidRPr="00102FD5">
        <w:rPr>
          <w:rFonts w:ascii="Times New Roman" w:hAnsi="Times New Roman" w:cs="Times New Roman"/>
          <w:color w:val="000000" w:themeColor="text1"/>
          <w:sz w:val="26"/>
          <w:szCs w:val="26"/>
        </w:rPr>
        <w:t xml:space="preserve"> not bar the production of a statement that is the witness’s own. </w:t>
      </w:r>
      <w:r w:rsidRPr="00102FD5">
        <w:rPr>
          <w:rFonts w:ascii="Times New Roman" w:hAnsi="Times New Roman" w:cs="Times New Roman"/>
          <w:i/>
          <w:iCs/>
          <w:color w:val="000000" w:themeColor="text1"/>
          <w:sz w:val="26"/>
          <w:szCs w:val="26"/>
        </w:rPr>
        <w:t>Goldberg v. United States</w:t>
      </w:r>
      <w:r w:rsidRPr="00102FD5">
        <w:rPr>
          <w:rFonts w:ascii="Times New Roman" w:hAnsi="Times New Roman" w:cs="Times New Roman"/>
          <w:color w:val="000000" w:themeColor="text1"/>
          <w:sz w:val="26"/>
          <w:szCs w:val="26"/>
        </w:rPr>
        <w:t>, 425 U.S. 94, 101–08 (1976).</w:t>
      </w:r>
    </w:p>
    <w:p w14:paraId="3932ACD9" w14:textId="77777777" w:rsidR="003170DC" w:rsidRDefault="00102FD5" w:rsidP="003170DC">
      <w:pPr>
        <w:spacing w:line="480" w:lineRule="auto"/>
        <w:ind w:firstLine="630"/>
        <w:rPr>
          <w:rFonts w:ascii="Times New Roman" w:hAnsi="Times New Roman" w:cs="Times New Roman"/>
          <w:sz w:val="26"/>
          <w:szCs w:val="26"/>
        </w:rPr>
      </w:pPr>
      <w:r w:rsidRPr="00102FD5">
        <w:rPr>
          <w:rFonts w:ascii="Times New Roman" w:hAnsi="Times New Roman" w:cs="Times New Roman"/>
          <w:color w:val="000000" w:themeColor="text1"/>
          <w:sz w:val="26"/>
          <w:szCs w:val="26"/>
        </w:rPr>
        <w:lastRenderedPageBreak/>
        <w:t xml:space="preserve">The records requested, if </w:t>
      </w:r>
      <w:proofErr w:type="gramStart"/>
      <w:r w:rsidRPr="00102FD5">
        <w:rPr>
          <w:rFonts w:ascii="Times New Roman" w:hAnsi="Times New Roman" w:cs="Times New Roman"/>
          <w:color w:val="000000" w:themeColor="text1"/>
          <w:sz w:val="26"/>
          <w:szCs w:val="26"/>
        </w:rPr>
        <w:t>protected at all</w:t>
      </w:r>
      <w:proofErr w:type="gramEnd"/>
      <w:r w:rsidRPr="00102FD5">
        <w:rPr>
          <w:rFonts w:ascii="Times New Roman" w:hAnsi="Times New Roman" w:cs="Times New Roman"/>
          <w:color w:val="000000" w:themeColor="text1"/>
          <w:sz w:val="26"/>
          <w:szCs w:val="26"/>
        </w:rPr>
        <w:t xml:space="preserve">, contain ordinary work </w:t>
      </w:r>
      <w:proofErr w:type="gramStart"/>
      <w:r w:rsidRPr="00102FD5">
        <w:rPr>
          <w:rFonts w:ascii="Times New Roman" w:hAnsi="Times New Roman" w:cs="Times New Roman"/>
          <w:color w:val="000000" w:themeColor="text1"/>
          <w:sz w:val="26"/>
          <w:szCs w:val="26"/>
        </w:rPr>
        <w:t>product</w:t>
      </w:r>
      <w:proofErr w:type="gramEnd"/>
      <w:r w:rsidRPr="00102FD5">
        <w:rPr>
          <w:rFonts w:ascii="Times New Roman" w:hAnsi="Times New Roman" w:cs="Times New Roman"/>
          <w:color w:val="000000" w:themeColor="text1"/>
          <w:sz w:val="26"/>
          <w:szCs w:val="26"/>
        </w:rPr>
        <w:t>. Armana states that their notes contain, “what the witness tells me as they tell me”, indicating that these notes represent a factual account of Seton’s statements. (Armana Dep. 46:121–46:122.)  The subpoena seeks Seton’s account about Coastal, Chandler, decision-making authority, and the movement of funds offshore.</w:t>
      </w:r>
      <w:r w:rsidRPr="00102FD5">
        <w:rPr>
          <w:rFonts w:ascii="Times New Roman" w:hAnsi="Times New Roman" w:cs="Times New Roman"/>
          <w:sz w:val="26"/>
          <w:szCs w:val="26"/>
        </w:rPr>
        <w:t xml:space="preserve"> (Ex. 21; Armana Dep. 46:127–46:128.)</w:t>
      </w:r>
      <w:r w:rsidRPr="00102FD5">
        <w:rPr>
          <w:rFonts w:ascii="Times New Roman" w:hAnsi="Times New Roman" w:cs="Times New Roman"/>
          <w:color w:val="000000" w:themeColor="text1"/>
          <w:sz w:val="26"/>
          <w:szCs w:val="26"/>
        </w:rPr>
        <w:t xml:space="preserve"> This is factual work product. If Armana’s notes contain mental impressions and thus opinion work product, they may be redacted during in-camera review. </w:t>
      </w:r>
    </w:p>
    <w:p w14:paraId="16015846" w14:textId="639DD649" w:rsidR="00102FD5" w:rsidRPr="003170DC" w:rsidRDefault="00102FD5" w:rsidP="003170DC">
      <w:pPr>
        <w:spacing w:line="480" w:lineRule="auto"/>
        <w:ind w:firstLine="630"/>
        <w:rPr>
          <w:rFonts w:ascii="Times New Roman" w:hAnsi="Times New Roman" w:cs="Times New Roman"/>
          <w:sz w:val="26"/>
          <w:szCs w:val="26"/>
        </w:rPr>
      </w:pPr>
      <w:r w:rsidRPr="00102FD5">
        <w:rPr>
          <w:rFonts w:ascii="Times New Roman" w:hAnsi="Times New Roman" w:cs="Times New Roman"/>
          <w:color w:val="000000" w:themeColor="text1"/>
          <w:sz w:val="26"/>
          <w:szCs w:val="26"/>
        </w:rPr>
        <w:t>The government asks the Court to (1) review the Seton interview records in camera; (2) order the production of the factual account of Seton’s statements; and (3) redact any of Armana’s mental impressions or opinions.</w:t>
      </w:r>
    </w:p>
    <w:p w14:paraId="39488F75" w14:textId="7B981F9A" w:rsidR="002F5288" w:rsidRPr="00102FD5" w:rsidRDefault="00F9582C" w:rsidP="00102FD5">
      <w:pPr>
        <w:spacing w:line="480" w:lineRule="auto"/>
        <w:contextualSpacing/>
        <w:jc w:val="center"/>
        <w:rPr>
          <w:rFonts w:ascii="Times New Roman" w:hAnsi="Times New Roman" w:cs="Times New Roman"/>
          <w:color w:val="000000" w:themeColor="text1"/>
          <w:sz w:val="26"/>
          <w:szCs w:val="26"/>
        </w:rPr>
      </w:pPr>
      <w:r w:rsidRPr="00102FD5">
        <w:rPr>
          <w:rFonts w:ascii="Times New Roman" w:hAnsi="Times New Roman" w:cs="Times New Roman"/>
          <w:b/>
          <w:bCs/>
          <w:smallCaps/>
          <w:color w:val="000000" w:themeColor="text1"/>
          <w:sz w:val="26"/>
          <w:szCs w:val="26"/>
        </w:rPr>
        <w:t>Conclusion</w:t>
      </w:r>
    </w:p>
    <w:p w14:paraId="6AF43456" w14:textId="6E2FF0DA" w:rsidR="00F9653F" w:rsidRPr="00102FD5" w:rsidRDefault="00F9582C" w:rsidP="00EA10DF">
      <w:pPr>
        <w:spacing w:line="480" w:lineRule="auto"/>
        <w:jc w:val="both"/>
        <w:rPr>
          <w:rFonts w:ascii="Times New Roman" w:hAnsi="Times New Roman" w:cs="Times New Roman"/>
          <w:color w:val="000000" w:themeColor="text1"/>
          <w:sz w:val="26"/>
          <w:szCs w:val="26"/>
        </w:rPr>
      </w:pPr>
      <w:r w:rsidRPr="00102FD5">
        <w:rPr>
          <w:rFonts w:ascii="Times New Roman" w:hAnsi="Times New Roman" w:cs="Times New Roman"/>
          <w:b/>
          <w:bCs/>
          <w:smallCaps/>
          <w:color w:val="000000" w:themeColor="text1"/>
          <w:sz w:val="26"/>
          <w:szCs w:val="26"/>
        </w:rPr>
        <w:tab/>
      </w:r>
      <w:r w:rsidRPr="00102FD5">
        <w:rPr>
          <w:rFonts w:ascii="Times New Roman" w:hAnsi="Times New Roman" w:cs="Times New Roman"/>
          <w:color w:val="000000" w:themeColor="text1"/>
          <w:sz w:val="26"/>
          <w:szCs w:val="26"/>
        </w:rPr>
        <w:t xml:space="preserve">For the foregoing reasons, </w:t>
      </w:r>
      <w:r w:rsidR="00AC3016" w:rsidRPr="00102FD5">
        <w:rPr>
          <w:rFonts w:ascii="Times New Roman" w:hAnsi="Times New Roman" w:cs="Times New Roman"/>
          <w:color w:val="000000" w:themeColor="text1"/>
          <w:sz w:val="26"/>
          <w:szCs w:val="26"/>
        </w:rPr>
        <w:t>Prosecution</w:t>
      </w:r>
      <w:r w:rsidRPr="00102FD5">
        <w:rPr>
          <w:rFonts w:ascii="Times New Roman" w:hAnsi="Times New Roman" w:cs="Times New Roman"/>
          <w:color w:val="000000" w:themeColor="text1"/>
          <w:sz w:val="26"/>
          <w:szCs w:val="26"/>
        </w:rPr>
        <w:t xml:space="preserve"> respectfully requests that this Court </w:t>
      </w:r>
      <w:r w:rsidR="00AC3016" w:rsidRPr="00102FD5">
        <w:rPr>
          <w:rFonts w:ascii="Times New Roman" w:hAnsi="Times New Roman" w:cs="Times New Roman"/>
          <w:color w:val="000000" w:themeColor="text1"/>
          <w:sz w:val="26"/>
          <w:szCs w:val="26"/>
        </w:rPr>
        <w:t>deny</w:t>
      </w:r>
      <w:r w:rsidRPr="00102FD5">
        <w:rPr>
          <w:rFonts w:ascii="Times New Roman" w:hAnsi="Times New Roman" w:cs="Times New Roman"/>
          <w:color w:val="000000" w:themeColor="text1"/>
          <w:sz w:val="26"/>
          <w:szCs w:val="26"/>
        </w:rPr>
        <w:t xml:space="preserve"> </w:t>
      </w:r>
      <w:r w:rsidR="00AC3016" w:rsidRPr="00102FD5">
        <w:rPr>
          <w:rFonts w:ascii="Times New Roman" w:hAnsi="Times New Roman" w:cs="Times New Roman"/>
          <w:color w:val="000000" w:themeColor="text1"/>
          <w:sz w:val="26"/>
          <w:szCs w:val="26"/>
        </w:rPr>
        <w:t>Defendant’s</w:t>
      </w:r>
      <w:r w:rsidRPr="00102FD5">
        <w:rPr>
          <w:rFonts w:ascii="Times New Roman" w:hAnsi="Times New Roman" w:cs="Times New Roman"/>
          <w:color w:val="000000" w:themeColor="text1"/>
          <w:sz w:val="26"/>
          <w:szCs w:val="26"/>
        </w:rPr>
        <w:t xml:space="preserve"> Motion </w:t>
      </w:r>
      <w:r w:rsidR="00AC3016" w:rsidRPr="00102FD5">
        <w:rPr>
          <w:rFonts w:ascii="Times New Roman" w:hAnsi="Times New Roman" w:cs="Times New Roman"/>
          <w:color w:val="000000" w:themeColor="text1"/>
          <w:sz w:val="26"/>
          <w:szCs w:val="26"/>
        </w:rPr>
        <w:t>to Suppress Evidence and Motion to Quash Subpoena</w:t>
      </w:r>
      <w:r w:rsidRPr="00102FD5">
        <w:rPr>
          <w:rFonts w:ascii="Times New Roman" w:hAnsi="Times New Roman" w:cs="Times New Roman"/>
          <w:color w:val="000000" w:themeColor="text1"/>
          <w:sz w:val="26"/>
          <w:szCs w:val="26"/>
        </w:rPr>
        <w:t>.</w:t>
      </w:r>
    </w:p>
    <w:p w14:paraId="615A6284" w14:textId="77777777" w:rsidR="00F9653F" w:rsidRPr="00102FD5" w:rsidRDefault="00F9582C" w:rsidP="00F9653F">
      <w:pPr>
        <w:spacing w:line="480" w:lineRule="auto"/>
        <w:ind w:left="576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Respectfully Submitted, </w:t>
      </w:r>
    </w:p>
    <w:p w14:paraId="0A894AA4" w14:textId="07F784D2" w:rsidR="00F9653F" w:rsidRPr="00102FD5" w:rsidRDefault="00F9582C" w:rsidP="001F0478">
      <w:pPr>
        <w:tabs>
          <w:tab w:val="left" w:pos="8100"/>
        </w:tabs>
        <w:ind w:left="576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u w:val="single"/>
        </w:rPr>
        <w:t xml:space="preserve">/s/ Team </w:t>
      </w:r>
      <w:r w:rsidR="000E2E84" w:rsidRPr="00102FD5">
        <w:rPr>
          <w:rFonts w:ascii="Times New Roman" w:hAnsi="Times New Roman" w:cs="Times New Roman"/>
          <w:color w:val="000000" w:themeColor="text1"/>
          <w:sz w:val="26"/>
          <w:szCs w:val="26"/>
          <w:u w:val="single"/>
        </w:rPr>
        <w:t>312</w:t>
      </w:r>
      <w:r w:rsidR="001F0478" w:rsidRPr="00102FD5">
        <w:rPr>
          <w:rFonts w:ascii="Times New Roman" w:hAnsi="Times New Roman" w:cs="Times New Roman"/>
          <w:color w:val="000000" w:themeColor="text1"/>
          <w:sz w:val="26"/>
          <w:szCs w:val="26"/>
          <w:u w:val="single"/>
        </w:rPr>
        <w:tab/>
      </w:r>
      <w:r w:rsidR="000E2E84" w:rsidRPr="00102FD5">
        <w:rPr>
          <w:rFonts w:ascii="Times New Roman" w:hAnsi="Times New Roman" w:cs="Times New Roman"/>
          <w:color w:val="000000" w:themeColor="text1"/>
          <w:sz w:val="26"/>
          <w:szCs w:val="26"/>
          <w:u w:val="single"/>
        </w:rPr>
        <w:tab/>
      </w:r>
      <w:r w:rsidR="001F0478" w:rsidRPr="00102FD5">
        <w:rPr>
          <w:rFonts w:ascii="Times New Roman" w:hAnsi="Times New Roman" w:cs="Times New Roman"/>
          <w:color w:val="000000" w:themeColor="text1"/>
          <w:sz w:val="26"/>
          <w:szCs w:val="26"/>
        </w:rPr>
        <w:t xml:space="preserve"> </w:t>
      </w:r>
    </w:p>
    <w:p w14:paraId="5E56F0C5" w14:textId="09624FC9" w:rsidR="00F9582C" w:rsidRPr="00102FD5" w:rsidRDefault="00F9582C" w:rsidP="001F0478">
      <w:pPr>
        <w:ind w:left="5760"/>
        <w:rPr>
          <w:rFonts w:ascii="Times New Roman" w:hAnsi="Times New Roman" w:cs="Times New Roman"/>
          <w:color w:val="000000" w:themeColor="text1"/>
          <w:sz w:val="26"/>
          <w:szCs w:val="26"/>
        </w:rPr>
      </w:pPr>
      <w:r w:rsidRPr="00102FD5">
        <w:rPr>
          <w:rFonts w:ascii="Times New Roman" w:hAnsi="Times New Roman" w:cs="Times New Roman"/>
          <w:color w:val="000000" w:themeColor="text1"/>
          <w:sz w:val="26"/>
          <w:szCs w:val="26"/>
        </w:rPr>
        <w:t xml:space="preserve">Attorneys for the </w:t>
      </w:r>
      <w:r w:rsidR="000F4E08" w:rsidRPr="00102FD5">
        <w:rPr>
          <w:rFonts w:ascii="Times New Roman" w:hAnsi="Times New Roman" w:cs="Times New Roman"/>
          <w:color w:val="000000" w:themeColor="text1"/>
          <w:sz w:val="26"/>
          <w:szCs w:val="26"/>
        </w:rPr>
        <w:t>Prosecution</w:t>
      </w:r>
    </w:p>
    <w:p w14:paraId="37B81369" w14:textId="1B9B8ABE" w:rsidR="00AC3016" w:rsidRPr="00265E2C" w:rsidRDefault="00AC3016" w:rsidP="001F0478">
      <w:pPr>
        <w:ind w:left="5760"/>
        <w:rPr>
          <w:rFonts w:ascii="Times New Roman" w:hAnsi="Times New Roman" w:cs="Times New Roman"/>
          <w:color w:val="000000" w:themeColor="text1"/>
          <w:sz w:val="26"/>
          <w:szCs w:val="26"/>
        </w:rPr>
      </w:pPr>
      <w:r w:rsidRPr="00265E2C">
        <w:rPr>
          <w:rFonts w:ascii="Times New Roman" w:hAnsi="Times New Roman" w:cs="Times New Roman"/>
          <w:color w:val="000000" w:themeColor="text1"/>
          <w:sz w:val="26"/>
          <w:szCs w:val="26"/>
        </w:rPr>
        <w:t xml:space="preserve"> </w:t>
      </w:r>
    </w:p>
    <w:sectPr w:rsidR="00AC3016" w:rsidRPr="00265E2C" w:rsidSect="0032277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9459" w14:textId="77777777" w:rsidR="0075221A" w:rsidRDefault="0075221A" w:rsidP="00A54F4A">
      <w:r>
        <w:separator/>
      </w:r>
    </w:p>
  </w:endnote>
  <w:endnote w:type="continuationSeparator" w:id="0">
    <w:p w14:paraId="28912BDC" w14:textId="77777777" w:rsidR="0075221A" w:rsidRDefault="0075221A" w:rsidP="00A5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3419996"/>
      <w:docPartObj>
        <w:docPartGallery w:val="Page Numbers (Bottom of Page)"/>
        <w:docPartUnique/>
      </w:docPartObj>
    </w:sdtPr>
    <w:sdtEndPr>
      <w:rPr>
        <w:rStyle w:val="PageNumber"/>
      </w:rPr>
    </w:sdtEndPr>
    <w:sdtContent>
      <w:p w14:paraId="36066C7C" w14:textId="77777777" w:rsidR="00475B07" w:rsidRDefault="00953743" w:rsidP="003227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F7CB12E" w14:textId="77777777" w:rsidR="00475B07" w:rsidRDefault="0047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6"/>
        <w:szCs w:val="26"/>
      </w:rPr>
      <w:id w:val="1260802220"/>
      <w:docPartObj>
        <w:docPartGallery w:val="Page Numbers (Bottom of Page)"/>
        <w:docPartUnique/>
      </w:docPartObj>
    </w:sdtPr>
    <w:sdtEndPr>
      <w:rPr>
        <w:rStyle w:val="PageNumber"/>
      </w:rPr>
    </w:sdtEndPr>
    <w:sdtContent>
      <w:p w14:paraId="79D94E4E" w14:textId="1A2D4033" w:rsidR="00322774" w:rsidRPr="00EA10DF" w:rsidRDefault="00322774" w:rsidP="009F2003">
        <w:pPr>
          <w:pStyle w:val="Footer"/>
          <w:framePr w:wrap="none" w:vAnchor="text" w:hAnchor="margin" w:xAlign="center" w:y="1"/>
          <w:rPr>
            <w:rStyle w:val="PageNumber"/>
            <w:rFonts w:ascii="Times New Roman" w:hAnsi="Times New Roman" w:cs="Times New Roman"/>
            <w:sz w:val="26"/>
            <w:szCs w:val="26"/>
          </w:rPr>
        </w:pPr>
        <w:r w:rsidRPr="00EA10DF">
          <w:rPr>
            <w:rStyle w:val="PageNumber"/>
            <w:rFonts w:ascii="Times New Roman" w:hAnsi="Times New Roman" w:cs="Times New Roman"/>
            <w:sz w:val="26"/>
            <w:szCs w:val="26"/>
          </w:rPr>
          <w:fldChar w:fldCharType="begin"/>
        </w:r>
        <w:r w:rsidRPr="00EA10DF">
          <w:rPr>
            <w:rStyle w:val="PageNumber"/>
            <w:rFonts w:ascii="Times New Roman" w:hAnsi="Times New Roman" w:cs="Times New Roman"/>
            <w:sz w:val="26"/>
            <w:szCs w:val="26"/>
          </w:rPr>
          <w:instrText xml:space="preserve"> PAGE </w:instrText>
        </w:r>
        <w:r w:rsidRPr="00EA10DF">
          <w:rPr>
            <w:rStyle w:val="PageNumber"/>
            <w:rFonts w:ascii="Times New Roman" w:hAnsi="Times New Roman" w:cs="Times New Roman"/>
            <w:sz w:val="26"/>
            <w:szCs w:val="26"/>
          </w:rPr>
          <w:fldChar w:fldCharType="separate"/>
        </w:r>
        <w:r w:rsidRPr="00EA10DF">
          <w:rPr>
            <w:rStyle w:val="PageNumber"/>
            <w:rFonts w:ascii="Times New Roman" w:hAnsi="Times New Roman" w:cs="Times New Roman"/>
            <w:noProof/>
            <w:sz w:val="26"/>
            <w:szCs w:val="26"/>
          </w:rPr>
          <w:t>ii</w:t>
        </w:r>
        <w:r w:rsidRPr="00EA10DF">
          <w:rPr>
            <w:rStyle w:val="PageNumber"/>
            <w:rFonts w:ascii="Times New Roman" w:hAnsi="Times New Roman" w:cs="Times New Roman"/>
            <w:sz w:val="26"/>
            <w:szCs w:val="26"/>
          </w:rPr>
          <w:fldChar w:fldCharType="end"/>
        </w:r>
      </w:p>
    </w:sdtContent>
  </w:sdt>
  <w:p w14:paraId="2F3EF937" w14:textId="1C0F62B6" w:rsidR="00322774" w:rsidRDefault="00322774" w:rsidP="00322774">
    <w:pPr>
      <w:pStyle w:val="Footer"/>
      <w:tabs>
        <w:tab w:val="clear" w:pos="4680"/>
        <w:tab w:val="clear" w:pos="936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3401125"/>
      <w:docPartObj>
        <w:docPartGallery w:val="Page Numbers (Bottom of Page)"/>
        <w:docPartUnique/>
      </w:docPartObj>
    </w:sdtPr>
    <w:sdtEndPr>
      <w:rPr>
        <w:rStyle w:val="PageNumber"/>
      </w:rPr>
    </w:sdtEndPr>
    <w:sdtContent>
      <w:p w14:paraId="1A46229F" w14:textId="403B5CCC" w:rsidR="00322774" w:rsidRDefault="00322774" w:rsidP="009F2003">
        <w:pPr>
          <w:pStyle w:val="Footer"/>
          <w:framePr w:wrap="none" w:vAnchor="text" w:hAnchor="margin" w:xAlign="center" w:y="1"/>
          <w:rPr>
            <w:rStyle w:val="PageNumber"/>
          </w:rPr>
        </w:pPr>
        <w:r w:rsidRPr="00EA10DF">
          <w:rPr>
            <w:rStyle w:val="PageNumber"/>
            <w:rFonts w:ascii="Times New Roman" w:hAnsi="Times New Roman" w:cs="Times New Roman"/>
            <w:sz w:val="26"/>
            <w:szCs w:val="26"/>
          </w:rPr>
          <w:fldChar w:fldCharType="begin"/>
        </w:r>
        <w:r w:rsidRPr="00EA10DF">
          <w:rPr>
            <w:rStyle w:val="PageNumber"/>
            <w:rFonts w:ascii="Times New Roman" w:hAnsi="Times New Roman" w:cs="Times New Roman"/>
            <w:sz w:val="26"/>
            <w:szCs w:val="26"/>
          </w:rPr>
          <w:instrText xml:space="preserve"> PAGE </w:instrText>
        </w:r>
        <w:r w:rsidRPr="00EA10DF">
          <w:rPr>
            <w:rStyle w:val="PageNumber"/>
            <w:rFonts w:ascii="Times New Roman" w:hAnsi="Times New Roman" w:cs="Times New Roman"/>
            <w:sz w:val="26"/>
            <w:szCs w:val="26"/>
          </w:rPr>
          <w:fldChar w:fldCharType="separate"/>
        </w:r>
        <w:r w:rsidRPr="00EA10DF">
          <w:rPr>
            <w:rStyle w:val="PageNumber"/>
            <w:rFonts w:ascii="Times New Roman" w:hAnsi="Times New Roman" w:cs="Times New Roman"/>
            <w:noProof/>
            <w:sz w:val="26"/>
            <w:szCs w:val="26"/>
          </w:rPr>
          <w:t>ii</w:t>
        </w:r>
        <w:r w:rsidRPr="00EA10DF">
          <w:rPr>
            <w:rStyle w:val="PageNumber"/>
            <w:rFonts w:ascii="Times New Roman" w:hAnsi="Times New Roman" w:cs="Times New Roman"/>
            <w:sz w:val="26"/>
            <w:szCs w:val="26"/>
          </w:rPr>
          <w:fldChar w:fldCharType="end"/>
        </w:r>
      </w:p>
    </w:sdtContent>
  </w:sdt>
  <w:p w14:paraId="58522C8F" w14:textId="77777777" w:rsidR="00322774" w:rsidRDefault="00322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44A5" w14:textId="77777777" w:rsidR="0075221A" w:rsidRDefault="0075221A" w:rsidP="00A54F4A">
      <w:r>
        <w:separator/>
      </w:r>
    </w:p>
  </w:footnote>
  <w:footnote w:type="continuationSeparator" w:id="0">
    <w:p w14:paraId="2553226F" w14:textId="77777777" w:rsidR="0075221A" w:rsidRDefault="0075221A" w:rsidP="00A54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293C" w14:textId="187B5A11" w:rsidR="004B5F07" w:rsidRPr="00DA2DF9" w:rsidRDefault="004B5F07" w:rsidP="00DA2DF9">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065E" w14:textId="039D26ED" w:rsidR="001F0478" w:rsidRPr="00322774" w:rsidRDefault="005375FB" w:rsidP="001F0478">
    <w:pPr>
      <w:pStyle w:val="Header"/>
      <w:jc w:val="right"/>
      <w:rPr>
        <w:rFonts w:ascii="Times New Roman" w:hAnsi="Times New Roman" w:cs="Times New Roman"/>
        <w:sz w:val="26"/>
        <w:szCs w:val="26"/>
      </w:rPr>
    </w:pPr>
    <w:r>
      <w:rPr>
        <w:rFonts w:ascii="Times New Roman" w:hAnsi="Times New Roman" w:cs="Times New Roman"/>
        <w:sz w:val="26"/>
        <w:szCs w:val="26"/>
      </w:rPr>
      <w:t xml:space="preserve">Team </w:t>
    </w:r>
    <w:r w:rsidR="000E2E84">
      <w:rPr>
        <w:rFonts w:ascii="Times New Roman" w:hAnsi="Times New Roman" w:cs="Times New Roman"/>
        <w:sz w:val="26"/>
        <w:szCs w:val="26"/>
      </w:rPr>
      <w:t xml:space="preserve">312 </w:t>
    </w:r>
    <w:r w:rsidR="00FA2D14">
      <w:rPr>
        <w:rFonts w:ascii="Times New Roman" w:hAnsi="Times New Roman" w:cs="Times New Roman"/>
        <w:sz w:val="26"/>
        <w:szCs w:val="26"/>
      </w:rPr>
      <w:t>–</w:t>
    </w:r>
    <w:r w:rsidR="000E2E84">
      <w:rPr>
        <w:rFonts w:ascii="Times New Roman" w:hAnsi="Times New Roman" w:cs="Times New Roman"/>
        <w:sz w:val="26"/>
        <w:szCs w:val="26"/>
      </w:rPr>
      <w:t xml:space="preserve"> </w:t>
    </w:r>
    <w:r w:rsidR="00FA2D14">
      <w:rPr>
        <w:rFonts w:ascii="Times New Roman" w:hAnsi="Times New Roman" w:cs="Times New Roman"/>
        <w:sz w:val="26"/>
        <w:szCs w:val="26"/>
      </w:rPr>
      <w:t>Non-Movant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410E" w14:textId="6A3F9684" w:rsidR="005375FB" w:rsidRPr="00322774" w:rsidRDefault="005375FB" w:rsidP="001F0478">
    <w:pPr>
      <w:pStyle w:val="Header"/>
      <w:jc w:val="right"/>
      <w:rPr>
        <w:rFonts w:ascii="Times New Roman" w:hAnsi="Times New Roman" w:cs="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103"/>
    <w:multiLevelType w:val="hybridMultilevel"/>
    <w:tmpl w:val="72464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EF2129"/>
    <w:multiLevelType w:val="hybridMultilevel"/>
    <w:tmpl w:val="AC9ED440"/>
    <w:lvl w:ilvl="0" w:tplc="9D50AFF4">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15:restartNumberingAfterBreak="0">
    <w:nsid w:val="073E08C5"/>
    <w:multiLevelType w:val="hybridMultilevel"/>
    <w:tmpl w:val="D1E01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11CEE"/>
    <w:multiLevelType w:val="hybridMultilevel"/>
    <w:tmpl w:val="6164A9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A1D7F"/>
    <w:multiLevelType w:val="hybridMultilevel"/>
    <w:tmpl w:val="5548FC9C"/>
    <w:lvl w:ilvl="0" w:tplc="4D926E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57DC"/>
    <w:multiLevelType w:val="hybridMultilevel"/>
    <w:tmpl w:val="71DC7410"/>
    <w:lvl w:ilvl="0" w:tplc="B358DA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3534F9"/>
    <w:multiLevelType w:val="hybridMultilevel"/>
    <w:tmpl w:val="0AD4EBE2"/>
    <w:lvl w:ilvl="0" w:tplc="BA4477B8">
      <w:start w:val="1"/>
      <w:numFmt w:val="upperRoman"/>
      <w:pStyle w:val="TOC2"/>
      <w:lvlText w:val="%1."/>
      <w:lvlJc w:val="left"/>
      <w:pPr>
        <w:ind w:left="1080" w:hanging="720"/>
      </w:pPr>
      <w:rPr>
        <w:rFonts w:ascii="Times New Roman" w:eastAsiaTheme="minorHAnsi" w:hAnsi="Times New Roman" w:cs="Times New Roman" w:hint="default"/>
        <w:b/>
        <w:color w:val="467886"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E461D"/>
    <w:multiLevelType w:val="multilevel"/>
    <w:tmpl w:val="5D9E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CE4CBB"/>
    <w:multiLevelType w:val="hybridMultilevel"/>
    <w:tmpl w:val="C220C6C4"/>
    <w:lvl w:ilvl="0" w:tplc="40C8A530">
      <w:start w:val="1"/>
      <w:numFmt w:val="upperRoman"/>
      <w:lvlText w:val="%1."/>
      <w:lvlJc w:val="left"/>
      <w:pPr>
        <w:ind w:left="720" w:hanging="720"/>
      </w:pPr>
      <w:rPr>
        <w:rFonts w:eastAsia="Times New Roman" w:cs="Times New Roman"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8B4DAA"/>
    <w:multiLevelType w:val="hybridMultilevel"/>
    <w:tmpl w:val="BACC9750"/>
    <w:lvl w:ilvl="0" w:tplc="70A046C8">
      <w:start w:val="1"/>
      <w:numFmt w:val="upperLetter"/>
      <w:lvlText w:val="%1."/>
      <w:lvlJc w:val="left"/>
      <w:pPr>
        <w:ind w:left="840" w:hanging="360"/>
      </w:pPr>
      <w:rPr>
        <w:rFonts w:ascii="Times New Roman" w:eastAsiaTheme="minorHAnsi" w:hAnsi="Times New Roman" w:cs="Times New Roman" w:hint="default"/>
        <w:b/>
        <w:color w:val="467886" w:themeColor="hyperlink"/>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15:restartNumberingAfterBreak="0">
    <w:nsid w:val="27FC1F8E"/>
    <w:multiLevelType w:val="hybridMultilevel"/>
    <w:tmpl w:val="034E49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3D533A"/>
    <w:multiLevelType w:val="hybridMultilevel"/>
    <w:tmpl w:val="D5CEDD98"/>
    <w:lvl w:ilvl="0" w:tplc="622802E8">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4670C2"/>
    <w:multiLevelType w:val="hybridMultilevel"/>
    <w:tmpl w:val="41409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E2C41"/>
    <w:multiLevelType w:val="hybridMultilevel"/>
    <w:tmpl w:val="57CC867C"/>
    <w:lvl w:ilvl="0" w:tplc="FE18758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DFC6BAB"/>
    <w:multiLevelType w:val="hybridMultilevel"/>
    <w:tmpl w:val="AD261F9A"/>
    <w:lvl w:ilvl="0" w:tplc="D0E0C49E">
      <w:start w:val="1"/>
      <w:numFmt w:val="decimal"/>
      <w:pStyle w:val="TOC3"/>
      <w:lvlText w:val="%1."/>
      <w:lvlJc w:val="left"/>
      <w:pPr>
        <w:ind w:left="1350" w:hanging="360"/>
      </w:pPr>
      <w:rPr>
        <w:rFonts w:ascii="Times New Roman" w:eastAsiaTheme="minorHAnsi" w:hAnsi="Times New Roman" w:cs="Times New Roman" w:hint="default"/>
        <w:b/>
        <w:color w:val="467886" w:themeColor="hyperlink"/>
        <w:u w:val="singl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30492AC0"/>
    <w:multiLevelType w:val="hybridMultilevel"/>
    <w:tmpl w:val="E7E87170"/>
    <w:lvl w:ilvl="0" w:tplc="C4D47AB2">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3BD47C82">
      <w:start w:val="1"/>
      <w:numFmt w:val="decimal"/>
      <w:lvlText w:val="%3."/>
      <w:lvlJc w:val="right"/>
      <w:pPr>
        <w:ind w:left="2520" w:hanging="180"/>
      </w:pPr>
      <w:rPr>
        <w:rFonts w:ascii="Times New Roman" w:eastAsiaTheme="minorHAnsi" w:hAnsi="Times New Roman" w:cs="Times New Roman"/>
      </w:rPr>
    </w:lvl>
    <w:lvl w:ilvl="3" w:tplc="316C7164">
      <w:start w:val="1"/>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8E2BAC"/>
    <w:multiLevelType w:val="hybridMultilevel"/>
    <w:tmpl w:val="D806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9C5BD6"/>
    <w:multiLevelType w:val="hybridMultilevel"/>
    <w:tmpl w:val="4C106346"/>
    <w:lvl w:ilvl="0" w:tplc="608A234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DE2D5E"/>
    <w:multiLevelType w:val="hybridMultilevel"/>
    <w:tmpl w:val="EB129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461A6"/>
    <w:multiLevelType w:val="hybridMultilevel"/>
    <w:tmpl w:val="B69023F0"/>
    <w:lvl w:ilvl="0" w:tplc="0260999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B659C5"/>
    <w:multiLevelType w:val="hybridMultilevel"/>
    <w:tmpl w:val="5548FC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6F6F23"/>
    <w:multiLevelType w:val="hybridMultilevel"/>
    <w:tmpl w:val="D5D856D4"/>
    <w:lvl w:ilvl="0" w:tplc="C2301E06">
      <w:start w:val="1"/>
      <w:numFmt w:val="upperRoman"/>
      <w:lvlText w:val="%1."/>
      <w:lvlJc w:val="left"/>
      <w:pPr>
        <w:ind w:left="720" w:hanging="720"/>
      </w:pPr>
      <w:rPr>
        <w:rFonts w:hint="default"/>
      </w:rPr>
    </w:lvl>
    <w:lvl w:ilvl="1" w:tplc="04090015">
      <w:start w:val="1"/>
      <w:numFmt w:val="upperLetter"/>
      <w:lvlText w:val="%2."/>
      <w:lvlJc w:val="left"/>
      <w:pPr>
        <w:ind w:left="1080" w:hanging="360"/>
      </w:pPr>
    </w:lvl>
    <w:lvl w:ilvl="2" w:tplc="0409000F">
      <w:start w:val="1"/>
      <w:numFmt w:val="decimal"/>
      <w:lvlText w:val="%3."/>
      <w:lvlJc w:val="left"/>
      <w:pPr>
        <w:ind w:left="117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34ED1"/>
    <w:multiLevelType w:val="hybridMultilevel"/>
    <w:tmpl w:val="18108E3C"/>
    <w:lvl w:ilvl="0" w:tplc="64D23B3E">
      <w:start w:val="2"/>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765526"/>
    <w:multiLevelType w:val="hybridMultilevel"/>
    <w:tmpl w:val="B2D6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F06B91"/>
    <w:multiLevelType w:val="hybridMultilevel"/>
    <w:tmpl w:val="F64683E2"/>
    <w:lvl w:ilvl="0" w:tplc="8F6EE3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30B1484"/>
    <w:multiLevelType w:val="hybridMultilevel"/>
    <w:tmpl w:val="D726649C"/>
    <w:lvl w:ilvl="0" w:tplc="D8C2051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442C93"/>
    <w:multiLevelType w:val="hybridMultilevel"/>
    <w:tmpl w:val="6226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D217C1"/>
    <w:multiLevelType w:val="multilevel"/>
    <w:tmpl w:val="5D9E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8D45F6"/>
    <w:multiLevelType w:val="hybridMultilevel"/>
    <w:tmpl w:val="15F820AE"/>
    <w:lvl w:ilvl="0" w:tplc="4BE8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6A2998"/>
    <w:multiLevelType w:val="hybridMultilevel"/>
    <w:tmpl w:val="5090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668D0"/>
    <w:multiLevelType w:val="hybridMultilevel"/>
    <w:tmpl w:val="A0EE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4377F9"/>
    <w:multiLevelType w:val="hybridMultilevel"/>
    <w:tmpl w:val="DAD4B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953538"/>
    <w:multiLevelType w:val="hybridMultilevel"/>
    <w:tmpl w:val="1CB80BC8"/>
    <w:lvl w:ilvl="0" w:tplc="D5942B0E">
      <w:start w:val="1"/>
      <w:numFmt w:val="bullet"/>
      <w:lvlText w:val="-"/>
      <w:lvlJc w:val="left"/>
      <w:pPr>
        <w:ind w:left="720" w:hanging="360"/>
      </w:pPr>
      <w:rPr>
        <w:rFonts w:ascii="Century Schoolbook" w:eastAsiaTheme="minorHAnsi" w:hAnsi="Century Schoolbook"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9742F5"/>
    <w:multiLevelType w:val="hybridMultilevel"/>
    <w:tmpl w:val="BFC815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C36517"/>
    <w:multiLevelType w:val="multilevel"/>
    <w:tmpl w:val="BFE6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110F00"/>
    <w:multiLevelType w:val="hybridMultilevel"/>
    <w:tmpl w:val="D480E39A"/>
    <w:lvl w:ilvl="0" w:tplc="C2301E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D86462"/>
    <w:multiLevelType w:val="hybridMultilevel"/>
    <w:tmpl w:val="E12026BE"/>
    <w:lvl w:ilvl="0" w:tplc="04090015">
      <w:start w:val="1"/>
      <w:numFmt w:val="upp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7" w15:restartNumberingAfterBreak="0">
    <w:nsid w:val="70484583"/>
    <w:multiLevelType w:val="hybridMultilevel"/>
    <w:tmpl w:val="E33E4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A83E3D"/>
    <w:multiLevelType w:val="hybridMultilevel"/>
    <w:tmpl w:val="451C9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F010E4"/>
    <w:multiLevelType w:val="hybridMultilevel"/>
    <w:tmpl w:val="C894839E"/>
    <w:lvl w:ilvl="0" w:tplc="CC28D9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5B1333"/>
    <w:multiLevelType w:val="multilevel"/>
    <w:tmpl w:val="5D9E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A6366B"/>
    <w:multiLevelType w:val="hybridMultilevel"/>
    <w:tmpl w:val="B69023F0"/>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D271687"/>
    <w:multiLevelType w:val="hybridMultilevel"/>
    <w:tmpl w:val="45740094"/>
    <w:lvl w:ilvl="0" w:tplc="097645E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D9F15D6"/>
    <w:multiLevelType w:val="hybridMultilevel"/>
    <w:tmpl w:val="A33C9E58"/>
    <w:lvl w:ilvl="0" w:tplc="A3441B50">
      <w:start w:val="1"/>
      <w:numFmt w:val="upperLetter"/>
      <w:lvlText w:val="%1."/>
      <w:lvlJc w:val="left"/>
      <w:pPr>
        <w:ind w:left="108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DFA4002"/>
    <w:multiLevelType w:val="hybridMultilevel"/>
    <w:tmpl w:val="88523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1D3CCD"/>
    <w:multiLevelType w:val="hybridMultilevel"/>
    <w:tmpl w:val="E58483DA"/>
    <w:lvl w:ilvl="0" w:tplc="47EEF3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FF8152C"/>
    <w:multiLevelType w:val="hybridMultilevel"/>
    <w:tmpl w:val="20E0BD50"/>
    <w:lvl w:ilvl="0" w:tplc="2966B9AA">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32542889">
    <w:abstractNumId w:val="8"/>
  </w:num>
  <w:num w:numId="2" w16cid:durableId="1941373100">
    <w:abstractNumId w:val="3"/>
  </w:num>
  <w:num w:numId="3" w16cid:durableId="1760175399">
    <w:abstractNumId w:val="38"/>
  </w:num>
  <w:num w:numId="4" w16cid:durableId="687103749">
    <w:abstractNumId w:val="43"/>
  </w:num>
  <w:num w:numId="5" w16cid:durableId="360202506">
    <w:abstractNumId w:val="16"/>
  </w:num>
  <w:num w:numId="6" w16cid:durableId="667055961">
    <w:abstractNumId w:val="39"/>
  </w:num>
  <w:num w:numId="7" w16cid:durableId="668488557">
    <w:abstractNumId w:val="23"/>
  </w:num>
  <w:num w:numId="8" w16cid:durableId="1867256907">
    <w:abstractNumId w:val="12"/>
  </w:num>
  <w:num w:numId="9" w16cid:durableId="1963685331">
    <w:abstractNumId w:val="37"/>
  </w:num>
  <w:num w:numId="10" w16cid:durableId="326173705">
    <w:abstractNumId w:val="34"/>
  </w:num>
  <w:num w:numId="11" w16cid:durableId="2073237496">
    <w:abstractNumId w:val="27"/>
  </w:num>
  <w:num w:numId="12" w16cid:durableId="459423302">
    <w:abstractNumId w:val="7"/>
  </w:num>
  <w:num w:numId="13" w16cid:durableId="948783079">
    <w:abstractNumId w:val="40"/>
  </w:num>
  <w:num w:numId="14" w16cid:durableId="1467162307">
    <w:abstractNumId w:val="30"/>
  </w:num>
  <w:num w:numId="15" w16cid:durableId="21639650">
    <w:abstractNumId w:val="26"/>
  </w:num>
  <w:num w:numId="16" w16cid:durableId="1263995920">
    <w:abstractNumId w:val="44"/>
  </w:num>
  <w:num w:numId="17" w16cid:durableId="1286421875">
    <w:abstractNumId w:val="28"/>
  </w:num>
  <w:num w:numId="18" w16cid:durableId="1006598316">
    <w:abstractNumId w:val="29"/>
  </w:num>
  <w:num w:numId="19" w16cid:durableId="1302156459">
    <w:abstractNumId w:val="18"/>
  </w:num>
  <w:num w:numId="20" w16cid:durableId="599945869">
    <w:abstractNumId w:val="32"/>
  </w:num>
  <w:num w:numId="21" w16cid:durableId="538664471">
    <w:abstractNumId w:val="31"/>
  </w:num>
  <w:num w:numId="22" w16cid:durableId="405340698">
    <w:abstractNumId w:val="21"/>
  </w:num>
  <w:num w:numId="23" w16cid:durableId="1413359447">
    <w:abstractNumId w:val="35"/>
  </w:num>
  <w:num w:numId="24" w16cid:durableId="324016257">
    <w:abstractNumId w:val="6"/>
  </w:num>
  <w:num w:numId="25" w16cid:durableId="1224028914">
    <w:abstractNumId w:val="9"/>
  </w:num>
  <w:num w:numId="26" w16cid:durableId="1389647095">
    <w:abstractNumId w:val="14"/>
  </w:num>
  <w:num w:numId="27" w16cid:durableId="2027319917">
    <w:abstractNumId w:val="14"/>
    <w:lvlOverride w:ilvl="0">
      <w:startOverride w:val="1"/>
    </w:lvlOverride>
  </w:num>
  <w:num w:numId="28" w16cid:durableId="971862007">
    <w:abstractNumId w:val="17"/>
  </w:num>
  <w:num w:numId="29" w16cid:durableId="103623359">
    <w:abstractNumId w:val="46"/>
  </w:num>
  <w:num w:numId="30" w16cid:durableId="299964717">
    <w:abstractNumId w:val="42"/>
  </w:num>
  <w:num w:numId="31" w16cid:durableId="1694725259">
    <w:abstractNumId w:val="24"/>
  </w:num>
  <w:num w:numId="32" w16cid:durableId="851334222">
    <w:abstractNumId w:val="36"/>
  </w:num>
  <w:num w:numId="33" w16cid:durableId="1423062544">
    <w:abstractNumId w:val="1"/>
  </w:num>
  <w:num w:numId="34" w16cid:durableId="1370296805">
    <w:abstractNumId w:val="45"/>
  </w:num>
  <w:num w:numId="35" w16cid:durableId="309284427">
    <w:abstractNumId w:val="5"/>
  </w:num>
  <w:num w:numId="36" w16cid:durableId="1842617615">
    <w:abstractNumId w:val="25"/>
  </w:num>
  <w:num w:numId="37" w16cid:durableId="1683314130">
    <w:abstractNumId w:val="11"/>
  </w:num>
  <w:num w:numId="38" w16cid:durableId="791167353">
    <w:abstractNumId w:val="15"/>
  </w:num>
  <w:num w:numId="39" w16cid:durableId="1894848033">
    <w:abstractNumId w:val="22"/>
  </w:num>
  <w:num w:numId="40" w16cid:durableId="1663506085">
    <w:abstractNumId w:val="13"/>
  </w:num>
  <w:num w:numId="41" w16cid:durableId="1940284797">
    <w:abstractNumId w:val="4"/>
  </w:num>
  <w:num w:numId="42" w16cid:durableId="822309501">
    <w:abstractNumId w:val="0"/>
  </w:num>
  <w:num w:numId="43" w16cid:durableId="429282644">
    <w:abstractNumId w:val="20"/>
  </w:num>
  <w:num w:numId="44" w16cid:durableId="2051222530">
    <w:abstractNumId w:val="10"/>
  </w:num>
  <w:num w:numId="45" w16cid:durableId="1157526632">
    <w:abstractNumId w:val="19"/>
  </w:num>
  <w:num w:numId="46" w16cid:durableId="1536188467">
    <w:abstractNumId w:val="41"/>
  </w:num>
  <w:num w:numId="47" w16cid:durableId="619804902">
    <w:abstractNumId w:val="2"/>
  </w:num>
  <w:num w:numId="48" w16cid:durableId="191385580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87"/>
  <w:drawingGridVerticalSpacing w:val="187"/>
  <w:doNotUseMarginsForDrawingGridOrigin/>
  <w:drawingGridHorizontalOrigin w:val="1440"/>
  <w:drawingGridVerticalOrigin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4A"/>
    <w:rsid w:val="00002180"/>
    <w:rsid w:val="000028E8"/>
    <w:rsid w:val="00003D1B"/>
    <w:rsid w:val="00006B14"/>
    <w:rsid w:val="0000797A"/>
    <w:rsid w:val="00012FCC"/>
    <w:rsid w:val="00025EEC"/>
    <w:rsid w:val="00030AC6"/>
    <w:rsid w:val="000317A1"/>
    <w:rsid w:val="00034089"/>
    <w:rsid w:val="0003465C"/>
    <w:rsid w:val="00034DAA"/>
    <w:rsid w:val="0003505B"/>
    <w:rsid w:val="00036376"/>
    <w:rsid w:val="000403BB"/>
    <w:rsid w:val="00044092"/>
    <w:rsid w:val="000504AD"/>
    <w:rsid w:val="00054D97"/>
    <w:rsid w:val="00055715"/>
    <w:rsid w:val="000571EC"/>
    <w:rsid w:val="00061473"/>
    <w:rsid w:val="000621D3"/>
    <w:rsid w:val="000628F0"/>
    <w:rsid w:val="00063C4E"/>
    <w:rsid w:val="000651E8"/>
    <w:rsid w:val="00066A07"/>
    <w:rsid w:val="000671FF"/>
    <w:rsid w:val="000726E9"/>
    <w:rsid w:val="0007433B"/>
    <w:rsid w:val="00075F3D"/>
    <w:rsid w:val="00081315"/>
    <w:rsid w:val="00081C9B"/>
    <w:rsid w:val="00082A25"/>
    <w:rsid w:val="00083035"/>
    <w:rsid w:val="00083F04"/>
    <w:rsid w:val="000848E2"/>
    <w:rsid w:val="000857D3"/>
    <w:rsid w:val="000916CA"/>
    <w:rsid w:val="0009184C"/>
    <w:rsid w:val="0009374B"/>
    <w:rsid w:val="00096947"/>
    <w:rsid w:val="00097D6B"/>
    <w:rsid w:val="000A0034"/>
    <w:rsid w:val="000A2F95"/>
    <w:rsid w:val="000A39F4"/>
    <w:rsid w:val="000A4F04"/>
    <w:rsid w:val="000A7415"/>
    <w:rsid w:val="000A742A"/>
    <w:rsid w:val="000B0526"/>
    <w:rsid w:val="000B41A3"/>
    <w:rsid w:val="000B4831"/>
    <w:rsid w:val="000C35A1"/>
    <w:rsid w:val="000C4E9B"/>
    <w:rsid w:val="000C5A77"/>
    <w:rsid w:val="000C7BC7"/>
    <w:rsid w:val="000D33C0"/>
    <w:rsid w:val="000D447E"/>
    <w:rsid w:val="000D4E18"/>
    <w:rsid w:val="000D4EF9"/>
    <w:rsid w:val="000D74E8"/>
    <w:rsid w:val="000E2E84"/>
    <w:rsid w:val="000E3A05"/>
    <w:rsid w:val="000E52FE"/>
    <w:rsid w:val="000F1837"/>
    <w:rsid w:val="000F4312"/>
    <w:rsid w:val="000F4E08"/>
    <w:rsid w:val="00100FB4"/>
    <w:rsid w:val="00102FD5"/>
    <w:rsid w:val="00103CB9"/>
    <w:rsid w:val="001064E2"/>
    <w:rsid w:val="00107ACE"/>
    <w:rsid w:val="00110555"/>
    <w:rsid w:val="001131BD"/>
    <w:rsid w:val="0011676D"/>
    <w:rsid w:val="0011682E"/>
    <w:rsid w:val="00117C36"/>
    <w:rsid w:val="00120668"/>
    <w:rsid w:val="001212C4"/>
    <w:rsid w:val="0012393E"/>
    <w:rsid w:val="001255A7"/>
    <w:rsid w:val="00127929"/>
    <w:rsid w:val="00130C66"/>
    <w:rsid w:val="001357F5"/>
    <w:rsid w:val="001360B4"/>
    <w:rsid w:val="00137989"/>
    <w:rsid w:val="00140A23"/>
    <w:rsid w:val="0014105F"/>
    <w:rsid w:val="00143D20"/>
    <w:rsid w:val="00144842"/>
    <w:rsid w:val="00145562"/>
    <w:rsid w:val="00147B49"/>
    <w:rsid w:val="001500E4"/>
    <w:rsid w:val="00150C7C"/>
    <w:rsid w:val="00152776"/>
    <w:rsid w:val="00153B44"/>
    <w:rsid w:val="00154A12"/>
    <w:rsid w:val="00157F3E"/>
    <w:rsid w:val="00160451"/>
    <w:rsid w:val="00160A44"/>
    <w:rsid w:val="00160CA7"/>
    <w:rsid w:val="0016350F"/>
    <w:rsid w:val="001638C2"/>
    <w:rsid w:val="001639A8"/>
    <w:rsid w:val="0016508F"/>
    <w:rsid w:val="00170A54"/>
    <w:rsid w:val="001740AD"/>
    <w:rsid w:val="0017430C"/>
    <w:rsid w:val="00180327"/>
    <w:rsid w:val="00180491"/>
    <w:rsid w:val="001837C4"/>
    <w:rsid w:val="001867ED"/>
    <w:rsid w:val="001877E3"/>
    <w:rsid w:val="00193994"/>
    <w:rsid w:val="00196AEB"/>
    <w:rsid w:val="001A20CF"/>
    <w:rsid w:val="001A6A59"/>
    <w:rsid w:val="001B02CC"/>
    <w:rsid w:val="001B11BD"/>
    <w:rsid w:val="001B3690"/>
    <w:rsid w:val="001B4AAD"/>
    <w:rsid w:val="001B4BBE"/>
    <w:rsid w:val="001B79C4"/>
    <w:rsid w:val="001C2764"/>
    <w:rsid w:val="001D18AD"/>
    <w:rsid w:val="001D3C4F"/>
    <w:rsid w:val="001D6744"/>
    <w:rsid w:val="001E45B4"/>
    <w:rsid w:val="001F0478"/>
    <w:rsid w:val="001F1DE3"/>
    <w:rsid w:val="001F25F0"/>
    <w:rsid w:val="001F30CD"/>
    <w:rsid w:val="001F36A6"/>
    <w:rsid w:val="001F392D"/>
    <w:rsid w:val="001F43C5"/>
    <w:rsid w:val="001F541F"/>
    <w:rsid w:val="00202994"/>
    <w:rsid w:val="0020379D"/>
    <w:rsid w:val="00204250"/>
    <w:rsid w:val="00206502"/>
    <w:rsid w:val="00211EE5"/>
    <w:rsid w:val="00212F6D"/>
    <w:rsid w:val="002142D1"/>
    <w:rsid w:val="00222027"/>
    <w:rsid w:val="00223F44"/>
    <w:rsid w:val="00227390"/>
    <w:rsid w:val="002347A4"/>
    <w:rsid w:val="002348AA"/>
    <w:rsid w:val="00234E89"/>
    <w:rsid w:val="0024016A"/>
    <w:rsid w:val="00241237"/>
    <w:rsid w:val="00244174"/>
    <w:rsid w:val="0024419A"/>
    <w:rsid w:val="00245F3E"/>
    <w:rsid w:val="00245FCF"/>
    <w:rsid w:val="00246534"/>
    <w:rsid w:val="00246617"/>
    <w:rsid w:val="00246B1E"/>
    <w:rsid w:val="00246C73"/>
    <w:rsid w:val="00251C24"/>
    <w:rsid w:val="0025205D"/>
    <w:rsid w:val="00252752"/>
    <w:rsid w:val="00252AF7"/>
    <w:rsid w:val="0025505F"/>
    <w:rsid w:val="00262436"/>
    <w:rsid w:val="002643B7"/>
    <w:rsid w:val="00265E2C"/>
    <w:rsid w:val="00266599"/>
    <w:rsid w:val="00267E98"/>
    <w:rsid w:val="00270CEE"/>
    <w:rsid w:val="002737B0"/>
    <w:rsid w:val="00273EED"/>
    <w:rsid w:val="00275B54"/>
    <w:rsid w:val="0027767C"/>
    <w:rsid w:val="002821D8"/>
    <w:rsid w:val="00282778"/>
    <w:rsid w:val="00283F1C"/>
    <w:rsid w:val="0028664F"/>
    <w:rsid w:val="00287705"/>
    <w:rsid w:val="00292F57"/>
    <w:rsid w:val="00294571"/>
    <w:rsid w:val="002969C1"/>
    <w:rsid w:val="00296E0B"/>
    <w:rsid w:val="002A1418"/>
    <w:rsid w:val="002A596C"/>
    <w:rsid w:val="002A6CFA"/>
    <w:rsid w:val="002B0111"/>
    <w:rsid w:val="002B0797"/>
    <w:rsid w:val="002B27AA"/>
    <w:rsid w:val="002C1186"/>
    <w:rsid w:val="002C26BD"/>
    <w:rsid w:val="002C2B95"/>
    <w:rsid w:val="002C489B"/>
    <w:rsid w:val="002C7F06"/>
    <w:rsid w:val="002D0585"/>
    <w:rsid w:val="002D1606"/>
    <w:rsid w:val="002D1F54"/>
    <w:rsid w:val="002D7FBE"/>
    <w:rsid w:val="002E1EA1"/>
    <w:rsid w:val="002E4103"/>
    <w:rsid w:val="002E576F"/>
    <w:rsid w:val="002E6241"/>
    <w:rsid w:val="002E764B"/>
    <w:rsid w:val="002F0347"/>
    <w:rsid w:val="002F0E78"/>
    <w:rsid w:val="002F0EEE"/>
    <w:rsid w:val="002F23E8"/>
    <w:rsid w:val="002F2DAC"/>
    <w:rsid w:val="002F4A20"/>
    <w:rsid w:val="002F5288"/>
    <w:rsid w:val="002F7073"/>
    <w:rsid w:val="002F7B10"/>
    <w:rsid w:val="002F7BAD"/>
    <w:rsid w:val="002F7CC9"/>
    <w:rsid w:val="00300473"/>
    <w:rsid w:val="00302ED1"/>
    <w:rsid w:val="003034BD"/>
    <w:rsid w:val="00303CF2"/>
    <w:rsid w:val="0030461D"/>
    <w:rsid w:val="00304688"/>
    <w:rsid w:val="003062D2"/>
    <w:rsid w:val="0030640E"/>
    <w:rsid w:val="0030670A"/>
    <w:rsid w:val="00307940"/>
    <w:rsid w:val="00307F22"/>
    <w:rsid w:val="0031074E"/>
    <w:rsid w:val="00312F79"/>
    <w:rsid w:val="0031424B"/>
    <w:rsid w:val="0031487D"/>
    <w:rsid w:val="003170DC"/>
    <w:rsid w:val="0032167A"/>
    <w:rsid w:val="00321754"/>
    <w:rsid w:val="00322774"/>
    <w:rsid w:val="00324F17"/>
    <w:rsid w:val="00327FC1"/>
    <w:rsid w:val="0033025F"/>
    <w:rsid w:val="003309A1"/>
    <w:rsid w:val="00330EF6"/>
    <w:rsid w:val="00333949"/>
    <w:rsid w:val="003339CB"/>
    <w:rsid w:val="00335328"/>
    <w:rsid w:val="00335C87"/>
    <w:rsid w:val="003402C6"/>
    <w:rsid w:val="00342A37"/>
    <w:rsid w:val="0034302B"/>
    <w:rsid w:val="00345D3F"/>
    <w:rsid w:val="00345E01"/>
    <w:rsid w:val="003467AB"/>
    <w:rsid w:val="00347F9E"/>
    <w:rsid w:val="0035737E"/>
    <w:rsid w:val="00362A98"/>
    <w:rsid w:val="003634D3"/>
    <w:rsid w:val="003664CF"/>
    <w:rsid w:val="003714E3"/>
    <w:rsid w:val="00373094"/>
    <w:rsid w:val="0037342B"/>
    <w:rsid w:val="00373E1D"/>
    <w:rsid w:val="0037424D"/>
    <w:rsid w:val="0037548C"/>
    <w:rsid w:val="00376129"/>
    <w:rsid w:val="003901C2"/>
    <w:rsid w:val="00390C60"/>
    <w:rsid w:val="00393458"/>
    <w:rsid w:val="00393A71"/>
    <w:rsid w:val="0039477C"/>
    <w:rsid w:val="00396297"/>
    <w:rsid w:val="00396461"/>
    <w:rsid w:val="00396697"/>
    <w:rsid w:val="00397EB5"/>
    <w:rsid w:val="003A15A6"/>
    <w:rsid w:val="003A563B"/>
    <w:rsid w:val="003A6DDC"/>
    <w:rsid w:val="003B0341"/>
    <w:rsid w:val="003B0E24"/>
    <w:rsid w:val="003B113C"/>
    <w:rsid w:val="003B7E4D"/>
    <w:rsid w:val="003C259A"/>
    <w:rsid w:val="003C4B24"/>
    <w:rsid w:val="003C7BFC"/>
    <w:rsid w:val="003D1694"/>
    <w:rsid w:val="003D18D1"/>
    <w:rsid w:val="003D2B10"/>
    <w:rsid w:val="003D2F02"/>
    <w:rsid w:val="003D3E09"/>
    <w:rsid w:val="003D4EF0"/>
    <w:rsid w:val="003E077B"/>
    <w:rsid w:val="003E1792"/>
    <w:rsid w:val="003E2162"/>
    <w:rsid w:val="003E3694"/>
    <w:rsid w:val="003E45ED"/>
    <w:rsid w:val="003E6FCD"/>
    <w:rsid w:val="003F520C"/>
    <w:rsid w:val="003F57B2"/>
    <w:rsid w:val="003F580A"/>
    <w:rsid w:val="003F58CE"/>
    <w:rsid w:val="003F6011"/>
    <w:rsid w:val="004004B1"/>
    <w:rsid w:val="004014DB"/>
    <w:rsid w:val="0040163F"/>
    <w:rsid w:val="00401C40"/>
    <w:rsid w:val="004042A6"/>
    <w:rsid w:val="00404661"/>
    <w:rsid w:val="00404DA1"/>
    <w:rsid w:val="00411C90"/>
    <w:rsid w:val="00411F00"/>
    <w:rsid w:val="00413D37"/>
    <w:rsid w:val="00413F39"/>
    <w:rsid w:val="004149CB"/>
    <w:rsid w:val="00414BD3"/>
    <w:rsid w:val="0041625F"/>
    <w:rsid w:val="00420F5A"/>
    <w:rsid w:val="00421036"/>
    <w:rsid w:val="00421376"/>
    <w:rsid w:val="004217A2"/>
    <w:rsid w:val="0042508F"/>
    <w:rsid w:val="00426218"/>
    <w:rsid w:val="00430889"/>
    <w:rsid w:val="00430DF2"/>
    <w:rsid w:val="00434400"/>
    <w:rsid w:val="00441F2E"/>
    <w:rsid w:val="004420DC"/>
    <w:rsid w:val="004445DC"/>
    <w:rsid w:val="00457A63"/>
    <w:rsid w:val="0046276A"/>
    <w:rsid w:val="0046276D"/>
    <w:rsid w:val="004637DE"/>
    <w:rsid w:val="00464B1F"/>
    <w:rsid w:val="00464DE6"/>
    <w:rsid w:val="0046647C"/>
    <w:rsid w:val="004666EC"/>
    <w:rsid w:val="00466A1B"/>
    <w:rsid w:val="00467C00"/>
    <w:rsid w:val="00471F66"/>
    <w:rsid w:val="004725AE"/>
    <w:rsid w:val="004758B2"/>
    <w:rsid w:val="00475B07"/>
    <w:rsid w:val="0047734D"/>
    <w:rsid w:val="0049159F"/>
    <w:rsid w:val="00491BD5"/>
    <w:rsid w:val="004946C8"/>
    <w:rsid w:val="00495166"/>
    <w:rsid w:val="00495BF6"/>
    <w:rsid w:val="004A1065"/>
    <w:rsid w:val="004B5F07"/>
    <w:rsid w:val="004B6C94"/>
    <w:rsid w:val="004B71C7"/>
    <w:rsid w:val="004C0066"/>
    <w:rsid w:val="004C171C"/>
    <w:rsid w:val="004D0240"/>
    <w:rsid w:val="004D10AA"/>
    <w:rsid w:val="004D1DAF"/>
    <w:rsid w:val="004D3A68"/>
    <w:rsid w:val="004D3E12"/>
    <w:rsid w:val="004D47D9"/>
    <w:rsid w:val="004D5A61"/>
    <w:rsid w:val="004D6506"/>
    <w:rsid w:val="004D68E7"/>
    <w:rsid w:val="004D7DBF"/>
    <w:rsid w:val="004E0C4B"/>
    <w:rsid w:val="004E5162"/>
    <w:rsid w:val="004E5B18"/>
    <w:rsid w:val="004E67D9"/>
    <w:rsid w:val="004E6A70"/>
    <w:rsid w:val="004E6DEF"/>
    <w:rsid w:val="004F1C3A"/>
    <w:rsid w:val="004F3734"/>
    <w:rsid w:val="004F4227"/>
    <w:rsid w:val="004F4AC4"/>
    <w:rsid w:val="004F544D"/>
    <w:rsid w:val="0050000E"/>
    <w:rsid w:val="0050044F"/>
    <w:rsid w:val="00502106"/>
    <w:rsid w:val="005077DF"/>
    <w:rsid w:val="005114BB"/>
    <w:rsid w:val="00514AF8"/>
    <w:rsid w:val="005162CF"/>
    <w:rsid w:val="005165F1"/>
    <w:rsid w:val="00520026"/>
    <w:rsid w:val="00525471"/>
    <w:rsid w:val="00526D65"/>
    <w:rsid w:val="00526DD8"/>
    <w:rsid w:val="00531653"/>
    <w:rsid w:val="005342FA"/>
    <w:rsid w:val="005350C0"/>
    <w:rsid w:val="00535D22"/>
    <w:rsid w:val="0053605E"/>
    <w:rsid w:val="005375FB"/>
    <w:rsid w:val="0053765B"/>
    <w:rsid w:val="00542A4D"/>
    <w:rsid w:val="0054655E"/>
    <w:rsid w:val="00546BF4"/>
    <w:rsid w:val="00547595"/>
    <w:rsid w:val="0055033D"/>
    <w:rsid w:val="0055338F"/>
    <w:rsid w:val="00555F56"/>
    <w:rsid w:val="005565E3"/>
    <w:rsid w:val="00557637"/>
    <w:rsid w:val="00563558"/>
    <w:rsid w:val="00565AC2"/>
    <w:rsid w:val="00565DD9"/>
    <w:rsid w:val="00567E6F"/>
    <w:rsid w:val="00570AEA"/>
    <w:rsid w:val="00570ED6"/>
    <w:rsid w:val="0057329C"/>
    <w:rsid w:val="00575A18"/>
    <w:rsid w:val="00577C36"/>
    <w:rsid w:val="00583B62"/>
    <w:rsid w:val="0058666E"/>
    <w:rsid w:val="005908F0"/>
    <w:rsid w:val="00591296"/>
    <w:rsid w:val="00592677"/>
    <w:rsid w:val="005929BF"/>
    <w:rsid w:val="005947EC"/>
    <w:rsid w:val="00595324"/>
    <w:rsid w:val="0059793B"/>
    <w:rsid w:val="005A0B04"/>
    <w:rsid w:val="005A1719"/>
    <w:rsid w:val="005A4416"/>
    <w:rsid w:val="005A6498"/>
    <w:rsid w:val="005A7934"/>
    <w:rsid w:val="005B1493"/>
    <w:rsid w:val="005B3A1D"/>
    <w:rsid w:val="005C2AC9"/>
    <w:rsid w:val="005C400D"/>
    <w:rsid w:val="005C4067"/>
    <w:rsid w:val="005C5202"/>
    <w:rsid w:val="005C5F93"/>
    <w:rsid w:val="005D29EA"/>
    <w:rsid w:val="005D5174"/>
    <w:rsid w:val="005D6426"/>
    <w:rsid w:val="005D7AAF"/>
    <w:rsid w:val="005E4669"/>
    <w:rsid w:val="005E55F8"/>
    <w:rsid w:val="005E641E"/>
    <w:rsid w:val="005E67DD"/>
    <w:rsid w:val="005E71AD"/>
    <w:rsid w:val="005F0279"/>
    <w:rsid w:val="005F0EDD"/>
    <w:rsid w:val="005F35DD"/>
    <w:rsid w:val="005F3C40"/>
    <w:rsid w:val="005F5302"/>
    <w:rsid w:val="005F56D7"/>
    <w:rsid w:val="005F5739"/>
    <w:rsid w:val="005F69A2"/>
    <w:rsid w:val="005F7BC5"/>
    <w:rsid w:val="00600B2B"/>
    <w:rsid w:val="0060121C"/>
    <w:rsid w:val="00601C48"/>
    <w:rsid w:val="0060366E"/>
    <w:rsid w:val="00603B03"/>
    <w:rsid w:val="00603E4B"/>
    <w:rsid w:val="00605DF7"/>
    <w:rsid w:val="00605FDE"/>
    <w:rsid w:val="006079C2"/>
    <w:rsid w:val="00611E62"/>
    <w:rsid w:val="006120ED"/>
    <w:rsid w:val="00612AE5"/>
    <w:rsid w:val="0062389F"/>
    <w:rsid w:val="00624DF5"/>
    <w:rsid w:val="00624E21"/>
    <w:rsid w:val="0062605C"/>
    <w:rsid w:val="00630F2D"/>
    <w:rsid w:val="0063743D"/>
    <w:rsid w:val="0064146B"/>
    <w:rsid w:val="00643F61"/>
    <w:rsid w:val="00646095"/>
    <w:rsid w:val="00646324"/>
    <w:rsid w:val="0064649C"/>
    <w:rsid w:val="00650B01"/>
    <w:rsid w:val="00651A69"/>
    <w:rsid w:val="00653A7D"/>
    <w:rsid w:val="00657F28"/>
    <w:rsid w:val="00660759"/>
    <w:rsid w:val="00662164"/>
    <w:rsid w:val="006633F0"/>
    <w:rsid w:val="0067198F"/>
    <w:rsid w:val="0067211C"/>
    <w:rsid w:val="00676ECB"/>
    <w:rsid w:val="006771C9"/>
    <w:rsid w:val="00677613"/>
    <w:rsid w:val="006840CB"/>
    <w:rsid w:val="006841ED"/>
    <w:rsid w:val="006862F1"/>
    <w:rsid w:val="00690A1B"/>
    <w:rsid w:val="00691EE9"/>
    <w:rsid w:val="00691F28"/>
    <w:rsid w:val="0069230F"/>
    <w:rsid w:val="00692DC9"/>
    <w:rsid w:val="00692F43"/>
    <w:rsid w:val="006931A9"/>
    <w:rsid w:val="006940CD"/>
    <w:rsid w:val="0069423D"/>
    <w:rsid w:val="006948F3"/>
    <w:rsid w:val="00695466"/>
    <w:rsid w:val="00695468"/>
    <w:rsid w:val="0069758A"/>
    <w:rsid w:val="006A007C"/>
    <w:rsid w:val="006A102A"/>
    <w:rsid w:val="006A1113"/>
    <w:rsid w:val="006A1DD4"/>
    <w:rsid w:val="006A465C"/>
    <w:rsid w:val="006A512D"/>
    <w:rsid w:val="006A51D7"/>
    <w:rsid w:val="006A7707"/>
    <w:rsid w:val="006B0B8E"/>
    <w:rsid w:val="006B0C20"/>
    <w:rsid w:val="006B2092"/>
    <w:rsid w:val="006B20D7"/>
    <w:rsid w:val="006B6B07"/>
    <w:rsid w:val="006B7979"/>
    <w:rsid w:val="006C4343"/>
    <w:rsid w:val="006C7354"/>
    <w:rsid w:val="006D1111"/>
    <w:rsid w:val="006D1D23"/>
    <w:rsid w:val="006D5842"/>
    <w:rsid w:val="006D7C94"/>
    <w:rsid w:val="006D7F00"/>
    <w:rsid w:val="006E2470"/>
    <w:rsid w:val="006E7164"/>
    <w:rsid w:val="006E7443"/>
    <w:rsid w:val="006F0760"/>
    <w:rsid w:val="006F1C87"/>
    <w:rsid w:val="006F296F"/>
    <w:rsid w:val="006F372E"/>
    <w:rsid w:val="006F7E10"/>
    <w:rsid w:val="007001C8"/>
    <w:rsid w:val="0070248A"/>
    <w:rsid w:val="00705246"/>
    <w:rsid w:val="007053DB"/>
    <w:rsid w:val="007069C9"/>
    <w:rsid w:val="0070717E"/>
    <w:rsid w:val="00710201"/>
    <w:rsid w:val="00713D46"/>
    <w:rsid w:val="00714470"/>
    <w:rsid w:val="00715D1A"/>
    <w:rsid w:val="00720A77"/>
    <w:rsid w:val="00721940"/>
    <w:rsid w:val="00722395"/>
    <w:rsid w:val="007233DB"/>
    <w:rsid w:val="007269F8"/>
    <w:rsid w:val="00727148"/>
    <w:rsid w:val="0073002C"/>
    <w:rsid w:val="00730924"/>
    <w:rsid w:val="007330A0"/>
    <w:rsid w:val="0073382D"/>
    <w:rsid w:val="00737C11"/>
    <w:rsid w:val="00737CD9"/>
    <w:rsid w:val="0074585B"/>
    <w:rsid w:val="007463AE"/>
    <w:rsid w:val="0075027D"/>
    <w:rsid w:val="00750504"/>
    <w:rsid w:val="00750809"/>
    <w:rsid w:val="0075221A"/>
    <w:rsid w:val="00753DC4"/>
    <w:rsid w:val="00756DEF"/>
    <w:rsid w:val="007573E3"/>
    <w:rsid w:val="00762667"/>
    <w:rsid w:val="00764F97"/>
    <w:rsid w:val="007715C6"/>
    <w:rsid w:val="00772EA9"/>
    <w:rsid w:val="0077450A"/>
    <w:rsid w:val="00775D28"/>
    <w:rsid w:val="00776173"/>
    <w:rsid w:val="00780278"/>
    <w:rsid w:val="00782535"/>
    <w:rsid w:val="007832C5"/>
    <w:rsid w:val="007833BC"/>
    <w:rsid w:val="00783581"/>
    <w:rsid w:val="007842BC"/>
    <w:rsid w:val="00784C04"/>
    <w:rsid w:val="00785E5B"/>
    <w:rsid w:val="0078780B"/>
    <w:rsid w:val="00792E49"/>
    <w:rsid w:val="0079511F"/>
    <w:rsid w:val="007A02B5"/>
    <w:rsid w:val="007A1DA0"/>
    <w:rsid w:val="007A2BC8"/>
    <w:rsid w:val="007A52FC"/>
    <w:rsid w:val="007A56EE"/>
    <w:rsid w:val="007B04F4"/>
    <w:rsid w:val="007B16A2"/>
    <w:rsid w:val="007B1BEB"/>
    <w:rsid w:val="007B6312"/>
    <w:rsid w:val="007B70E9"/>
    <w:rsid w:val="007C5E18"/>
    <w:rsid w:val="007D0A8F"/>
    <w:rsid w:val="007D1C8B"/>
    <w:rsid w:val="007D340B"/>
    <w:rsid w:val="007D376C"/>
    <w:rsid w:val="007D5610"/>
    <w:rsid w:val="007E1138"/>
    <w:rsid w:val="007E376C"/>
    <w:rsid w:val="007E5E50"/>
    <w:rsid w:val="007E6CBB"/>
    <w:rsid w:val="007F0BA9"/>
    <w:rsid w:val="007F3E3A"/>
    <w:rsid w:val="007F59F2"/>
    <w:rsid w:val="007F5EAA"/>
    <w:rsid w:val="00800B94"/>
    <w:rsid w:val="00802FD7"/>
    <w:rsid w:val="00803CD0"/>
    <w:rsid w:val="008045B8"/>
    <w:rsid w:val="008047D5"/>
    <w:rsid w:val="00805D2F"/>
    <w:rsid w:val="00805D9B"/>
    <w:rsid w:val="0080721F"/>
    <w:rsid w:val="00810415"/>
    <w:rsid w:val="00811AD3"/>
    <w:rsid w:val="00813B13"/>
    <w:rsid w:val="0081750F"/>
    <w:rsid w:val="00817B89"/>
    <w:rsid w:val="00820893"/>
    <w:rsid w:val="008214AE"/>
    <w:rsid w:val="008221FF"/>
    <w:rsid w:val="00822561"/>
    <w:rsid w:val="00822681"/>
    <w:rsid w:val="00824245"/>
    <w:rsid w:val="00825367"/>
    <w:rsid w:val="00826B82"/>
    <w:rsid w:val="00827627"/>
    <w:rsid w:val="008306EA"/>
    <w:rsid w:val="00831B82"/>
    <w:rsid w:val="00832893"/>
    <w:rsid w:val="00833869"/>
    <w:rsid w:val="00833C6B"/>
    <w:rsid w:val="0084516F"/>
    <w:rsid w:val="00847485"/>
    <w:rsid w:val="0085178E"/>
    <w:rsid w:val="00852103"/>
    <w:rsid w:val="0085219F"/>
    <w:rsid w:val="00852ECE"/>
    <w:rsid w:val="00853203"/>
    <w:rsid w:val="008532B1"/>
    <w:rsid w:val="00857F0A"/>
    <w:rsid w:val="0086139C"/>
    <w:rsid w:val="008655AB"/>
    <w:rsid w:val="00867A97"/>
    <w:rsid w:val="00867B61"/>
    <w:rsid w:val="00867F42"/>
    <w:rsid w:val="008707AF"/>
    <w:rsid w:val="0087750D"/>
    <w:rsid w:val="008777A2"/>
    <w:rsid w:val="008779B9"/>
    <w:rsid w:val="00877C22"/>
    <w:rsid w:val="008829AC"/>
    <w:rsid w:val="00883438"/>
    <w:rsid w:val="00885652"/>
    <w:rsid w:val="00885E34"/>
    <w:rsid w:val="008901CC"/>
    <w:rsid w:val="00891631"/>
    <w:rsid w:val="008941E8"/>
    <w:rsid w:val="008959A0"/>
    <w:rsid w:val="008966F2"/>
    <w:rsid w:val="008A258C"/>
    <w:rsid w:val="008B019D"/>
    <w:rsid w:val="008B0C01"/>
    <w:rsid w:val="008B1951"/>
    <w:rsid w:val="008B227F"/>
    <w:rsid w:val="008B2916"/>
    <w:rsid w:val="008B4AA7"/>
    <w:rsid w:val="008B530E"/>
    <w:rsid w:val="008B62C0"/>
    <w:rsid w:val="008B7F96"/>
    <w:rsid w:val="008C0E1A"/>
    <w:rsid w:val="008C3241"/>
    <w:rsid w:val="008C3319"/>
    <w:rsid w:val="008C3703"/>
    <w:rsid w:val="008C3C1D"/>
    <w:rsid w:val="008C7B7E"/>
    <w:rsid w:val="008D05E4"/>
    <w:rsid w:val="008D45B2"/>
    <w:rsid w:val="008D7DBB"/>
    <w:rsid w:val="008E4751"/>
    <w:rsid w:val="008E6EBB"/>
    <w:rsid w:val="008F1622"/>
    <w:rsid w:val="009021C5"/>
    <w:rsid w:val="009036B2"/>
    <w:rsid w:val="00904962"/>
    <w:rsid w:val="00904BCC"/>
    <w:rsid w:val="00905372"/>
    <w:rsid w:val="009075F9"/>
    <w:rsid w:val="0090791D"/>
    <w:rsid w:val="00910304"/>
    <w:rsid w:val="00910824"/>
    <w:rsid w:val="00910B8B"/>
    <w:rsid w:val="00910F4B"/>
    <w:rsid w:val="00911281"/>
    <w:rsid w:val="00911498"/>
    <w:rsid w:val="009114A2"/>
    <w:rsid w:val="009114B9"/>
    <w:rsid w:val="00914542"/>
    <w:rsid w:val="0091471E"/>
    <w:rsid w:val="00914D57"/>
    <w:rsid w:val="009164F3"/>
    <w:rsid w:val="0091767B"/>
    <w:rsid w:val="009202B6"/>
    <w:rsid w:val="00922A4D"/>
    <w:rsid w:val="009247BC"/>
    <w:rsid w:val="00926857"/>
    <w:rsid w:val="00937CCC"/>
    <w:rsid w:val="009408FF"/>
    <w:rsid w:val="009452B0"/>
    <w:rsid w:val="0094547A"/>
    <w:rsid w:val="009469F5"/>
    <w:rsid w:val="00951B24"/>
    <w:rsid w:val="00951EE4"/>
    <w:rsid w:val="00952DF8"/>
    <w:rsid w:val="00953743"/>
    <w:rsid w:val="00961E33"/>
    <w:rsid w:val="009647F7"/>
    <w:rsid w:val="00967B3F"/>
    <w:rsid w:val="00971261"/>
    <w:rsid w:val="009720F7"/>
    <w:rsid w:val="009724A3"/>
    <w:rsid w:val="00977100"/>
    <w:rsid w:val="0098176E"/>
    <w:rsid w:val="009818BE"/>
    <w:rsid w:val="00982097"/>
    <w:rsid w:val="009842E6"/>
    <w:rsid w:val="009845FE"/>
    <w:rsid w:val="00991552"/>
    <w:rsid w:val="00991F92"/>
    <w:rsid w:val="009942BC"/>
    <w:rsid w:val="009956C3"/>
    <w:rsid w:val="00995AEE"/>
    <w:rsid w:val="009A0C9B"/>
    <w:rsid w:val="009A0F10"/>
    <w:rsid w:val="009A2594"/>
    <w:rsid w:val="009A4158"/>
    <w:rsid w:val="009A4A9A"/>
    <w:rsid w:val="009A7F0F"/>
    <w:rsid w:val="009B02BC"/>
    <w:rsid w:val="009B106E"/>
    <w:rsid w:val="009B4569"/>
    <w:rsid w:val="009B4DED"/>
    <w:rsid w:val="009B4FC8"/>
    <w:rsid w:val="009B5544"/>
    <w:rsid w:val="009C1A48"/>
    <w:rsid w:val="009C20DF"/>
    <w:rsid w:val="009C2585"/>
    <w:rsid w:val="009C63A6"/>
    <w:rsid w:val="009C7420"/>
    <w:rsid w:val="009D0373"/>
    <w:rsid w:val="009D1153"/>
    <w:rsid w:val="009D1DD2"/>
    <w:rsid w:val="009D33B5"/>
    <w:rsid w:val="009D34CC"/>
    <w:rsid w:val="009D7AF1"/>
    <w:rsid w:val="009F0E2E"/>
    <w:rsid w:val="009F2A80"/>
    <w:rsid w:val="009F5608"/>
    <w:rsid w:val="009F7248"/>
    <w:rsid w:val="009F750A"/>
    <w:rsid w:val="009F7995"/>
    <w:rsid w:val="00A0113C"/>
    <w:rsid w:val="00A022EC"/>
    <w:rsid w:val="00A02653"/>
    <w:rsid w:val="00A04698"/>
    <w:rsid w:val="00A05EE4"/>
    <w:rsid w:val="00A06BAC"/>
    <w:rsid w:val="00A079DA"/>
    <w:rsid w:val="00A10EA5"/>
    <w:rsid w:val="00A1244B"/>
    <w:rsid w:val="00A12C18"/>
    <w:rsid w:val="00A13B7C"/>
    <w:rsid w:val="00A14253"/>
    <w:rsid w:val="00A151D8"/>
    <w:rsid w:val="00A20DB1"/>
    <w:rsid w:val="00A220C3"/>
    <w:rsid w:val="00A22B33"/>
    <w:rsid w:val="00A23C5D"/>
    <w:rsid w:val="00A23E41"/>
    <w:rsid w:val="00A24281"/>
    <w:rsid w:val="00A245BB"/>
    <w:rsid w:val="00A271A4"/>
    <w:rsid w:val="00A30983"/>
    <w:rsid w:val="00A309BA"/>
    <w:rsid w:val="00A32B50"/>
    <w:rsid w:val="00A33433"/>
    <w:rsid w:val="00A33E8C"/>
    <w:rsid w:val="00A34227"/>
    <w:rsid w:val="00A346FA"/>
    <w:rsid w:val="00A37D1B"/>
    <w:rsid w:val="00A4025A"/>
    <w:rsid w:val="00A42EAB"/>
    <w:rsid w:val="00A436F0"/>
    <w:rsid w:val="00A442CB"/>
    <w:rsid w:val="00A500FF"/>
    <w:rsid w:val="00A50814"/>
    <w:rsid w:val="00A54B91"/>
    <w:rsid w:val="00A54F4A"/>
    <w:rsid w:val="00A57B95"/>
    <w:rsid w:val="00A6246A"/>
    <w:rsid w:val="00A6252F"/>
    <w:rsid w:val="00A66E5E"/>
    <w:rsid w:val="00A71EA8"/>
    <w:rsid w:val="00A72CAD"/>
    <w:rsid w:val="00A73429"/>
    <w:rsid w:val="00A80947"/>
    <w:rsid w:val="00A81756"/>
    <w:rsid w:val="00A83A32"/>
    <w:rsid w:val="00A85A71"/>
    <w:rsid w:val="00A8688C"/>
    <w:rsid w:val="00A9093C"/>
    <w:rsid w:val="00A912C9"/>
    <w:rsid w:val="00A917E1"/>
    <w:rsid w:val="00A92FC2"/>
    <w:rsid w:val="00A9302E"/>
    <w:rsid w:val="00A963A6"/>
    <w:rsid w:val="00A96AE3"/>
    <w:rsid w:val="00A9750E"/>
    <w:rsid w:val="00AA33DA"/>
    <w:rsid w:val="00AB0FDB"/>
    <w:rsid w:val="00AB36C0"/>
    <w:rsid w:val="00AB40EC"/>
    <w:rsid w:val="00AB4A9E"/>
    <w:rsid w:val="00AB6B25"/>
    <w:rsid w:val="00AC2BB2"/>
    <w:rsid w:val="00AC3016"/>
    <w:rsid w:val="00AC6812"/>
    <w:rsid w:val="00AC7551"/>
    <w:rsid w:val="00AD214A"/>
    <w:rsid w:val="00AD3E3B"/>
    <w:rsid w:val="00AE44CD"/>
    <w:rsid w:val="00AE6EF7"/>
    <w:rsid w:val="00AE6FF5"/>
    <w:rsid w:val="00AE7735"/>
    <w:rsid w:val="00AF085C"/>
    <w:rsid w:val="00AF19A2"/>
    <w:rsid w:val="00AF21E6"/>
    <w:rsid w:val="00AF3741"/>
    <w:rsid w:val="00AF48B0"/>
    <w:rsid w:val="00AF5200"/>
    <w:rsid w:val="00AF6DDA"/>
    <w:rsid w:val="00B0073D"/>
    <w:rsid w:val="00B029E3"/>
    <w:rsid w:val="00B06E03"/>
    <w:rsid w:val="00B10722"/>
    <w:rsid w:val="00B118A2"/>
    <w:rsid w:val="00B2159C"/>
    <w:rsid w:val="00B22747"/>
    <w:rsid w:val="00B25A98"/>
    <w:rsid w:val="00B262F8"/>
    <w:rsid w:val="00B26BFF"/>
    <w:rsid w:val="00B34A5C"/>
    <w:rsid w:val="00B35764"/>
    <w:rsid w:val="00B364D2"/>
    <w:rsid w:val="00B3695D"/>
    <w:rsid w:val="00B372F2"/>
    <w:rsid w:val="00B373BC"/>
    <w:rsid w:val="00B37A21"/>
    <w:rsid w:val="00B41F7F"/>
    <w:rsid w:val="00B440CA"/>
    <w:rsid w:val="00B46B67"/>
    <w:rsid w:val="00B46DCF"/>
    <w:rsid w:val="00B47BB4"/>
    <w:rsid w:val="00B514FE"/>
    <w:rsid w:val="00B52A8E"/>
    <w:rsid w:val="00B54904"/>
    <w:rsid w:val="00B5667E"/>
    <w:rsid w:val="00B614B4"/>
    <w:rsid w:val="00B66CF4"/>
    <w:rsid w:val="00B67B4F"/>
    <w:rsid w:val="00B70090"/>
    <w:rsid w:val="00B70606"/>
    <w:rsid w:val="00B71EA5"/>
    <w:rsid w:val="00B74DDE"/>
    <w:rsid w:val="00B753EA"/>
    <w:rsid w:val="00B76841"/>
    <w:rsid w:val="00B808D5"/>
    <w:rsid w:val="00B8117A"/>
    <w:rsid w:val="00B82AA2"/>
    <w:rsid w:val="00B83340"/>
    <w:rsid w:val="00B844CF"/>
    <w:rsid w:val="00B85E4D"/>
    <w:rsid w:val="00B862F0"/>
    <w:rsid w:val="00B906D4"/>
    <w:rsid w:val="00B916C8"/>
    <w:rsid w:val="00B93B0D"/>
    <w:rsid w:val="00BA047F"/>
    <w:rsid w:val="00BA1B64"/>
    <w:rsid w:val="00BA3241"/>
    <w:rsid w:val="00BA331B"/>
    <w:rsid w:val="00BA4FE1"/>
    <w:rsid w:val="00BA5F6A"/>
    <w:rsid w:val="00BA7298"/>
    <w:rsid w:val="00BB1597"/>
    <w:rsid w:val="00BB2186"/>
    <w:rsid w:val="00BB62A8"/>
    <w:rsid w:val="00BC0A43"/>
    <w:rsid w:val="00BC2776"/>
    <w:rsid w:val="00BC2F61"/>
    <w:rsid w:val="00BC327E"/>
    <w:rsid w:val="00BC5E7B"/>
    <w:rsid w:val="00BD1BAF"/>
    <w:rsid w:val="00BD26E8"/>
    <w:rsid w:val="00BD3A17"/>
    <w:rsid w:val="00BD5219"/>
    <w:rsid w:val="00BD75EB"/>
    <w:rsid w:val="00BE0A50"/>
    <w:rsid w:val="00BE0D85"/>
    <w:rsid w:val="00BE0FAF"/>
    <w:rsid w:val="00BE1EEE"/>
    <w:rsid w:val="00BE2267"/>
    <w:rsid w:val="00BE3BDB"/>
    <w:rsid w:val="00BF14BE"/>
    <w:rsid w:val="00BF2D19"/>
    <w:rsid w:val="00BF462A"/>
    <w:rsid w:val="00BF599B"/>
    <w:rsid w:val="00BF5B93"/>
    <w:rsid w:val="00BF5D7F"/>
    <w:rsid w:val="00BF6996"/>
    <w:rsid w:val="00C00150"/>
    <w:rsid w:val="00C00A29"/>
    <w:rsid w:val="00C029BB"/>
    <w:rsid w:val="00C03C02"/>
    <w:rsid w:val="00C04AC6"/>
    <w:rsid w:val="00C10758"/>
    <w:rsid w:val="00C10D70"/>
    <w:rsid w:val="00C11796"/>
    <w:rsid w:val="00C13185"/>
    <w:rsid w:val="00C15825"/>
    <w:rsid w:val="00C15856"/>
    <w:rsid w:val="00C16D43"/>
    <w:rsid w:val="00C17C99"/>
    <w:rsid w:val="00C200D5"/>
    <w:rsid w:val="00C2138D"/>
    <w:rsid w:val="00C21CB7"/>
    <w:rsid w:val="00C243A3"/>
    <w:rsid w:val="00C24C5D"/>
    <w:rsid w:val="00C27FAB"/>
    <w:rsid w:val="00C31700"/>
    <w:rsid w:val="00C33F38"/>
    <w:rsid w:val="00C3420C"/>
    <w:rsid w:val="00C355E0"/>
    <w:rsid w:val="00C3633A"/>
    <w:rsid w:val="00C36C42"/>
    <w:rsid w:val="00C41823"/>
    <w:rsid w:val="00C47B3C"/>
    <w:rsid w:val="00C47FCF"/>
    <w:rsid w:val="00C523DC"/>
    <w:rsid w:val="00C56E8C"/>
    <w:rsid w:val="00C57096"/>
    <w:rsid w:val="00C6242A"/>
    <w:rsid w:val="00C660EC"/>
    <w:rsid w:val="00C6673E"/>
    <w:rsid w:val="00C66D03"/>
    <w:rsid w:val="00C67C4F"/>
    <w:rsid w:val="00C67DE2"/>
    <w:rsid w:val="00C70DE0"/>
    <w:rsid w:val="00C71A06"/>
    <w:rsid w:val="00C71BDD"/>
    <w:rsid w:val="00C7203D"/>
    <w:rsid w:val="00C7506A"/>
    <w:rsid w:val="00C751FD"/>
    <w:rsid w:val="00C7569A"/>
    <w:rsid w:val="00C835FF"/>
    <w:rsid w:val="00C8450A"/>
    <w:rsid w:val="00C86349"/>
    <w:rsid w:val="00C9095F"/>
    <w:rsid w:val="00C909E5"/>
    <w:rsid w:val="00CA0AFC"/>
    <w:rsid w:val="00CA19CA"/>
    <w:rsid w:val="00CA3E3C"/>
    <w:rsid w:val="00CA662F"/>
    <w:rsid w:val="00CB0611"/>
    <w:rsid w:val="00CB0F91"/>
    <w:rsid w:val="00CB1B61"/>
    <w:rsid w:val="00CB2837"/>
    <w:rsid w:val="00CB2CC0"/>
    <w:rsid w:val="00CB334B"/>
    <w:rsid w:val="00CB3675"/>
    <w:rsid w:val="00CB6674"/>
    <w:rsid w:val="00CB7588"/>
    <w:rsid w:val="00CB78CA"/>
    <w:rsid w:val="00CC1812"/>
    <w:rsid w:val="00CC46ED"/>
    <w:rsid w:val="00CC5FC4"/>
    <w:rsid w:val="00CC68A6"/>
    <w:rsid w:val="00CC68E5"/>
    <w:rsid w:val="00CC6BF1"/>
    <w:rsid w:val="00CC6EDB"/>
    <w:rsid w:val="00CD3321"/>
    <w:rsid w:val="00CD3AD4"/>
    <w:rsid w:val="00CD4F4F"/>
    <w:rsid w:val="00CE0662"/>
    <w:rsid w:val="00CE4AF5"/>
    <w:rsid w:val="00CE5008"/>
    <w:rsid w:val="00CE6E56"/>
    <w:rsid w:val="00CE7520"/>
    <w:rsid w:val="00CE7811"/>
    <w:rsid w:val="00CF01C0"/>
    <w:rsid w:val="00CF0362"/>
    <w:rsid w:val="00CF20F4"/>
    <w:rsid w:val="00CF3941"/>
    <w:rsid w:val="00CF3CE9"/>
    <w:rsid w:val="00CF529A"/>
    <w:rsid w:val="00CF53CE"/>
    <w:rsid w:val="00CF77FA"/>
    <w:rsid w:val="00D005B1"/>
    <w:rsid w:val="00D025B2"/>
    <w:rsid w:val="00D02D9E"/>
    <w:rsid w:val="00D048C1"/>
    <w:rsid w:val="00D0559E"/>
    <w:rsid w:val="00D06418"/>
    <w:rsid w:val="00D075FF"/>
    <w:rsid w:val="00D1223F"/>
    <w:rsid w:val="00D133EF"/>
    <w:rsid w:val="00D1354E"/>
    <w:rsid w:val="00D13790"/>
    <w:rsid w:val="00D167BF"/>
    <w:rsid w:val="00D167D2"/>
    <w:rsid w:val="00D167ED"/>
    <w:rsid w:val="00D202C9"/>
    <w:rsid w:val="00D20972"/>
    <w:rsid w:val="00D253FA"/>
    <w:rsid w:val="00D26791"/>
    <w:rsid w:val="00D27762"/>
    <w:rsid w:val="00D3087F"/>
    <w:rsid w:val="00D315E8"/>
    <w:rsid w:val="00D33D2B"/>
    <w:rsid w:val="00D34FE3"/>
    <w:rsid w:val="00D3637A"/>
    <w:rsid w:val="00D40E3F"/>
    <w:rsid w:val="00D435BD"/>
    <w:rsid w:val="00D47646"/>
    <w:rsid w:val="00D54417"/>
    <w:rsid w:val="00D54D1D"/>
    <w:rsid w:val="00D56289"/>
    <w:rsid w:val="00D60270"/>
    <w:rsid w:val="00D6047A"/>
    <w:rsid w:val="00D60612"/>
    <w:rsid w:val="00D60978"/>
    <w:rsid w:val="00D6350F"/>
    <w:rsid w:val="00D66AF1"/>
    <w:rsid w:val="00D7064F"/>
    <w:rsid w:val="00D717F8"/>
    <w:rsid w:val="00D73457"/>
    <w:rsid w:val="00D73A28"/>
    <w:rsid w:val="00D73E3F"/>
    <w:rsid w:val="00D74C64"/>
    <w:rsid w:val="00D77C25"/>
    <w:rsid w:val="00D77DBD"/>
    <w:rsid w:val="00D80A61"/>
    <w:rsid w:val="00D817C6"/>
    <w:rsid w:val="00D82022"/>
    <w:rsid w:val="00D83AA5"/>
    <w:rsid w:val="00D83BF2"/>
    <w:rsid w:val="00D84157"/>
    <w:rsid w:val="00D84483"/>
    <w:rsid w:val="00D86712"/>
    <w:rsid w:val="00D90E50"/>
    <w:rsid w:val="00D9109E"/>
    <w:rsid w:val="00D925D0"/>
    <w:rsid w:val="00D93A6A"/>
    <w:rsid w:val="00DA2DD5"/>
    <w:rsid w:val="00DA2DF9"/>
    <w:rsid w:val="00DA3423"/>
    <w:rsid w:val="00DA44CB"/>
    <w:rsid w:val="00DA62DE"/>
    <w:rsid w:val="00DA677B"/>
    <w:rsid w:val="00DB178B"/>
    <w:rsid w:val="00DB2576"/>
    <w:rsid w:val="00DB3D8C"/>
    <w:rsid w:val="00DB3DA7"/>
    <w:rsid w:val="00DB4ACD"/>
    <w:rsid w:val="00DB4DB7"/>
    <w:rsid w:val="00DB7C9C"/>
    <w:rsid w:val="00DB7D08"/>
    <w:rsid w:val="00DC045C"/>
    <w:rsid w:val="00DC1731"/>
    <w:rsid w:val="00DC4F26"/>
    <w:rsid w:val="00DC62BF"/>
    <w:rsid w:val="00DD085F"/>
    <w:rsid w:val="00DD169B"/>
    <w:rsid w:val="00DD1C12"/>
    <w:rsid w:val="00DD411E"/>
    <w:rsid w:val="00DD5586"/>
    <w:rsid w:val="00DE6277"/>
    <w:rsid w:val="00DF000C"/>
    <w:rsid w:val="00DF07A7"/>
    <w:rsid w:val="00DF1A23"/>
    <w:rsid w:val="00DF3827"/>
    <w:rsid w:val="00DF3E9C"/>
    <w:rsid w:val="00DF4CDC"/>
    <w:rsid w:val="00E00C0A"/>
    <w:rsid w:val="00E0161A"/>
    <w:rsid w:val="00E023B2"/>
    <w:rsid w:val="00E02553"/>
    <w:rsid w:val="00E034EF"/>
    <w:rsid w:val="00E03A22"/>
    <w:rsid w:val="00E1107F"/>
    <w:rsid w:val="00E1459E"/>
    <w:rsid w:val="00E2263D"/>
    <w:rsid w:val="00E23333"/>
    <w:rsid w:val="00E239C7"/>
    <w:rsid w:val="00E24135"/>
    <w:rsid w:val="00E2761B"/>
    <w:rsid w:val="00E27950"/>
    <w:rsid w:val="00E3001F"/>
    <w:rsid w:val="00E30389"/>
    <w:rsid w:val="00E3225F"/>
    <w:rsid w:val="00E33DB7"/>
    <w:rsid w:val="00E3493B"/>
    <w:rsid w:val="00E35D4B"/>
    <w:rsid w:val="00E36122"/>
    <w:rsid w:val="00E36905"/>
    <w:rsid w:val="00E40489"/>
    <w:rsid w:val="00E417DC"/>
    <w:rsid w:val="00E41DB4"/>
    <w:rsid w:val="00E44C9F"/>
    <w:rsid w:val="00E47202"/>
    <w:rsid w:val="00E51056"/>
    <w:rsid w:val="00E512F1"/>
    <w:rsid w:val="00E53675"/>
    <w:rsid w:val="00E54716"/>
    <w:rsid w:val="00E55F79"/>
    <w:rsid w:val="00E56133"/>
    <w:rsid w:val="00E57D51"/>
    <w:rsid w:val="00E60AEA"/>
    <w:rsid w:val="00E635FF"/>
    <w:rsid w:val="00E63A08"/>
    <w:rsid w:val="00E66620"/>
    <w:rsid w:val="00E666C7"/>
    <w:rsid w:val="00E7025B"/>
    <w:rsid w:val="00E72BB8"/>
    <w:rsid w:val="00E73198"/>
    <w:rsid w:val="00E804C3"/>
    <w:rsid w:val="00E8132A"/>
    <w:rsid w:val="00E828B6"/>
    <w:rsid w:val="00E82B01"/>
    <w:rsid w:val="00E844EF"/>
    <w:rsid w:val="00E90564"/>
    <w:rsid w:val="00E909EA"/>
    <w:rsid w:val="00E95312"/>
    <w:rsid w:val="00E964B1"/>
    <w:rsid w:val="00EA10DF"/>
    <w:rsid w:val="00EA282B"/>
    <w:rsid w:val="00EA3BFA"/>
    <w:rsid w:val="00EA5F2E"/>
    <w:rsid w:val="00EA60DF"/>
    <w:rsid w:val="00EA7689"/>
    <w:rsid w:val="00EB00BA"/>
    <w:rsid w:val="00EB08D8"/>
    <w:rsid w:val="00EB0FB4"/>
    <w:rsid w:val="00EB510C"/>
    <w:rsid w:val="00EB5867"/>
    <w:rsid w:val="00EC063E"/>
    <w:rsid w:val="00EC25C5"/>
    <w:rsid w:val="00EC4946"/>
    <w:rsid w:val="00EC5A22"/>
    <w:rsid w:val="00ED076F"/>
    <w:rsid w:val="00ED0F49"/>
    <w:rsid w:val="00ED2032"/>
    <w:rsid w:val="00ED3774"/>
    <w:rsid w:val="00ED4DA0"/>
    <w:rsid w:val="00EE3A78"/>
    <w:rsid w:val="00EE5CA3"/>
    <w:rsid w:val="00EE618B"/>
    <w:rsid w:val="00EE64F7"/>
    <w:rsid w:val="00EE65D5"/>
    <w:rsid w:val="00EE70E1"/>
    <w:rsid w:val="00EF419A"/>
    <w:rsid w:val="00EF6BE5"/>
    <w:rsid w:val="00EF7852"/>
    <w:rsid w:val="00F01645"/>
    <w:rsid w:val="00F04442"/>
    <w:rsid w:val="00F04910"/>
    <w:rsid w:val="00F05C3F"/>
    <w:rsid w:val="00F06E15"/>
    <w:rsid w:val="00F113A5"/>
    <w:rsid w:val="00F1283E"/>
    <w:rsid w:val="00F14B4E"/>
    <w:rsid w:val="00F1658D"/>
    <w:rsid w:val="00F165E8"/>
    <w:rsid w:val="00F21C81"/>
    <w:rsid w:val="00F235E7"/>
    <w:rsid w:val="00F25A57"/>
    <w:rsid w:val="00F26506"/>
    <w:rsid w:val="00F2678E"/>
    <w:rsid w:val="00F26D6E"/>
    <w:rsid w:val="00F302A3"/>
    <w:rsid w:val="00F32EBC"/>
    <w:rsid w:val="00F37AF6"/>
    <w:rsid w:val="00F403EC"/>
    <w:rsid w:val="00F406C0"/>
    <w:rsid w:val="00F43A94"/>
    <w:rsid w:val="00F4500F"/>
    <w:rsid w:val="00F46421"/>
    <w:rsid w:val="00F4729E"/>
    <w:rsid w:val="00F54610"/>
    <w:rsid w:val="00F57119"/>
    <w:rsid w:val="00F57355"/>
    <w:rsid w:val="00F709CD"/>
    <w:rsid w:val="00F70D4A"/>
    <w:rsid w:val="00F70F50"/>
    <w:rsid w:val="00F77406"/>
    <w:rsid w:val="00F777E5"/>
    <w:rsid w:val="00F805C7"/>
    <w:rsid w:val="00F824D9"/>
    <w:rsid w:val="00F82C63"/>
    <w:rsid w:val="00F84DF3"/>
    <w:rsid w:val="00F90031"/>
    <w:rsid w:val="00F92ECE"/>
    <w:rsid w:val="00F93652"/>
    <w:rsid w:val="00F937D6"/>
    <w:rsid w:val="00F9574F"/>
    <w:rsid w:val="00F9582C"/>
    <w:rsid w:val="00F9653F"/>
    <w:rsid w:val="00F97FAF"/>
    <w:rsid w:val="00FA0A98"/>
    <w:rsid w:val="00FA1E00"/>
    <w:rsid w:val="00FA2D14"/>
    <w:rsid w:val="00FA4779"/>
    <w:rsid w:val="00FA5AA7"/>
    <w:rsid w:val="00FA5C0A"/>
    <w:rsid w:val="00FA6B65"/>
    <w:rsid w:val="00FB00E9"/>
    <w:rsid w:val="00FB0676"/>
    <w:rsid w:val="00FB0BFB"/>
    <w:rsid w:val="00FB12D8"/>
    <w:rsid w:val="00FB3E08"/>
    <w:rsid w:val="00FC24D1"/>
    <w:rsid w:val="00FC3152"/>
    <w:rsid w:val="00FC3BE6"/>
    <w:rsid w:val="00FC5AA2"/>
    <w:rsid w:val="00FD0CC0"/>
    <w:rsid w:val="00FD1FAA"/>
    <w:rsid w:val="00FD310A"/>
    <w:rsid w:val="00FD7522"/>
    <w:rsid w:val="00FE090D"/>
    <w:rsid w:val="00FE535A"/>
    <w:rsid w:val="00FE5611"/>
    <w:rsid w:val="00FE5F32"/>
    <w:rsid w:val="00FE7725"/>
    <w:rsid w:val="00FE7953"/>
    <w:rsid w:val="00FF011A"/>
    <w:rsid w:val="00FF1DEA"/>
    <w:rsid w:val="00FF335E"/>
    <w:rsid w:val="00FF54B3"/>
    <w:rsid w:val="00FF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D62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2FC"/>
    <w:pPr>
      <w:spacing w:after="0" w:line="240" w:lineRule="auto"/>
    </w:pPr>
    <w:rPr>
      <w:rFonts w:ascii="Century Schoolbook" w:hAnsi="Century Schoolbook" w:cs="Times New Roman (Body CS)"/>
    </w:rPr>
  </w:style>
  <w:style w:type="paragraph" w:styleId="Heading1">
    <w:name w:val="heading 1"/>
    <w:basedOn w:val="Normal"/>
    <w:next w:val="Normal"/>
    <w:link w:val="Heading1Char"/>
    <w:uiPriority w:val="9"/>
    <w:qFormat/>
    <w:rsid w:val="00A54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4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F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F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F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F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4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F4A"/>
    <w:rPr>
      <w:rFonts w:eastAsiaTheme="majorEastAsia" w:cstheme="majorBidi"/>
      <w:color w:val="272727" w:themeColor="text1" w:themeTint="D8"/>
    </w:rPr>
  </w:style>
  <w:style w:type="paragraph" w:styleId="Title">
    <w:name w:val="Title"/>
    <w:basedOn w:val="Normal"/>
    <w:next w:val="Normal"/>
    <w:link w:val="TitleChar"/>
    <w:uiPriority w:val="10"/>
    <w:qFormat/>
    <w:rsid w:val="00A54F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F4A"/>
    <w:pPr>
      <w:spacing w:before="160"/>
      <w:jc w:val="center"/>
    </w:pPr>
    <w:rPr>
      <w:i/>
      <w:iCs/>
      <w:color w:val="404040" w:themeColor="text1" w:themeTint="BF"/>
    </w:rPr>
  </w:style>
  <w:style w:type="character" w:customStyle="1" w:styleId="QuoteChar">
    <w:name w:val="Quote Char"/>
    <w:basedOn w:val="DefaultParagraphFont"/>
    <w:link w:val="Quote"/>
    <w:uiPriority w:val="29"/>
    <w:rsid w:val="00A54F4A"/>
    <w:rPr>
      <w:i/>
      <w:iCs/>
      <w:color w:val="404040" w:themeColor="text1" w:themeTint="BF"/>
    </w:rPr>
  </w:style>
  <w:style w:type="paragraph" w:styleId="ListParagraph">
    <w:name w:val="List Paragraph"/>
    <w:basedOn w:val="Normal"/>
    <w:uiPriority w:val="34"/>
    <w:qFormat/>
    <w:rsid w:val="00A54F4A"/>
    <w:pPr>
      <w:ind w:left="720"/>
      <w:contextualSpacing/>
    </w:pPr>
  </w:style>
  <w:style w:type="character" w:styleId="IntenseEmphasis">
    <w:name w:val="Intense Emphasis"/>
    <w:basedOn w:val="DefaultParagraphFont"/>
    <w:uiPriority w:val="21"/>
    <w:qFormat/>
    <w:rsid w:val="00A54F4A"/>
    <w:rPr>
      <w:i/>
      <w:iCs/>
      <w:color w:val="0F4761" w:themeColor="accent1" w:themeShade="BF"/>
    </w:rPr>
  </w:style>
  <w:style w:type="paragraph" w:styleId="IntenseQuote">
    <w:name w:val="Intense Quote"/>
    <w:basedOn w:val="Normal"/>
    <w:next w:val="Normal"/>
    <w:link w:val="IntenseQuoteChar"/>
    <w:uiPriority w:val="30"/>
    <w:qFormat/>
    <w:rsid w:val="00A54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F4A"/>
    <w:rPr>
      <w:i/>
      <w:iCs/>
      <w:color w:val="0F4761" w:themeColor="accent1" w:themeShade="BF"/>
    </w:rPr>
  </w:style>
  <w:style w:type="character" w:styleId="IntenseReference">
    <w:name w:val="Intense Reference"/>
    <w:basedOn w:val="DefaultParagraphFont"/>
    <w:uiPriority w:val="32"/>
    <w:qFormat/>
    <w:rsid w:val="00A54F4A"/>
    <w:rPr>
      <w:b/>
      <w:bCs/>
      <w:smallCaps/>
      <w:color w:val="0F4761" w:themeColor="accent1" w:themeShade="BF"/>
      <w:spacing w:val="5"/>
    </w:rPr>
  </w:style>
  <w:style w:type="character" w:styleId="SubtleReference">
    <w:name w:val="Subtle Reference"/>
    <w:basedOn w:val="DefaultParagraphFont"/>
    <w:uiPriority w:val="31"/>
    <w:qFormat/>
    <w:rsid w:val="00A54F4A"/>
    <w:rPr>
      <w:smallCaps/>
      <w:color w:val="5A5A5A" w:themeColor="text1" w:themeTint="A5"/>
    </w:rPr>
  </w:style>
  <w:style w:type="character" w:styleId="PageNumber">
    <w:name w:val="page number"/>
    <w:basedOn w:val="DefaultParagraphFont"/>
    <w:uiPriority w:val="99"/>
    <w:semiHidden/>
    <w:unhideWhenUsed/>
    <w:rsid w:val="00A54F4A"/>
  </w:style>
  <w:style w:type="paragraph" w:styleId="Footer">
    <w:name w:val="footer"/>
    <w:basedOn w:val="Normal"/>
    <w:link w:val="FooterChar1"/>
    <w:uiPriority w:val="99"/>
    <w:unhideWhenUsed/>
    <w:rsid w:val="00A54F4A"/>
    <w:pPr>
      <w:tabs>
        <w:tab w:val="center" w:pos="4680"/>
        <w:tab w:val="right" w:pos="9360"/>
      </w:tabs>
    </w:pPr>
    <w:rPr>
      <w:rFonts w:cstheme="minorBidi"/>
      <w:kern w:val="0"/>
      <w:szCs w:val="22"/>
      <w14:ligatures w14:val="none"/>
    </w:rPr>
  </w:style>
  <w:style w:type="character" w:customStyle="1" w:styleId="FooterChar">
    <w:name w:val="Footer Char"/>
    <w:basedOn w:val="DefaultParagraphFont"/>
    <w:uiPriority w:val="99"/>
    <w:semiHidden/>
    <w:rsid w:val="00A54F4A"/>
    <w:rPr>
      <w:rFonts w:ascii="Century Schoolbook" w:hAnsi="Century Schoolbook" w:cs="Times New Roman (Body CS)"/>
    </w:rPr>
  </w:style>
  <w:style w:type="character" w:customStyle="1" w:styleId="FooterChar1">
    <w:name w:val="Footer Char1"/>
    <w:basedOn w:val="DefaultParagraphFont"/>
    <w:link w:val="Footer"/>
    <w:uiPriority w:val="99"/>
    <w:rsid w:val="00A54F4A"/>
    <w:rPr>
      <w:rFonts w:ascii="Century Schoolbook" w:hAnsi="Century Schoolbook"/>
      <w:kern w:val="0"/>
      <w:szCs w:val="22"/>
      <w14:ligatures w14:val="none"/>
    </w:rPr>
  </w:style>
  <w:style w:type="paragraph" w:styleId="Header">
    <w:name w:val="header"/>
    <w:basedOn w:val="Normal"/>
    <w:link w:val="HeaderChar"/>
    <w:uiPriority w:val="99"/>
    <w:unhideWhenUsed/>
    <w:rsid w:val="00A54F4A"/>
    <w:pPr>
      <w:tabs>
        <w:tab w:val="center" w:pos="4680"/>
        <w:tab w:val="right" w:pos="9360"/>
      </w:tabs>
    </w:pPr>
  </w:style>
  <w:style w:type="character" w:customStyle="1" w:styleId="HeaderChar">
    <w:name w:val="Header Char"/>
    <w:basedOn w:val="DefaultParagraphFont"/>
    <w:link w:val="Header"/>
    <w:uiPriority w:val="99"/>
    <w:rsid w:val="00A54F4A"/>
    <w:rPr>
      <w:rFonts w:ascii="Century Schoolbook" w:hAnsi="Century Schoolbook" w:cs="Times New Roman (Body CS)"/>
    </w:rPr>
  </w:style>
  <w:style w:type="character" w:styleId="Hyperlink">
    <w:name w:val="Hyperlink"/>
    <w:basedOn w:val="DefaultParagraphFont"/>
    <w:uiPriority w:val="99"/>
    <w:unhideWhenUsed/>
    <w:rsid w:val="0085219F"/>
    <w:rPr>
      <w:color w:val="467886" w:themeColor="hyperlink"/>
      <w:u w:val="single"/>
    </w:rPr>
  </w:style>
  <w:style w:type="character" w:styleId="UnresolvedMention">
    <w:name w:val="Unresolved Mention"/>
    <w:basedOn w:val="DefaultParagraphFont"/>
    <w:uiPriority w:val="99"/>
    <w:semiHidden/>
    <w:unhideWhenUsed/>
    <w:rsid w:val="0085219F"/>
    <w:rPr>
      <w:color w:val="605E5C"/>
      <w:shd w:val="clear" w:color="auto" w:fill="E1DFDD"/>
    </w:rPr>
  </w:style>
  <w:style w:type="paragraph" w:styleId="Revision">
    <w:name w:val="Revision"/>
    <w:hidden/>
    <w:uiPriority w:val="99"/>
    <w:semiHidden/>
    <w:rsid w:val="00BF5B93"/>
    <w:pPr>
      <w:spacing w:after="0" w:line="240" w:lineRule="auto"/>
    </w:pPr>
    <w:rPr>
      <w:rFonts w:ascii="Century Schoolbook" w:hAnsi="Century Schoolbook" w:cs="Times New Roman (Body CS)"/>
    </w:rPr>
  </w:style>
  <w:style w:type="character" w:styleId="CommentReference">
    <w:name w:val="annotation reference"/>
    <w:basedOn w:val="DefaultParagraphFont"/>
    <w:uiPriority w:val="99"/>
    <w:semiHidden/>
    <w:unhideWhenUsed/>
    <w:rsid w:val="00BF5B93"/>
    <w:rPr>
      <w:sz w:val="16"/>
      <w:szCs w:val="16"/>
    </w:rPr>
  </w:style>
  <w:style w:type="paragraph" w:styleId="CommentText">
    <w:name w:val="annotation text"/>
    <w:basedOn w:val="Normal"/>
    <w:link w:val="CommentTextChar"/>
    <w:uiPriority w:val="99"/>
    <w:semiHidden/>
    <w:unhideWhenUsed/>
    <w:rsid w:val="00BF5B93"/>
    <w:rPr>
      <w:sz w:val="20"/>
      <w:szCs w:val="20"/>
    </w:rPr>
  </w:style>
  <w:style w:type="character" w:customStyle="1" w:styleId="CommentTextChar">
    <w:name w:val="Comment Text Char"/>
    <w:basedOn w:val="DefaultParagraphFont"/>
    <w:link w:val="CommentText"/>
    <w:uiPriority w:val="99"/>
    <w:semiHidden/>
    <w:rsid w:val="00BF5B93"/>
    <w:rPr>
      <w:rFonts w:ascii="Century Schoolbook" w:hAnsi="Century Schoolbook" w:cs="Times New Roman (Body CS)"/>
      <w:sz w:val="20"/>
      <w:szCs w:val="20"/>
    </w:rPr>
  </w:style>
  <w:style w:type="paragraph" w:styleId="CommentSubject">
    <w:name w:val="annotation subject"/>
    <w:basedOn w:val="CommentText"/>
    <w:next w:val="CommentText"/>
    <w:link w:val="CommentSubjectChar"/>
    <w:uiPriority w:val="99"/>
    <w:semiHidden/>
    <w:unhideWhenUsed/>
    <w:rsid w:val="00BF5B93"/>
    <w:rPr>
      <w:b/>
      <w:bCs/>
    </w:rPr>
  </w:style>
  <w:style w:type="character" w:customStyle="1" w:styleId="CommentSubjectChar">
    <w:name w:val="Comment Subject Char"/>
    <w:basedOn w:val="CommentTextChar"/>
    <w:link w:val="CommentSubject"/>
    <w:uiPriority w:val="99"/>
    <w:semiHidden/>
    <w:rsid w:val="00BF5B93"/>
    <w:rPr>
      <w:rFonts w:ascii="Century Schoolbook" w:hAnsi="Century Schoolbook" w:cs="Times New Roman (Body CS)"/>
      <w:b/>
      <w:bCs/>
      <w:sz w:val="20"/>
      <w:szCs w:val="20"/>
    </w:rPr>
  </w:style>
  <w:style w:type="paragraph" w:styleId="NormalWeb">
    <w:name w:val="Normal (Web)"/>
    <w:basedOn w:val="Normal"/>
    <w:uiPriority w:val="99"/>
    <w:unhideWhenUsed/>
    <w:rsid w:val="00FB0BFB"/>
    <w:pPr>
      <w:spacing w:before="100" w:beforeAutospacing="1" w:after="100" w:afterAutospacing="1"/>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8D45B2"/>
    <w:rPr>
      <w:sz w:val="20"/>
      <w:szCs w:val="20"/>
    </w:rPr>
  </w:style>
  <w:style w:type="character" w:customStyle="1" w:styleId="FootnoteTextChar">
    <w:name w:val="Footnote Text Char"/>
    <w:basedOn w:val="DefaultParagraphFont"/>
    <w:link w:val="FootnoteText"/>
    <w:uiPriority w:val="99"/>
    <w:semiHidden/>
    <w:rsid w:val="008D45B2"/>
    <w:rPr>
      <w:rFonts w:ascii="Century Schoolbook" w:hAnsi="Century Schoolbook" w:cs="Times New Roman (Body CS)"/>
      <w:sz w:val="20"/>
      <w:szCs w:val="20"/>
    </w:rPr>
  </w:style>
  <w:style w:type="character" w:styleId="FootnoteReference">
    <w:name w:val="footnote reference"/>
    <w:basedOn w:val="DefaultParagraphFont"/>
    <w:uiPriority w:val="99"/>
    <w:semiHidden/>
    <w:unhideWhenUsed/>
    <w:rsid w:val="008D45B2"/>
    <w:rPr>
      <w:vertAlign w:val="superscript"/>
    </w:rPr>
  </w:style>
  <w:style w:type="character" w:styleId="PlaceholderText">
    <w:name w:val="Placeholder Text"/>
    <w:basedOn w:val="DefaultParagraphFont"/>
    <w:uiPriority w:val="99"/>
    <w:semiHidden/>
    <w:rsid w:val="00910824"/>
    <w:rPr>
      <w:color w:val="666666"/>
    </w:rPr>
  </w:style>
  <w:style w:type="character" w:customStyle="1" w:styleId="apple-converted-space">
    <w:name w:val="apple-converted-space"/>
    <w:basedOn w:val="DefaultParagraphFont"/>
    <w:rsid w:val="009114A2"/>
  </w:style>
  <w:style w:type="character" w:styleId="Emphasis">
    <w:name w:val="Emphasis"/>
    <w:basedOn w:val="DefaultParagraphFont"/>
    <w:uiPriority w:val="20"/>
    <w:qFormat/>
    <w:rsid w:val="009114A2"/>
    <w:rPr>
      <w:i/>
      <w:iCs/>
    </w:rPr>
  </w:style>
  <w:style w:type="paragraph" w:styleId="TableofAuthorities">
    <w:name w:val="table of authorities"/>
    <w:basedOn w:val="Normal"/>
    <w:next w:val="Normal"/>
    <w:uiPriority w:val="99"/>
    <w:unhideWhenUsed/>
    <w:rsid w:val="00DA2DF9"/>
    <w:pPr>
      <w:spacing w:line="480" w:lineRule="auto"/>
      <w:ind w:left="240" w:hanging="240"/>
    </w:pPr>
    <w:rPr>
      <w:rFonts w:ascii="Times New Roman" w:hAnsi="Times New Roman"/>
      <w:sz w:val="20"/>
      <w:szCs w:val="20"/>
    </w:rPr>
  </w:style>
  <w:style w:type="paragraph" w:styleId="TOAHeading">
    <w:name w:val="toa heading"/>
    <w:basedOn w:val="Normal"/>
    <w:next w:val="Normal"/>
    <w:uiPriority w:val="99"/>
    <w:unhideWhenUsed/>
    <w:rsid w:val="00DA2DF9"/>
    <w:pPr>
      <w:spacing w:before="240" w:after="120" w:line="480" w:lineRule="auto"/>
    </w:pPr>
    <w:rPr>
      <w:rFonts w:ascii="Times New Roman" w:hAnsi="Times New Roman" w:cs="Arial"/>
      <w:b/>
      <w:bCs/>
      <w:caps/>
      <w:sz w:val="26"/>
      <w:szCs w:val="20"/>
    </w:rPr>
  </w:style>
  <w:style w:type="paragraph" w:styleId="TOC1">
    <w:name w:val="toc 1"/>
    <w:basedOn w:val="Normal"/>
    <w:next w:val="Normal"/>
    <w:autoRedefine/>
    <w:uiPriority w:val="39"/>
    <w:unhideWhenUsed/>
    <w:rsid w:val="001F0478"/>
    <w:pPr>
      <w:tabs>
        <w:tab w:val="right" w:leader="dot" w:pos="9350"/>
      </w:tabs>
      <w:spacing w:after="100" w:line="480" w:lineRule="auto"/>
      <w:jc w:val="both"/>
    </w:pPr>
    <w:rPr>
      <w:rFonts w:ascii="Times New Roman" w:hAnsi="Times New Roman"/>
      <w:sz w:val="26"/>
    </w:rPr>
  </w:style>
  <w:style w:type="paragraph" w:styleId="TOC2">
    <w:name w:val="toc 2"/>
    <w:basedOn w:val="Normal"/>
    <w:next w:val="Normal"/>
    <w:autoRedefine/>
    <w:uiPriority w:val="39"/>
    <w:unhideWhenUsed/>
    <w:rsid w:val="001F0478"/>
    <w:pPr>
      <w:numPr>
        <w:numId w:val="24"/>
      </w:numPr>
      <w:tabs>
        <w:tab w:val="right" w:leader="dot" w:pos="9350"/>
      </w:tabs>
      <w:spacing w:after="100"/>
      <w:ind w:left="360" w:hanging="360"/>
      <w:jc w:val="both"/>
    </w:pPr>
  </w:style>
  <w:style w:type="paragraph" w:styleId="TOC3">
    <w:name w:val="toc 3"/>
    <w:basedOn w:val="Normal"/>
    <w:next w:val="Normal"/>
    <w:autoRedefine/>
    <w:uiPriority w:val="39"/>
    <w:unhideWhenUsed/>
    <w:rsid w:val="00283F1C"/>
    <w:pPr>
      <w:numPr>
        <w:numId w:val="26"/>
      </w:numPr>
      <w:tabs>
        <w:tab w:val="right" w:leader="dot" w:pos="9350"/>
      </w:tabs>
      <w:spacing w:after="100"/>
    </w:pPr>
  </w:style>
  <w:style w:type="character" w:customStyle="1" w:styleId="normaltextrun">
    <w:name w:val="normaltextrun"/>
    <w:basedOn w:val="DefaultParagraphFont"/>
    <w:rsid w:val="00C67DE2"/>
  </w:style>
  <w:style w:type="character" w:customStyle="1" w:styleId="eop">
    <w:name w:val="eop"/>
    <w:basedOn w:val="DefaultParagraphFont"/>
    <w:rsid w:val="00C67DE2"/>
  </w:style>
  <w:style w:type="character" w:styleId="BookTitle">
    <w:name w:val="Book Title"/>
    <w:basedOn w:val="DefaultParagraphFont"/>
    <w:uiPriority w:val="33"/>
    <w:qFormat/>
    <w:rsid w:val="00C67DE2"/>
    <w:rPr>
      <w:b/>
      <w:bCs/>
      <w:i/>
      <w:iCs/>
      <w:spacing w:val="5"/>
    </w:rPr>
  </w:style>
  <w:style w:type="paragraph" w:styleId="Caption">
    <w:name w:val="caption"/>
    <w:basedOn w:val="Normal"/>
    <w:next w:val="Normal"/>
    <w:uiPriority w:val="35"/>
    <w:semiHidden/>
    <w:unhideWhenUsed/>
    <w:qFormat/>
    <w:rsid w:val="00C67DE2"/>
    <w:pPr>
      <w:spacing w:after="200"/>
    </w:pPr>
    <w:rPr>
      <w:i/>
      <w:iCs/>
      <w:color w:val="0E2841" w:themeColor="text2"/>
      <w:sz w:val="18"/>
      <w:szCs w:val="18"/>
    </w:rPr>
  </w:style>
  <w:style w:type="paragraph" w:styleId="NoSpacing">
    <w:name w:val="No Spacing"/>
    <w:uiPriority w:val="1"/>
    <w:qFormat/>
    <w:rsid w:val="00C67DE2"/>
    <w:pPr>
      <w:spacing w:after="0" w:line="240" w:lineRule="auto"/>
    </w:pPr>
    <w:rPr>
      <w:rFonts w:ascii="Century Schoolbook" w:hAnsi="Century Schoolbook" w:cs="Times New Roman (Body CS)"/>
    </w:rPr>
  </w:style>
  <w:style w:type="character" w:styleId="Strong">
    <w:name w:val="Strong"/>
    <w:basedOn w:val="DefaultParagraphFont"/>
    <w:uiPriority w:val="22"/>
    <w:qFormat/>
    <w:rsid w:val="00C67DE2"/>
    <w:rPr>
      <w:b/>
      <w:bCs/>
    </w:rPr>
  </w:style>
  <w:style w:type="character" w:styleId="SubtleEmphasis">
    <w:name w:val="Subtle Emphasis"/>
    <w:basedOn w:val="DefaultParagraphFont"/>
    <w:uiPriority w:val="19"/>
    <w:qFormat/>
    <w:rsid w:val="00C67DE2"/>
    <w:rPr>
      <w:i/>
      <w:iCs/>
      <w:color w:val="404040" w:themeColor="text1" w:themeTint="BF"/>
    </w:rPr>
  </w:style>
  <w:style w:type="paragraph" w:styleId="TOCHeading">
    <w:name w:val="TOC Heading"/>
    <w:basedOn w:val="Heading1"/>
    <w:next w:val="Normal"/>
    <w:uiPriority w:val="39"/>
    <w:semiHidden/>
    <w:unhideWhenUsed/>
    <w:qFormat/>
    <w:rsid w:val="00C67DE2"/>
    <w:pPr>
      <w:spacing w:before="240" w:after="0"/>
      <w:outlineLvl w:val="9"/>
    </w:pPr>
    <w:rPr>
      <w:sz w:val="32"/>
      <w:szCs w:val="32"/>
    </w:rPr>
  </w:style>
  <w:style w:type="paragraph" w:customStyle="1" w:styleId="paragraph">
    <w:name w:val="paragraph"/>
    <w:basedOn w:val="Normal"/>
    <w:rsid w:val="00C67DE2"/>
    <w:pPr>
      <w:spacing w:before="100" w:beforeAutospacing="1" w:after="100" w:afterAutospacing="1"/>
    </w:pPr>
    <w:rPr>
      <w:rFonts w:ascii="Times New Roman" w:eastAsia="Times New Roman" w:hAnsi="Times New Roman" w:cs="Times New Roman"/>
      <w:kern w:val="0"/>
      <w14:ligatures w14:val="none"/>
    </w:rPr>
  </w:style>
  <w:style w:type="character" w:customStyle="1" w:styleId="tabchar">
    <w:name w:val="tabchar"/>
    <w:basedOn w:val="DefaultParagraphFont"/>
    <w:rsid w:val="00C67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059">
      <w:bodyDiv w:val="1"/>
      <w:marLeft w:val="0"/>
      <w:marRight w:val="0"/>
      <w:marTop w:val="0"/>
      <w:marBottom w:val="0"/>
      <w:divBdr>
        <w:top w:val="none" w:sz="0" w:space="0" w:color="auto"/>
        <w:left w:val="none" w:sz="0" w:space="0" w:color="auto"/>
        <w:bottom w:val="none" w:sz="0" w:space="0" w:color="auto"/>
        <w:right w:val="none" w:sz="0" w:space="0" w:color="auto"/>
      </w:divBdr>
    </w:div>
    <w:div w:id="16471095">
      <w:bodyDiv w:val="1"/>
      <w:marLeft w:val="0"/>
      <w:marRight w:val="0"/>
      <w:marTop w:val="0"/>
      <w:marBottom w:val="0"/>
      <w:divBdr>
        <w:top w:val="none" w:sz="0" w:space="0" w:color="auto"/>
        <w:left w:val="none" w:sz="0" w:space="0" w:color="auto"/>
        <w:bottom w:val="none" w:sz="0" w:space="0" w:color="auto"/>
        <w:right w:val="none" w:sz="0" w:space="0" w:color="auto"/>
      </w:divBdr>
      <w:divsChild>
        <w:div w:id="2143421280">
          <w:marLeft w:val="0"/>
          <w:marRight w:val="0"/>
          <w:marTop w:val="0"/>
          <w:marBottom w:val="0"/>
          <w:divBdr>
            <w:top w:val="none" w:sz="0" w:space="0" w:color="auto"/>
            <w:left w:val="none" w:sz="0" w:space="0" w:color="auto"/>
            <w:bottom w:val="none" w:sz="0" w:space="0" w:color="auto"/>
            <w:right w:val="none" w:sz="0" w:space="0" w:color="auto"/>
          </w:divBdr>
          <w:divsChild>
            <w:div w:id="962807379">
              <w:marLeft w:val="0"/>
              <w:marRight w:val="0"/>
              <w:marTop w:val="0"/>
              <w:marBottom w:val="0"/>
              <w:divBdr>
                <w:top w:val="none" w:sz="0" w:space="0" w:color="auto"/>
                <w:left w:val="none" w:sz="0" w:space="0" w:color="auto"/>
                <w:bottom w:val="none" w:sz="0" w:space="0" w:color="auto"/>
                <w:right w:val="none" w:sz="0" w:space="0" w:color="auto"/>
              </w:divBdr>
              <w:divsChild>
                <w:div w:id="3755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9691">
      <w:bodyDiv w:val="1"/>
      <w:marLeft w:val="0"/>
      <w:marRight w:val="0"/>
      <w:marTop w:val="0"/>
      <w:marBottom w:val="0"/>
      <w:divBdr>
        <w:top w:val="none" w:sz="0" w:space="0" w:color="auto"/>
        <w:left w:val="none" w:sz="0" w:space="0" w:color="auto"/>
        <w:bottom w:val="none" w:sz="0" w:space="0" w:color="auto"/>
        <w:right w:val="none" w:sz="0" w:space="0" w:color="auto"/>
      </w:divBdr>
      <w:divsChild>
        <w:div w:id="1477261066">
          <w:marLeft w:val="0"/>
          <w:marRight w:val="0"/>
          <w:marTop w:val="0"/>
          <w:marBottom w:val="0"/>
          <w:divBdr>
            <w:top w:val="none" w:sz="0" w:space="0" w:color="auto"/>
            <w:left w:val="none" w:sz="0" w:space="0" w:color="auto"/>
            <w:bottom w:val="none" w:sz="0" w:space="0" w:color="auto"/>
            <w:right w:val="none" w:sz="0" w:space="0" w:color="auto"/>
          </w:divBdr>
          <w:divsChild>
            <w:div w:id="8728491">
              <w:marLeft w:val="0"/>
              <w:marRight w:val="0"/>
              <w:marTop w:val="0"/>
              <w:marBottom w:val="0"/>
              <w:divBdr>
                <w:top w:val="none" w:sz="0" w:space="0" w:color="auto"/>
                <w:left w:val="none" w:sz="0" w:space="0" w:color="auto"/>
                <w:bottom w:val="none" w:sz="0" w:space="0" w:color="auto"/>
                <w:right w:val="none" w:sz="0" w:space="0" w:color="auto"/>
              </w:divBdr>
              <w:divsChild>
                <w:div w:id="19628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9378">
      <w:bodyDiv w:val="1"/>
      <w:marLeft w:val="0"/>
      <w:marRight w:val="0"/>
      <w:marTop w:val="0"/>
      <w:marBottom w:val="0"/>
      <w:divBdr>
        <w:top w:val="none" w:sz="0" w:space="0" w:color="auto"/>
        <w:left w:val="none" w:sz="0" w:space="0" w:color="auto"/>
        <w:bottom w:val="none" w:sz="0" w:space="0" w:color="auto"/>
        <w:right w:val="none" w:sz="0" w:space="0" w:color="auto"/>
      </w:divBdr>
      <w:divsChild>
        <w:div w:id="937448631">
          <w:marLeft w:val="0"/>
          <w:marRight w:val="0"/>
          <w:marTop w:val="0"/>
          <w:marBottom w:val="0"/>
          <w:divBdr>
            <w:top w:val="none" w:sz="0" w:space="0" w:color="auto"/>
            <w:left w:val="none" w:sz="0" w:space="0" w:color="auto"/>
            <w:bottom w:val="none" w:sz="0" w:space="0" w:color="auto"/>
            <w:right w:val="none" w:sz="0" w:space="0" w:color="auto"/>
          </w:divBdr>
          <w:divsChild>
            <w:div w:id="809589311">
              <w:marLeft w:val="0"/>
              <w:marRight w:val="0"/>
              <w:marTop w:val="0"/>
              <w:marBottom w:val="0"/>
              <w:divBdr>
                <w:top w:val="none" w:sz="0" w:space="0" w:color="auto"/>
                <w:left w:val="none" w:sz="0" w:space="0" w:color="auto"/>
                <w:bottom w:val="none" w:sz="0" w:space="0" w:color="auto"/>
                <w:right w:val="none" w:sz="0" w:space="0" w:color="auto"/>
              </w:divBdr>
              <w:divsChild>
                <w:div w:id="13700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16243">
      <w:bodyDiv w:val="1"/>
      <w:marLeft w:val="0"/>
      <w:marRight w:val="0"/>
      <w:marTop w:val="0"/>
      <w:marBottom w:val="0"/>
      <w:divBdr>
        <w:top w:val="none" w:sz="0" w:space="0" w:color="auto"/>
        <w:left w:val="none" w:sz="0" w:space="0" w:color="auto"/>
        <w:bottom w:val="none" w:sz="0" w:space="0" w:color="auto"/>
        <w:right w:val="none" w:sz="0" w:space="0" w:color="auto"/>
      </w:divBdr>
      <w:divsChild>
        <w:div w:id="1600605373">
          <w:marLeft w:val="0"/>
          <w:marRight w:val="0"/>
          <w:marTop w:val="0"/>
          <w:marBottom w:val="0"/>
          <w:divBdr>
            <w:top w:val="none" w:sz="0" w:space="0" w:color="auto"/>
            <w:left w:val="none" w:sz="0" w:space="0" w:color="auto"/>
            <w:bottom w:val="none" w:sz="0" w:space="0" w:color="auto"/>
            <w:right w:val="none" w:sz="0" w:space="0" w:color="auto"/>
          </w:divBdr>
          <w:divsChild>
            <w:div w:id="516038033">
              <w:marLeft w:val="0"/>
              <w:marRight w:val="0"/>
              <w:marTop w:val="0"/>
              <w:marBottom w:val="0"/>
              <w:divBdr>
                <w:top w:val="none" w:sz="0" w:space="0" w:color="auto"/>
                <w:left w:val="none" w:sz="0" w:space="0" w:color="auto"/>
                <w:bottom w:val="none" w:sz="0" w:space="0" w:color="auto"/>
                <w:right w:val="none" w:sz="0" w:space="0" w:color="auto"/>
              </w:divBdr>
              <w:divsChild>
                <w:div w:id="19116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566321">
      <w:bodyDiv w:val="1"/>
      <w:marLeft w:val="0"/>
      <w:marRight w:val="0"/>
      <w:marTop w:val="0"/>
      <w:marBottom w:val="0"/>
      <w:divBdr>
        <w:top w:val="none" w:sz="0" w:space="0" w:color="auto"/>
        <w:left w:val="none" w:sz="0" w:space="0" w:color="auto"/>
        <w:bottom w:val="none" w:sz="0" w:space="0" w:color="auto"/>
        <w:right w:val="none" w:sz="0" w:space="0" w:color="auto"/>
      </w:divBdr>
      <w:divsChild>
        <w:div w:id="501749565">
          <w:marLeft w:val="0"/>
          <w:marRight w:val="0"/>
          <w:marTop w:val="0"/>
          <w:marBottom w:val="0"/>
          <w:divBdr>
            <w:top w:val="none" w:sz="0" w:space="0" w:color="auto"/>
            <w:left w:val="none" w:sz="0" w:space="0" w:color="auto"/>
            <w:bottom w:val="none" w:sz="0" w:space="0" w:color="auto"/>
            <w:right w:val="none" w:sz="0" w:space="0" w:color="auto"/>
          </w:divBdr>
          <w:divsChild>
            <w:div w:id="14353205">
              <w:marLeft w:val="0"/>
              <w:marRight w:val="0"/>
              <w:marTop w:val="0"/>
              <w:marBottom w:val="0"/>
              <w:divBdr>
                <w:top w:val="none" w:sz="0" w:space="0" w:color="auto"/>
                <w:left w:val="none" w:sz="0" w:space="0" w:color="auto"/>
                <w:bottom w:val="none" w:sz="0" w:space="0" w:color="auto"/>
                <w:right w:val="none" w:sz="0" w:space="0" w:color="auto"/>
              </w:divBdr>
              <w:divsChild>
                <w:div w:id="143250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2862">
      <w:bodyDiv w:val="1"/>
      <w:marLeft w:val="0"/>
      <w:marRight w:val="0"/>
      <w:marTop w:val="0"/>
      <w:marBottom w:val="0"/>
      <w:divBdr>
        <w:top w:val="none" w:sz="0" w:space="0" w:color="auto"/>
        <w:left w:val="none" w:sz="0" w:space="0" w:color="auto"/>
        <w:bottom w:val="none" w:sz="0" w:space="0" w:color="auto"/>
        <w:right w:val="none" w:sz="0" w:space="0" w:color="auto"/>
      </w:divBdr>
      <w:divsChild>
        <w:div w:id="79765860">
          <w:marLeft w:val="0"/>
          <w:marRight w:val="0"/>
          <w:marTop w:val="0"/>
          <w:marBottom w:val="0"/>
          <w:divBdr>
            <w:top w:val="none" w:sz="0" w:space="0" w:color="auto"/>
            <w:left w:val="none" w:sz="0" w:space="0" w:color="auto"/>
            <w:bottom w:val="none" w:sz="0" w:space="0" w:color="auto"/>
            <w:right w:val="none" w:sz="0" w:space="0" w:color="auto"/>
          </w:divBdr>
          <w:divsChild>
            <w:div w:id="2001884616">
              <w:marLeft w:val="0"/>
              <w:marRight w:val="0"/>
              <w:marTop w:val="0"/>
              <w:marBottom w:val="0"/>
              <w:divBdr>
                <w:top w:val="none" w:sz="0" w:space="0" w:color="auto"/>
                <w:left w:val="none" w:sz="0" w:space="0" w:color="auto"/>
                <w:bottom w:val="none" w:sz="0" w:space="0" w:color="auto"/>
                <w:right w:val="none" w:sz="0" w:space="0" w:color="auto"/>
              </w:divBdr>
              <w:divsChild>
                <w:div w:id="1957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9723">
      <w:bodyDiv w:val="1"/>
      <w:marLeft w:val="0"/>
      <w:marRight w:val="0"/>
      <w:marTop w:val="0"/>
      <w:marBottom w:val="0"/>
      <w:divBdr>
        <w:top w:val="none" w:sz="0" w:space="0" w:color="auto"/>
        <w:left w:val="none" w:sz="0" w:space="0" w:color="auto"/>
        <w:bottom w:val="none" w:sz="0" w:space="0" w:color="auto"/>
        <w:right w:val="none" w:sz="0" w:space="0" w:color="auto"/>
      </w:divBdr>
      <w:divsChild>
        <w:div w:id="104933863">
          <w:marLeft w:val="0"/>
          <w:marRight w:val="0"/>
          <w:marTop w:val="0"/>
          <w:marBottom w:val="0"/>
          <w:divBdr>
            <w:top w:val="none" w:sz="0" w:space="0" w:color="auto"/>
            <w:left w:val="none" w:sz="0" w:space="0" w:color="auto"/>
            <w:bottom w:val="none" w:sz="0" w:space="0" w:color="auto"/>
            <w:right w:val="none" w:sz="0" w:space="0" w:color="auto"/>
          </w:divBdr>
          <w:divsChild>
            <w:div w:id="725762293">
              <w:marLeft w:val="0"/>
              <w:marRight w:val="0"/>
              <w:marTop w:val="0"/>
              <w:marBottom w:val="0"/>
              <w:divBdr>
                <w:top w:val="none" w:sz="0" w:space="0" w:color="auto"/>
                <w:left w:val="none" w:sz="0" w:space="0" w:color="auto"/>
                <w:bottom w:val="none" w:sz="0" w:space="0" w:color="auto"/>
                <w:right w:val="none" w:sz="0" w:space="0" w:color="auto"/>
              </w:divBdr>
              <w:divsChild>
                <w:div w:id="96057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963760">
      <w:bodyDiv w:val="1"/>
      <w:marLeft w:val="0"/>
      <w:marRight w:val="0"/>
      <w:marTop w:val="0"/>
      <w:marBottom w:val="0"/>
      <w:divBdr>
        <w:top w:val="none" w:sz="0" w:space="0" w:color="auto"/>
        <w:left w:val="none" w:sz="0" w:space="0" w:color="auto"/>
        <w:bottom w:val="none" w:sz="0" w:space="0" w:color="auto"/>
        <w:right w:val="none" w:sz="0" w:space="0" w:color="auto"/>
      </w:divBdr>
      <w:divsChild>
        <w:div w:id="985474361">
          <w:marLeft w:val="0"/>
          <w:marRight w:val="0"/>
          <w:marTop w:val="0"/>
          <w:marBottom w:val="0"/>
          <w:divBdr>
            <w:top w:val="none" w:sz="0" w:space="0" w:color="auto"/>
            <w:left w:val="none" w:sz="0" w:space="0" w:color="auto"/>
            <w:bottom w:val="none" w:sz="0" w:space="0" w:color="auto"/>
            <w:right w:val="none" w:sz="0" w:space="0" w:color="auto"/>
          </w:divBdr>
          <w:divsChild>
            <w:div w:id="1875531090">
              <w:marLeft w:val="0"/>
              <w:marRight w:val="0"/>
              <w:marTop w:val="0"/>
              <w:marBottom w:val="0"/>
              <w:divBdr>
                <w:top w:val="none" w:sz="0" w:space="0" w:color="auto"/>
                <w:left w:val="none" w:sz="0" w:space="0" w:color="auto"/>
                <w:bottom w:val="none" w:sz="0" w:space="0" w:color="auto"/>
                <w:right w:val="none" w:sz="0" w:space="0" w:color="auto"/>
              </w:divBdr>
              <w:divsChild>
                <w:div w:id="1435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538515">
      <w:bodyDiv w:val="1"/>
      <w:marLeft w:val="0"/>
      <w:marRight w:val="0"/>
      <w:marTop w:val="0"/>
      <w:marBottom w:val="0"/>
      <w:divBdr>
        <w:top w:val="none" w:sz="0" w:space="0" w:color="auto"/>
        <w:left w:val="none" w:sz="0" w:space="0" w:color="auto"/>
        <w:bottom w:val="none" w:sz="0" w:space="0" w:color="auto"/>
        <w:right w:val="none" w:sz="0" w:space="0" w:color="auto"/>
      </w:divBdr>
      <w:divsChild>
        <w:div w:id="1557931628">
          <w:marLeft w:val="0"/>
          <w:marRight w:val="0"/>
          <w:marTop w:val="0"/>
          <w:marBottom w:val="0"/>
          <w:divBdr>
            <w:top w:val="none" w:sz="0" w:space="0" w:color="auto"/>
            <w:left w:val="none" w:sz="0" w:space="0" w:color="auto"/>
            <w:bottom w:val="none" w:sz="0" w:space="0" w:color="auto"/>
            <w:right w:val="none" w:sz="0" w:space="0" w:color="auto"/>
          </w:divBdr>
          <w:divsChild>
            <w:div w:id="946084414">
              <w:marLeft w:val="0"/>
              <w:marRight w:val="0"/>
              <w:marTop w:val="0"/>
              <w:marBottom w:val="0"/>
              <w:divBdr>
                <w:top w:val="none" w:sz="0" w:space="0" w:color="auto"/>
                <w:left w:val="none" w:sz="0" w:space="0" w:color="auto"/>
                <w:bottom w:val="none" w:sz="0" w:space="0" w:color="auto"/>
                <w:right w:val="none" w:sz="0" w:space="0" w:color="auto"/>
              </w:divBdr>
              <w:divsChild>
                <w:div w:id="199514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94687">
      <w:bodyDiv w:val="1"/>
      <w:marLeft w:val="0"/>
      <w:marRight w:val="0"/>
      <w:marTop w:val="0"/>
      <w:marBottom w:val="0"/>
      <w:divBdr>
        <w:top w:val="none" w:sz="0" w:space="0" w:color="auto"/>
        <w:left w:val="none" w:sz="0" w:space="0" w:color="auto"/>
        <w:bottom w:val="none" w:sz="0" w:space="0" w:color="auto"/>
        <w:right w:val="none" w:sz="0" w:space="0" w:color="auto"/>
      </w:divBdr>
      <w:divsChild>
        <w:div w:id="245238048">
          <w:marLeft w:val="0"/>
          <w:marRight w:val="0"/>
          <w:marTop w:val="0"/>
          <w:marBottom w:val="0"/>
          <w:divBdr>
            <w:top w:val="none" w:sz="0" w:space="0" w:color="auto"/>
            <w:left w:val="none" w:sz="0" w:space="0" w:color="auto"/>
            <w:bottom w:val="none" w:sz="0" w:space="0" w:color="auto"/>
            <w:right w:val="none" w:sz="0" w:space="0" w:color="auto"/>
          </w:divBdr>
          <w:divsChild>
            <w:div w:id="232543872">
              <w:marLeft w:val="0"/>
              <w:marRight w:val="0"/>
              <w:marTop w:val="0"/>
              <w:marBottom w:val="0"/>
              <w:divBdr>
                <w:top w:val="none" w:sz="0" w:space="0" w:color="auto"/>
                <w:left w:val="none" w:sz="0" w:space="0" w:color="auto"/>
                <w:bottom w:val="none" w:sz="0" w:space="0" w:color="auto"/>
                <w:right w:val="none" w:sz="0" w:space="0" w:color="auto"/>
              </w:divBdr>
              <w:divsChild>
                <w:div w:id="7093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746123">
      <w:bodyDiv w:val="1"/>
      <w:marLeft w:val="0"/>
      <w:marRight w:val="0"/>
      <w:marTop w:val="0"/>
      <w:marBottom w:val="0"/>
      <w:divBdr>
        <w:top w:val="none" w:sz="0" w:space="0" w:color="auto"/>
        <w:left w:val="none" w:sz="0" w:space="0" w:color="auto"/>
        <w:bottom w:val="none" w:sz="0" w:space="0" w:color="auto"/>
        <w:right w:val="none" w:sz="0" w:space="0" w:color="auto"/>
      </w:divBdr>
      <w:divsChild>
        <w:div w:id="565727146">
          <w:marLeft w:val="0"/>
          <w:marRight w:val="0"/>
          <w:marTop w:val="0"/>
          <w:marBottom w:val="0"/>
          <w:divBdr>
            <w:top w:val="none" w:sz="0" w:space="0" w:color="auto"/>
            <w:left w:val="none" w:sz="0" w:space="0" w:color="auto"/>
            <w:bottom w:val="none" w:sz="0" w:space="0" w:color="auto"/>
            <w:right w:val="none" w:sz="0" w:space="0" w:color="auto"/>
          </w:divBdr>
          <w:divsChild>
            <w:div w:id="1124495295">
              <w:marLeft w:val="0"/>
              <w:marRight w:val="0"/>
              <w:marTop w:val="0"/>
              <w:marBottom w:val="0"/>
              <w:divBdr>
                <w:top w:val="none" w:sz="0" w:space="0" w:color="auto"/>
                <w:left w:val="none" w:sz="0" w:space="0" w:color="auto"/>
                <w:bottom w:val="none" w:sz="0" w:space="0" w:color="auto"/>
                <w:right w:val="none" w:sz="0" w:space="0" w:color="auto"/>
              </w:divBdr>
              <w:divsChild>
                <w:div w:id="1057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3641">
      <w:bodyDiv w:val="1"/>
      <w:marLeft w:val="0"/>
      <w:marRight w:val="0"/>
      <w:marTop w:val="0"/>
      <w:marBottom w:val="0"/>
      <w:divBdr>
        <w:top w:val="none" w:sz="0" w:space="0" w:color="auto"/>
        <w:left w:val="none" w:sz="0" w:space="0" w:color="auto"/>
        <w:bottom w:val="none" w:sz="0" w:space="0" w:color="auto"/>
        <w:right w:val="none" w:sz="0" w:space="0" w:color="auto"/>
      </w:divBdr>
      <w:divsChild>
        <w:div w:id="1555194262">
          <w:marLeft w:val="0"/>
          <w:marRight w:val="0"/>
          <w:marTop w:val="0"/>
          <w:marBottom w:val="0"/>
          <w:divBdr>
            <w:top w:val="none" w:sz="0" w:space="0" w:color="auto"/>
            <w:left w:val="none" w:sz="0" w:space="0" w:color="auto"/>
            <w:bottom w:val="none" w:sz="0" w:space="0" w:color="auto"/>
            <w:right w:val="none" w:sz="0" w:space="0" w:color="auto"/>
          </w:divBdr>
          <w:divsChild>
            <w:div w:id="1026177677">
              <w:marLeft w:val="0"/>
              <w:marRight w:val="0"/>
              <w:marTop w:val="0"/>
              <w:marBottom w:val="0"/>
              <w:divBdr>
                <w:top w:val="none" w:sz="0" w:space="0" w:color="auto"/>
                <w:left w:val="none" w:sz="0" w:space="0" w:color="auto"/>
                <w:bottom w:val="none" w:sz="0" w:space="0" w:color="auto"/>
                <w:right w:val="none" w:sz="0" w:space="0" w:color="auto"/>
              </w:divBdr>
              <w:divsChild>
                <w:div w:id="6447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733640">
      <w:bodyDiv w:val="1"/>
      <w:marLeft w:val="0"/>
      <w:marRight w:val="0"/>
      <w:marTop w:val="0"/>
      <w:marBottom w:val="0"/>
      <w:divBdr>
        <w:top w:val="none" w:sz="0" w:space="0" w:color="auto"/>
        <w:left w:val="none" w:sz="0" w:space="0" w:color="auto"/>
        <w:bottom w:val="none" w:sz="0" w:space="0" w:color="auto"/>
        <w:right w:val="none" w:sz="0" w:space="0" w:color="auto"/>
      </w:divBdr>
      <w:divsChild>
        <w:div w:id="691490697">
          <w:marLeft w:val="0"/>
          <w:marRight w:val="0"/>
          <w:marTop w:val="0"/>
          <w:marBottom w:val="0"/>
          <w:divBdr>
            <w:top w:val="none" w:sz="0" w:space="0" w:color="auto"/>
            <w:left w:val="none" w:sz="0" w:space="0" w:color="auto"/>
            <w:bottom w:val="none" w:sz="0" w:space="0" w:color="auto"/>
            <w:right w:val="none" w:sz="0" w:space="0" w:color="auto"/>
          </w:divBdr>
          <w:divsChild>
            <w:div w:id="1086880264">
              <w:marLeft w:val="0"/>
              <w:marRight w:val="0"/>
              <w:marTop w:val="0"/>
              <w:marBottom w:val="0"/>
              <w:divBdr>
                <w:top w:val="none" w:sz="0" w:space="0" w:color="auto"/>
                <w:left w:val="none" w:sz="0" w:space="0" w:color="auto"/>
                <w:bottom w:val="none" w:sz="0" w:space="0" w:color="auto"/>
                <w:right w:val="none" w:sz="0" w:space="0" w:color="auto"/>
              </w:divBdr>
              <w:divsChild>
                <w:div w:id="116073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03637">
      <w:bodyDiv w:val="1"/>
      <w:marLeft w:val="0"/>
      <w:marRight w:val="0"/>
      <w:marTop w:val="0"/>
      <w:marBottom w:val="0"/>
      <w:divBdr>
        <w:top w:val="none" w:sz="0" w:space="0" w:color="auto"/>
        <w:left w:val="none" w:sz="0" w:space="0" w:color="auto"/>
        <w:bottom w:val="none" w:sz="0" w:space="0" w:color="auto"/>
        <w:right w:val="none" w:sz="0" w:space="0" w:color="auto"/>
      </w:divBdr>
    </w:div>
    <w:div w:id="1431512358">
      <w:bodyDiv w:val="1"/>
      <w:marLeft w:val="0"/>
      <w:marRight w:val="0"/>
      <w:marTop w:val="0"/>
      <w:marBottom w:val="0"/>
      <w:divBdr>
        <w:top w:val="none" w:sz="0" w:space="0" w:color="auto"/>
        <w:left w:val="none" w:sz="0" w:space="0" w:color="auto"/>
        <w:bottom w:val="none" w:sz="0" w:space="0" w:color="auto"/>
        <w:right w:val="none" w:sz="0" w:space="0" w:color="auto"/>
      </w:divBdr>
      <w:divsChild>
        <w:div w:id="1290555767">
          <w:marLeft w:val="0"/>
          <w:marRight w:val="0"/>
          <w:marTop w:val="0"/>
          <w:marBottom w:val="0"/>
          <w:divBdr>
            <w:top w:val="none" w:sz="0" w:space="0" w:color="auto"/>
            <w:left w:val="none" w:sz="0" w:space="0" w:color="auto"/>
            <w:bottom w:val="none" w:sz="0" w:space="0" w:color="auto"/>
            <w:right w:val="none" w:sz="0" w:space="0" w:color="auto"/>
          </w:divBdr>
          <w:divsChild>
            <w:div w:id="1935363473">
              <w:marLeft w:val="0"/>
              <w:marRight w:val="0"/>
              <w:marTop w:val="0"/>
              <w:marBottom w:val="0"/>
              <w:divBdr>
                <w:top w:val="none" w:sz="0" w:space="0" w:color="auto"/>
                <w:left w:val="none" w:sz="0" w:space="0" w:color="auto"/>
                <w:bottom w:val="none" w:sz="0" w:space="0" w:color="auto"/>
                <w:right w:val="none" w:sz="0" w:space="0" w:color="auto"/>
              </w:divBdr>
              <w:divsChild>
                <w:div w:id="18002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25704">
      <w:bodyDiv w:val="1"/>
      <w:marLeft w:val="0"/>
      <w:marRight w:val="0"/>
      <w:marTop w:val="0"/>
      <w:marBottom w:val="0"/>
      <w:divBdr>
        <w:top w:val="none" w:sz="0" w:space="0" w:color="auto"/>
        <w:left w:val="none" w:sz="0" w:space="0" w:color="auto"/>
        <w:bottom w:val="none" w:sz="0" w:space="0" w:color="auto"/>
        <w:right w:val="none" w:sz="0" w:space="0" w:color="auto"/>
      </w:divBdr>
    </w:div>
    <w:div w:id="1657489177">
      <w:bodyDiv w:val="1"/>
      <w:marLeft w:val="0"/>
      <w:marRight w:val="0"/>
      <w:marTop w:val="0"/>
      <w:marBottom w:val="0"/>
      <w:divBdr>
        <w:top w:val="none" w:sz="0" w:space="0" w:color="auto"/>
        <w:left w:val="none" w:sz="0" w:space="0" w:color="auto"/>
        <w:bottom w:val="none" w:sz="0" w:space="0" w:color="auto"/>
        <w:right w:val="none" w:sz="0" w:space="0" w:color="auto"/>
      </w:divBdr>
      <w:divsChild>
        <w:div w:id="1488742520">
          <w:marLeft w:val="0"/>
          <w:marRight w:val="0"/>
          <w:marTop w:val="0"/>
          <w:marBottom w:val="0"/>
          <w:divBdr>
            <w:top w:val="none" w:sz="0" w:space="0" w:color="auto"/>
            <w:left w:val="none" w:sz="0" w:space="0" w:color="auto"/>
            <w:bottom w:val="none" w:sz="0" w:space="0" w:color="auto"/>
            <w:right w:val="none" w:sz="0" w:space="0" w:color="auto"/>
          </w:divBdr>
          <w:divsChild>
            <w:div w:id="537353555">
              <w:marLeft w:val="0"/>
              <w:marRight w:val="0"/>
              <w:marTop w:val="0"/>
              <w:marBottom w:val="0"/>
              <w:divBdr>
                <w:top w:val="none" w:sz="0" w:space="0" w:color="auto"/>
                <w:left w:val="none" w:sz="0" w:space="0" w:color="auto"/>
                <w:bottom w:val="none" w:sz="0" w:space="0" w:color="auto"/>
                <w:right w:val="none" w:sz="0" w:space="0" w:color="auto"/>
              </w:divBdr>
              <w:divsChild>
                <w:div w:id="86167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25297">
      <w:bodyDiv w:val="1"/>
      <w:marLeft w:val="0"/>
      <w:marRight w:val="0"/>
      <w:marTop w:val="0"/>
      <w:marBottom w:val="0"/>
      <w:divBdr>
        <w:top w:val="none" w:sz="0" w:space="0" w:color="auto"/>
        <w:left w:val="none" w:sz="0" w:space="0" w:color="auto"/>
        <w:bottom w:val="none" w:sz="0" w:space="0" w:color="auto"/>
        <w:right w:val="none" w:sz="0" w:space="0" w:color="auto"/>
      </w:divBdr>
      <w:divsChild>
        <w:div w:id="1554805667">
          <w:marLeft w:val="0"/>
          <w:marRight w:val="0"/>
          <w:marTop w:val="0"/>
          <w:marBottom w:val="0"/>
          <w:divBdr>
            <w:top w:val="none" w:sz="0" w:space="0" w:color="auto"/>
            <w:left w:val="none" w:sz="0" w:space="0" w:color="auto"/>
            <w:bottom w:val="none" w:sz="0" w:space="0" w:color="auto"/>
            <w:right w:val="none" w:sz="0" w:space="0" w:color="auto"/>
          </w:divBdr>
          <w:divsChild>
            <w:div w:id="1961647573">
              <w:marLeft w:val="0"/>
              <w:marRight w:val="0"/>
              <w:marTop w:val="0"/>
              <w:marBottom w:val="0"/>
              <w:divBdr>
                <w:top w:val="none" w:sz="0" w:space="0" w:color="auto"/>
                <w:left w:val="none" w:sz="0" w:space="0" w:color="auto"/>
                <w:bottom w:val="none" w:sz="0" w:space="0" w:color="auto"/>
                <w:right w:val="none" w:sz="0" w:space="0" w:color="auto"/>
              </w:divBdr>
              <w:divsChild>
                <w:div w:id="18586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11538">
      <w:bodyDiv w:val="1"/>
      <w:marLeft w:val="0"/>
      <w:marRight w:val="0"/>
      <w:marTop w:val="0"/>
      <w:marBottom w:val="0"/>
      <w:divBdr>
        <w:top w:val="none" w:sz="0" w:space="0" w:color="auto"/>
        <w:left w:val="none" w:sz="0" w:space="0" w:color="auto"/>
        <w:bottom w:val="none" w:sz="0" w:space="0" w:color="auto"/>
        <w:right w:val="none" w:sz="0" w:space="0" w:color="auto"/>
      </w:divBdr>
      <w:divsChild>
        <w:div w:id="183178237">
          <w:marLeft w:val="0"/>
          <w:marRight w:val="0"/>
          <w:marTop w:val="0"/>
          <w:marBottom w:val="0"/>
          <w:divBdr>
            <w:top w:val="none" w:sz="0" w:space="0" w:color="auto"/>
            <w:left w:val="none" w:sz="0" w:space="0" w:color="auto"/>
            <w:bottom w:val="none" w:sz="0" w:space="0" w:color="auto"/>
            <w:right w:val="none" w:sz="0" w:space="0" w:color="auto"/>
          </w:divBdr>
        </w:div>
        <w:div w:id="998537110">
          <w:marLeft w:val="0"/>
          <w:marRight w:val="0"/>
          <w:marTop w:val="0"/>
          <w:marBottom w:val="0"/>
          <w:divBdr>
            <w:top w:val="none" w:sz="0" w:space="0" w:color="auto"/>
            <w:left w:val="none" w:sz="0" w:space="0" w:color="auto"/>
            <w:bottom w:val="none" w:sz="0" w:space="0" w:color="auto"/>
            <w:right w:val="none" w:sz="0" w:space="0" w:color="auto"/>
          </w:divBdr>
          <w:divsChild>
            <w:div w:id="1895895109">
              <w:marLeft w:val="0"/>
              <w:marRight w:val="0"/>
              <w:marTop w:val="0"/>
              <w:marBottom w:val="0"/>
              <w:divBdr>
                <w:top w:val="none" w:sz="0" w:space="0" w:color="auto"/>
                <w:left w:val="none" w:sz="0" w:space="0" w:color="auto"/>
                <w:bottom w:val="none" w:sz="0" w:space="0" w:color="auto"/>
                <w:right w:val="none" w:sz="0" w:space="0" w:color="auto"/>
              </w:divBdr>
              <w:divsChild>
                <w:div w:id="17762436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37433">
      <w:bodyDiv w:val="1"/>
      <w:marLeft w:val="0"/>
      <w:marRight w:val="0"/>
      <w:marTop w:val="0"/>
      <w:marBottom w:val="0"/>
      <w:divBdr>
        <w:top w:val="none" w:sz="0" w:space="0" w:color="auto"/>
        <w:left w:val="none" w:sz="0" w:space="0" w:color="auto"/>
        <w:bottom w:val="none" w:sz="0" w:space="0" w:color="auto"/>
        <w:right w:val="none" w:sz="0" w:space="0" w:color="auto"/>
      </w:divBdr>
      <w:divsChild>
        <w:div w:id="977802187">
          <w:marLeft w:val="0"/>
          <w:marRight w:val="0"/>
          <w:marTop w:val="0"/>
          <w:marBottom w:val="0"/>
          <w:divBdr>
            <w:top w:val="none" w:sz="0" w:space="0" w:color="auto"/>
            <w:left w:val="none" w:sz="0" w:space="0" w:color="auto"/>
            <w:bottom w:val="none" w:sz="0" w:space="0" w:color="auto"/>
            <w:right w:val="none" w:sz="0" w:space="0" w:color="auto"/>
          </w:divBdr>
          <w:divsChild>
            <w:div w:id="353654404">
              <w:marLeft w:val="0"/>
              <w:marRight w:val="0"/>
              <w:marTop w:val="0"/>
              <w:marBottom w:val="0"/>
              <w:divBdr>
                <w:top w:val="none" w:sz="0" w:space="0" w:color="auto"/>
                <w:left w:val="none" w:sz="0" w:space="0" w:color="auto"/>
                <w:bottom w:val="none" w:sz="0" w:space="0" w:color="auto"/>
                <w:right w:val="none" w:sz="0" w:space="0" w:color="auto"/>
              </w:divBdr>
              <w:divsChild>
                <w:div w:id="124953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326535">
      <w:bodyDiv w:val="1"/>
      <w:marLeft w:val="0"/>
      <w:marRight w:val="0"/>
      <w:marTop w:val="0"/>
      <w:marBottom w:val="0"/>
      <w:divBdr>
        <w:top w:val="none" w:sz="0" w:space="0" w:color="auto"/>
        <w:left w:val="none" w:sz="0" w:space="0" w:color="auto"/>
        <w:bottom w:val="none" w:sz="0" w:space="0" w:color="auto"/>
        <w:right w:val="none" w:sz="0" w:space="0" w:color="auto"/>
      </w:divBdr>
      <w:divsChild>
        <w:div w:id="24327761">
          <w:marLeft w:val="0"/>
          <w:marRight w:val="0"/>
          <w:marTop w:val="0"/>
          <w:marBottom w:val="0"/>
          <w:divBdr>
            <w:top w:val="none" w:sz="0" w:space="0" w:color="auto"/>
            <w:left w:val="none" w:sz="0" w:space="0" w:color="auto"/>
            <w:bottom w:val="none" w:sz="0" w:space="0" w:color="auto"/>
            <w:right w:val="none" w:sz="0" w:space="0" w:color="auto"/>
          </w:divBdr>
          <w:divsChild>
            <w:div w:id="517237477">
              <w:marLeft w:val="0"/>
              <w:marRight w:val="0"/>
              <w:marTop w:val="0"/>
              <w:marBottom w:val="0"/>
              <w:divBdr>
                <w:top w:val="none" w:sz="0" w:space="0" w:color="auto"/>
                <w:left w:val="none" w:sz="0" w:space="0" w:color="auto"/>
                <w:bottom w:val="none" w:sz="0" w:space="0" w:color="auto"/>
                <w:right w:val="none" w:sz="0" w:space="0" w:color="auto"/>
              </w:divBdr>
              <w:divsChild>
                <w:div w:id="89438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216395">
      <w:bodyDiv w:val="1"/>
      <w:marLeft w:val="0"/>
      <w:marRight w:val="0"/>
      <w:marTop w:val="0"/>
      <w:marBottom w:val="0"/>
      <w:divBdr>
        <w:top w:val="none" w:sz="0" w:space="0" w:color="auto"/>
        <w:left w:val="none" w:sz="0" w:space="0" w:color="auto"/>
        <w:bottom w:val="none" w:sz="0" w:space="0" w:color="auto"/>
        <w:right w:val="none" w:sz="0" w:space="0" w:color="auto"/>
      </w:divBdr>
      <w:divsChild>
        <w:div w:id="504328099">
          <w:marLeft w:val="0"/>
          <w:marRight w:val="0"/>
          <w:marTop w:val="0"/>
          <w:marBottom w:val="0"/>
          <w:divBdr>
            <w:top w:val="none" w:sz="0" w:space="0" w:color="auto"/>
            <w:left w:val="none" w:sz="0" w:space="0" w:color="auto"/>
            <w:bottom w:val="none" w:sz="0" w:space="0" w:color="auto"/>
            <w:right w:val="none" w:sz="0" w:space="0" w:color="auto"/>
          </w:divBdr>
          <w:divsChild>
            <w:div w:id="1835683776">
              <w:marLeft w:val="0"/>
              <w:marRight w:val="0"/>
              <w:marTop w:val="0"/>
              <w:marBottom w:val="0"/>
              <w:divBdr>
                <w:top w:val="none" w:sz="0" w:space="0" w:color="auto"/>
                <w:left w:val="none" w:sz="0" w:space="0" w:color="auto"/>
                <w:bottom w:val="none" w:sz="0" w:space="0" w:color="auto"/>
                <w:right w:val="none" w:sz="0" w:space="0" w:color="auto"/>
              </w:divBdr>
              <w:divsChild>
                <w:div w:id="14049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32005">
      <w:bodyDiv w:val="1"/>
      <w:marLeft w:val="0"/>
      <w:marRight w:val="0"/>
      <w:marTop w:val="0"/>
      <w:marBottom w:val="0"/>
      <w:divBdr>
        <w:top w:val="none" w:sz="0" w:space="0" w:color="auto"/>
        <w:left w:val="none" w:sz="0" w:space="0" w:color="auto"/>
        <w:bottom w:val="none" w:sz="0" w:space="0" w:color="auto"/>
        <w:right w:val="none" w:sz="0" w:space="0" w:color="auto"/>
      </w:divBdr>
      <w:divsChild>
        <w:div w:id="2133088465">
          <w:marLeft w:val="0"/>
          <w:marRight w:val="0"/>
          <w:marTop w:val="0"/>
          <w:marBottom w:val="0"/>
          <w:divBdr>
            <w:top w:val="none" w:sz="0" w:space="0" w:color="auto"/>
            <w:left w:val="none" w:sz="0" w:space="0" w:color="auto"/>
            <w:bottom w:val="none" w:sz="0" w:space="0" w:color="auto"/>
            <w:right w:val="none" w:sz="0" w:space="0" w:color="auto"/>
          </w:divBdr>
          <w:divsChild>
            <w:div w:id="1821850087">
              <w:marLeft w:val="0"/>
              <w:marRight w:val="0"/>
              <w:marTop w:val="0"/>
              <w:marBottom w:val="0"/>
              <w:divBdr>
                <w:top w:val="none" w:sz="0" w:space="0" w:color="auto"/>
                <w:left w:val="none" w:sz="0" w:space="0" w:color="auto"/>
                <w:bottom w:val="none" w:sz="0" w:space="0" w:color="auto"/>
                <w:right w:val="none" w:sz="0" w:space="0" w:color="auto"/>
              </w:divBdr>
              <w:divsChild>
                <w:div w:id="8414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785672">
      <w:bodyDiv w:val="1"/>
      <w:marLeft w:val="0"/>
      <w:marRight w:val="0"/>
      <w:marTop w:val="0"/>
      <w:marBottom w:val="0"/>
      <w:divBdr>
        <w:top w:val="none" w:sz="0" w:space="0" w:color="auto"/>
        <w:left w:val="none" w:sz="0" w:space="0" w:color="auto"/>
        <w:bottom w:val="none" w:sz="0" w:space="0" w:color="auto"/>
        <w:right w:val="none" w:sz="0" w:space="0" w:color="auto"/>
      </w:divBdr>
      <w:divsChild>
        <w:div w:id="1584293488">
          <w:marLeft w:val="0"/>
          <w:marRight w:val="0"/>
          <w:marTop w:val="0"/>
          <w:marBottom w:val="0"/>
          <w:divBdr>
            <w:top w:val="none" w:sz="0" w:space="0" w:color="auto"/>
            <w:left w:val="none" w:sz="0" w:space="0" w:color="auto"/>
            <w:bottom w:val="none" w:sz="0" w:space="0" w:color="auto"/>
            <w:right w:val="none" w:sz="0" w:space="0" w:color="auto"/>
          </w:divBdr>
        </w:div>
        <w:div w:id="1174608737">
          <w:marLeft w:val="0"/>
          <w:marRight w:val="0"/>
          <w:marTop w:val="0"/>
          <w:marBottom w:val="0"/>
          <w:divBdr>
            <w:top w:val="none" w:sz="0" w:space="0" w:color="auto"/>
            <w:left w:val="none" w:sz="0" w:space="0" w:color="auto"/>
            <w:bottom w:val="none" w:sz="0" w:space="0" w:color="auto"/>
            <w:right w:val="none" w:sz="0" w:space="0" w:color="auto"/>
          </w:divBdr>
          <w:divsChild>
            <w:div w:id="706292857">
              <w:marLeft w:val="0"/>
              <w:marRight w:val="0"/>
              <w:marTop w:val="0"/>
              <w:marBottom w:val="0"/>
              <w:divBdr>
                <w:top w:val="none" w:sz="0" w:space="0" w:color="auto"/>
                <w:left w:val="none" w:sz="0" w:space="0" w:color="auto"/>
                <w:bottom w:val="none" w:sz="0" w:space="0" w:color="auto"/>
                <w:right w:val="none" w:sz="0" w:space="0" w:color="auto"/>
              </w:divBdr>
              <w:divsChild>
                <w:div w:id="1867059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0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E7AC4885-BBC1-4258-A22F-8D113B54CD81}"/>
</file>

<file path=customXml/itemProps2.xml><?xml version="1.0" encoding="utf-8"?>
<ds:datastoreItem xmlns:ds="http://schemas.openxmlformats.org/officeDocument/2006/customXml" ds:itemID="{3F3D3195-46AC-4E73-8840-B57C94CA24B8}"/>
</file>

<file path=customXml/itemProps3.xml><?xml version="1.0" encoding="utf-8"?>
<ds:datastoreItem xmlns:ds="http://schemas.openxmlformats.org/officeDocument/2006/customXml" ds:itemID="{48F0DC24-FD63-4860-B964-CD2F16CF98E5}"/>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5146</Words>
  <Characters>29338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2026-09-09T00:41:00Z</dcterms:created>
  <dcterms:modified xsi:type="dcterms:W3CDTF">2026-09-09T00:41:00Z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2025 NPTC Team Memorandums</vt:lpwstr>
  </property>
  <property fmtid="{D5CDD505-2E9C-101B-9397-08002B2CF9AE}" pid="3" name="ContentTypeId">
    <vt:lpwstr>0x010100E5A01D7EFA89344A8F856027092B5075</vt:lpwstr>
  </property>
  <property fmtid="{D5CDD505-2E9C-101B-9397-08002B2CF9AE}" pid="4" name="_AuthorEmail">
    <vt:lpwstr>csadro@law.stetson.edu</vt:lpwstr>
  </property>
  <property fmtid="{D5CDD505-2E9C-101B-9397-08002B2CF9AE}" pid="5" name="_NewReviewCycle">
    <vt:lpwstr/>
  </property>
  <property fmtid="{D5CDD505-2E9C-101B-9397-08002B2CF9AE}" pid="6" name="_AuthorEmailDisplayName">
    <vt:lpwstr>Carson Sadro</vt:lpwstr>
  </property>
  <property fmtid="{D5CDD505-2E9C-101B-9397-08002B2CF9AE}" pid="7" name="_AdHocReviewCycleID">
    <vt:i4>-1968204675</vt:i4>
  </property>
</Properties>
</file>