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35082" w14:textId="77777777" w:rsidR="005375FB" w:rsidRDefault="005375FB" w:rsidP="004B5F07">
      <w:pPr>
        <w:pBdr>
          <w:bottom w:val="thinThickThinMediumGap" w:sz="18" w:space="1" w:color="auto"/>
        </w:pBdr>
        <w:jc w:val="center"/>
        <w:rPr>
          <w:rFonts w:ascii="Times New Roman" w:hAnsi="Times New Roman" w:cs="Times New Roman"/>
          <w:b/>
          <w:color w:val="000000" w:themeColor="text1"/>
          <w:sz w:val="26"/>
          <w:szCs w:val="26"/>
        </w:rPr>
      </w:pPr>
    </w:p>
    <w:p w14:paraId="26470D9C" w14:textId="77777777" w:rsidR="005375FB" w:rsidRDefault="005375FB" w:rsidP="004B5F07">
      <w:pPr>
        <w:pBdr>
          <w:bottom w:val="thinThickThinMediumGap" w:sz="18" w:space="1" w:color="auto"/>
        </w:pBdr>
        <w:jc w:val="center"/>
        <w:rPr>
          <w:rFonts w:ascii="Times New Roman" w:hAnsi="Times New Roman" w:cs="Times New Roman"/>
          <w:b/>
          <w:color w:val="000000" w:themeColor="text1"/>
          <w:sz w:val="26"/>
          <w:szCs w:val="26"/>
        </w:rPr>
      </w:pPr>
    </w:p>
    <w:p w14:paraId="373840AE" w14:textId="77777777" w:rsidR="005375FB" w:rsidRDefault="005375FB" w:rsidP="007F0BA9">
      <w:pPr>
        <w:pBdr>
          <w:bottom w:val="thinThickThinMediumGap" w:sz="18" w:space="1" w:color="auto"/>
        </w:pBdr>
        <w:jc w:val="center"/>
        <w:rPr>
          <w:rFonts w:ascii="Times New Roman" w:hAnsi="Times New Roman" w:cs="Times New Roman"/>
          <w:b/>
          <w:color w:val="000000" w:themeColor="text1"/>
          <w:sz w:val="26"/>
          <w:szCs w:val="26"/>
        </w:rPr>
      </w:pPr>
    </w:p>
    <w:p w14:paraId="5FB75551" w14:textId="77777777" w:rsidR="005375FB" w:rsidRDefault="005375FB" w:rsidP="004B5F07">
      <w:pPr>
        <w:pBdr>
          <w:bottom w:val="thinThickThinMediumGap" w:sz="18" w:space="1" w:color="auto"/>
        </w:pBdr>
        <w:jc w:val="center"/>
        <w:rPr>
          <w:rFonts w:ascii="Times New Roman" w:hAnsi="Times New Roman" w:cs="Times New Roman"/>
          <w:b/>
          <w:color w:val="000000" w:themeColor="text1"/>
          <w:sz w:val="26"/>
          <w:szCs w:val="26"/>
        </w:rPr>
      </w:pPr>
    </w:p>
    <w:p w14:paraId="4D7D1E5D" w14:textId="7921E068" w:rsidR="004B5F07" w:rsidRPr="00EA10DF" w:rsidRDefault="000E2E84" w:rsidP="005375FB">
      <w:pPr>
        <w:pBdr>
          <w:bottom w:val="thinThickThinMediumGap" w:sz="18" w:space="1" w:color="auto"/>
        </w:pBdr>
        <w:jc w:val="center"/>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t xml:space="preserve">Case </w:t>
      </w:r>
      <w:r w:rsidR="001B4BBE" w:rsidRPr="00EA10DF">
        <w:rPr>
          <w:rFonts w:ascii="Times New Roman" w:hAnsi="Times New Roman" w:cs="Times New Roman"/>
          <w:b/>
          <w:color w:val="000000" w:themeColor="text1"/>
          <w:sz w:val="26"/>
          <w:szCs w:val="26"/>
        </w:rPr>
        <w:t>No. 2</w:t>
      </w:r>
      <w:r>
        <w:rPr>
          <w:rFonts w:ascii="Times New Roman" w:hAnsi="Times New Roman" w:cs="Times New Roman"/>
          <w:b/>
          <w:color w:val="000000" w:themeColor="text1"/>
          <w:sz w:val="26"/>
          <w:szCs w:val="26"/>
        </w:rPr>
        <w:t>025-CF-00417</w:t>
      </w:r>
    </w:p>
    <w:p w14:paraId="56B68A65" w14:textId="77777777" w:rsidR="004B5F07" w:rsidRPr="00EA10DF" w:rsidRDefault="004B5F07" w:rsidP="004B5F07">
      <w:pPr>
        <w:jc w:val="center"/>
        <w:rPr>
          <w:rFonts w:ascii="Times New Roman" w:hAnsi="Times New Roman" w:cs="Times New Roman"/>
          <w:b/>
          <w:color w:val="000000" w:themeColor="text1"/>
          <w:sz w:val="26"/>
          <w:szCs w:val="26"/>
        </w:rPr>
      </w:pPr>
    </w:p>
    <w:p w14:paraId="11821201" w14:textId="4DFD7196" w:rsidR="004B5F07" w:rsidRPr="00EA10DF" w:rsidRDefault="004B5F07" w:rsidP="00DA2DF9">
      <w:pPr>
        <w:jc w:val="center"/>
        <w:rPr>
          <w:rFonts w:ascii="Times New Roman" w:hAnsi="Times New Roman" w:cs="Times New Roman"/>
          <w:b/>
          <w:color w:val="000000" w:themeColor="text1"/>
          <w:sz w:val="26"/>
          <w:szCs w:val="26"/>
        </w:rPr>
      </w:pPr>
      <w:r w:rsidRPr="00EA10DF">
        <w:rPr>
          <w:rFonts w:ascii="Times New Roman" w:hAnsi="Times New Roman" w:cs="Times New Roman"/>
          <w:b/>
          <w:color w:val="000000" w:themeColor="text1"/>
          <w:sz w:val="26"/>
          <w:szCs w:val="26"/>
        </w:rPr>
        <w:t xml:space="preserve">UNITED STATES COURT </w:t>
      </w:r>
      <w:r w:rsidR="000F4E08">
        <w:rPr>
          <w:rFonts w:ascii="Times New Roman" w:hAnsi="Times New Roman" w:cs="Times New Roman"/>
          <w:b/>
          <w:color w:val="000000" w:themeColor="text1"/>
          <w:sz w:val="26"/>
          <w:szCs w:val="26"/>
        </w:rPr>
        <w:t>OF APPEALS</w:t>
      </w:r>
    </w:p>
    <w:p w14:paraId="02D27BFF" w14:textId="6A47D8A3" w:rsidR="004B5F07" w:rsidRPr="00EA10DF" w:rsidRDefault="000F4E08" w:rsidP="00DA2DF9">
      <w:pPr>
        <w:jc w:val="center"/>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t>FOURTEENTH CIRCUIT</w:t>
      </w:r>
    </w:p>
    <w:p w14:paraId="3C60AC71" w14:textId="77777777" w:rsidR="001B4BBE" w:rsidRPr="00EA10DF" w:rsidRDefault="001B4BBE" w:rsidP="001B4BBE">
      <w:pPr>
        <w:widowControl w:val="0"/>
        <w:jc w:val="center"/>
        <w:rPr>
          <w:rFonts w:ascii="Times New Roman" w:hAnsi="Times New Roman" w:cs="Times New Roman"/>
          <w:color w:val="000000" w:themeColor="text1"/>
          <w:sz w:val="26"/>
          <w:szCs w:val="26"/>
        </w:rPr>
      </w:pPr>
      <w:r w:rsidRPr="00EA10DF">
        <w:rPr>
          <w:rFonts w:ascii="Times New Roman" w:hAnsi="Times New Roman" w:cs="Times New Roman"/>
          <w:color w:val="000000" w:themeColor="text1"/>
          <w:sz w:val="26"/>
          <w:szCs w:val="26"/>
        </w:rPr>
        <w:t>___________________________________________</w:t>
      </w:r>
    </w:p>
    <w:p w14:paraId="63C43B99" w14:textId="77777777" w:rsidR="001B4BBE" w:rsidRPr="00EA10DF" w:rsidRDefault="001B4BBE" w:rsidP="001B4BBE">
      <w:pPr>
        <w:widowControl w:val="0"/>
        <w:jc w:val="center"/>
        <w:rPr>
          <w:rFonts w:ascii="Times New Roman" w:hAnsi="Times New Roman" w:cs="Times New Roman"/>
          <w:b/>
          <w:color w:val="000000" w:themeColor="text1"/>
          <w:sz w:val="26"/>
          <w:szCs w:val="26"/>
        </w:rPr>
      </w:pPr>
    </w:p>
    <w:p w14:paraId="7A2F4088" w14:textId="77777777" w:rsidR="001B4BBE" w:rsidRPr="00EA10DF" w:rsidRDefault="001B4BBE" w:rsidP="001B4BBE">
      <w:pPr>
        <w:widowControl w:val="0"/>
        <w:jc w:val="center"/>
        <w:rPr>
          <w:rFonts w:ascii="Times New Roman" w:hAnsi="Times New Roman" w:cs="Times New Roman"/>
          <w:b/>
          <w:color w:val="000000" w:themeColor="text1"/>
          <w:sz w:val="26"/>
          <w:szCs w:val="26"/>
        </w:rPr>
      </w:pPr>
    </w:p>
    <w:p w14:paraId="01CBAD74" w14:textId="3C900784" w:rsidR="001B4BBE" w:rsidRPr="00EA10DF" w:rsidRDefault="000E2E84" w:rsidP="001B4BBE">
      <w:pPr>
        <w:widowControl w:val="0"/>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UNITED STATES OF AMERICA</w:t>
      </w:r>
      <w:r w:rsidR="001B4BBE" w:rsidRPr="00EA10DF">
        <w:rPr>
          <w:rFonts w:ascii="Times New Roman" w:hAnsi="Times New Roman" w:cs="Times New Roman"/>
          <w:color w:val="000000" w:themeColor="text1"/>
          <w:sz w:val="26"/>
          <w:szCs w:val="26"/>
        </w:rPr>
        <w:t>,</w:t>
      </w:r>
    </w:p>
    <w:p w14:paraId="705D4480" w14:textId="77777777" w:rsidR="001B4BBE" w:rsidRPr="00EA10DF" w:rsidRDefault="001B4BBE" w:rsidP="000E2E84">
      <w:pPr>
        <w:widowControl w:val="0"/>
        <w:rPr>
          <w:rFonts w:ascii="Times New Roman" w:hAnsi="Times New Roman" w:cs="Times New Roman"/>
          <w:color w:val="000000" w:themeColor="text1"/>
          <w:sz w:val="26"/>
          <w:szCs w:val="26"/>
        </w:rPr>
      </w:pPr>
    </w:p>
    <w:p w14:paraId="4519D7FD" w14:textId="77777777" w:rsidR="001B4BBE" w:rsidRPr="00EA10DF" w:rsidRDefault="001B4BBE" w:rsidP="00D26791">
      <w:pPr>
        <w:widowControl w:val="0"/>
        <w:contextualSpacing/>
        <w:jc w:val="center"/>
        <w:rPr>
          <w:rFonts w:ascii="Times New Roman" w:hAnsi="Times New Roman" w:cs="Times New Roman"/>
          <w:color w:val="000000" w:themeColor="text1"/>
          <w:sz w:val="26"/>
          <w:szCs w:val="26"/>
        </w:rPr>
      </w:pPr>
    </w:p>
    <w:p w14:paraId="0B7FD78F" w14:textId="77777777" w:rsidR="001B4BBE" w:rsidRPr="00EA10DF" w:rsidRDefault="001B4BBE" w:rsidP="00D26791">
      <w:pPr>
        <w:widowControl w:val="0"/>
        <w:contextualSpacing/>
        <w:jc w:val="center"/>
        <w:rPr>
          <w:rFonts w:ascii="Times New Roman" w:hAnsi="Times New Roman" w:cs="Times New Roman"/>
          <w:color w:val="000000" w:themeColor="text1"/>
          <w:sz w:val="26"/>
          <w:szCs w:val="26"/>
        </w:rPr>
      </w:pPr>
    </w:p>
    <w:p w14:paraId="427D49D6" w14:textId="77777777" w:rsidR="001B4BBE" w:rsidRPr="00EA10DF" w:rsidRDefault="001B4BBE" w:rsidP="00D26791">
      <w:pPr>
        <w:widowControl w:val="0"/>
        <w:contextualSpacing/>
        <w:jc w:val="center"/>
        <w:rPr>
          <w:rFonts w:ascii="Times New Roman" w:hAnsi="Times New Roman" w:cs="Times New Roman"/>
          <w:color w:val="000000" w:themeColor="text1"/>
          <w:sz w:val="26"/>
          <w:szCs w:val="26"/>
        </w:rPr>
      </w:pPr>
      <w:r w:rsidRPr="00EA10DF">
        <w:rPr>
          <w:rFonts w:ascii="Times New Roman" w:hAnsi="Times New Roman" w:cs="Times New Roman"/>
          <w:color w:val="000000" w:themeColor="text1"/>
          <w:sz w:val="26"/>
          <w:szCs w:val="26"/>
        </w:rPr>
        <w:t>v.</w:t>
      </w:r>
    </w:p>
    <w:p w14:paraId="5B867C1E" w14:textId="77777777" w:rsidR="001B4BBE" w:rsidRPr="00EA10DF" w:rsidRDefault="001B4BBE" w:rsidP="00D26791">
      <w:pPr>
        <w:widowControl w:val="0"/>
        <w:contextualSpacing/>
        <w:jc w:val="center"/>
        <w:rPr>
          <w:rFonts w:ascii="Times New Roman" w:hAnsi="Times New Roman" w:cs="Times New Roman"/>
          <w:color w:val="000000" w:themeColor="text1"/>
          <w:sz w:val="26"/>
          <w:szCs w:val="26"/>
        </w:rPr>
      </w:pPr>
    </w:p>
    <w:p w14:paraId="515481E2" w14:textId="77777777" w:rsidR="001B4BBE" w:rsidRPr="00EA10DF" w:rsidRDefault="001B4BBE" w:rsidP="00D26791">
      <w:pPr>
        <w:widowControl w:val="0"/>
        <w:contextualSpacing/>
        <w:jc w:val="center"/>
        <w:rPr>
          <w:rFonts w:ascii="Times New Roman" w:hAnsi="Times New Roman" w:cs="Times New Roman"/>
          <w:color w:val="000000" w:themeColor="text1"/>
          <w:sz w:val="26"/>
          <w:szCs w:val="26"/>
        </w:rPr>
      </w:pPr>
    </w:p>
    <w:p w14:paraId="3207A607" w14:textId="77777777" w:rsidR="001B4BBE" w:rsidRPr="00EA10DF" w:rsidRDefault="001B4BBE" w:rsidP="00D26791">
      <w:pPr>
        <w:widowControl w:val="0"/>
        <w:contextualSpacing/>
        <w:jc w:val="center"/>
        <w:rPr>
          <w:rFonts w:ascii="Times New Roman" w:hAnsi="Times New Roman" w:cs="Times New Roman"/>
          <w:color w:val="000000" w:themeColor="text1"/>
          <w:sz w:val="26"/>
          <w:szCs w:val="26"/>
        </w:rPr>
      </w:pPr>
    </w:p>
    <w:p w14:paraId="6A7915BC" w14:textId="6B8BF969" w:rsidR="001B4BBE" w:rsidRPr="00EA10DF" w:rsidRDefault="000E2E84" w:rsidP="00D26791">
      <w:pPr>
        <w:widowControl w:val="0"/>
        <w:contextualSpacing/>
        <w:jc w:val="center"/>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EMILY CALLOWAY</w:t>
      </w:r>
      <w:r w:rsidR="001B4BBE" w:rsidRPr="00EA10DF">
        <w:rPr>
          <w:rFonts w:ascii="Times New Roman" w:hAnsi="Times New Roman" w:cs="Times New Roman"/>
          <w:color w:val="000000" w:themeColor="text1"/>
          <w:sz w:val="26"/>
          <w:szCs w:val="26"/>
        </w:rPr>
        <w:t>,</w:t>
      </w:r>
    </w:p>
    <w:p w14:paraId="4243BA2B" w14:textId="77777777" w:rsidR="001B4BBE" w:rsidRPr="00EA10DF" w:rsidRDefault="001B4BBE" w:rsidP="00D26791">
      <w:pPr>
        <w:widowControl w:val="0"/>
        <w:contextualSpacing/>
        <w:jc w:val="center"/>
        <w:rPr>
          <w:rFonts w:ascii="Times New Roman" w:hAnsi="Times New Roman" w:cs="Times New Roman"/>
          <w:color w:val="000000" w:themeColor="text1"/>
          <w:sz w:val="26"/>
          <w:szCs w:val="26"/>
        </w:rPr>
      </w:pPr>
    </w:p>
    <w:p w14:paraId="3B49DA8A" w14:textId="77777777" w:rsidR="001B4BBE" w:rsidRPr="00EA10DF" w:rsidRDefault="001B4BBE" w:rsidP="00D26791">
      <w:pPr>
        <w:widowControl w:val="0"/>
        <w:contextualSpacing/>
        <w:jc w:val="center"/>
        <w:rPr>
          <w:rFonts w:ascii="Times New Roman" w:hAnsi="Times New Roman" w:cs="Times New Roman"/>
          <w:i/>
          <w:color w:val="000000" w:themeColor="text1"/>
          <w:sz w:val="26"/>
          <w:szCs w:val="26"/>
        </w:rPr>
      </w:pPr>
      <w:r w:rsidRPr="00EA10DF">
        <w:rPr>
          <w:rFonts w:ascii="Times New Roman" w:hAnsi="Times New Roman" w:cs="Times New Roman"/>
          <w:i/>
          <w:color w:val="000000" w:themeColor="text1"/>
          <w:sz w:val="26"/>
          <w:szCs w:val="26"/>
        </w:rPr>
        <w:t>Defendant.</w:t>
      </w:r>
    </w:p>
    <w:p w14:paraId="1B51AE96" w14:textId="77777777" w:rsidR="001B4BBE" w:rsidRPr="00EA10DF" w:rsidRDefault="001B4BBE" w:rsidP="00D26791">
      <w:pPr>
        <w:widowControl w:val="0"/>
        <w:contextualSpacing/>
        <w:jc w:val="center"/>
        <w:rPr>
          <w:rFonts w:ascii="Times New Roman" w:hAnsi="Times New Roman" w:cs="Times New Roman"/>
          <w:color w:val="000000" w:themeColor="text1"/>
          <w:sz w:val="26"/>
          <w:szCs w:val="26"/>
        </w:rPr>
      </w:pPr>
    </w:p>
    <w:p w14:paraId="0C8D1207" w14:textId="77777777" w:rsidR="004B5F07" w:rsidRPr="00EA10DF" w:rsidRDefault="004B5F07" w:rsidP="00D26791">
      <w:pPr>
        <w:contextualSpacing/>
        <w:jc w:val="center"/>
        <w:rPr>
          <w:rFonts w:ascii="Times New Roman" w:hAnsi="Times New Roman" w:cs="Times New Roman"/>
          <w:color w:val="000000" w:themeColor="text1"/>
          <w:sz w:val="26"/>
          <w:szCs w:val="26"/>
        </w:rPr>
      </w:pPr>
      <w:r w:rsidRPr="00EA10DF">
        <w:rPr>
          <w:rFonts w:ascii="Times New Roman" w:hAnsi="Times New Roman" w:cs="Times New Roman"/>
          <w:color w:val="000000" w:themeColor="text1"/>
          <w:sz w:val="26"/>
          <w:szCs w:val="26"/>
        </w:rPr>
        <w:t>________________________________________</w:t>
      </w:r>
    </w:p>
    <w:p w14:paraId="434486FF" w14:textId="77777777" w:rsidR="001B4BBE" w:rsidRPr="00EA10DF" w:rsidRDefault="001B4BBE" w:rsidP="00D26791">
      <w:pPr>
        <w:ind w:right="720"/>
        <w:contextualSpacing/>
        <w:rPr>
          <w:rFonts w:ascii="Times New Roman" w:hAnsi="Times New Roman" w:cs="Times New Roman"/>
          <w:i/>
          <w:color w:val="000000" w:themeColor="text1"/>
          <w:sz w:val="26"/>
          <w:szCs w:val="26"/>
        </w:rPr>
      </w:pPr>
    </w:p>
    <w:p w14:paraId="3674816D" w14:textId="3DAB281D" w:rsidR="009942BC" w:rsidRPr="00EA10DF" w:rsidRDefault="002F0EEE" w:rsidP="00D26791">
      <w:pPr>
        <w:ind w:left="720" w:right="720"/>
        <w:contextualSpacing/>
        <w:jc w:val="center"/>
        <w:rPr>
          <w:rFonts w:ascii="Times New Roman" w:hAnsi="Times New Roman" w:cs="Times New Roman"/>
          <w:b/>
          <w:color w:val="000000" w:themeColor="text1"/>
          <w:sz w:val="26"/>
          <w:szCs w:val="26"/>
        </w:rPr>
      </w:pPr>
      <w:r w:rsidRPr="00EA10DF">
        <w:rPr>
          <w:rFonts w:ascii="Times New Roman" w:hAnsi="Times New Roman" w:cs="Times New Roman"/>
          <w:b/>
          <w:color w:val="000000" w:themeColor="text1"/>
          <w:sz w:val="26"/>
          <w:szCs w:val="26"/>
        </w:rPr>
        <w:t xml:space="preserve">MEMORANDUM OF LAW IN </w:t>
      </w:r>
      <w:r w:rsidR="00081762">
        <w:rPr>
          <w:rFonts w:ascii="Times New Roman" w:hAnsi="Times New Roman" w:cs="Times New Roman"/>
          <w:b/>
          <w:color w:val="000000" w:themeColor="text1"/>
          <w:sz w:val="26"/>
          <w:szCs w:val="26"/>
        </w:rPr>
        <w:t>SUPPORT OF</w:t>
      </w:r>
      <w:r w:rsidRPr="00EA10DF">
        <w:rPr>
          <w:rFonts w:ascii="Times New Roman" w:hAnsi="Times New Roman" w:cs="Times New Roman"/>
          <w:b/>
          <w:color w:val="000000" w:themeColor="text1"/>
          <w:sz w:val="26"/>
          <w:szCs w:val="26"/>
        </w:rPr>
        <w:t xml:space="preserve"> </w:t>
      </w:r>
    </w:p>
    <w:p w14:paraId="36FBC6A5" w14:textId="0651667E" w:rsidR="001B4BBE" w:rsidRPr="00EA10DF" w:rsidRDefault="001B4BBE" w:rsidP="00D26791">
      <w:pPr>
        <w:ind w:left="720" w:right="720"/>
        <w:contextualSpacing/>
        <w:jc w:val="center"/>
        <w:rPr>
          <w:rFonts w:ascii="Times New Roman" w:hAnsi="Times New Roman" w:cs="Times New Roman"/>
          <w:b/>
          <w:color w:val="000000" w:themeColor="text1"/>
          <w:sz w:val="26"/>
          <w:szCs w:val="26"/>
        </w:rPr>
      </w:pPr>
      <w:r w:rsidRPr="00EA10DF">
        <w:rPr>
          <w:rFonts w:ascii="Times New Roman" w:hAnsi="Times New Roman" w:cs="Times New Roman"/>
          <w:b/>
          <w:color w:val="000000" w:themeColor="text1"/>
          <w:sz w:val="26"/>
          <w:szCs w:val="26"/>
        </w:rPr>
        <w:t xml:space="preserve">DEFENDANT’S MOTION </w:t>
      </w:r>
      <w:r w:rsidR="000E2E84">
        <w:rPr>
          <w:rFonts w:ascii="Times New Roman" w:hAnsi="Times New Roman" w:cs="Times New Roman"/>
          <w:b/>
          <w:color w:val="000000" w:themeColor="text1"/>
          <w:sz w:val="26"/>
          <w:szCs w:val="26"/>
        </w:rPr>
        <w:t>TO SUPPRESS EVIDENCE</w:t>
      </w:r>
    </w:p>
    <w:p w14:paraId="740071E5" w14:textId="738CDC5E" w:rsidR="001B4BBE" w:rsidRPr="00EA10DF" w:rsidRDefault="000E2E84" w:rsidP="00D26791">
      <w:pPr>
        <w:ind w:left="720" w:right="720"/>
        <w:contextualSpacing/>
        <w:jc w:val="center"/>
        <w:rPr>
          <w:rFonts w:ascii="Times New Roman" w:hAnsi="Times New Roman" w:cs="Times New Roman"/>
          <w:b/>
          <w:color w:val="000000" w:themeColor="text1"/>
          <w:sz w:val="26"/>
          <w:szCs w:val="26"/>
        </w:rPr>
      </w:pPr>
      <w:r>
        <w:rPr>
          <w:rFonts w:ascii="Times New Roman" w:hAnsi="Times New Roman" w:cs="Times New Roman"/>
          <w:b/>
          <w:color w:val="000000" w:themeColor="text1"/>
          <w:sz w:val="26"/>
          <w:szCs w:val="26"/>
        </w:rPr>
        <w:t>AND MOTION TO QUASH SUBPOENA</w:t>
      </w:r>
    </w:p>
    <w:p w14:paraId="501E42BF" w14:textId="77777777" w:rsidR="001B4BBE" w:rsidRPr="00EA10DF" w:rsidRDefault="001B4BBE" w:rsidP="00D26791">
      <w:pPr>
        <w:contextualSpacing/>
        <w:jc w:val="center"/>
        <w:rPr>
          <w:rFonts w:ascii="Times New Roman" w:hAnsi="Times New Roman" w:cs="Times New Roman"/>
          <w:color w:val="000000" w:themeColor="text1"/>
          <w:sz w:val="26"/>
          <w:szCs w:val="26"/>
        </w:rPr>
      </w:pPr>
      <w:r w:rsidRPr="00EA10DF">
        <w:rPr>
          <w:rFonts w:ascii="Times New Roman" w:hAnsi="Times New Roman" w:cs="Times New Roman"/>
          <w:color w:val="000000" w:themeColor="text1"/>
          <w:sz w:val="26"/>
          <w:szCs w:val="26"/>
        </w:rPr>
        <w:t>________________________________________</w:t>
      </w:r>
    </w:p>
    <w:p w14:paraId="33F36A16" w14:textId="77777777" w:rsidR="001B4BBE" w:rsidRPr="00EA10DF" w:rsidRDefault="001B4BBE" w:rsidP="00D26791">
      <w:pPr>
        <w:pBdr>
          <w:bottom w:val="thinThickThinMediumGap" w:sz="18" w:space="1" w:color="auto"/>
        </w:pBdr>
        <w:contextualSpacing/>
        <w:jc w:val="center"/>
        <w:rPr>
          <w:rFonts w:ascii="Times New Roman" w:hAnsi="Times New Roman" w:cs="Times New Roman"/>
          <w:smallCaps/>
          <w:color w:val="000000" w:themeColor="text1"/>
          <w:sz w:val="26"/>
          <w:szCs w:val="26"/>
        </w:rPr>
      </w:pPr>
    </w:p>
    <w:p w14:paraId="1C399986" w14:textId="1B5C6492" w:rsidR="001B4BBE" w:rsidRPr="00EA10DF" w:rsidRDefault="001B4BBE" w:rsidP="00D26791">
      <w:pPr>
        <w:pBdr>
          <w:bottom w:val="thinThickThinMediumGap" w:sz="18" w:space="1" w:color="auto"/>
        </w:pBdr>
        <w:contextualSpacing/>
        <w:jc w:val="center"/>
        <w:rPr>
          <w:rFonts w:ascii="Times New Roman" w:hAnsi="Times New Roman" w:cs="Times New Roman"/>
          <w:iCs/>
          <w:color w:val="000000" w:themeColor="text1"/>
          <w:sz w:val="26"/>
          <w:szCs w:val="26"/>
        </w:rPr>
      </w:pPr>
      <w:r w:rsidRPr="00EA10DF">
        <w:rPr>
          <w:rFonts w:ascii="Times New Roman" w:hAnsi="Times New Roman" w:cs="Times New Roman"/>
          <w:iCs/>
          <w:color w:val="000000" w:themeColor="text1"/>
          <w:sz w:val="26"/>
          <w:szCs w:val="26"/>
        </w:rPr>
        <w:t xml:space="preserve">Team No. </w:t>
      </w:r>
      <w:r w:rsidR="00A04698">
        <w:rPr>
          <w:rFonts w:ascii="Times New Roman" w:hAnsi="Times New Roman" w:cs="Times New Roman"/>
          <w:iCs/>
          <w:color w:val="000000" w:themeColor="text1"/>
          <w:sz w:val="26"/>
          <w:szCs w:val="26"/>
        </w:rPr>
        <w:t>312</w:t>
      </w:r>
    </w:p>
    <w:p w14:paraId="6987FE21" w14:textId="77777777" w:rsidR="004B5F07" w:rsidRPr="00EA10DF" w:rsidRDefault="004B5F07" w:rsidP="00D26791">
      <w:pPr>
        <w:pBdr>
          <w:bottom w:val="thinThickThinMediumGap" w:sz="18" w:space="1" w:color="auto"/>
        </w:pBdr>
        <w:contextualSpacing/>
        <w:jc w:val="center"/>
        <w:rPr>
          <w:rFonts w:ascii="Times New Roman" w:hAnsi="Times New Roman" w:cs="Times New Roman"/>
          <w:iCs/>
          <w:color w:val="000000" w:themeColor="text1"/>
          <w:sz w:val="26"/>
          <w:szCs w:val="26"/>
        </w:rPr>
      </w:pPr>
    </w:p>
    <w:p w14:paraId="68C360C0" w14:textId="12E0F6F6" w:rsidR="001B4BBE" w:rsidRPr="00EA10DF" w:rsidRDefault="001B4BBE" w:rsidP="00D26791">
      <w:pPr>
        <w:pBdr>
          <w:bottom w:val="thinThickThinMediumGap" w:sz="18" w:space="1" w:color="auto"/>
        </w:pBdr>
        <w:contextualSpacing/>
        <w:jc w:val="center"/>
        <w:rPr>
          <w:rFonts w:ascii="Times New Roman" w:hAnsi="Times New Roman" w:cs="Times New Roman"/>
          <w:i/>
          <w:color w:val="000000" w:themeColor="text1"/>
          <w:sz w:val="26"/>
          <w:szCs w:val="26"/>
        </w:rPr>
      </w:pPr>
      <w:r w:rsidRPr="00EA10DF">
        <w:rPr>
          <w:rFonts w:ascii="Times New Roman" w:hAnsi="Times New Roman" w:cs="Times New Roman"/>
          <w:i/>
          <w:color w:val="000000" w:themeColor="text1"/>
          <w:sz w:val="26"/>
          <w:szCs w:val="26"/>
        </w:rPr>
        <w:t xml:space="preserve">Counsel for </w:t>
      </w:r>
      <w:r w:rsidR="00081762">
        <w:rPr>
          <w:rFonts w:ascii="Times New Roman" w:hAnsi="Times New Roman" w:cs="Times New Roman"/>
          <w:i/>
          <w:color w:val="000000" w:themeColor="text1"/>
          <w:sz w:val="26"/>
          <w:szCs w:val="26"/>
        </w:rPr>
        <w:t>Defense</w:t>
      </w:r>
      <w:r w:rsidR="000E2E84">
        <w:rPr>
          <w:rFonts w:ascii="Times New Roman" w:hAnsi="Times New Roman" w:cs="Times New Roman"/>
          <w:i/>
          <w:color w:val="000000" w:themeColor="text1"/>
          <w:sz w:val="26"/>
          <w:szCs w:val="26"/>
        </w:rPr>
        <w:t xml:space="preserve">, </w:t>
      </w:r>
      <w:r w:rsidR="00A04698">
        <w:rPr>
          <w:rFonts w:ascii="Times New Roman" w:hAnsi="Times New Roman" w:cs="Times New Roman"/>
          <w:i/>
          <w:color w:val="000000" w:themeColor="text1"/>
          <w:sz w:val="26"/>
          <w:szCs w:val="26"/>
        </w:rPr>
        <w:t>Movant</w:t>
      </w:r>
    </w:p>
    <w:p w14:paraId="2A6392FF" w14:textId="77777777" w:rsidR="001B4BBE" w:rsidRPr="00EA10DF" w:rsidRDefault="001B4BBE" w:rsidP="00D26791">
      <w:pPr>
        <w:pBdr>
          <w:bottom w:val="thinThickThinMediumGap" w:sz="18" w:space="1" w:color="auto"/>
        </w:pBdr>
        <w:contextualSpacing/>
        <w:jc w:val="center"/>
        <w:rPr>
          <w:rFonts w:ascii="Times New Roman" w:hAnsi="Times New Roman" w:cs="Times New Roman"/>
          <w:i/>
          <w:color w:val="000000" w:themeColor="text1"/>
          <w:sz w:val="26"/>
          <w:szCs w:val="26"/>
        </w:rPr>
      </w:pPr>
    </w:p>
    <w:p w14:paraId="490B1408" w14:textId="77777777" w:rsidR="001B4BBE" w:rsidRPr="00EA10DF" w:rsidRDefault="001B4BBE" w:rsidP="00D26791">
      <w:pPr>
        <w:pBdr>
          <w:bottom w:val="thinThickThinMediumGap" w:sz="18" w:space="1" w:color="auto"/>
        </w:pBdr>
        <w:contextualSpacing/>
        <w:jc w:val="center"/>
        <w:rPr>
          <w:rFonts w:ascii="Times New Roman" w:hAnsi="Times New Roman" w:cs="Times New Roman"/>
          <w:i/>
          <w:color w:val="000000" w:themeColor="text1"/>
          <w:sz w:val="26"/>
          <w:szCs w:val="26"/>
        </w:rPr>
      </w:pPr>
    </w:p>
    <w:p w14:paraId="490C571D" w14:textId="77777777" w:rsidR="001B4BBE" w:rsidRDefault="001B4BBE" w:rsidP="00D26791">
      <w:pPr>
        <w:contextualSpacing/>
        <w:jc w:val="both"/>
        <w:rPr>
          <w:rFonts w:ascii="Times New Roman" w:hAnsi="Times New Roman" w:cs="Times New Roman"/>
          <w:color w:val="000000" w:themeColor="text1"/>
          <w:sz w:val="26"/>
          <w:szCs w:val="26"/>
        </w:rPr>
      </w:pPr>
    </w:p>
    <w:p w14:paraId="53046AC7" w14:textId="77777777" w:rsidR="005375FB" w:rsidRPr="00EA10DF" w:rsidRDefault="005375FB" w:rsidP="00D26791">
      <w:pPr>
        <w:contextualSpacing/>
        <w:jc w:val="both"/>
        <w:rPr>
          <w:rFonts w:ascii="Times New Roman" w:hAnsi="Times New Roman" w:cs="Times New Roman"/>
          <w:color w:val="000000" w:themeColor="text1"/>
          <w:sz w:val="26"/>
          <w:szCs w:val="26"/>
        </w:rPr>
      </w:pPr>
    </w:p>
    <w:p w14:paraId="4E15A28A" w14:textId="77777777" w:rsidR="004B5F07" w:rsidRPr="00EA10DF" w:rsidRDefault="004B5F07" w:rsidP="00D26791">
      <w:pPr>
        <w:contextualSpacing/>
        <w:jc w:val="both"/>
        <w:rPr>
          <w:rFonts w:ascii="Times New Roman" w:hAnsi="Times New Roman" w:cs="Times New Roman"/>
          <w:color w:val="000000" w:themeColor="text1"/>
          <w:sz w:val="26"/>
          <w:szCs w:val="26"/>
        </w:rPr>
      </w:pPr>
    </w:p>
    <w:p w14:paraId="32A7518B" w14:textId="77777777" w:rsidR="00322774" w:rsidRPr="00EA10DF" w:rsidRDefault="00322774" w:rsidP="005375FB">
      <w:pPr>
        <w:contextualSpacing/>
        <w:jc w:val="center"/>
        <w:rPr>
          <w:rFonts w:ascii="Times New Roman" w:hAnsi="Times New Roman" w:cs="Times New Roman"/>
          <w:b/>
          <w:bCs/>
          <w:smallCaps/>
          <w:color w:val="000000" w:themeColor="text1"/>
          <w:sz w:val="26"/>
          <w:szCs w:val="26"/>
        </w:rPr>
        <w:sectPr w:rsidR="00322774" w:rsidRPr="00EA10DF" w:rsidSect="005375FB">
          <w:headerReference w:type="default" r:id="rId7"/>
          <w:footerReference w:type="even" r:id="rId8"/>
          <w:headerReference w:type="first" r:id="rId9"/>
          <w:pgSz w:w="12240" w:h="15840"/>
          <w:pgMar w:top="1440" w:right="1440" w:bottom="1440" w:left="1440" w:header="720" w:footer="720" w:gutter="0"/>
          <w:cols w:space="720"/>
          <w:titlePg/>
          <w:docGrid w:linePitch="360"/>
        </w:sectPr>
      </w:pPr>
    </w:p>
    <w:p w14:paraId="11918AF0" w14:textId="4A480DE9" w:rsidR="00283F1C" w:rsidRPr="00265E2C" w:rsidRDefault="001B4BBE" w:rsidP="005375FB">
      <w:pPr>
        <w:pStyle w:val="Heading1"/>
        <w:jc w:val="center"/>
        <w:rPr>
          <w:rFonts w:ascii="Times New Roman" w:hAnsi="Times New Roman" w:cs="Times New Roman"/>
          <w:b/>
          <w:bCs/>
          <w:smallCaps/>
          <w:color w:val="000000" w:themeColor="text1"/>
          <w:sz w:val="26"/>
          <w:szCs w:val="26"/>
        </w:rPr>
      </w:pPr>
      <w:bookmarkStart w:id="0" w:name="_Toc207630150"/>
      <w:r w:rsidRPr="00265E2C">
        <w:rPr>
          <w:rFonts w:ascii="Times New Roman" w:hAnsi="Times New Roman" w:cs="Times New Roman"/>
          <w:b/>
          <w:bCs/>
          <w:smallCaps/>
          <w:color w:val="000000" w:themeColor="text1"/>
          <w:sz w:val="26"/>
          <w:szCs w:val="26"/>
        </w:rPr>
        <w:lastRenderedPageBreak/>
        <w:t>Table of Contents</w:t>
      </w:r>
      <w:bookmarkEnd w:id="0"/>
    </w:p>
    <w:p w14:paraId="19A54D9D" w14:textId="39EFFC79" w:rsidR="00283F1C" w:rsidRPr="00265E2C" w:rsidRDefault="00283F1C" w:rsidP="00322774">
      <w:pPr>
        <w:pStyle w:val="Heading1"/>
        <w:tabs>
          <w:tab w:val="right" w:leader="dot" w:pos="9360"/>
        </w:tabs>
        <w:ind w:right="720"/>
        <w:rPr>
          <w:rFonts w:ascii="Times New Roman" w:hAnsi="Times New Roman" w:cs="Times New Roman"/>
          <w:smallCaps/>
          <w:color w:val="000000" w:themeColor="text1"/>
          <w:sz w:val="26"/>
          <w:szCs w:val="26"/>
        </w:rPr>
      </w:pPr>
      <w:r w:rsidRPr="00265E2C">
        <w:rPr>
          <w:rFonts w:ascii="Times New Roman" w:hAnsi="Times New Roman" w:cs="Times New Roman"/>
          <w:smallCaps/>
          <w:color w:val="000000" w:themeColor="text1"/>
          <w:sz w:val="26"/>
          <w:szCs w:val="26"/>
        </w:rPr>
        <w:t>Table of Contents</w:t>
      </w:r>
      <w:r w:rsidR="00322774" w:rsidRPr="00265E2C">
        <w:rPr>
          <w:rFonts w:ascii="Times New Roman" w:hAnsi="Times New Roman" w:cs="Times New Roman"/>
          <w:smallCaps/>
          <w:color w:val="000000" w:themeColor="text1"/>
          <w:sz w:val="26"/>
          <w:szCs w:val="26"/>
        </w:rPr>
        <w:tab/>
      </w:r>
      <w:r w:rsidR="007F0BA9" w:rsidRPr="00265E2C">
        <w:rPr>
          <w:rFonts w:ascii="Times New Roman" w:hAnsi="Times New Roman" w:cs="Times New Roman"/>
          <w:color w:val="000000" w:themeColor="text1"/>
          <w:sz w:val="26"/>
          <w:szCs w:val="26"/>
        </w:rPr>
        <w:t>i</w:t>
      </w:r>
      <w:r w:rsidR="00081762">
        <w:rPr>
          <w:rFonts w:ascii="Times New Roman" w:hAnsi="Times New Roman" w:cs="Times New Roman"/>
          <w:color w:val="000000" w:themeColor="text1"/>
          <w:sz w:val="26"/>
          <w:szCs w:val="26"/>
        </w:rPr>
        <w:t>-ii</w:t>
      </w:r>
    </w:p>
    <w:p w14:paraId="759F39E0" w14:textId="1F626E7E" w:rsidR="00283F1C" w:rsidRPr="00265E2C" w:rsidRDefault="00283F1C" w:rsidP="002E4103">
      <w:pPr>
        <w:tabs>
          <w:tab w:val="right" w:leader="dot" w:pos="9360"/>
        </w:tabs>
        <w:spacing w:before="240"/>
        <w:ind w:right="720"/>
        <w:rPr>
          <w:rFonts w:ascii="Times New Roman" w:hAnsi="Times New Roman" w:cs="Times New Roman"/>
          <w:smallCaps/>
          <w:color w:val="000000" w:themeColor="text1"/>
          <w:sz w:val="26"/>
          <w:szCs w:val="26"/>
        </w:rPr>
      </w:pPr>
      <w:r w:rsidRPr="00265E2C">
        <w:rPr>
          <w:rFonts w:ascii="Times New Roman" w:hAnsi="Times New Roman" w:cs="Times New Roman"/>
          <w:smallCaps/>
          <w:color w:val="000000" w:themeColor="text1"/>
          <w:sz w:val="26"/>
          <w:szCs w:val="26"/>
        </w:rPr>
        <w:t>Table of Authorities</w:t>
      </w:r>
      <w:r w:rsidR="00322774" w:rsidRPr="00265E2C">
        <w:rPr>
          <w:rFonts w:ascii="Times New Roman" w:hAnsi="Times New Roman" w:cs="Times New Roman"/>
          <w:smallCaps/>
          <w:color w:val="000000" w:themeColor="text1"/>
          <w:sz w:val="26"/>
          <w:szCs w:val="26"/>
        </w:rPr>
        <w:tab/>
      </w:r>
      <w:r w:rsidR="007F0BA9" w:rsidRPr="00265E2C">
        <w:rPr>
          <w:rFonts w:ascii="Times New Roman" w:hAnsi="Times New Roman" w:cs="Times New Roman"/>
          <w:color w:val="000000" w:themeColor="text1"/>
          <w:sz w:val="26"/>
          <w:szCs w:val="26"/>
        </w:rPr>
        <w:t>iii</w:t>
      </w:r>
      <w:r w:rsidR="00081762">
        <w:rPr>
          <w:rFonts w:ascii="Times New Roman" w:hAnsi="Times New Roman" w:cs="Times New Roman"/>
          <w:color w:val="000000" w:themeColor="text1"/>
          <w:sz w:val="26"/>
          <w:szCs w:val="26"/>
        </w:rPr>
        <w:t>-iv</w:t>
      </w:r>
    </w:p>
    <w:p w14:paraId="787C4F44" w14:textId="77777777" w:rsidR="00283F1C" w:rsidRPr="00265E2C" w:rsidRDefault="00283F1C" w:rsidP="00322774">
      <w:pPr>
        <w:pStyle w:val="Heading1"/>
        <w:tabs>
          <w:tab w:val="right" w:leader="dot" w:pos="9360"/>
        </w:tabs>
        <w:spacing w:before="0" w:after="0"/>
        <w:ind w:right="720"/>
        <w:rPr>
          <w:rFonts w:ascii="Times New Roman" w:hAnsi="Times New Roman" w:cs="Times New Roman"/>
          <w:smallCaps/>
          <w:color w:val="000000" w:themeColor="text1"/>
          <w:sz w:val="26"/>
          <w:szCs w:val="26"/>
        </w:rPr>
      </w:pPr>
    </w:p>
    <w:p w14:paraId="53F9DE82" w14:textId="38A57FFF" w:rsidR="00283F1C" w:rsidRPr="00265E2C" w:rsidRDefault="00283F1C" w:rsidP="00322774">
      <w:pPr>
        <w:pStyle w:val="Heading1"/>
        <w:tabs>
          <w:tab w:val="right" w:leader="dot" w:pos="9360"/>
        </w:tabs>
        <w:spacing w:before="0" w:after="0" w:line="480" w:lineRule="auto"/>
        <w:ind w:right="720"/>
        <w:rPr>
          <w:rFonts w:ascii="Times New Roman" w:hAnsi="Times New Roman" w:cs="Times New Roman"/>
          <w:smallCaps/>
          <w:color w:val="000000" w:themeColor="text1"/>
          <w:sz w:val="26"/>
          <w:szCs w:val="26"/>
        </w:rPr>
      </w:pPr>
      <w:r w:rsidRPr="00265E2C">
        <w:rPr>
          <w:rFonts w:ascii="Times New Roman" w:hAnsi="Times New Roman" w:cs="Times New Roman"/>
          <w:smallCaps/>
          <w:color w:val="000000" w:themeColor="text1"/>
          <w:sz w:val="26"/>
          <w:szCs w:val="26"/>
        </w:rPr>
        <w:t>Introduction</w:t>
      </w:r>
      <w:r w:rsidR="00322774" w:rsidRPr="00265E2C">
        <w:rPr>
          <w:rFonts w:ascii="Times New Roman" w:hAnsi="Times New Roman" w:cs="Times New Roman"/>
          <w:smallCaps/>
          <w:color w:val="000000" w:themeColor="text1"/>
          <w:sz w:val="26"/>
          <w:szCs w:val="26"/>
        </w:rPr>
        <w:tab/>
      </w:r>
      <w:r w:rsidR="007F0BA9" w:rsidRPr="00265E2C">
        <w:rPr>
          <w:rFonts w:ascii="Times New Roman" w:hAnsi="Times New Roman" w:cs="Times New Roman"/>
          <w:smallCaps/>
          <w:color w:val="000000" w:themeColor="text1"/>
          <w:sz w:val="26"/>
          <w:szCs w:val="26"/>
        </w:rPr>
        <w:t>1</w:t>
      </w:r>
    </w:p>
    <w:p w14:paraId="33DA1657" w14:textId="44E72955" w:rsidR="00283F1C" w:rsidRPr="00265E2C" w:rsidRDefault="00283F1C" w:rsidP="00322774">
      <w:pPr>
        <w:pStyle w:val="Heading1"/>
        <w:tabs>
          <w:tab w:val="right" w:leader="dot" w:pos="9360"/>
        </w:tabs>
        <w:spacing w:before="0" w:after="0" w:line="480" w:lineRule="auto"/>
        <w:ind w:right="720"/>
        <w:contextualSpacing/>
        <w:rPr>
          <w:rFonts w:ascii="Times New Roman" w:hAnsi="Times New Roman" w:cs="Times New Roman"/>
          <w:smallCaps/>
          <w:color w:val="000000" w:themeColor="text1"/>
          <w:sz w:val="26"/>
          <w:szCs w:val="26"/>
        </w:rPr>
      </w:pPr>
      <w:r w:rsidRPr="00265E2C">
        <w:rPr>
          <w:rFonts w:ascii="Times New Roman" w:hAnsi="Times New Roman" w:cs="Times New Roman"/>
          <w:smallCaps/>
          <w:color w:val="000000" w:themeColor="text1"/>
          <w:sz w:val="26"/>
          <w:szCs w:val="26"/>
        </w:rPr>
        <w:t>Statement of the Facts</w:t>
      </w:r>
      <w:r w:rsidR="00322774" w:rsidRPr="00265E2C">
        <w:rPr>
          <w:rFonts w:ascii="Times New Roman" w:hAnsi="Times New Roman" w:cs="Times New Roman"/>
          <w:smallCaps/>
          <w:color w:val="000000" w:themeColor="text1"/>
          <w:sz w:val="26"/>
          <w:szCs w:val="26"/>
        </w:rPr>
        <w:tab/>
      </w:r>
      <w:r w:rsidR="007F0BA9" w:rsidRPr="00265E2C">
        <w:rPr>
          <w:rFonts w:ascii="Times New Roman" w:hAnsi="Times New Roman" w:cs="Times New Roman"/>
          <w:smallCaps/>
          <w:color w:val="000000" w:themeColor="text1"/>
          <w:sz w:val="26"/>
          <w:szCs w:val="26"/>
        </w:rPr>
        <w:t>1</w:t>
      </w:r>
      <w:r w:rsidR="00081762">
        <w:rPr>
          <w:rFonts w:ascii="Times New Roman" w:hAnsi="Times New Roman" w:cs="Times New Roman"/>
          <w:smallCaps/>
          <w:color w:val="000000" w:themeColor="text1"/>
          <w:sz w:val="26"/>
          <w:szCs w:val="26"/>
        </w:rPr>
        <w:t>-3</w:t>
      </w:r>
    </w:p>
    <w:p w14:paraId="5097DDC6" w14:textId="21CE9999" w:rsidR="00283F1C" w:rsidRPr="00265E2C" w:rsidRDefault="00283F1C" w:rsidP="00322774">
      <w:pPr>
        <w:pStyle w:val="Heading1"/>
        <w:tabs>
          <w:tab w:val="right" w:leader="dot" w:pos="9360"/>
        </w:tabs>
        <w:spacing w:before="0" w:after="0" w:line="480" w:lineRule="auto"/>
        <w:ind w:right="720"/>
        <w:rPr>
          <w:rFonts w:ascii="Times New Roman" w:hAnsi="Times New Roman" w:cs="Times New Roman"/>
          <w:smallCaps/>
          <w:color w:val="000000" w:themeColor="text1"/>
          <w:sz w:val="26"/>
          <w:szCs w:val="26"/>
        </w:rPr>
      </w:pPr>
      <w:r w:rsidRPr="00265E2C">
        <w:rPr>
          <w:rFonts w:ascii="Times New Roman" w:hAnsi="Times New Roman" w:cs="Times New Roman"/>
          <w:smallCaps/>
          <w:color w:val="000000" w:themeColor="text1"/>
          <w:sz w:val="26"/>
          <w:szCs w:val="26"/>
        </w:rPr>
        <w:t>Argument</w:t>
      </w:r>
      <w:r w:rsidR="00322774" w:rsidRPr="00265E2C">
        <w:rPr>
          <w:rFonts w:ascii="Times New Roman" w:hAnsi="Times New Roman" w:cs="Times New Roman"/>
          <w:smallCaps/>
          <w:color w:val="000000" w:themeColor="text1"/>
          <w:sz w:val="26"/>
          <w:szCs w:val="26"/>
        </w:rPr>
        <w:tab/>
      </w:r>
      <w:r w:rsidR="007F0BA9" w:rsidRPr="00081762">
        <w:rPr>
          <w:rFonts w:ascii="Times New Roman" w:hAnsi="Times New Roman" w:cs="Times New Roman"/>
          <w:smallCaps/>
          <w:color w:val="000000" w:themeColor="text1"/>
          <w:sz w:val="26"/>
          <w:szCs w:val="26"/>
        </w:rPr>
        <w:t>4</w:t>
      </w:r>
      <w:r w:rsidR="00081762">
        <w:rPr>
          <w:rFonts w:ascii="Times New Roman" w:hAnsi="Times New Roman" w:cs="Times New Roman"/>
          <w:smallCaps/>
          <w:color w:val="000000" w:themeColor="text1"/>
          <w:sz w:val="26"/>
          <w:szCs w:val="26"/>
        </w:rPr>
        <w:t>-18</w:t>
      </w:r>
    </w:p>
    <w:p w14:paraId="6D23CA6C" w14:textId="298A6AA4" w:rsidR="00283F1C" w:rsidRPr="0037424D" w:rsidRDefault="000E2E84" w:rsidP="00322774">
      <w:pPr>
        <w:pStyle w:val="ListParagraph"/>
        <w:numPr>
          <w:ilvl w:val="0"/>
          <w:numId w:val="28"/>
        </w:numPr>
        <w:tabs>
          <w:tab w:val="right" w:leader="dot" w:pos="9360"/>
        </w:tabs>
        <w:ind w:right="720"/>
        <w:jc w:val="both"/>
        <w:outlineLvl w:val="1"/>
        <w:rPr>
          <w:rFonts w:ascii="Times New Roman" w:hAnsi="Times New Roman" w:cs="Times New Roman"/>
          <w:color w:val="000000" w:themeColor="text1"/>
          <w:sz w:val="26"/>
          <w:szCs w:val="26"/>
        </w:rPr>
      </w:pPr>
      <w:r w:rsidRPr="0037424D">
        <w:rPr>
          <w:rFonts w:ascii="Times New Roman" w:hAnsi="Times New Roman" w:cs="Times New Roman"/>
          <w:color w:val="000000" w:themeColor="text1"/>
          <w:sz w:val="26"/>
          <w:szCs w:val="26"/>
        </w:rPr>
        <w:t xml:space="preserve">Defendant’s Motion to Suppress Evidence Obtained in Violation of Court Order Should be </w:t>
      </w:r>
      <w:r w:rsidR="00081762">
        <w:rPr>
          <w:rFonts w:ascii="Times New Roman" w:hAnsi="Times New Roman" w:cs="Times New Roman"/>
          <w:color w:val="000000" w:themeColor="text1"/>
          <w:sz w:val="26"/>
          <w:szCs w:val="26"/>
        </w:rPr>
        <w:t>Granted</w:t>
      </w:r>
      <w:r w:rsidRPr="0037424D">
        <w:rPr>
          <w:rFonts w:ascii="Times New Roman" w:hAnsi="Times New Roman" w:cs="Times New Roman"/>
          <w:color w:val="000000" w:themeColor="text1"/>
          <w:sz w:val="26"/>
          <w:szCs w:val="26"/>
        </w:rPr>
        <w:t>.</w:t>
      </w:r>
      <w:r w:rsidR="00322774" w:rsidRPr="0037424D">
        <w:rPr>
          <w:rFonts w:ascii="Times New Roman" w:hAnsi="Times New Roman" w:cs="Times New Roman"/>
          <w:color w:val="000000" w:themeColor="text1"/>
          <w:sz w:val="26"/>
          <w:szCs w:val="26"/>
        </w:rPr>
        <w:tab/>
      </w:r>
      <w:r w:rsidR="007F0BA9" w:rsidRPr="0037424D">
        <w:rPr>
          <w:rFonts w:ascii="Times New Roman" w:hAnsi="Times New Roman" w:cs="Times New Roman"/>
          <w:color w:val="000000" w:themeColor="text1"/>
          <w:sz w:val="26"/>
          <w:szCs w:val="26"/>
        </w:rPr>
        <w:t>4</w:t>
      </w:r>
    </w:p>
    <w:p w14:paraId="111974BE" w14:textId="77777777" w:rsidR="00283F1C" w:rsidRPr="0037424D" w:rsidRDefault="00283F1C" w:rsidP="00322774">
      <w:pPr>
        <w:pStyle w:val="ListParagraph"/>
        <w:tabs>
          <w:tab w:val="right" w:pos="3690"/>
          <w:tab w:val="right" w:leader="dot" w:pos="9360"/>
        </w:tabs>
        <w:ind w:left="1080" w:right="720"/>
        <w:jc w:val="both"/>
        <w:outlineLvl w:val="1"/>
        <w:rPr>
          <w:rFonts w:ascii="Times New Roman" w:hAnsi="Times New Roman" w:cs="Times New Roman"/>
          <w:color w:val="000000" w:themeColor="text1"/>
          <w:sz w:val="26"/>
          <w:szCs w:val="26"/>
        </w:rPr>
      </w:pPr>
    </w:p>
    <w:p w14:paraId="18A058E5" w14:textId="5A511D1A" w:rsidR="00283F1C" w:rsidRPr="0037424D" w:rsidRDefault="00BC5E7B" w:rsidP="00322774">
      <w:pPr>
        <w:pStyle w:val="ListParagraph"/>
        <w:numPr>
          <w:ilvl w:val="0"/>
          <w:numId w:val="29"/>
        </w:numPr>
        <w:tabs>
          <w:tab w:val="right" w:leader="dot" w:pos="9360"/>
        </w:tabs>
        <w:ind w:right="720"/>
        <w:jc w:val="both"/>
        <w:outlineLvl w:val="2"/>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Violation of An Immunity Order is a Constitutional Violation of the Fifth Amendment Right Against Self Incrimination</w:t>
      </w:r>
      <w:r w:rsidR="007842BC">
        <w:rPr>
          <w:rFonts w:ascii="Times New Roman" w:hAnsi="Times New Roman" w:cs="Times New Roman"/>
          <w:color w:val="000000" w:themeColor="text1"/>
          <w:sz w:val="26"/>
          <w:szCs w:val="26"/>
        </w:rPr>
        <w:t>.</w:t>
      </w:r>
      <w:r w:rsidR="00322774" w:rsidRPr="0037424D">
        <w:rPr>
          <w:rFonts w:ascii="Times New Roman" w:hAnsi="Times New Roman" w:cs="Times New Roman"/>
          <w:color w:val="000000" w:themeColor="text1"/>
          <w:sz w:val="26"/>
          <w:szCs w:val="26"/>
        </w:rPr>
        <w:tab/>
      </w:r>
      <w:r w:rsidR="00081762">
        <w:rPr>
          <w:rFonts w:ascii="Times New Roman" w:hAnsi="Times New Roman" w:cs="Times New Roman"/>
          <w:color w:val="000000" w:themeColor="text1"/>
          <w:sz w:val="26"/>
          <w:szCs w:val="26"/>
        </w:rPr>
        <w:t>4</w:t>
      </w:r>
    </w:p>
    <w:p w14:paraId="5A7F01B0" w14:textId="011417F6" w:rsidR="00283F1C" w:rsidRPr="0037424D" w:rsidRDefault="00283F1C" w:rsidP="00322774">
      <w:pPr>
        <w:pStyle w:val="ListParagraph"/>
        <w:tabs>
          <w:tab w:val="right" w:leader="dot" w:pos="9360"/>
        </w:tabs>
        <w:ind w:left="1440" w:right="720"/>
        <w:jc w:val="both"/>
        <w:outlineLvl w:val="2"/>
        <w:rPr>
          <w:rFonts w:ascii="Times New Roman" w:hAnsi="Times New Roman" w:cs="Times New Roman"/>
          <w:color w:val="000000" w:themeColor="text1"/>
          <w:sz w:val="26"/>
          <w:szCs w:val="26"/>
        </w:rPr>
      </w:pPr>
    </w:p>
    <w:p w14:paraId="6EC9EF4A" w14:textId="5ABFB447" w:rsidR="00283F1C" w:rsidRPr="0037424D" w:rsidRDefault="007842BC" w:rsidP="00322774">
      <w:pPr>
        <w:pStyle w:val="ListParagraph"/>
        <w:keepNext/>
        <w:numPr>
          <w:ilvl w:val="0"/>
          <w:numId w:val="29"/>
        </w:numPr>
        <w:tabs>
          <w:tab w:val="right" w:leader="dot" w:pos="9360"/>
        </w:tabs>
        <w:ind w:right="720"/>
        <w:jc w:val="both"/>
        <w:outlineLvl w:val="2"/>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The Government Has Failed to Establish Sources Independent of Immunized Testimony for Disputed Evidence</w:t>
      </w:r>
      <w:r w:rsidR="00283F1C" w:rsidRPr="0037424D">
        <w:rPr>
          <w:rFonts w:ascii="Times New Roman" w:hAnsi="Times New Roman" w:cs="Times New Roman"/>
          <w:color w:val="000000" w:themeColor="text1"/>
          <w:sz w:val="26"/>
          <w:szCs w:val="26"/>
        </w:rPr>
        <w:t>.</w:t>
      </w:r>
      <w:r w:rsidR="00322774" w:rsidRPr="0037424D">
        <w:rPr>
          <w:rFonts w:ascii="Times New Roman" w:hAnsi="Times New Roman" w:cs="Times New Roman"/>
          <w:color w:val="000000" w:themeColor="text1"/>
          <w:sz w:val="26"/>
          <w:szCs w:val="26"/>
        </w:rPr>
        <w:tab/>
      </w:r>
      <w:r w:rsidR="00081762">
        <w:rPr>
          <w:rFonts w:ascii="Times New Roman" w:hAnsi="Times New Roman" w:cs="Times New Roman"/>
          <w:color w:val="000000" w:themeColor="text1"/>
          <w:sz w:val="26"/>
          <w:szCs w:val="26"/>
        </w:rPr>
        <w:t>6</w:t>
      </w:r>
    </w:p>
    <w:p w14:paraId="1F79E014" w14:textId="77777777" w:rsidR="008829AC" w:rsidRPr="0037424D" w:rsidRDefault="008829AC" w:rsidP="008829AC">
      <w:pPr>
        <w:pStyle w:val="ListParagraph"/>
        <w:rPr>
          <w:rFonts w:ascii="Times New Roman" w:hAnsi="Times New Roman" w:cs="Times New Roman"/>
          <w:color w:val="000000" w:themeColor="text1"/>
          <w:sz w:val="26"/>
          <w:szCs w:val="26"/>
        </w:rPr>
      </w:pPr>
    </w:p>
    <w:p w14:paraId="17546A9C" w14:textId="05C03D37" w:rsidR="008829AC" w:rsidRPr="0037424D" w:rsidRDefault="0077450A" w:rsidP="008829AC">
      <w:pPr>
        <w:pStyle w:val="ListParagraph"/>
        <w:keepNext/>
        <w:numPr>
          <w:ilvl w:val="0"/>
          <w:numId w:val="30"/>
        </w:numPr>
        <w:tabs>
          <w:tab w:val="right" w:leader="dot" w:pos="9360"/>
        </w:tabs>
        <w:ind w:right="720"/>
        <w:jc w:val="both"/>
        <w:outlineLvl w:val="2"/>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Mere Denial of Exposure to Immunized Testimony Fails to Meet the Government’s Burden</w:t>
      </w:r>
      <w:r w:rsidR="008829AC" w:rsidRPr="0037424D">
        <w:rPr>
          <w:rFonts w:ascii="Times New Roman" w:hAnsi="Times New Roman" w:cs="Times New Roman"/>
          <w:color w:val="000000" w:themeColor="text1"/>
          <w:sz w:val="26"/>
          <w:szCs w:val="26"/>
        </w:rPr>
        <w:t>.</w:t>
      </w:r>
      <w:r w:rsidR="008829AC" w:rsidRPr="0037424D">
        <w:rPr>
          <w:rFonts w:ascii="Times New Roman" w:hAnsi="Times New Roman" w:cs="Times New Roman"/>
          <w:color w:val="000000" w:themeColor="text1"/>
          <w:sz w:val="26"/>
          <w:szCs w:val="26"/>
        </w:rPr>
        <w:tab/>
      </w:r>
      <w:r w:rsidR="00081762">
        <w:rPr>
          <w:rFonts w:ascii="Times New Roman" w:hAnsi="Times New Roman" w:cs="Times New Roman"/>
          <w:color w:val="000000" w:themeColor="text1"/>
          <w:sz w:val="26"/>
          <w:szCs w:val="26"/>
        </w:rPr>
        <w:t>6</w:t>
      </w:r>
    </w:p>
    <w:p w14:paraId="1C8A9FBE" w14:textId="77777777" w:rsidR="008829AC" w:rsidRPr="0037424D" w:rsidRDefault="008829AC" w:rsidP="008829AC">
      <w:pPr>
        <w:pStyle w:val="ListParagraph"/>
        <w:keepNext/>
        <w:tabs>
          <w:tab w:val="right" w:leader="dot" w:pos="9360"/>
        </w:tabs>
        <w:ind w:left="2520" w:right="720"/>
        <w:jc w:val="both"/>
        <w:outlineLvl w:val="2"/>
        <w:rPr>
          <w:rFonts w:ascii="Times New Roman" w:hAnsi="Times New Roman" w:cs="Times New Roman"/>
          <w:color w:val="000000" w:themeColor="text1"/>
          <w:sz w:val="26"/>
          <w:szCs w:val="26"/>
        </w:rPr>
      </w:pPr>
    </w:p>
    <w:p w14:paraId="0D1EF0ED" w14:textId="004819E3" w:rsidR="008829AC" w:rsidRPr="0037424D" w:rsidRDefault="00C10758" w:rsidP="008829AC">
      <w:pPr>
        <w:pStyle w:val="ListParagraph"/>
        <w:keepNext/>
        <w:numPr>
          <w:ilvl w:val="0"/>
          <w:numId w:val="30"/>
        </w:numPr>
        <w:tabs>
          <w:tab w:val="right" w:leader="dot" w:pos="9360"/>
        </w:tabs>
        <w:ind w:right="720"/>
        <w:jc w:val="both"/>
        <w:outlineLvl w:val="2"/>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The Government </w:t>
      </w:r>
      <w:r w:rsidR="00FB3E08">
        <w:rPr>
          <w:rFonts w:ascii="Times New Roman" w:hAnsi="Times New Roman" w:cs="Times New Roman"/>
          <w:color w:val="000000" w:themeColor="text1"/>
          <w:sz w:val="26"/>
          <w:szCs w:val="26"/>
        </w:rPr>
        <w:t xml:space="preserve">Cannot Meet its Burden for Kennedy Parker’s Testimony </w:t>
      </w:r>
      <w:r w:rsidR="00DB7D08">
        <w:rPr>
          <w:rFonts w:ascii="Times New Roman" w:hAnsi="Times New Roman" w:cs="Times New Roman"/>
          <w:color w:val="000000" w:themeColor="text1"/>
          <w:sz w:val="26"/>
          <w:szCs w:val="26"/>
        </w:rPr>
        <w:t>or</w:t>
      </w:r>
      <w:r w:rsidR="00FB3E08">
        <w:rPr>
          <w:rFonts w:ascii="Times New Roman" w:hAnsi="Times New Roman" w:cs="Times New Roman"/>
          <w:color w:val="000000" w:themeColor="text1"/>
          <w:sz w:val="26"/>
          <w:szCs w:val="26"/>
        </w:rPr>
        <w:t xml:space="preserve"> Exhibit 19; Both</w:t>
      </w:r>
      <w:r w:rsidR="00DB7D08">
        <w:rPr>
          <w:rFonts w:ascii="Times New Roman" w:hAnsi="Times New Roman" w:cs="Times New Roman"/>
          <w:color w:val="000000" w:themeColor="text1"/>
          <w:sz w:val="26"/>
          <w:szCs w:val="26"/>
        </w:rPr>
        <w:t xml:space="preserve"> Should be Suppressed</w:t>
      </w:r>
      <w:r w:rsidR="00A917E1">
        <w:rPr>
          <w:rFonts w:ascii="Times New Roman" w:hAnsi="Times New Roman" w:cs="Times New Roman"/>
          <w:color w:val="000000" w:themeColor="text1"/>
          <w:sz w:val="26"/>
          <w:szCs w:val="26"/>
        </w:rPr>
        <w:t>.</w:t>
      </w:r>
      <w:r>
        <w:rPr>
          <w:rFonts w:ascii="Times New Roman" w:hAnsi="Times New Roman" w:cs="Times New Roman"/>
          <w:color w:val="000000" w:themeColor="text1"/>
          <w:sz w:val="26"/>
          <w:szCs w:val="26"/>
        </w:rPr>
        <w:t xml:space="preserve"> </w:t>
      </w:r>
      <w:r w:rsidR="008829AC" w:rsidRPr="0037424D">
        <w:rPr>
          <w:rFonts w:ascii="Times New Roman" w:hAnsi="Times New Roman" w:cs="Times New Roman"/>
          <w:color w:val="000000" w:themeColor="text1"/>
          <w:sz w:val="26"/>
          <w:szCs w:val="26"/>
        </w:rPr>
        <w:tab/>
      </w:r>
      <w:r w:rsidR="00081762">
        <w:rPr>
          <w:rFonts w:ascii="Times New Roman" w:hAnsi="Times New Roman" w:cs="Times New Roman"/>
          <w:color w:val="000000" w:themeColor="text1"/>
          <w:sz w:val="26"/>
          <w:szCs w:val="26"/>
        </w:rPr>
        <w:t>7</w:t>
      </w:r>
    </w:p>
    <w:p w14:paraId="7C661A24" w14:textId="77777777" w:rsidR="00130C66" w:rsidRPr="0037424D" w:rsidRDefault="00130C66" w:rsidP="00130C66">
      <w:pPr>
        <w:pStyle w:val="ListParagraph"/>
        <w:rPr>
          <w:rFonts w:ascii="Times New Roman" w:hAnsi="Times New Roman" w:cs="Times New Roman"/>
          <w:color w:val="000000" w:themeColor="text1"/>
          <w:sz w:val="26"/>
          <w:szCs w:val="26"/>
        </w:rPr>
      </w:pPr>
    </w:p>
    <w:p w14:paraId="44082AD6" w14:textId="068BF266" w:rsidR="00130C66" w:rsidRPr="00B67B4F" w:rsidRDefault="00A917E1" w:rsidP="00B67B4F">
      <w:pPr>
        <w:pStyle w:val="ListParagraph"/>
        <w:keepNext/>
        <w:numPr>
          <w:ilvl w:val="1"/>
          <w:numId w:val="29"/>
        </w:numPr>
        <w:tabs>
          <w:tab w:val="right" w:leader="dot" w:pos="9360"/>
        </w:tabs>
        <w:ind w:left="2880" w:right="720" w:hanging="270"/>
        <w:jc w:val="both"/>
        <w:outlineLvl w:val="2"/>
        <w:rPr>
          <w:rFonts w:ascii="Times New Roman" w:hAnsi="Times New Roman" w:cs="Times New Roman"/>
          <w:color w:val="000000" w:themeColor="text1"/>
          <w:sz w:val="26"/>
          <w:szCs w:val="26"/>
        </w:rPr>
      </w:pPr>
      <w:r w:rsidRPr="00B67B4F">
        <w:rPr>
          <w:rFonts w:ascii="Times New Roman" w:hAnsi="Times New Roman" w:cs="Times New Roman"/>
          <w:color w:val="000000" w:themeColor="text1"/>
          <w:sz w:val="26"/>
          <w:szCs w:val="26"/>
        </w:rPr>
        <w:t>Use of Immunized Testimony as an Investigatory Lead is Not an Independent Source.</w:t>
      </w:r>
      <w:r w:rsidR="00130C66" w:rsidRPr="00B67B4F">
        <w:rPr>
          <w:rFonts w:ascii="Times New Roman" w:hAnsi="Times New Roman" w:cs="Times New Roman"/>
          <w:color w:val="000000" w:themeColor="text1"/>
          <w:sz w:val="26"/>
          <w:szCs w:val="26"/>
        </w:rPr>
        <w:tab/>
      </w:r>
      <w:r w:rsidR="00081762">
        <w:rPr>
          <w:rFonts w:ascii="Times New Roman" w:hAnsi="Times New Roman" w:cs="Times New Roman"/>
          <w:color w:val="000000" w:themeColor="text1"/>
          <w:sz w:val="26"/>
          <w:szCs w:val="26"/>
        </w:rPr>
        <w:t>7</w:t>
      </w:r>
    </w:p>
    <w:p w14:paraId="661E3B85" w14:textId="77777777" w:rsidR="00B85E4D" w:rsidRPr="0037424D" w:rsidRDefault="00B85E4D" w:rsidP="00B85E4D">
      <w:pPr>
        <w:pStyle w:val="ListParagraph"/>
        <w:keepNext/>
        <w:tabs>
          <w:tab w:val="right" w:leader="dot" w:pos="9360"/>
        </w:tabs>
        <w:ind w:left="2880" w:right="720"/>
        <w:jc w:val="both"/>
        <w:outlineLvl w:val="2"/>
        <w:rPr>
          <w:rFonts w:ascii="Times New Roman" w:hAnsi="Times New Roman" w:cs="Times New Roman"/>
          <w:color w:val="000000" w:themeColor="text1"/>
          <w:sz w:val="26"/>
          <w:szCs w:val="26"/>
        </w:rPr>
      </w:pPr>
    </w:p>
    <w:p w14:paraId="71C4A1A3" w14:textId="0CA6884F" w:rsidR="008829AC" w:rsidRPr="00B67B4F" w:rsidRDefault="009075F9" w:rsidP="00B67B4F">
      <w:pPr>
        <w:pStyle w:val="ListParagraph"/>
        <w:keepNext/>
        <w:numPr>
          <w:ilvl w:val="1"/>
          <w:numId w:val="29"/>
        </w:numPr>
        <w:tabs>
          <w:tab w:val="right" w:leader="dot" w:pos="9360"/>
        </w:tabs>
        <w:ind w:left="2970" w:right="720"/>
        <w:jc w:val="both"/>
        <w:outlineLvl w:val="2"/>
        <w:rPr>
          <w:rFonts w:ascii="Times New Roman" w:hAnsi="Times New Roman" w:cs="Times New Roman"/>
          <w:color w:val="000000" w:themeColor="text1"/>
          <w:sz w:val="26"/>
          <w:szCs w:val="26"/>
        </w:rPr>
      </w:pPr>
      <w:r w:rsidRPr="00B67B4F">
        <w:rPr>
          <w:rFonts w:ascii="Times New Roman" w:hAnsi="Times New Roman" w:cs="Times New Roman"/>
          <w:color w:val="000000" w:themeColor="text1"/>
          <w:sz w:val="26"/>
          <w:szCs w:val="26"/>
        </w:rPr>
        <w:t xml:space="preserve">The Government </w:t>
      </w:r>
      <w:r w:rsidR="00DF000C">
        <w:rPr>
          <w:rFonts w:ascii="Times New Roman" w:hAnsi="Times New Roman" w:cs="Times New Roman"/>
          <w:color w:val="000000" w:themeColor="text1"/>
          <w:sz w:val="26"/>
          <w:szCs w:val="26"/>
        </w:rPr>
        <w:t>Cannot Prove S</w:t>
      </w:r>
      <w:r w:rsidRPr="00B67B4F">
        <w:rPr>
          <w:rFonts w:ascii="Times New Roman" w:hAnsi="Times New Roman" w:cs="Times New Roman"/>
          <w:color w:val="000000" w:themeColor="text1"/>
          <w:sz w:val="26"/>
          <w:szCs w:val="26"/>
        </w:rPr>
        <w:t xml:space="preserve">ufficient Prior Knowledge </w:t>
      </w:r>
      <w:r w:rsidR="00922A4D" w:rsidRPr="00B67B4F">
        <w:rPr>
          <w:rFonts w:ascii="Times New Roman" w:hAnsi="Times New Roman" w:cs="Times New Roman"/>
          <w:color w:val="000000" w:themeColor="text1"/>
          <w:sz w:val="26"/>
          <w:szCs w:val="26"/>
        </w:rPr>
        <w:t xml:space="preserve">to Constitute an </w:t>
      </w:r>
      <w:r w:rsidR="004F1C3A" w:rsidRPr="00B67B4F">
        <w:rPr>
          <w:rFonts w:ascii="Times New Roman" w:hAnsi="Times New Roman" w:cs="Times New Roman"/>
          <w:color w:val="000000" w:themeColor="text1"/>
          <w:sz w:val="26"/>
          <w:szCs w:val="26"/>
        </w:rPr>
        <w:t>Independent</w:t>
      </w:r>
      <w:r w:rsidR="00922A4D" w:rsidRPr="00B67B4F">
        <w:rPr>
          <w:rFonts w:ascii="Times New Roman" w:hAnsi="Times New Roman" w:cs="Times New Roman"/>
          <w:color w:val="000000" w:themeColor="text1"/>
          <w:sz w:val="26"/>
          <w:szCs w:val="26"/>
        </w:rPr>
        <w:t xml:space="preserve"> Source. </w:t>
      </w:r>
      <w:r w:rsidR="00130C66" w:rsidRPr="00B67B4F">
        <w:rPr>
          <w:rFonts w:ascii="Times New Roman" w:hAnsi="Times New Roman" w:cs="Times New Roman"/>
          <w:color w:val="000000" w:themeColor="text1"/>
          <w:sz w:val="26"/>
          <w:szCs w:val="26"/>
        </w:rPr>
        <w:tab/>
      </w:r>
      <w:r w:rsidR="00081762">
        <w:rPr>
          <w:rFonts w:ascii="Times New Roman" w:hAnsi="Times New Roman" w:cs="Times New Roman"/>
          <w:color w:val="000000" w:themeColor="text1"/>
          <w:sz w:val="26"/>
          <w:szCs w:val="26"/>
        </w:rPr>
        <w:t>10</w:t>
      </w:r>
    </w:p>
    <w:p w14:paraId="079AE8FA" w14:textId="77777777" w:rsidR="003E3694" w:rsidRPr="00265E2C" w:rsidRDefault="003E3694" w:rsidP="00322774">
      <w:pPr>
        <w:keepNext/>
        <w:tabs>
          <w:tab w:val="right" w:leader="dot" w:pos="9360"/>
        </w:tabs>
        <w:ind w:right="720"/>
        <w:jc w:val="both"/>
        <w:outlineLvl w:val="2"/>
        <w:rPr>
          <w:rFonts w:ascii="Times New Roman" w:hAnsi="Times New Roman" w:cs="Times New Roman"/>
          <w:color w:val="000000" w:themeColor="text1"/>
          <w:sz w:val="26"/>
          <w:szCs w:val="26"/>
        </w:rPr>
      </w:pPr>
    </w:p>
    <w:p w14:paraId="4232A1A6" w14:textId="72DE8048" w:rsidR="003E3694" w:rsidRPr="005114BB" w:rsidRDefault="000E2E84" w:rsidP="00322774">
      <w:pPr>
        <w:pStyle w:val="ListParagraph"/>
        <w:keepNext/>
        <w:numPr>
          <w:ilvl w:val="0"/>
          <w:numId w:val="28"/>
        </w:numPr>
        <w:tabs>
          <w:tab w:val="right" w:leader="dot" w:pos="9360"/>
        </w:tabs>
        <w:ind w:right="720"/>
        <w:jc w:val="both"/>
        <w:outlineLvl w:val="2"/>
        <w:rPr>
          <w:rFonts w:ascii="Times New Roman" w:hAnsi="Times New Roman" w:cs="Times New Roman"/>
          <w:color w:val="000000" w:themeColor="text1"/>
          <w:sz w:val="26"/>
          <w:szCs w:val="26"/>
        </w:rPr>
      </w:pPr>
      <w:r w:rsidRPr="005114BB">
        <w:rPr>
          <w:rFonts w:ascii="Times New Roman" w:hAnsi="Times New Roman" w:cs="Times New Roman"/>
          <w:color w:val="000000" w:themeColor="text1"/>
          <w:sz w:val="26"/>
          <w:szCs w:val="26"/>
        </w:rPr>
        <w:t xml:space="preserve">Defendant’s Motion to Quash United States Subpoena Duces Tecum on Maddox Armana for the Production of </w:t>
      </w:r>
      <w:r w:rsidR="00081762">
        <w:rPr>
          <w:rFonts w:ascii="Times New Roman" w:hAnsi="Times New Roman" w:cs="Times New Roman"/>
          <w:color w:val="000000" w:themeColor="text1"/>
          <w:sz w:val="26"/>
          <w:szCs w:val="26"/>
        </w:rPr>
        <w:t>A</w:t>
      </w:r>
      <w:r w:rsidRPr="005114BB">
        <w:rPr>
          <w:rFonts w:ascii="Times New Roman" w:hAnsi="Times New Roman" w:cs="Times New Roman"/>
          <w:color w:val="000000" w:themeColor="text1"/>
          <w:sz w:val="26"/>
          <w:szCs w:val="26"/>
        </w:rPr>
        <w:t xml:space="preserve">ny </w:t>
      </w:r>
      <w:r w:rsidR="00081762">
        <w:rPr>
          <w:rFonts w:ascii="Times New Roman" w:hAnsi="Times New Roman" w:cs="Times New Roman"/>
          <w:color w:val="000000" w:themeColor="text1"/>
          <w:sz w:val="26"/>
          <w:szCs w:val="26"/>
        </w:rPr>
        <w:t>A</w:t>
      </w:r>
      <w:r w:rsidRPr="005114BB">
        <w:rPr>
          <w:rFonts w:ascii="Times New Roman" w:hAnsi="Times New Roman" w:cs="Times New Roman"/>
          <w:color w:val="000000" w:themeColor="text1"/>
          <w:sz w:val="26"/>
          <w:szCs w:val="26"/>
        </w:rPr>
        <w:t xml:space="preserve">nd </w:t>
      </w:r>
      <w:r w:rsidR="00081762">
        <w:rPr>
          <w:rFonts w:ascii="Times New Roman" w:hAnsi="Times New Roman" w:cs="Times New Roman"/>
          <w:color w:val="000000" w:themeColor="text1"/>
          <w:sz w:val="26"/>
          <w:szCs w:val="26"/>
        </w:rPr>
        <w:t>A</w:t>
      </w:r>
      <w:r w:rsidRPr="005114BB">
        <w:rPr>
          <w:rFonts w:ascii="Times New Roman" w:hAnsi="Times New Roman" w:cs="Times New Roman"/>
          <w:color w:val="000000" w:themeColor="text1"/>
          <w:sz w:val="26"/>
          <w:szCs w:val="26"/>
        </w:rPr>
        <w:t xml:space="preserve">ll </w:t>
      </w:r>
      <w:r w:rsidR="00081762">
        <w:rPr>
          <w:rFonts w:ascii="Times New Roman" w:hAnsi="Times New Roman" w:cs="Times New Roman"/>
          <w:color w:val="000000" w:themeColor="text1"/>
          <w:sz w:val="26"/>
          <w:szCs w:val="26"/>
        </w:rPr>
        <w:t>R</w:t>
      </w:r>
      <w:r w:rsidRPr="005114BB">
        <w:rPr>
          <w:rFonts w:ascii="Times New Roman" w:hAnsi="Times New Roman" w:cs="Times New Roman"/>
          <w:color w:val="000000" w:themeColor="text1"/>
          <w:sz w:val="26"/>
          <w:szCs w:val="26"/>
        </w:rPr>
        <w:t xml:space="preserve">ecords of Armana’s </w:t>
      </w:r>
      <w:r w:rsidR="00081762">
        <w:rPr>
          <w:rFonts w:ascii="Times New Roman" w:hAnsi="Times New Roman" w:cs="Times New Roman"/>
          <w:color w:val="000000" w:themeColor="text1"/>
          <w:sz w:val="26"/>
          <w:szCs w:val="26"/>
        </w:rPr>
        <w:t>I</w:t>
      </w:r>
      <w:r w:rsidRPr="005114BB">
        <w:rPr>
          <w:rFonts w:ascii="Times New Roman" w:hAnsi="Times New Roman" w:cs="Times New Roman"/>
          <w:color w:val="000000" w:themeColor="text1"/>
          <w:sz w:val="26"/>
          <w:szCs w:val="26"/>
        </w:rPr>
        <w:t xml:space="preserve">nterview of Sierra Seton on February 15, 2024, as </w:t>
      </w:r>
      <w:r w:rsidR="00081762">
        <w:rPr>
          <w:rFonts w:ascii="Times New Roman" w:hAnsi="Times New Roman" w:cs="Times New Roman"/>
          <w:color w:val="000000" w:themeColor="text1"/>
          <w:sz w:val="26"/>
          <w:szCs w:val="26"/>
        </w:rPr>
        <w:t>P</w:t>
      </w:r>
      <w:r w:rsidRPr="005114BB">
        <w:rPr>
          <w:rFonts w:ascii="Times New Roman" w:hAnsi="Times New Roman" w:cs="Times New Roman"/>
          <w:color w:val="000000" w:themeColor="text1"/>
          <w:sz w:val="26"/>
          <w:szCs w:val="26"/>
        </w:rPr>
        <w:t xml:space="preserve">rotected </w:t>
      </w:r>
      <w:r w:rsidR="00081762">
        <w:rPr>
          <w:rFonts w:ascii="Times New Roman" w:hAnsi="Times New Roman" w:cs="Times New Roman"/>
          <w:color w:val="000000" w:themeColor="text1"/>
          <w:sz w:val="26"/>
          <w:szCs w:val="26"/>
        </w:rPr>
        <w:t>U</w:t>
      </w:r>
      <w:r w:rsidRPr="005114BB">
        <w:rPr>
          <w:rFonts w:ascii="Times New Roman" w:hAnsi="Times New Roman" w:cs="Times New Roman"/>
          <w:color w:val="000000" w:themeColor="text1"/>
          <w:sz w:val="26"/>
          <w:szCs w:val="26"/>
        </w:rPr>
        <w:t xml:space="preserve">nder the </w:t>
      </w:r>
      <w:r w:rsidR="00081762">
        <w:rPr>
          <w:rFonts w:ascii="Times New Roman" w:hAnsi="Times New Roman" w:cs="Times New Roman"/>
          <w:color w:val="000000" w:themeColor="text1"/>
          <w:sz w:val="26"/>
          <w:szCs w:val="26"/>
        </w:rPr>
        <w:t>W</w:t>
      </w:r>
      <w:r w:rsidRPr="005114BB">
        <w:rPr>
          <w:rFonts w:ascii="Times New Roman" w:hAnsi="Times New Roman" w:cs="Times New Roman"/>
          <w:color w:val="000000" w:themeColor="text1"/>
          <w:sz w:val="26"/>
          <w:szCs w:val="26"/>
        </w:rPr>
        <w:t>ork</w:t>
      </w:r>
      <w:r w:rsidR="00081762">
        <w:rPr>
          <w:rFonts w:ascii="Times New Roman" w:hAnsi="Times New Roman" w:cs="Times New Roman"/>
          <w:color w:val="000000" w:themeColor="text1"/>
          <w:sz w:val="26"/>
          <w:szCs w:val="26"/>
        </w:rPr>
        <w:t xml:space="preserve"> P</w:t>
      </w:r>
      <w:r w:rsidRPr="005114BB">
        <w:rPr>
          <w:rFonts w:ascii="Times New Roman" w:hAnsi="Times New Roman" w:cs="Times New Roman"/>
          <w:color w:val="000000" w:themeColor="text1"/>
          <w:sz w:val="26"/>
          <w:szCs w:val="26"/>
        </w:rPr>
        <w:t xml:space="preserve">roduct </w:t>
      </w:r>
      <w:r w:rsidR="00081762">
        <w:rPr>
          <w:rFonts w:ascii="Times New Roman" w:hAnsi="Times New Roman" w:cs="Times New Roman"/>
          <w:color w:val="000000" w:themeColor="text1"/>
          <w:sz w:val="26"/>
          <w:szCs w:val="26"/>
        </w:rPr>
        <w:t>P</w:t>
      </w:r>
      <w:r w:rsidRPr="005114BB">
        <w:rPr>
          <w:rFonts w:ascii="Times New Roman" w:hAnsi="Times New Roman" w:cs="Times New Roman"/>
          <w:color w:val="000000" w:themeColor="text1"/>
          <w:sz w:val="26"/>
          <w:szCs w:val="26"/>
        </w:rPr>
        <w:t xml:space="preserve">rivilege </w:t>
      </w:r>
      <w:r w:rsidR="00081762">
        <w:rPr>
          <w:rFonts w:ascii="Times New Roman" w:hAnsi="Times New Roman" w:cs="Times New Roman"/>
          <w:color w:val="000000" w:themeColor="text1"/>
          <w:sz w:val="26"/>
          <w:szCs w:val="26"/>
        </w:rPr>
        <w:t>S</w:t>
      </w:r>
      <w:r w:rsidRPr="005114BB">
        <w:rPr>
          <w:rFonts w:ascii="Times New Roman" w:hAnsi="Times New Roman" w:cs="Times New Roman"/>
          <w:color w:val="000000" w:themeColor="text1"/>
          <w:sz w:val="26"/>
          <w:szCs w:val="26"/>
        </w:rPr>
        <w:t>hould be</w:t>
      </w:r>
      <w:r w:rsidR="00081762">
        <w:rPr>
          <w:rFonts w:ascii="Times New Roman" w:hAnsi="Times New Roman" w:cs="Times New Roman"/>
          <w:color w:val="000000" w:themeColor="text1"/>
          <w:sz w:val="26"/>
          <w:szCs w:val="26"/>
        </w:rPr>
        <w:t xml:space="preserve"> Granted</w:t>
      </w:r>
      <w:r w:rsidRPr="005114BB">
        <w:rPr>
          <w:rFonts w:ascii="Times New Roman" w:hAnsi="Times New Roman" w:cs="Times New Roman"/>
          <w:color w:val="000000" w:themeColor="text1"/>
          <w:sz w:val="26"/>
          <w:szCs w:val="26"/>
        </w:rPr>
        <w:t>..</w:t>
      </w:r>
      <w:r w:rsidR="00322774" w:rsidRPr="005114BB">
        <w:rPr>
          <w:rFonts w:ascii="Times New Roman" w:hAnsi="Times New Roman" w:cs="Times New Roman"/>
          <w:color w:val="000000" w:themeColor="text1"/>
          <w:sz w:val="26"/>
          <w:szCs w:val="26"/>
        </w:rPr>
        <w:tab/>
      </w:r>
      <w:r w:rsidR="007F0BA9" w:rsidRPr="005114BB">
        <w:rPr>
          <w:rFonts w:ascii="Times New Roman" w:hAnsi="Times New Roman" w:cs="Times New Roman"/>
          <w:color w:val="000000" w:themeColor="text1"/>
          <w:sz w:val="26"/>
          <w:szCs w:val="26"/>
        </w:rPr>
        <w:t>1</w:t>
      </w:r>
      <w:r w:rsidR="00081762">
        <w:rPr>
          <w:rFonts w:ascii="Times New Roman" w:hAnsi="Times New Roman" w:cs="Times New Roman"/>
          <w:color w:val="000000" w:themeColor="text1"/>
          <w:sz w:val="26"/>
          <w:szCs w:val="26"/>
        </w:rPr>
        <w:t>3</w:t>
      </w:r>
    </w:p>
    <w:p w14:paraId="767B510B" w14:textId="75922339" w:rsidR="003E3694" w:rsidRPr="005114BB" w:rsidRDefault="003E3694" w:rsidP="00322774">
      <w:pPr>
        <w:keepNext/>
        <w:tabs>
          <w:tab w:val="right" w:leader="dot" w:pos="9360"/>
        </w:tabs>
        <w:ind w:left="360" w:right="720"/>
        <w:jc w:val="both"/>
        <w:outlineLvl w:val="2"/>
        <w:rPr>
          <w:rFonts w:ascii="Times New Roman" w:hAnsi="Times New Roman" w:cs="Times New Roman"/>
          <w:color w:val="000000" w:themeColor="text1"/>
          <w:sz w:val="26"/>
          <w:szCs w:val="26"/>
        </w:rPr>
      </w:pPr>
    </w:p>
    <w:p w14:paraId="07FF0BAA" w14:textId="5CA9C8A6" w:rsidR="003E3694" w:rsidRPr="005114BB" w:rsidRDefault="00081762" w:rsidP="00322774">
      <w:pPr>
        <w:pStyle w:val="ListParagraph"/>
        <w:keepNext/>
        <w:numPr>
          <w:ilvl w:val="0"/>
          <w:numId w:val="32"/>
        </w:numPr>
        <w:tabs>
          <w:tab w:val="right" w:leader="dot" w:pos="9360"/>
        </w:tabs>
        <w:ind w:right="720"/>
        <w:jc w:val="both"/>
        <w:outlineLvl w:val="2"/>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Work Product Doctrine Bars Production of Maddox Armana’s Interview Notes</w:t>
      </w:r>
      <w:r w:rsidR="003E3694" w:rsidRPr="005114BB">
        <w:rPr>
          <w:rFonts w:ascii="Times New Roman" w:hAnsi="Times New Roman" w:cs="Times New Roman"/>
          <w:color w:val="000000" w:themeColor="text1"/>
          <w:sz w:val="26"/>
          <w:szCs w:val="26"/>
        </w:rPr>
        <w:t>.</w:t>
      </w:r>
      <w:r w:rsidR="00322774" w:rsidRPr="005114BB">
        <w:rPr>
          <w:rFonts w:ascii="Times New Roman" w:hAnsi="Times New Roman" w:cs="Times New Roman"/>
          <w:color w:val="000000" w:themeColor="text1"/>
          <w:sz w:val="26"/>
          <w:szCs w:val="26"/>
        </w:rPr>
        <w:tab/>
      </w:r>
      <w:r w:rsidR="007F0BA9" w:rsidRPr="005114BB">
        <w:rPr>
          <w:rFonts w:ascii="Times New Roman" w:hAnsi="Times New Roman" w:cs="Times New Roman"/>
          <w:color w:val="000000" w:themeColor="text1"/>
          <w:sz w:val="26"/>
          <w:szCs w:val="26"/>
        </w:rPr>
        <w:t>1</w:t>
      </w:r>
      <w:r>
        <w:rPr>
          <w:rFonts w:ascii="Times New Roman" w:hAnsi="Times New Roman" w:cs="Times New Roman"/>
          <w:color w:val="000000" w:themeColor="text1"/>
          <w:sz w:val="26"/>
          <w:szCs w:val="26"/>
        </w:rPr>
        <w:t>3</w:t>
      </w:r>
    </w:p>
    <w:p w14:paraId="145DECC8" w14:textId="77777777" w:rsidR="003E3694" w:rsidRPr="00081762" w:rsidRDefault="003E3694" w:rsidP="00081762">
      <w:pPr>
        <w:tabs>
          <w:tab w:val="right" w:leader="dot" w:pos="9360"/>
        </w:tabs>
        <w:ind w:right="720"/>
        <w:rPr>
          <w:rFonts w:ascii="Times New Roman" w:hAnsi="Times New Roman" w:cs="Times New Roman"/>
          <w:color w:val="000000" w:themeColor="text1"/>
          <w:sz w:val="26"/>
          <w:szCs w:val="26"/>
        </w:rPr>
      </w:pPr>
    </w:p>
    <w:p w14:paraId="04498AC9" w14:textId="0A3772E0" w:rsidR="003E3694" w:rsidRPr="005114BB" w:rsidRDefault="00081762" w:rsidP="00322774">
      <w:pPr>
        <w:pStyle w:val="ListParagraph"/>
        <w:keepNext/>
        <w:numPr>
          <w:ilvl w:val="0"/>
          <w:numId w:val="34"/>
        </w:numPr>
        <w:tabs>
          <w:tab w:val="right" w:leader="dot" w:pos="9360"/>
        </w:tabs>
        <w:ind w:right="720"/>
        <w:jc w:val="both"/>
        <w:outlineLvl w:val="2"/>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lastRenderedPageBreak/>
        <w:t>The Interview of Sierra Seton Was Created in Anticipation of Litigation</w:t>
      </w:r>
      <w:r w:rsidR="003E3694" w:rsidRPr="005114BB">
        <w:rPr>
          <w:rFonts w:ascii="Times New Roman" w:hAnsi="Times New Roman" w:cs="Times New Roman"/>
          <w:color w:val="000000" w:themeColor="text1"/>
          <w:sz w:val="26"/>
          <w:szCs w:val="26"/>
        </w:rPr>
        <w:t>.</w:t>
      </w:r>
      <w:r w:rsidR="00322774" w:rsidRPr="005114BB">
        <w:rPr>
          <w:rFonts w:ascii="Times New Roman" w:hAnsi="Times New Roman" w:cs="Times New Roman"/>
          <w:color w:val="000000" w:themeColor="text1"/>
          <w:sz w:val="26"/>
          <w:szCs w:val="26"/>
        </w:rPr>
        <w:tab/>
      </w:r>
      <w:r w:rsidR="007F0BA9" w:rsidRPr="005114BB">
        <w:rPr>
          <w:rFonts w:ascii="Times New Roman" w:hAnsi="Times New Roman" w:cs="Times New Roman"/>
          <w:color w:val="000000" w:themeColor="text1"/>
          <w:sz w:val="26"/>
          <w:szCs w:val="26"/>
        </w:rPr>
        <w:t>1</w:t>
      </w:r>
      <w:r>
        <w:rPr>
          <w:rFonts w:ascii="Times New Roman" w:hAnsi="Times New Roman" w:cs="Times New Roman"/>
          <w:color w:val="000000" w:themeColor="text1"/>
          <w:sz w:val="26"/>
          <w:szCs w:val="26"/>
        </w:rPr>
        <w:t>4</w:t>
      </w:r>
    </w:p>
    <w:p w14:paraId="78BFC541" w14:textId="77777777" w:rsidR="003E3694" w:rsidRPr="005114BB" w:rsidRDefault="003E3694" w:rsidP="00322774">
      <w:pPr>
        <w:pStyle w:val="ListParagraph"/>
        <w:keepNext/>
        <w:tabs>
          <w:tab w:val="right" w:leader="dot" w:pos="9360"/>
        </w:tabs>
        <w:ind w:left="2520" w:right="720"/>
        <w:jc w:val="both"/>
        <w:outlineLvl w:val="2"/>
        <w:rPr>
          <w:rFonts w:ascii="Times New Roman" w:hAnsi="Times New Roman" w:cs="Times New Roman"/>
          <w:color w:val="000000" w:themeColor="text1"/>
          <w:sz w:val="26"/>
          <w:szCs w:val="26"/>
        </w:rPr>
      </w:pPr>
    </w:p>
    <w:p w14:paraId="49214725" w14:textId="047E4F0A" w:rsidR="003E3694" w:rsidRPr="005114BB" w:rsidRDefault="00081762" w:rsidP="00322774">
      <w:pPr>
        <w:pStyle w:val="ListParagraph"/>
        <w:keepNext/>
        <w:numPr>
          <w:ilvl w:val="0"/>
          <w:numId w:val="34"/>
        </w:numPr>
        <w:tabs>
          <w:tab w:val="right" w:leader="dot" w:pos="9360"/>
        </w:tabs>
        <w:ind w:right="720"/>
        <w:jc w:val="both"/>
        <w:outlineLvl w:val="2"/>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The Entirety of Sierra Seton’s Interview Constitutes Undiscoverable Work Product</w:t>
      </w:r>
      <w:r w:rsidR="003E3694" w:rsidRPr="005114BB">
        <w:rPr>
          <w:rFonts w:ascii="Times New Roman" w:hAnsi="Times New Roman" w:cs="Times New Roman"/>
          <w:color w:val="000000" w:themeColor="text1"/>
          <w:sz w:val="26"/>
          <w:szCs w:val="26"/>
        </w:rPr>
        <w:t>.</w:t>
      </w:r>
      <w:r w:rsidR="00322774" w:rsidRPr="005114BB">
        <w:rPr>
          <w:rFonts w:ascii="Times New Roman" w:hAnsi="Times New Roman" w:cs="Times New Roman"/>
          <w:color w:val="000000" w:themeColor="text1"/>
          <w:sz w:val="26"/>
          <w:szCs w:val="26"/>
        </w:rPr>
        <w:tab/>
      </w:r>
      <w:r w:rsidR="007F0BA9" w:rsidRPr="005114BB">
        <w:rPr>
          <w:rFonts w:ascii="Times New Roman" w:hAnsi="Times New Roman" w:cs="Times New Roman"/>
          <w:color w:val="000000" w:themeColor="text1"/>
          <w:sz w:val="26"/>
          <w:szCs w:val="26"/>
        </w:rPr>
        <w:t>15</w:t>
      </w:r>
    </w:p>
    <w:p w14:paraId="7089037F" w14:textId="77777777" w:rsidR="003E3694" w:rsidRPr="005114BB" w:rsidRDefault="003E3694" w:rsidP="00322774">
      <w:pPr>
        <w:pStyle w:val="ListParagraph"/>
        <w:tabs>
          <w:tab w:val="right" w:leader="dot" w:pos="9360"/>
        </w:tabs>
        <w:ind w:right="720"/>
        <w:rPr>
          <w:rFonts w:ascii="Times New Roman" w:hAnsi="Times New Roman" w:cs="Times New Roman"/>
          <w:color w:val="000000" w:themeColor="text1"/>
          <w:sz w:val="26"/>
          <w:szCs w:val="26"/>
        </w:rPr>
      </w:pPr>
    </w:p>
    <w:p w14:paraId="1B38E3D4" w14:textId="28F520F7" w:rsidR="003E3694" w:rsidRPr="005114BB" w:rsidRDefault="00081762" w:rsidP="00322774">
      <w:pPr>
        <w:pStyle w:val="ListParagraph"/>
        <w:keepNext/>
        <w:numPr>
          <w:ilvl w:val="0"/>
          <w:numId w:val="32"/>
        </w:numPr>
        <w:tabs>
          <w:tab w:val="right" w:leader="dot" w:pos="9360"/>
        </w:tabs>
        <w:ind w:right="720"/>
        <w:jc w:val="both"/>
        <w:outlineLvl w:val="2"/>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The Government Cannot Sufficiently Prove Substantial Need or Undue Hardship. </w:t>
      </w:r>
      <w:r w:rsidR="00322774" w:rsidRPr="005114BB">
        <w:rPr>
          <w:rFonts w:ascii="Times New Roman" w:hAnsi="Times New Roman" w:cs="Times New Roman"/>
          <w:color w:val="000000" w:themeColor="text1"/>
          <w:sz w:val="26"/>
          <w:szCs w:val="26"/>
        </w:rPr>
        <w:tab/>
      </w:r>
      <w:r w:rsidR="007F0BA9" w:rsidRPr="005114BB">
        <w:rPr>
          <w:rFonts w:ascii="Times New Roman" w:hAnsi="Times New Roman" w:cs="Times New Roman"/>
          <w:color w:val="000000" w:themeColor="text1"/>
          <w:sz w:val="26"/>
          <w:szCs w:val="26"/>
        </w:rPr>
        <w:t>16</w:t>
      </w:r>
    </w:p>
    <w:p w14:paraId="473D0948" w14:textId="77777777" w:rsidR="003E3694" w:rsidRPr="005114BB" w:rsidRDefault="003E3694" w:rsidP="00322774">
      <w:pPr>
        <w:keepNext/>
        <w:tabs>
          <w:tab w:val="right" w:leader="dot" w:pos="9360"/>
        </w:tabs>
        <w:ind w:right="720"/>
        <w:jc w:val="both"/>
        <w:outlineLvl w:val="2"/>
        <w:rPr>
          <w:rFonts w:ascii="Times New Roman" w:hAnsi="Times New Roman" w:cs="Times New Roman"/>
          <w:color w:val="000000" w:themeColor="text1"/>
          <w:sz w:val="26"/>
          <w:szCs w:val="26"/>
        </w:rPr>
      </w:pPr>
    </w:p>
    <w:p w14:paraId="4279F8DE" w14:textId="05AB2FFB" w:rsidR="003E3694" w:rsidRPr="005114BB" w:rsidRDefault="003E3694" w:rsidP="00322774">
      <w:pPr>
        <w:keepNext/>
        <w:tabs>
          <w:tab w:val="right" w:leader="dot" w:pos="9360"/>
        </w:tabs>
        <w:ind w:right="720"/>
        <w:jc w:val="both"/>
        <w:outlineLvl w:val="2"/>
        <w:rPr>
          <w:rFonts w:ascii="Times New Roman" w:hAnsi="Times New Roman" w:cs="Times New Roman"/>
          <w:smallCaps/>
          <w:color w:val="000000" w:themeColor="text1"/>
          <w:sz w:val="26"/>
          <w:szCs w:val="26"/>
        </w:rPr>
      </w:pPr>
      <w:r w:rsidRPr="005114BB">
        <w:rPr>
          <w:rFonts w:ascii="Times New Roman" w:hAnsi="Times New Roman" w:cs="Times New Roman"/>
          <w:smallCaps/>
          <w:color w:val="000000" w:themeColor="text1"/>
          <w:sz w:val="26"/>
          <w:szCs w:val="26"/>
        </w:rPr>
        <w:t>Conclusion</w:t>
      </w:r>
      <w:r w:rsidR="00322774" w:rsidRPr="005114BB">
        <w:rPr>
          <w:rFonts w:ascii="Times New Roman" w:hAnsi="Times New Roman" w:cs="Times New Roman"/>
          <w:smallCaps/>
          <w:color w:val="000000" w:themeColor="text1"/>
          <w:sz w:val="26"/>
          <w:szCs w:val="26"/>
        </w:rPr>
        <w:tab/>
      </w:r>
      <w:r w:rsidR="007F0BA9" w:rsidRPr="005114BB">
        <w:rPr>
          <w:rFonts w:ascii="Times New Roman" w:hAnsi="Times New Roman" w:cs="Times New Roman"/>
          <w:smallCaps/>
          <w:color w:val="000000" w:themeColor="text1"/>
          <w:sz w:val="26"/>
          <w:szCs w:val="26"/>
        </w:rPr>
        <w:t>1</w:t>
      </w:r>
      <w:r w:rsidR="00081762">
        <w:rPr>
          <w:rFonts w:ascii="Times New Roman" w:hAnsi="Times New Roman" w:cs="Times New Roman"/>
          <w:smallCaps/>
          <w:color w:val="000000" w:themeColor="text1"/>
          <w:sz w:val="26"/>
          <w:szCs w:val="26"/>
        </w:rPr>
        <w:t>8</w:t>
      </w:r>
    </w:p>
    <w:p w14:paraId="084A1733" w14:textId="77777777" w:rsidR="00283F1C" w:rsidRPr="005114BB" w:rsidRDefault="00283F1C" w:rsidP="00322774">
      <w:pPr>
        <w:rPr>
          <w:rFonts w:ascii="Times New Roman" w:hAnsi="Times New Roman" w:cs="Times New Roman"/>
          <w:color w:val="000000" w:themeColor="text1"/>
          <w:sz w:val="26"/>
          <w:szCs w:val="26"/>
        </w:rPr>
      </w:pPr>
    </w:p>
    <w:p w14:paraId="56402CAB" w14:textId="77777777" w:rsidR="00283F1C" w:rsidRPr="00265E2C" w:rsidRDefault="00283F1C" w:rsidP="00322774">
      <w:pPr>
        <w:rPr>
          <w:rFonts w:ascii="Times New Roman" w:hAnsi="Times New Roman" w:cs="Times New Roman"/>
          <w:color w:val="000000" w:themeColor="text1"/>
          <w:sz w:val="26"/>
          <w:szCs w:val="26"/>
        </w:rPr>
      </w:pPr>
    </w:p>
    <w:p w14:paraId="3CBBF819" w14:textId="77777777" w:rsidR="00322774" w:rsidRPr="00265E2C" w:rsidRDefault="00322774">
      <w:pPr>
        <w:spacing w:after="160" w:line="278" w:lineRule="auto"/>
        <w:rPr>
          <w:rFonts w:ascii="Times New Roman" w:hAnsi="Times New Roman" w:cs="Times New Roman"/>
          <w:smallCaps/>
          <w:color w:val="000000" w:themeColor="text1"/>
          <w:sz w:val="26"/>
          <w:szCs w:val="26"/>
        </w:rPr>
      </w:pPr>
      <w:r w:rsidRPr="00265E2C">
        <w:rPr>
          <w:rFonts w:ascii="Times New Roman" w:hAnsi="Times New Roman" w:cs="Times New Roman"/>
          <w:smallCaps/>
          <w:color w:val="000000" w:themeColor="text1"/>
          <w:sz w:val="26"/>
          <w:szCs w:val="26"/>
        </w:rPr>
        <w:br w:type="page"/>
      </w:r>
    </w:p>
    <w:p w14:paraId="19443938" w14:textId="368C3AE3" w:rsidR="001B4BBE" w:rsidRPr="00265E2C" w:rsidRDefault="001B4BBE" w:rsidP="002E4103">
      <w:pPr>
        <w:spacing w:before="240"/>
        <w:jc w:val="center"/>
        <w:rPr>
          <w:rFonts w:ascii="Times New Roman" w:hAnsi="Times New Roman" w:cs="Times New Roman"/>
          <w:b/>
          <w:bCs/>
          <w:smallCaps/>
          <w:color w:val="000000" w:themeColor="text1"/>
          <w:sz w:val="26"/>
          <w:szCs w:val="26"/>
        </w:rPr>
      </w:pPr>
      <w:r w:rsidRPr="00265E2C">
        <w:rPr>
          <w:rFonts w:ascii="Times New Roman" w:hAnsi="Times New Roman" w:cs="Times New Roman"/>
          <w:b/>
          <w:bCs/>
          <w:smallCaps/>
          <w:color w:val="000000" w:themeColor="text1"/>
          <w:sz w:val="26"/>
          <w:szCs w:val="26"/>
        </w:rPr>
        <w:lastRenderedPageBreak/>
        <w:t>Table of Authorities</w:t>
      </w:r>
    </w:p>
    <w:p w14:paraId="59D69B9A" w14:textId="410E25D8" w:rsidR="00AC3016" w:rsidRPr="00081762" w:rsidRDefault="00DA2DF9" w:rsidP="00081762">
      <w:pPr>
        <w:pStyle w:val="TOAHeading"/>
        <w:tabs>
          <w:tab w:val="right" w:leader="dot" w:pos="9350"/>
        </w:tabs>
        <w:spacing w:line="240" w:lineRule="auto"/>
        <w:rPr>
          <w:rFonts w:cs="Times New Roman"/>
          <w:caps w:val="0"/>
          <w:smallCaps/>
          <w:noProof/>
          <w:color w:val="000000" w:themeColor="text1"/>
          <w:szCs w:val="26"/>
        </w:rPr>
      </w:pPr>
      <w:r w:rsidRPr="00081762">
        <w:rPr>
          <w:rFonts w:cs="Times New Roman"/>
          <w:b w:val="0"/>
          <w:bCs w:val="0"/>
          <w:smallCaps/>
          <w:color w:val="000000" w:themeColor="text1"/>
          <w:szCs w:val="26"/>
        </w:rPr>
        <w:fldChar w:fldCharType="begin"/>
      </w:r>
      <w:r w:rsidRPr="00081762">
        <w:rPr>
          <w:rFonts w:cs="Times New Roman"/>
          <w:b w:val="0"/>
          <w:bCs w:val="0"/>
          <w:smallCaps/>
          <w:color w:val="000000" w:themeColor="text1"/>
          <w:szCs w:val="26"/>
        </w:rPr>
        <w:instrText xml:space="preserve"> TOA \h \c "1" </w:instrText>
      </w:r>
      <w:r w:rsidRPr="00081762">
        <w:rPr>
          <w:rFonts w:cs="Times New Roman"/>
          <w:b w:val="0"/>
          <w:bCs w:val="0"/>
          <w:smallCaps/>
          <w:color w:val="000000" w:themeColor="text1"/>
          <w:szCs w:val="26"/>
        </w:rPr>
        <w:fldChar w:fldCharType="separate"/>
      </w:r>
      <w:r w:rsidRPr="00081762">
        <w:rPr>
          <w:rFonts w:cs="Times New Roman"/>
          <w:caps w:val="0"/>
          <w:smallCaps/>
          <w:noProof/>
          <w:color w:val="000000" w:themeColor="text1"/>
          <w:szCs w:val="26"/>
        </w:rPr>
        <w:t>Cases</w:t>
      </w:r>
    </w:p>
    <w:p w14:paraId="163CE401" w14:textId="01477B46" w:rsidR="000E2E84" w:rsidRPr="00081762" w:rsidRDefault="000E2E84" w:rsidP="000E2E84">
      <w:pPr>
        <w:pStyle w:val="TableofAuthorities"/>
        <w:tabs>
          <w:tab w:val="left" w:pos="3420"/>
          <w:tab w:val="right" w:leader="dot" w:pos="9350"/>
        </w:tabs>
        <w:spacing w:line="240" w:lineRule="auto"/>
        <w:rPr>
          <w:rFonts w:cs="Times New Roman"/>
          <w:noProof/>
          <w:color w:val="000000" w:themeColor="text1"/>
          <w:sz w:val="26"/>
          <w:szCs w:val="26"/>
        </w:rPr>
      </w:pPr>
      <w:r w:rsidRPr="00081762">
        <w:rPr>
          <w:rFonts w:cs="Times New Roman"/>
          <w:i/>
          <w:iCs/>
          <w:noProof/>
          <w:color w:val="000000" w:themeColor="text1"/>
          <w:sz w:val="26"/>
          <w:szCs w:val="26"/>
        </w:rPr>
        <w:t>Albertson v. Subversive Activities Control Board</w:t>
      </w:r>
      <w:r w:rsidRPr="00081762">
        <w:rPr>
          <w:rFonts w:cs="Times New Roman"/>
          <w:noProof/>
          <w:color w:val="000000" w:themeColor="text1"/>
          <w:sz w:val="26"/>
          <w:szCs w:val="26"/>
        </w:rPr>
        <w:t xml:space="preserve">, </w:t>
      </w:r>
    </w:p>
    <w:p w14:paraId="739ABE6A" w14:textId="27000855" w:rsidR="00081762" w:rsidRPr="00081762" w:rsidRDefault="000E2E84" w:rsidP="00081762">
      <w:pPr>
        <w:pStyle w:val="TableofAuthorities"/>
        <w:tabs>
          <w:tab w:val="right" w:leader="dot" w:pos="9350"/>
        </w:tabs>
        <w:spacing w:after="240" w:line="240" w:lineRule="auto"/>
        <w:ind w:left="360" w:hanging="360"/>
        <w:rPr>
          <w:rFonts w:cs="Times New Roman"/>
          <w:noProof/>
          <w:color w:val="000000" w:themeColor="text1"/>
          <w:sz w:val="26"/>
          <w:szCs w:val="26"/>
        </w:rPr>
      </w:pPr>
      <w:r w:rsidRPr="00081762">
        <w:rPr>
          <w:rFonts w:cs="Times New Roman"/>
          <w:noProof/>
          <w:color w:val="000000" w:themeColor="text1"/>
          <w:sz w:val="26"/>
          <w:szCs w:val="26"/>
        </w:rPr>
        <w:tab/>
        <w:t>382 U.S. 70 (1965).</w:t>
      </w:r>
      <w:r w:rsidRPr="00081762">
        <w:rPr>
          <w:rFonts w:cs="Times New Roman"/>
          <w:noProof/>
          <w:color w:val="000000" w:themeColor="text1"/>
          <w:sz w:val="26"/>
          <w:szCs w:val="26"/>
        </w:rPr>
        <w:tab/>
      </w:r>
      <w:r w:rsidR="00081762">
        <w:rPr>
          <w:rFonts w:cs="Times New Roman"/>
          <w:noProof/>
          <w:color w:val="000000" w:themeColor="text1"/>
          <w:sz w:val="26"/>
          <w:szCs w:val="26"/>
        </w:rPr>
        <w:t>8</w:t>
      </w:r>
      <w:r w:rsidR="00081762" w:rsidRPr="00081762">
        <w:rPr>
          <w:rFonts w:cs="Times New Roman"/>
          <w:caps/>
          <w:smallCaps/>
          <w:color w:val="000000" w:themeColor="text1"/>
          <w:szCs w:val="26"/>
        </w:rPr>
        <w:fldChar w:fldCharType="begin"/>
      </w:r>
      <w:r w:rsidR="00081762" w:rsidRPr="00081762">
        <w:rPr>
          <w:rFonts w:cs="Times New Roman"/>
          <w:smallCaps/>
          <w:color w:val="000000" w:themeColor="text1"/>
          <w:szCs w:val="26"/>
        </w:rPr>
        <w:instrText xml:space="preserve"> TOA \h \c "1" </w:instrText>
      </w:r>
      <w:r w:rsidR="00081762" w:rsidRPr="00081762">
        <w:rPr>
          <w:rFonts w:cs="Times New Roman"/>
          <w:caps/>
          <w:smallCaps/>
          <w:color w:val="000000" w:themeColor="text1"/>
          <w:szCs w:val="26"/>
        </w:rPr>
        <w:fldChar w:fldCharType="separate"/>
      </w:r>
    </w:p>
    <w:p w14:paraId="1CC841CD" w14:textId="4FB232F7" w:rsidR="00081762" w:rsidRPr="00081762" w:rsidRDefault="00081762" w:rsidP="00081762">
      <w:pPr>
        <w:pStyle w:val="TableofAuthorities"/>
        <w:tabs>
          <w:tab w:val="left" w:pos="3420"/>
          <w:tab w:val="right" w:leader="dot" w:pos="9350"/>
        </w:tabs>
        <w:spacing w:line="240" w:lineRule="auto"/>
        <w:rPr>
          <w:rFonts w:cs="Times New Roman"/>
          <w:noProof/>
          <w:color w:val="000000" w:themeColor="text1"/>
          <w:sz w:val="26"/>
          <w:szCs w:val="26"/>
        </w:rPr>
      </w:pPr>
      <w:r w:rsidRPr="00081762">
        <w:rPr>
          <w:rFonts w:cs="Times New Roman"/>
          <w:i/>
          <w:iCs/>
          <w:noProof/>
          <w:color w:val="000000" w:themeColor="text1"/>
          <w:sz w:val="26"/>
          <w:szCs w:val="26"/>
        </w:rPr>
        <w:t>Appleton Papers Inc. v. E.P.A</w:t>
      </w:r>
      <w:r w:rsidRPr="00081762">
        <w:rPr>
          <w:rFonts w:cs="Times New Roman"/>
          <w:noProof/>
          <w:color w:val="000000" w:themeColor="text1"/>
          <w:sz w:val="26"/>
          <w:szCs w:val="26"/>
        </w:rPr>
        <w:t xml:space="preserve">, </w:t>
      </w:r>
    </w:p>
    <w:p w14:paraId="49910953" w14:textId="57064FAF" w:rsidR="00081762" w:rsidRPr="00081762" w:rsidRDefault="00081762" w:rsidP="00081762">
      <w:pPr>
        <w:pStyle w:val="TableofAuthorities"/>
        <w:tabs>
          <w:tab w:val="right" w:leader="dot" w:pos="9350"/>
        </w:tabs>
        <w:spacing w:after="240" w:line="240" w:lineRule="auto"/>
        <w:ind w:left="360" w:hanging="360"/>
        <w:rPr>
          <w:rFonts w:cs="Times New Roman"/>
          <w:noProof/>
          <w:color w:val="000000" w:themeColor="text1"/>
          <w:sz w:val="26"/>
          <w:szCs w:val="26"/>
        </w:rPr>
      </w:pPr>
      <w:r w:rsidRPr="00081762">
        <w:rPr>
          <w:rFonts w:cs="Times New Roman"/>
          <w:noProof/>
          <w:color w:val="000000" w:themeColor="text1"/>
          <w:sz w:val="26"/>
          <w:szCs w:val="26"/>
        </w:rPr>
        <w:tab/>
        <w:t>702 F.3d 1018 (7th Cir. 2012).</w:t>
      </w:r>
      <w:r w:rsidRPr="00081762">
        <w:rPr>
          <w:rFonts w:cs="Times New Roman"/>
          <w:noProof/>
          <w:color w:val="000000" w:themeColor="text1"/>
          <w:sz w:val="26"/>
          <w:szCs w:val="26"/>
        </w:rPr>
        <w:tab/>
      </w:r>
      <w:r>
        <w:rPr>
          <w:rFonts w:cs="Times New Roman"/>
          <w:noProof/>
          <w:color w:val="000000" w:themeColor="text1"/>
          <w:sz w:val="26"/>
          <w:szCs w:val="26"/>
        </w:rPr>
        <w:t>18</w:t>
      </w:r>
    </w:p>
    <w:p w14:paraId="2CF5DA03" w14:textId="2541CBDE" w:rsidR="00081762" w:rsidRPr="00081762" w:rsidRDefault="00081762" w:rsidP="00081762">
      <w:pPr>
        <w:pStyle w:val="TableofAuthorities"/>
        <w:tabs>
          <w:tab w:val="left" w:pos="3420"/>
          <w:tab w:val="right" w:leader="dot" w:pos="9350"/>
        </w:tabs>
        <w:spacing w:line="240" w:lineRule="auto"/>
        <w:rPr>
          <w:rFonts w:cs="Times New Roman"/>
          <w:noProof/>
          <w:color w:val="000000" w:themeColor="text1"/>
          <w:sz w:val="26"/>
          <w:szCs w:val="26"/>
        </w:rPr>
      </w:pPr>
      <w:r w:rsidRPr="00081762">
        <w:rPr>
          <w:rFonts w:cs="Times New Roman"/>
          <w:i/>
          <w:iCs/>
          <w:noProof/>
          <w:color w:val="000000" w:themeColor="text1"/>
          <w:sz w:val="26"/>
          <w:szCs w:val="26"/>
        </w:rPr>
        <w:t>Baker v. Gen. Motors Corp.</w:t>
      </w:r>
      <w:r w:rsidRPr="00081762">
        <w:rPr>
          <w:rFonts w:cs="Times New Roman"/>
          <w:noProof/>
          <w:color w:val="000000" w:themeColor="text1"/>
          <w:sz w:val="26"/>
          <w:szCs w:val="26"/>
        </w:rPr>
        <w:t xml:space="preserve">, </w:t>
      </w:r>
    </w:p>
    <w:p w14:paraId="6EB982D3" w14:textId="7D985549" w:rsidR="00081762" w:rsidRPr="00081762" w:rsidRDefault="00081762" w:rsidP="00081762">
      <w:pPr>
        <w:pStyle w:val="TableofAuthorities"/>
        <w:tabs>
          <w:tab w:val="right" w:leader="dot" w:pos="9350"/>
        </w:tabs>
        <w:spacing w:after="240" w:line="240" w:lineRule="auto"/>
        <w:ind w:left="360" w:hanging="360"/>
        <w:rPr>
          <w:rFonts w:cs="Times New Roman"/>
          <w:noProof/>
          <w:color w:val="000000" w:themeColor="text1"/>
          <w:sz w:val="26"/>
          <w:szCs w:val="26"/>
        </w:rPr>
      </w:pPr>
      <w:r w:rsidRPr="00081762">
        <w:rPr>
          <w:rFonts w:cs="Times New Roman"/>
          <w:noProof/>
          <w:color w:val="000000" w:themeColor="text1"/>
          <w:sz w:val="26"/>
          <w:szCs w:val="26"/>
        </w:rPr>
        <w:tab/>
        <w:t>209 F.3d 1051 (8th Cir. 2000).</w:t>
      </w:r>
      <w:r w:rsidRPr="00081762">
        <w:rPr>
          <w:rFonts w:cs="Times New Roman"/>
          <w:noProof/>
          <w:color w:val="000000" w:themeColor="text1"/>
          <w:sz w:val="26"/>
          <w:szCs w:val="26"/>
        </w:rPr>
        <w:tab/>
      </w:r>
      <w:r>
        <w:rPr>
          <w:rFonts w:cs="Times New Roman"/>
          <w:noProof/>
          <w:color w:val="000000" w:themeColor="text1"/>
          <w:sz w:val="26"/>
          <w:szCs w:val="26"/>
        </w:rPr>
        <w:t>17</w:t>
      </w:r>
    </w:p>
    <w:p w14:paraId="6D0F63B6" w14:textId="44719EE0" w:rsidR="00081762" w:rsidRPr="00081762" w:rsidRDefault="00081762" w:rsidP="00081762">
      <w:pPr>
        <w:pStyle w:val="TableofAuthorities"/>
        <w:tabs>
          <w:tab w:val="left" w:pos="3420"/>
          <w:tab w:val="right" w:leader="dot" w:pos="9350"/>
        </w:tabs>
        <w:spacing w:line="240" w:lineRule="auto"/>
        <w:rPr>
          <w:rFonts w:cs="Times New Roman"/>
          <w:noProof/>
          <w:color w:val="000000" w:themeColor="text1"/>
          <w:sz w:val="26"/>
          <w:szCs w:val="26"/>
        </w:rPr>
      </w:pPr>
      <w:r w:rsidRPr="00081762">
        <w:rPr>
          <w:rFonts w:cs="Times New Roman"/>
          <w:i/>
          <w:iCs/>
          <w:noProof/>
          <w:color w:val="000000" w:themeColor="text1"/>
          <w:sz w:val="26"/>
          <w:szCs w:val="26"/>
        </w:rPr>
        <w:t>Counselman v. Hitchcock</w:t>
      </w:r>
      <w:r w:rsidRPr="00081762">
        <w:rPr>
          <w:rFonts w:cs="Times New Roman"/>
          <w:noProof/>
          <w:color w:val="000000" w:themeColor="text1"/>
          <w:sz w:val="26"/>
          <w:szCs w:val="26"/>
        </w:rPr>
        <w:t xml:space="preserve">, </w:t>
      </w:r>
    </w:p>
    <w:p w14:paraId="1B2E305F" w14:textId="7F82F031" w:rsidR="00081762" w:rsidRPr="00081762" w:rsidRDefault="00081762" w:rsidP="00081762">
      <w:pPr>
        <w:pStyle w:val="TableofAuthorities"/>
        <w:tabs>
          <w:tab w:val="right" w:leader="dot" w:pos="9350"/>
        </w:tabs>
        <w:spacing w:line="240" w:lineRule="auto"/>
        <w:rPr>
          <w:rFonts w:cs="Times New Roman"/>
          <w:i/>
          <w:iCs/>
          <w:noProof/>
          <w:color w:val="000000" w:themeColor="text1"/>
          <w:sz w:val="26"/>
          <w:szCs w:val="26"/>
        </w:rPr>
      </w:pPr>
      <w:r w:rsidRPr="00081762">
        <w:rPr>
          <w:rFonts w:cs="Times New Roman"/>
          <w:noProof/>
          <w:color w:val="000000" w:themeColor="text1"/>
          <w:sz w:val="26"/>
          <w:szCs w:val="26"/>
        </w:rPr>
        <w:tab/>
        <w:t>142 U.S. 547 (1892).</w:t>
      </w:r>
      <w:r w:rsidRPr="00081762">
        <w:rPr>
          <w:rFonts w:cs="Times New Roman"/>
          <w:noProof/>
          <w:color w:val="000000" w:themeColor="text1"/>
          <w:sz w:val="26"/>
          <w:szCs w:val="26"/>
        </w:rPr>
        <w:tab/>
      </w:r>
      <w:r>
        <w:rPr>
          <w:rFonts w:cs="Times New Roman"/>
          <w:noProof/>
          <w:color w:val="000000" w:themeColor="text1"/>
          <w:sz w:val="26"/>
          <w:szCs w:val="26"/>
        </w:rPr>
        <w:t>5</w:t>
      </w:r>
    </w:p>
    <w:p w14:paraId="1BA834C1" w14:textId="77777777" w:rsidR="00081762" w:rsidRPr="00081762" w:rsidRDefault="00081762" w:rsidP="00081762">
      <w:pPr>
        <w:pStyle w:val="TableofAuthorities"/>
        <w:tabs>
          <w:tab w:val="right" w:leader="dot" w:pos="9350"/>
        </w:tabs>
        <w:spacing w:line="240" w:lineRule="auto"/>
        <w:rPr>
          <w:rFonts w:cs="Times New Roman"/>
          <w:i/>
          <w:iCs/>
          <w:noProof/>
          <w:color w:val="000000" w:themeColor="text1"/>
          <w:sz w:val="26"/>
          <w:szCs w:val="26"/>
        </w:rPr>
      </w:pPr>
    </w:p>
    <w:p w14:paraId="22BAB4B4" w14:textId="12C0CF16" w:rsidR="00081762" w:rsidRPr="00081762" w:rsidRDefault="00081762" w:rsidP="00081762">
      <w:pPr>
        <w:pStyle w:val="TableofAuthorities"/>
        <w:tabs>
          <w:tab w:val="left" w:pos="3420"/>
          <w:tab w:val="right" w:leader="dot" w:pos="9350"/>
        </w:tabs>
        <w:spacing w:line="240" w:lineRule="auto"/>
        <w:rPr>
          <w:rFonts w:cs="Times New Roman"/>
          <w:noProof/>
          <w:color w:val="000000" w:themeColor="text1"/>
          <w:sz w:val="26"/>
          <w:szCs w:val="26"/>
        </w:rPr>
      </w:pPr>
      <w:r w:rsidRPr="00081762">
        <w:rPr>
          <w:rFonts w:cs="Times New Roman"/>
          <w:i/>
          <w:iCs/>
          <w:noProof/>
          <w:color w:val="000000" w:themeColor="text1"/>
          <w:sz w:val="26"/>
          <w:szCs w:val="26"/>
        </w:rPr>
        <w:t>Diversified Indus., Inc. v. Meredith</w:t>
      </w:r>
      <w:r w:rsidRPr="00081762">
        <w:rPr>
          <w:rFonts w:cs="Times New Roman"/>
          <w:noProof/>
          <w:color w:val="000000" w:themeColor="text1"/>
          <w:sz w:val="26"/>
          <w:szCs w:val="26"/>
        </w:rPr>
        <w:t xml:space="preserve">, </w:t>
      </w:r>
    </w:p>
    <w:p w14:paraId="6FB3112A" w14:textId="27D17FD2" w:rsidR="00081762" w:rsidRPr="00081762" w:rsidRDefault="00081762" w:rsidP="00081762">
      <w:pPr>
        <w:pStyle w:val="TableofAuthorities"/>
        <w:tabs>
          <w:tab w:val="right" w:leader="dot" w:pos="9350"/>
        </w:tabs>
        <w:spacing w:after="240" w:line="240" w:lineRule="auto"/>
        <w:ind w:left="360" w:hanging="360"/>
        <w:rPr>
          <w:rFonts w:cs="Times New Roman"/>
          <w:noProof/>
          <w:color w:val="000000" w:themeColor="text1"/>
          <w:sz w:val="26"/>
          <w:szCs w:val="26"/>
        </w:rPr>
      </w:pPr>
      <w:r w:rsidRPr="00081762">
        <w:rPr>
          <w:rFonts w:cs="Times New Roman"/>
          <w:noProof/>
          <w:color w:val="000000" w:themeColor="text1"/>
          <w:sz w:val="26"/>
          <w:szCs w:val="26"/>
        </w:rPr>
        <w:tab/>
        <w:t>572 F.2d 596 (8th Cir. 1977).</w:t>
      </w:r>
      <w:r w:rsidRPr="00081762">
        <w:rPr>
          <w:rFonts w:cs="Times New Roman"/>
          <w:noProof/>
          <w:color w:val="000000" w:themeColor="text1"/>
          <w:sz w:val="26"/>
          <w:szCs w:val="26"/>
        </w:rPr>
        <w:tab/>
      </w:r>
      <w:r>
        <w:rPr>
          <w:rFonts w:cs="Times New Roman"/>
          <w:noProof/>
          <w:color w:val="000000" w:themeColor="text1"/>
          <w:sz w:val="26"/>
          <w:szCs w:val="26"/>
        </w:rPr>
        <w:t>15</w:t>
      </w:r>
    </w:p>
    <w:p w14:paraId="3AC2F625" w14:textId="737CE63E" w:rsidR="00081762" w:rsidRPr="00081762" w:rsidRDefault="00081762" w:rsidP="00081762">
      <w:pPr>
        <w:pStyle w:val="TableofAuthorities"/>
        <w:tabs>
          <w:tab w:val="left" w:pos="3420"/>
          <w:tab w:val="right" w:leader="dot" w:pos="9350"/>
        </w:tabs>
        <w:spacing w:line="240" w:lineRule="auto"/>
        <w:rPr>
          <w:rFonts w:cs="Times New Roman"/>
          <w:noProof/>
          <w:color w:val="000000" w:themeColor="text1"/>
          <w:sz w:val="26"/>
          <w:szCs w:val="26"/>
        </w:rPr>
      </w:pPr>
      <w:r w:rsidRPr="00081762">
        <w:rPr>
          <w:rFonts w:cs="Times New Roman"/>
          <w:i/>
          <w:iCs/>
          <w:noProof/>
          <w:color w:val="000000" w:themeColor="text1"/>
          <w:sz w:val="26"/>
          <w:szCs w:val="26"/>
        </w:rPr>
        <w:t>Hickman v. Taylor</w:t>
      </w:r>
      <w:r w:rsidRPr="00081762">
        <w:rPr>
          <w:rFonts w:cs="Times New Roman"/>
          <w:noProof/>
          <w:color w:val="000000" w:themeColor="text1"/>
          <w:sz w:val="26"/>
          <w:szCs w:val="26"/>
        </w:rPr>
        <w:t xml:space="preserve">, </w:t>
      </w:r>
    </w:p>
    <w:p w14:paraId="6469CE71" w14:textId="3DA3E6A4" w:rsidR="00081762" w:rsidRPr="00081762" w:rsidRDefault="00081762" w:rsidP="00081762">
      <w:pPr>
        <w:pStyle w:val="TableofAuthorities"/>
        <w:tabs>
          <w:tab w:val="right" w:leader="dot" w:pos="9350"/>
        </w:tabs>
        <w:spacing w:after="240" w:line="240" w:lineRule="auto"/>
        <w:ind w:left="360" w:hanging="360"/>
        <w:rPr>
          <w:rFonts w:cs="Times New Roman"/>
          <w:noProof/>
          <w:color w:val="000000" w:themeColor="text1"/>
          <w:sz w:val="26"/>
          <w:szCs w:val="26"/>
        </w:rPr>
      </w:pPr>
      <w:r w:rsidRPr="00081762">
        <w:rPr>
          <w:rFonts w:cs="Times New Roman"/>
          <w:noProof/>
          <w:color w:val="000000" w:themeColor="text1"/>
          <w:sz w:val="26"/>
          <w:szCs w:val="26"/>
        </w:rPr>
        <w:tab/>
        <w:t>329 U.S. 425 (1947).</w:t>
      </w:r>
      <w:r w:rsidRPr="00081762">
        <w:rPr>
          <w:rFonts w:cs="Times New Roman"/>
          <w:noProof/>
          <w:color w:val="000000" w:themeColor="text1"/>
          <w:sz w:val="26"/>
          <w:szCs w:val="26"/>
        </w:rPr>
        <w:tab/>
      </w:r>
      <w:r>
        <w:rPr>
          <w:rFonts w:cs="Times New Roman"/>
          <w:noProof/>
          <w:color w:val="000000" w:themeColor="text1"/>
          <w:sz w:val="26"/>
          <w:szCs w:val="26"/>
        </w:rPr>
        <w:t>14</w:t>
      </w:r>
    </w:p>
    <w:p w14:paraId="003DE83C" w14:textId="7791266C" w:rsidR="00081762" w:rsidRPr="00081762" w:rsidRDefault="00081762" w:rsidP="00081762">
      <w:pPr>
        <w:pStyle w:val="TableofAuthorities"/>
        <w:tabs>
          <w:tab w:val="left" w:pos="3420"/>
          <w:tab w:val="right" w:leader="dot" w:pos="9350"/>
        </w:tabs>
        <w:spacing w:line="240" w:lineRule="auto"/>
        <w:rPr>
          <w:rFonts w:cs="Times New Roman"/>
          <w:noProof/>
          <w:color w:val="000000" w:themeColor="text1"/>
          <w:sz w:val="26"/>
          <w:szCs w:val="26"/>
        </w:rPr>
      </w:pPr>
      <w:r w:rsidRPr="00081762">
        <w:rPr>
          <w:rFonts w:cs="Times New Roman"/>
          <w:i/>
          <w:iCs/>
          <w:noProof/>
          <w:color w:val="000000" w:themeColor="text1"/>
          <w:sz w:val="26"/>
          <w:szCs w:val="26"/>
        </w:rPr>
        <w:t>In re Grand Jury Subpoena Dated July 6, 2005</w:t>
      </w:r>
      <w:r w:rsidRPr="00081762">
        <w:rPr>
          <w:rFonts w:cs="Times New Roman"/>
          <w:noProof/>
          <w:color w:val="000000" w:themeColor="text1"/>
          <w:sz w:val="26"/>
          <w:szCs w:val="26"/>
        </w:rPr>
        <w:t xml:space="preserve">, </w:t>
      </w:r>
    </w:p>
    <w:p w14:paraId="62030782" w14:textId="4800658B" w:rsidR="00081762" w:rsidRPr="00081762" w:rsidRDefault="00081762" w:rsidP="00081762">
      <w:pPr>
        <w:pStyle w:val="TableofAuthorities"/>
        <w:tabs>
          <w:tab w:val="right" w:leader="dot" w:pos="9350"/>
        </w:tabs>
        <w:spacing w:after="240" w:line="240" w:lineRule="auto"/>
        <w:ind w:left="360" w:hanging="360"/>
        <w:rPr>
          <w:rFonts w:cs="Times New Roman"/>
          <w:noProof/>
          <w:color w:val="000000" w:themeColor="text1"/>
          <w:sz w:val="26"/>
          <w:szCs w:val="26"/>
        </w:rPr>
      </w:pPr>
      <w:r w:rsidRPr="00081762">
        <w:rPr>
          <w:rFonts w:cs="Times New Roman"/>
          <w:noProof/>
          <w:color w:val="000000" w:themeColor="text1"/>
          <w:sz w:val="26"/>
          <w:szCs w:val="26"/>
        </w:rPr>
        <w:tab/>
        <w:t>510 F.3d 180 (2d Cir. 2007).</w:t>
      </w:r>
      <w:r w:rsidRPr="00081762">
        <w:rPr>
          <w:rFonts w:cs="Times New Roman"/>
          <w:noProof/>
          <w:color w:val="000000" w:themeColor="text1"/>
          <w:sz w:val="26"/>
          <w:szCs w:val="26"/>
        </w:rPr>
        <w:tab/>
      </w:r>
      <w:r>
        <w:rPr>
          <w:rFonts w:cs="Times New Roman"/>
          <w:noProof/>
          <w:color w:val="000000" w:themeColor="text1"/>
          <w:sz w:val="26"/>
          <w:szCs w:val="26"/>
        </w:rPr>
        <w:t>17</w:t>
      </w:r>
    </w:p>
    <w:p w14:paraId="349D6DE0" w14:textId="5F94F1FE" w:rsidR="00081762" w:rsidRPr="00081762" w:rsidRDefault="00081762" w:rsidP="00081762">
      <w:pPr>
        <w:pStyle w:val="TableofAuthorities"/>
        <w:tabs>
          <w:tab w:val="left" w:pos="3420"/>
          <w:tab w:val="right" w:leader="dot" w:pos="9350"/>
        </w:tabs>
        <w:spacing w:line="240" w:lineRule="auto"/>
        <w:rPr>
          <w:rFonts w:cs="Times New Roman"/>
          <w:noProof/>
          <w:color w:val="000000" w:themeColor="text1"/>
          <w:sz w:val="26"/>
          <w:szCs w:val="26"/>
        </w:rPr>
      </w:pPr>
      <w:r w:rsidRPr="00081762">
        <w:rPr>
          <w:rFonts w:cs="Times New Roman"/>
          <w:i/>
          <w:iCs/>
          <w:noProof/>
          <w:color w:val="000000" w:themeColor="text1"/>
          <w:sz w:val="26"/>
          <w:szCs w:val="26"/>
        </w:rPr>
        <w:t>In re Search Warrant Issued June 13, 2019</w:t>
      </w:r>
      <w:r w:rsidRPr="00081762">
        <w:rPr>
          <w:rFonts w:cs="Times New Roman"/>
          <w:noProof/>
          <w:color w:val="000000" w:themeColor="text1"/>
          <w:sz w:val="26"/>
          <w:szCs w:val="26"/>
        </w:rPr>
        <w:t xml:space="preserve">, </w:t>
      </w:r>
    </w:p>
    <w:p w14:paraId="168CF90D" w14:textId="46662304" w:rsidR="00081762" w:rsidRPr="00081762" w:rsidRDefault="00081762" w:rsidP="00081762">
      <w:pPr>
        <w:pStyle w:val="TableofAuthorities"/>
        <w:tabs>
          <w:tab w:val="right" w:leader="dot" w:pos="9350"/>
        </w:tabs>
        <w:spacing w:after="240" w:line="240" w:lineRule="auto"/>
        <w:ind w:left="360" w:hanging="360"/>
        <w:rPr>
          <w:rFonts w:cs="Times New Roman"/>
          <w:noProof/>
          <w:color w:val="000000" w:themeColor="text1"/>
          <w:sz w:val="26"/>
          <w:szCs w:val="26"/>
        </w:rPr>
      </w:pPr>
      <w:r w:rsidRPr="00081762">
        <w:rPr>
          <w:rFonts w:cs="Times New Roman"/>
          <w:noProof/>
          <w:color w:val="000000" w:themeColor="text1"/>
          <w:sz w:val="26"/>
          <w:szCs w:val="26"/>
        </w:rPr>
        <w:tab/>
        <w:t>942 F.3d 159 (4th Cir. 2019).</w:t>
      </w:r>
      <w:r w:rsidRPr="00081762">
        <w:rPr>
          <w:rFonts w:cs="Times New Roman"/>
          <w:noProof/>
          <w:color w:val="000000" w:themeColor="text1"/>
          <w:sz w:val="26"/>
          <w:szCs w:val="26"/>
        </w:rPr>
        <w:tab/>
      </w:r>
      <w:r>
        <w:rPr>
          <w:rFonts w:cs="Times New Roman"/>
          <w:noProof/>
          <w:color w:val="000000" w:themeColor="text1"/>
          <w:sz w:val="26"/>
          <w:szCs w:val="26"/>
        </w:rPr>
        <w:t>15</w:t>
      </w:r>
    </w:p>
    <w:p w14:paraId="5D1D63E2" w14:textId="616931CB" w:rsidR="00081762" w:rsidRPr="00081762" w:rsidRDefault="00081762" w:rsidP="00081762">
      <w:pPr>
        <w:pStyle w:val="TableofAuthorities"/>
        <w:tabs>
          <w:tab w:val="right" w:leader="dot" w:pos="9350"/>
        </w:tabs>
        <w:spacing w:line="240" w:lineRule="auto"/>
        <w:rPr>
          <w:rFonts w:cs="Times New Roman"/>
          <w:noProof/>
          <w:color w:val="000000" w:themeColor="text1"/>
          <w:sz w:val="26"/>
          <w:szCs w:val="26"/>
        </w:rPr>
      </w:pPr>
      <w:r w:rsidRPr="00081762">
        <w:rPr>
          <w:rFonts w:cs="Times New Roman"/>
          <w:i/>
          <w:iCs/>
          <w:noProof/>
          <w:color w:val="000000" w:themeColor="text1"/>
          <w:sz w:val="26"/>
          <w:szCs w:val="26"/>
        </w:rPr>
        <w:t>Kastigar v. United States</w:t>
      </w:r>
      <w:r w:rsidRPr="00081762">
        <w:rPr>
          <w:rFonts w:cs="Times New Roman"/>
          <w:noProof/>
          <w:color w:val="000000" w:themeColor="text1"/>
          <w:sz w:val="26"/>
          <w:szCs w:val="26"/>
        </w:rPr>
        <w:t xml:space="preserve">, </w:t>
      </w:r>
    </w:p>
    <w:p w14:paraId="38B59216" w14:textId="1A4D5D6C" w:rsidR="00081762" w:rsidRPr="00081762" w:rsidRDefault="00081762" w:rsidP="00081762">
      <w:pPr>
        <w:pStyle w:val="TableofAuthorities"/>
        <w:tabs>
          <w:tab w:val="right" w:leader="dot" w:pos="9350"/>
        </w:tabs>
        <w:spacing w:after="240" w:line="240" w:lineRule="auto"/>
        <w:ind w:left="360" w:hanging="360"/>
        <w:rPr>
          <w:rFonts w:cs="Times New Roman"/>
          <w:b/>
          <w:bCs/>
          <w:smallCaps/>
          <w:color w:val="000000" w:themeColor="text1"/>
          <w:sz w:val="26"/>
          <w:szCs w:val="26"/>
        </w:rPr>
      </w:pPr>
      <w:r w:rsidRPr="00081762">
        <w:rPr>
          <w:rFonts w:cs="Times New Roman"/>
          <w:noProof/>
          <w:color w:val="000000" w:themeColor="text1"/>
          <w:sz w:val="26"/>
          <w:szCs w:val="26"/>
        </w:rPr>
        <w:tab/>
        <w:t>406 U.S. 441 (1972).</w:t>
      </w:r>
      <w:r w:rsidRPr="00081762">
        <w:rPr>
          <w:rFonts w:cs="Times New Roman"/>
          <w:noProof/>
          <w:color w:val="000000" w:themeColor="text1"/>
          <w:sz w:val="26"/>
          <w:szCs w:val="26"/>
        </w:rPr>
        <w:tab/>
      </w:r>
      <w:r>
        <w:rPr>
          <w:rFonts w:cs="Times New Roman"/>
          <w:noProof/>
          <w:color w:val="000000" w:themeColor="text1"/>
          <w:sz w:val="26"/>
          <w:szCs w:val="26"/>
        </w:rPr>
        <w:t>4,5,6,</w:t>
      </w:r>
      <w:r w:rsidRPr="00081762">
        <w:rPr>
          <w:rFonts w:cs="Times New Roman"/>
          <w:noProof/>
          <w:color w:val="000000" w:themeColor="text1"/>
          <w:sz w:val="26"/>
          <w:szCs w:val="26"/>
        </w:rPr>
        <w:t>7</w:t>
      </w:r>
      <w:r w:rsidRPr="00081762">
        <w:rPr>
          <w:rFonts w:cs="Times New Roman"/>
          <w:b/>
          <w:bCs/>
          <w:smallCaps/>
          <w:color w:val="000000" w:themeColor="text1"/>
          <w:sz w:val="26"/>
          <w:szCs w:val="26"/>
        </w:rPr>
        <w:fldChar w:fldCharType="end"/>
      </w:r>
    </w:p>
    <w:p w14:paraId="158763C1" w14:textId="553F80D2" w:rsidR="00081762" w:rsidRPr="00081762" w:rsidRDefault="00081762" w:rsidP="00081762">
      <w:pPr>
        <w:pStyle w:val="TableofAuthorities"/>
        <w:tabs>
          <w:tab w:val="left" w:pos="3420"/>
          <w:tab w:val="right" w:leader="dot" w:pos="9350"/>
        </w:tabs>
        <w:spacing w:line="240" w:lineRule="auto"/>
        <w:rPr>
          <w:rFonts w:cs="Times New Roman"/>
          <w:noProof/>
          <w:color w:val="000000" w:themeColor="text1"/>
          <w:sz w:val="26"/>
          <w:szCs w:val="26"/>
        </w:rPr>
      </w:pPr>
      <w:r w:rsidRPr="00081762">
        <w:rPr>
          <w:rFonts w:cs="Times New Roman"/>
          <w:i/>
          <w:iCs/>
          <w:noProof/>
          <w:color w:val="000000" w:themeColor="text1"/>
          <w:sz w:val="26"/>
          <w:szCs w:val="26"/>
        </w:rPr>
        <w:t>Nevada v. J-M Mfg. Co. Inc.</w:t>
      </w:r>
      <w:r w:rsidRPr="00081762">
        <w:rPr>
          <w:rFonts w:cs="Times New Roman"/>
          <w:noProof/>
          <w:color w:val="000000" w:themeColor="text1"/>
          <w:sz w:val="26"/>
          <w:szCs w:val="26"/>
        </w:rPr>
        <w:t xml:space="preserve">, </w:t>
      </w:r>
    </w:p>
    <w:p w14:paraId="060A9FF5" w14:textId="0ECAD9BA" w:rsidR="00081762" w:rsidRPr="00081762" w:rsidRDefault="00081762" w:rsidP="00081762">
      <w:pPr>
        <w:pStyle w:val="TableofAuthorities"/>
        <w:tabs>
          <w:tab w:val="right" w:leader="dot" w:pos="9350"/>
        </w:tabs>
        <w:spacing w:after="240" w:line="240" w:lineRule="auto"/>
        <w:ind w:left="360" w:hanging="360"/>
        <w:rPr>
          <w:rFonts w:cs="Times New Roman"/>
          <w:noProof/>
          <w:color w:val="000000" w:themeColor="text1"/>
          <w:sz w:val="26"/>
          <w:szCs w:val="26"/>
        </w:rPr>
      </w:pPr>
      <w:r w:rsidRPr="00081762">
        <w:rPr>
          <w:rFonts w:cs="Times New Roman"/>
          <w:noProof/>
          <w:color w:val="000000" w:themeColor="text1"/>
          <w:sz w:val="26"/>
          <w:szCs w:val="26"/>
        </w:rPr>
        <w:tab/>
        <w:t>555 Fed. App'x 782 (10th Cir. 2014).</w:t>
      </w:r>
      <w:r w:rsidRPr="00081762">
        <w:rPr>
          <w:rFonts w:cs="Times New Roman"/>
          <w:noProof/>
          <w:color w:val="000000" w:themeColor="text1"/>
          <w:sz w:val="26"/>
          <w:szCs w:val="26"/>
        </w:rPr>
        <w:tab/>
      </w:r>
      <w:r>
        <w:rPr>
          <w:rFonts w:cs="Times New Roman"/>
          <w:noProof/>
          <w:color w:val="000000" w:themeColor="text1"/>
          <w:sz w:val="26"/>
          <w:szCs w:val="26"/>
        </w:rPr>
        <w:t>17</w:t>
      </w:r>
    </w:p>
    <w:p w14:paraId="2B027C4B" w14:textId="04A66AD2" w:rsidR="00081762" w:rsidRPr="00081762" w:rsidRDefault="00081762" w:rsidP="00081762">
      <w:pPr>
        <w:pStyle w:val="TableofAuthorities"/>
        <w:tabs>
          <w:tab w:val="left" w:pos="3420"/>
          <w:tab w:val="right" w:leader="dot" w:pos="9350"/>
        </w:tabs>
        <w:spacing w:line="240" w:lineRule="auto"/>
        <w:rPr>
          <w:rFonts w:cs="Times New Roman"/>
          <w:noProof/>
          <w:color w:val="000000" w:themeColor="text1"/>
          <w:sz w:val="26"/>
          <w:szCs w:val="26"/>
        </w:rPr>
      </w:pPr>
      <w:r w:rsidRPr="00081762">
        <w:rPr>
          <w:rFonts w:cs="Times New Roman"/>
          <w:i/>
          <w:iCs/>
          <w:noProof/>
          <w:color w:val="000000" w:themeColor="text1"/>
          <w:sz w:val="26"/>
          <w:szCs w:val="26"/>
        </w:rPr>
        <w:t>United States v. Bergeson</w:t>
      </w:r>
      <w:r w:rsidRPr="00081762">
        <w:rPr>
          <w:rFonts w:cs="Times New Roman"/>
          <w:noProof/>
          <w:color w:val="000000" w:themeColor="text1"/>
          <w:sz w:val="26"/>
          <w:szCs w:val="26"/>
        </w:rPr>
        <w:t xml:space="preserve">, </w:t>
      </w:r>
    </w:p>
    <w:p w14:paraId="1967220A" w14:textId="0E0CB635" w:rsidR="00081762" w:rsidRPr="00081762" w:rsidRDefault="00081762" w:rsidP="00081762">
      <w:pPr>
        <w:pStyle w:val="TableofAuthorities"/>
        <w:tabs>
          <w:tab w:val="right" w:leader="dot" w:pos="9350"/>
        </w:tabs>
        <w:spacing w:after="240" w:line="240" w:lineRule="auto"/>
        <w:ind w:left="360" w:hanging="360"/>
        <w:rPr>
          <w:rFonts w:cs="Times New Roman"/>
          <w:noProof/>
          <w:color w:val="000000" w:themeColor="text1"/>
          <w:sz w:val="26"/>
          <w:szCs w:val="26"/>
        </w:rPr>
      </w:pPr>
      <w:r w:rsidRPr="00081762">
        <w:rPr>
          <w:rFonts w:cs="Times New Roman"/>
          <w:noProof/>
          <w:color w:val="000000" w:themeColor="text1"/>
          <w:sz w:val="26"/>
          <w:szCs w:val="26"/>
        </w:rPr>
        <w:tab/>
        <w:t>425 F.3d 1221 (9th Cir. 2005).</w:t>
      </w:r>
      <w:r w:rsidRPr="00081762">
        <w:rPr>
          <w:rFonts w:cs="Times New Roman"/>
          <w:noProof/>
          <w:color w:val="000000" w:themeColor="text1"/>
          <w:sz w:val="26"/>
          <w:szCs w:val="26"/>
        </w:rPr>
        <w:tab/>
      </w:r>
      <w:r>
        <w:rPr>
          <w:rFonts w:cs="Times New Roman"/>
          <w:noProof/>
          <w:color w:val="000000" w:themeColor="text1"/>
          <w:sz w:val="26"/>
          <w:szCs w:val="26"/>
        </w:rPr>
        <w:t>13</w:t>
      </w:r>
    </w:p>
    <w:p w14:paraId="06E11A2A" w14:textId="6FD269AC" w:rsidR="00081762" w:rsidRPr="00081762" w:rsidRDefault="00081762" w:rsidP="00081762">
      <w:pPr>
        <w:pStyle w:val="TableofAuthorities"/>
        <w:tabs>
          <w:tab w:val="left" w:pos="3420"/>
          <w:tab w:val="right" w:leader="dot" w:pos="9350"/>
        </w:tabs>
        <w:spacing w:line="240" w:lineRule="auto"/>
        <w:rPr>
          <w:rFonts w:cs="Times New Roman"/>
          <w:noProof/>
          <w:color w:val="000000" w:themeColor="text1"/>
          <w:sz w:val="26"/>
          <w:szCs w:val="26"/>
        </w:rPr>
      </w:pPr>
      <w:r w:rsidRPr="00081762">
        <w:rPr>
          <w:rFonts w:cs="Times New Roman"/>
          <w:i/>
          <w:iCs/>
          <w:noProof/>
          <w:color w:val="000000" w:themeColor="text1"/>
          <w:sz w:val="26"/>
          <w:szCs w:val="26"/>
        </w:rPr>
        <w:t>United States v. Cantu</w:t>
      </w:r>
      <w:r w:rsidRPr="00081762">
        <w:rPr>
          <w:rFonts w:cs="Times New Roman"/>
          <w:noProof/>
          <w:color w:val="000000" w:themeColor="text1"/>
          <w:sz w:val="26"/>
          <w:szCs w:val="26"/>
        </w:rPr>
        <w:t xml:space="preserve">, </w:t>
      </w:r>
    </w:p>
    <w:p w14:paraId="04B55F6E" w14:textId="38BF6F31" w:rsidR="00081762" w:rsidRPr="00081762" w:rsidRDefault="00081762" w:rsidP="00081762">
      <w:pPr>
        <w:pStyle w:val="TableofAuthorities"/>
        <w:tabs>
          <w:tab w:val="right" w:leader="dot" w:pos="9350"/>
        </w:tabs>
        <w:spacing w:after="240" w:line="240" w:lineRule="auto"/>
        <w:ind w:left="360" w:hanging="360"/>
        <w:rPr>
          <w:rFonts w:cs="Times New Roman"/>
          <w:noProof/>
          <w:color w:val="000000" w:themeColor="text1"/>
          <w:sz w:val="26"/>
          <w:szCs w:val="26"/>
        </w:rPr>
      </w:pPr>
      <w:r w:rsidRPr="00081762">
        <w:rPr>
          <w:rFonts w:cs="Times New Roman"/>
          <w:noProof/>
          <w:color w:val="000000" w:themeColor="text1"/>
          <w:sz w:val="26"/>
          <w:szCs w:val="26"/>
        </w:rPr>
        <w:tab/>
        <w:t>185 F.3d 298 (5th Cir. 1999).</w:t>
      </w:r>
      <w:r w:rsidRPr="00081762">
        <w:rPr>
          <w:rFonts w:cs="Times New Roman"/>
          <w:noProof/>
          <w:color w:val="000000" w:themeColor="text1"/>
          <w:sz w:val="26"/>
          <w:szCs w:val="26"/>
        </w:rPr>
        <w:tab/>
      </w:r>
      <w:r>
        <w:rPr>
          <w:rFonts w:cs="Times New Roman"/>
          <w:noProof/>
          <w:color w:val="000000" w:themeColor="text1"/>
          <w:sz w:val="26"/>
          <w:szCs w:val="26"/>
        </w:rPr>
        <w:t>11</w:t>
      </w:r>
    </w:p>
    <w:p w14:paraId="286D823D" w14:textId="02005E0B" w:rsidR="00081762" w:rsidRPr="00081762" w:rsidRDefault="00081762" w:rsidP="00081762">
      <w:pPr>
        <w:pStyle w:val="TableofAuthorities"/>
        <w:tabs>
          <w:tab w:val="left" w:pos="3420"/>
          <w:tab w:val="right" w:leader="dot" w:pos="9350"/>
        </w:tabs>
        <w:spacing w:line="240" w:lineRule="auto"/>
        <w:rPr>
          <w:rFonts w:cs="Times New Roman"/>
          <w:noProof/>
          <w:color w:val="000000" w:themeColor="text1"/>
          <w:sz w:val="26"/>
          <w:szCs w:val="26"/>
        </w:rPr>
      </w:pPr>
      <w:r w:rsidRPr="00081762">
        <w:rPr>
          <w:rFonts w:cs="Times New Roman"/>
          <w:i/>
          <w:iCs/>
          <w:noProof/>
          <w:color w:val="000000" w:themeColor="text1"/>
          <w:sz w:val="26"/>
          <w:szCs w:val="26"/>
        </w:rPr>
        <w:t>United States v. DNRB,Inc.</w:t>
      </w:r>
      <w:r w:rsidRPr="00081762">
        <w:rPr>
          <w:rFonts w:cs="Times New Roman"/>
          <w:noProof/>
          <w:color w:val="000000" w:themeColor="text1"/>
          <w:sz w:val="26"/>
          <w:szCs w:val="26"/>
        </w:rPr>
        <w:t xml:space="preserve">, </w:t>
      </w:r>
    </w:p>
    <w:p w14:paraId="0C2A28CB" w14:textId="198BC103" w:rsidR="00081762" w:rsidRPr="00081762" w:rsidRDefault="00081762" w:rsidP="00081762">
      <w:pPr>
        <w:pStyle w:val="TableofAuthorities"/>
        <w:tabs>
          <w:tab w:val="right" w:leader="dot" w:pos="9350"/>
        </w:tabs>
        <w:spacing w:after="240" w:line="240" w:lineRule="auto"/>
        <w:ind w:left="360" w:hanging="360"/>
        <w:rPr>
          <w:rFonts w:cs="Times New Roman"/>
          <w:noProof/>
          <w:color w:val="000000" w:themeColor="text1"/>
          <w:sz w:val="26"/>
          <w:szCs w:val="26"/>
        </w:rPr>
      </w:pPr>
      <w:r w:rsidRPr="00081762">
        <w:rPr>
          <w:rFonts w:cs="Times New Roman"/>
          <w:noProof/>
          <w:color w:val="000000" w:themeColor="text1"/>
          <w:sz w:val="26"/>
          <w:szCs w:val="26"/>
        </w:rPr>
        <w:tab/>
        <w:t>257 F. Supp. 3d 1033 (W.D. Mo. 2017).</w:t>
      </w:r>
      <w:r w:rsidRPr="00081762">
        <w:rPr>
          <w:rFonts w:cs="Times New Roman"/>
          <w:noProof/>
          <w:color w:val="000000" w:themeColor="text1"/>
          <w:sz w:val="26"/>
          <w:szCs w:val="26"/>
        </w:rPr>
        <w:tab/>
      </w:r>
      <w:r>
        <w:rPr>
          <w:rFonts w:cs="Times New Roman"/>
          <w:noProof/>
          <w:color w:val="000000" w:themeColor="text1"/>
          <w:sz w:val="26"/>
          <w:szCs w:val="26"/>
        </w:rPr>
        <w:t>13</w:t>
      </w:r>
    </w:p>
    <w:p w14:paraId="298222B7" w14:textId="5C22A8E0" w:rsidR="000E2E84" w:rsidRPr="00081762" w:rsidRDefault="000E2E84" w:rsidP="000E2E84">
      <w:pPr>
        <w:pStyle w:val="TableofAuthorities"/>
        <w:tabs>
          <w:tab w:val="left" w:pos="3420"/>
          <w:tab w:val="right" w:leader="dot" w:pos="9350"/>
        </w:tabs>
        <w:spacing w:line="240" w:lineRule="auto"/>
        <w:rPr>
          <w:rFonts w:cs="Times New Roman"/>
          <w:noProof/>
          <w:color w:val="000000" w:themeColor="text1"/>
          <w:sz w:val="26"/>
          <w:szCs w:val="26"/>
        </w:rPr>
      </w:pPr>
      <w:r w:rsidRPr="00081762">
        <w:rPr>
          <w:rFonts w:cs="Times New Roman"/>
          <w:i/>
          <w:iCs/>
          <w:noProof/>
          <w:color w:val="000000" w:themeColor="text1"/>
          <w:sz w:val="26"/>
          <w:szCs w:val="26"/>
        </w:rPr>
        <w:t xml:space="preserve">United States v. </w:t>
      </w:r>
      <w:r w:rsidR="00081762" w:rsidRPr="00081762">
        <w:rPr>
          <w:rFonts w:cs="Times New Roman"/>
          <w:i/>
          <w:iCs/>
          <w:noProof/>
          <w:color w:val="000000" w:themeColor="text1"/>
          <w:sz w:val="26"/>
          <w:szCs w:val="26"/>
        </w:rPr>
        <w:t>Eckhart</w:t>
      </w:r>
      <w:r w:rsidRPr="00081762">
        <w:rPr>
          <w:rFonts w:cs="Times New Roman"/>
          <w:noProof/>
          <w:color w:val="000000" w:themeColor="text1"/>
          <w:sz w:val="26"/>
          <w:szCs w:val="26"/>
        </w:rPr>
        <w:t xml:space="preserve">, </w:t>
      </w:r>
    </w:p>
    <w:p w14:paraId="79A8C8FA" w14:textId="21B01637" w:rsidR="00081762" w:rsidRPr="00081762" w:rsidRDefault="000E2E84" w:rsidP="00081762">
      <w:pPr>
        <w:pStyle w:val="TableofAuthorities"/>
        <w:tabs>
          <w:tab w:val="right" w:leader="dot" w:pos="9350"/>
        </w:tabs>
        <w:spacing w:after="240" w:line="240" w:lineRule="auto"/>
        <w:ind w:left="360" w:hanging="360"/>
        <w:rPr>
          <w:rFonts w:cs="Times New Roman"/>
          <w:noProof/>
          <w:color w:val="000000" w:themeColor="text1"/>
          <w:sz w:val="26"/>
          <w:szCs w:val="26"/>
        </w:rPr>
      </w:pPr>
      <w:r w:rsidRPr="00081762">
        <w:rPr>
          <w:rFonts w:cs="Times New Roman"/>
          <w:noProof/>
          <w:color w:val="000000" w:themeColor="text1"/>
          <w:sz w:val="26"/>
          <w:szCs w:val="26"/>
        </w:rPr>
        <w:tab/>
      </w:r>
      <w:r w:rsidR="00081762" w:rsidRPr="00081762">
        <w:rPr>
          <w:rFonts w:cs="Times New Roman"/>
          <w:noProof/>
          <w:color w:val="000000" w:themeColor="text1"/>
          <w:sz w:val="26"/>
          <w:szCs w:val="26"/>
        </w:rPr>
        <w:t>569</w:t>
      </w:r>
      <w:r w:rsidRPr="00081762">
        <w:rPr>
          <w:rFonts w:cs="Times New Roman"/>
          <w:noProof/>
          <w:color w:val="000000" w:themeColor="text1"/>
          <w:sz w:val="26"/>
          <w:szCs w:val="26"/>
        </w:rPr>
        <w:t xml:space="preserve"> </w:t>
      </w:r>
      <w:r w:rsidR="00081762" w:rsidRPr="00081762">
        <w:rPr>
          <w:rFonts w:cs="Times New Roman"/>
          <w:noProof/>
          <w:color w:val="000000" w:themeColor="text1"/>
          <w:sz w:val="26"/>
          <w:szCs w:val="26"/>
        </w:rPr>
        <w:t>F.3d 1263</w:t>
      </w:r>
      <w:r w:rsidRPr="00081762">
        <w:rPr>
          <w:rFonts w:cs="Times New Roman"/>
          <w:noProof/>
          <w:color w:val="000000" w:themeColor="text1"/>
          <w:sz w:val="26"/>
          <w:szCs w:val="26"/>
        </w:rPr>
        <w:t xml:space="preserve"> (</w:t>
      </w:r>
      <w:r w:rsidR="00081762" w:rsidRPr="00081762">
        <w:rPr>
          <w:rFonts w:cs="Times New Roman"/>
          <w:noProof/>
          <w:color w:val="000000" w:themeColor="text1"/>
          <w:sz w:val="26"/>
          <w:szCs w:val="26"/>
        </w:rPr>
        <w:t>10th Cir. 2009</w:t>
      </w:r>
      <w:r w:rsidRPr="00081762">
        <w:rPr>
          <w:rFonts w:cs="Times New Roman"/>
          <w:noProof/>
          <w:color w:val="000000" w:themeColor="text1"/>
          <w:sz w:val="26"/>
          <w:szCs w:val="26"/>
        </w:rPr>
        <w:t>).</w:t>
      </w:r>
      <w:r w:rsidRPr="00081762">
        <w:rPr>
          <w:rFonts w:cs="Times New Roman"/>
          <w:noProof/>
          <w:color w:val="000000" w:themeColor="text1"/>
          <w:sz w:val="26"/>
          <w:szCs w:val="26"/>
        </w:rPr>
        <w:tab/>
      </w:r>
      <w:r w:rsidR="00081762">
        <w:rPr>
          <w:rFonts w:cs="Times New Roman"/>
          <w:noProof/>
          <w:color w:val="000000" w:themeColor="text1"/>
          <w:sz w:val="26"/>
          <w:szCs w:val="26"/>
        </w:rPr>
        <w:t>5</w:t>
      </w:r>
    </w:p>
    <w:p w14:paraId="76BD024F" w14:textId="156246D8" w:rsidR="00081762" w:rsidRPr="00081762" w:rsidRDefault="00081762" w:rsidP="00081762">
      <w:pPr>
        <w:pStyle w:val="TableofAuthorities"/>
        <w:tabs>
          <w:tab w:val="left" w:pos="3420"/>
          <w:tab w:val="right" w:leader="dot" w:pos="9350"/>
        </w:tabs>
        <w:spacing w:line="240" w:lineRule="auto"/>
        <w:rPr>
          <w:rFonts w:cs="Times New Roman"/>
          <w:noProof/>
          <w:color w:val="000000" w:themeColor="text1"/>
          <w:sz w:val="26"/>
          <w:szCs w:val="26"/>
        </w:rPr>
      </w:pPr>
      <w:r w:rsidRPr="00081762">
        <w:rPr>
          <w:rFonts w:cs="Times New Roman"/>
          <w:i/>
          <w:iCs/>
          <w:noProof/>
          <w:color w:val="000000" w:themeColor="text1"/>
          <w:sz w:val="26"/>
          <w:szCs w:val="26"/>
        </w:rPr>
        <w:lastRenderedPageBreak/>
        <w:t>United States v. Harris</w:t>
      </w:r>
      <w:r w:rsidRPr="00081762">
        <w:rPr>
          <w:rFonts w:cs="Times New Roman"/>
          <w:noProof/>
          <w:color w:val="000000" w:themeColor="text1"/>
          <w:sz w:val="26"/>
          <w:szCs w:val="26"/>
        </w:rPr>
        <w:t xml:space="preserve">, </w:t>
      </w:r>
    </w:p>
    <w:p w14:paraId="4C0E8E6E" w14:textId="38B2BE41" w:rsidR="00081762" w:rsidRPr="00081762" w:rsidRDefault="00081762" w:rsidP="00081762">
      <w:pPr>
        <w:pStyle w:val="TableofAuthorities"/>
        <w:tabs>
          <w:tab w:val="right" w:leader="dot" w:pos="9350"/>
        </w:tabs>
        <w:spacing w:after="240" w:line="240" w:lineRule="auto"/>
        <w:ind w:left="360" w:hanging="360"/>
        <w:rPr>
          <w:rFonts w:cs="Times New Roman"/>
          <w:noProof/>
          <w:color w:val="000000" w:themeColor="text1"/>
          <w:sz w:val="26"/>
          <w:szCs w:val="26"/>
        </w:rPr>
      </w:pPr>
      <w:r w:rsidRPr="00081762">
        <w:rPr>
          <w:rFonts w:cs="Times New Roman"/>
          <w:noProof/>
          <w:color w:val="000000" w:themeColor="text1"/>
          <w:sz w:val="26"/>
          <w:szCs w:val="26"/>
        </w:rPr>
        <w:tab/>
        <w:t>973 F.2d 333 (4th Cir. 1992).</w:t>
      </w:r>
      <w:r w:rsidRPr="00081762">
        <w:rPr>
          <w:rFonts w:cs="Times New Roman"/>
          <w:noProof/>
          <w:color w:val="000000" w:themeColor="text1"/>
          <w:sz w:val="26"/>
          <w:szCs w:val="26"/>
        </w:rPr>
        <w:tab/>
        <w:t>9</w:t>
      </w:r>
      <w:r>
        <w:rPr>
          <w:rFonts w:cs="Times New Roman"/>
          <w:noProof/>
          <w:color w:val="000000" w:themeColor="text1"/>
          <w:sz w:val="26"/>
          <w:szCs w:val="26"/>
        </w:rPr>
        <w:t>,10</w:t>
      </w:r>
    </w:p>
    <w:p w14:paraId="309CF02B" w14:textId="21066EF7" w:rsidR="00081762" w:rsidRPr="00081762" w:rsidRDefault="00081762" w:rsidP="00081762">
      <w:pPr>
        <w:pStyle w:val="TableofAuthorities"/>
        <w:tabs>
          <w:tab w:val="left" w:pos="3420"/>
          <w:tab w:val="right" w:leader="dot" w:pos="9350"/>
        </w:tabs>
        <w:spacing w:line="240" w:lineRule="auto"/>
        <w:rPr>
          <w:rFonts w:cs="Times New Roman"/>
          <w:noProof/>
          <w:color w:val="000000" w:themeColor="text1"/>
          <w:sz w:val="26"/>
          <w:szCs w:val="26"/>
        </w:rPr>
      </w:pPr>
      <w:r w:rsidRPr="00081762">
        <w:rPr>
          <w:rFonts w:cs="Times New Roman"/>
          <w:i/>
          <w:iCs/>
          <w:noProof/>
          <w:color w:val="000000" w:themeColor="text1"/>
          <w:sz w:val="26"/>
          <w:szCs w:val="26"/>
        </w:rPr>
        <w:t>United States v. Mapelli</w:t>
      </w:r>
      <w:r w:rsidRPr="00081762">
        <w:rPr>
          <w:rFonts w:cs="Times New Roman"/>
          <w:noProof/>
          <w:color w:val="000000" w:themeColor="text1"/>
          <w:sz w:val="26"/>
          <w:szCs w:val="26"/>
        </w:rPr>
        <w:t xml:space="preserve">, </w:t>
      </w:r>
    </w:p>
    <w:p w14:paraId="53033B40" w14:textId="21DC2111" w:rsidR="00C2138D" w:rsidRPr="00081762" w:rsidRDefault="00081762" w:rsidP="00081762">
      <w:pPr>
        <w:pStyle w:val="TableofAuthorities"/>
        <w:tabs>
          <w:tab w:val="right" w:leader="dot" w:pos="9350"/>
        </w:tabs>
        <w:spacing w:after="240" w:line="240" w:lineRule="auto"/>
        <w:ind w:left="360" w:hanging="360"/>
        <w:rPr>
          <w:rFonts w:cs="Times New Roman"/>
          <w:noProof/>
          <w:color w:val="000000" w:themeColor="text1"/>
          <w:sz w:val="26"/>
          <w:szCs w:val="26"/>
        </w:rPr>
      </w:pPr>
      <w:r w:rsidRPr="00081762">
        <w:rPr>
          <w:rFonts w:cs="Times New Roman"/>
          <w:noProof/>
          <w:color w:val="000000" w:themeColor="text1"/>
          <w:sz w:val="26"/>
          <w:szCs w:val="26"/>
        </w:rPr>
        <w:tab/>
        <w:t>971 F.3d 1263 (10th Cir. 2009).</w:t>
      </w:r>
      <w:r w:rsidRPr="00081762">
        <w:rPr>
          <w:rFonts w:cs="Times New Roman"/>
          <w:noProof/>
          <w:color w:val="000000" w:themeColor="text1"/>
          <w:sz w:val="26"/>
          <w:szCs w:val="26"/>
        </w:rPr>
        <w:tab/>
      </w:r>
      <w:r>
        <w:rPr>
          <w:rFonts w:cs="Times New Roman"/>
          <w:noProof/>
          <w:color w:val="000000" w:themeColor="text1"/>
          <w:sz w:val="26"/>
          <w:szCs w:val="26"/>
        </w:rPr>
        <w:t>7</w:t>
      </w:r>
    </w:p>
    <w:p w14:paraId="55F0B6A0" w14:textId="6778B4C6" w:rsidR="00081762" w:rsidRPr="00081762" w:rsidRDefault="00081762" w:rsidP="00081762">
      <w:pPr>
        <w:pStyle w:val="TableofAuthorities"/>
        <w:tabs>
          <w:tab w:val="left" w:pos="3420"/>
          <w:tab w:val="right" w:leader="dot" w:pos="9350"/>
        </w:tabs>
        <w:spacing w:line="240" w:lineRule="auto"/>
        <w:rPr>
          <w:rFonts w:cs="Times New Roman"/>
          <w:noProof/>
          <w:color w:val="000000" w:themeColor="text1"/>
          <w:sz w:val="26"/>
          <w:szCs w:val="26"/>
        </w:rPr>
      </w:pPr>
      <w:r w:rsidRPr="00081762">
        <w:rPr>
          <w:rFonts w:cs="Times New Roman"/>
          <w:i/>
          <w:iCs/>
          <w:noProof/>
          <w:color w:val="000000" w:themeColor="text1"/>
          <w:sz w:val="26"/>
          <w:szCs w:val="26"/>
        </w:rPr>
        <w:t>United States v. Montoya</w:t>
      </w:r>
      <w:r w:rsidRPr="00081762">
        <w:rPr>
          <w:rFonts w:cs="Times New Roman"/>
          <w:noProof/>
          <w:color w:val="000000" w:themeColor="text1"/>
          <w:sz w:val="26"/>
          <w:szCs w:val="26"/>
        </w:rPr>
        <w:t xml:space="preserve">, </w:t>
      </w:r>
    </w:p>
    <w:p w14:paraId="0E9B0DC4" w14:textId="2CD6844A" w:rsidR="00081762" w:rsidRPr="00081762" w:rsidRDefault="00081762" w:rsidP="00081762">
      <w:pPr>
        <w:pStyle w:val="TableofAuthorities"/>
        <w:tabs>
          <w:tab w:val="right" w:leader="dot" w:pos="9350"/>
        </w:tabs>
        <w:spacing w:after="240" w:line="240" w:lineRule="auto"/>
        <w:ind w:left="360" w:hanging="360"/>
        <w:rPr>
          <w:rFonts w:cs="Times New Roman"/>
          <w:noProof/>
          <w:color w:val="000000" w:themeColor="text1"/>
          <w:sz w:val="26"/>
          <w:szCs w:val="26"/>
        </w:rPr>
      </w:pPr>
      <w:r w:rsidRPr="00081762">
        <w:rPr>
          <w:rFonts w:cs="Times New Roman"/>
          <w:noProof/>
          <w:color w:val="000000" w:themeColor="text1"/>
          <w:sz w:val="26"/>
          <w:szCs w:val="26"/>
        </w:rPr>
        <w:tab/>
        <w:t>45 F.3d 1286 (9th Cir. 1995).</w:t>
      </w:r>
      <w:r w:rsidRPr="00081762">
        <w:rPr>
          <w:rFonts w:cs="Times New Roman"/>
          <w:noProof/>
          <w:color w:val="000000" w:themeColor="text1"/>
          <w:sz w:val="26"/>
          <w:szCs w:val="26"/>
        </w:rPr>
        <w:tab/>
      </w:r>
      <w:r>
        <w:rPr>
          <w:rFonts w:cs="Times New Roman"/>
          <w:noProof/>
          <w:color w:val="000000" w:themeColor="text1"/>
          <w:sz w:val="26"/>
          <w:szCs w:val="26"/>
        </w:rPr>
        <w:t>7</w:t>
      </w:r>
    </w:p>
    <w:p w14:paraId="20CA2CDA" w14:textId="1053B7C0" w:rsidR="00081762" w:rsidRPr="00081762" w:rsidRDefault="00081762" w:rsidP="00081762">
      <w:pPr>
        <w:pStyle w:val="TableofAuthorities"/>
        <w:tabs>
          <w:tab w:val="left" w:pos="3420"/>
          <w:tab w:val="right" w:leader="dot" w:pos="9350"/>
        </w:tabs>
        <w:spacing w:line="240" w:lineRule="auto"/>
        <w:rPr>
          <w:rFonts w:cs="Times New Roman"/>
          <w:noProof/>
          <w:color w:val="000000" w:themeColor="text1"/>
          <w:sz w:val="26"/>
          <w:szCs w:val="26"/>
        </w:rPr>
      </w:pPr>
      <w:r w:rsidRPr="00081762">
        <w:rPr>
          <w:rFonts w:cs="Times New Roman"/>
          <w:i/>
          <w:iCs/>
          <w:noProof/>
          <w:color w:val="000000" w:themeColor="text1"/>
          <w:sz w:val="26"/>
          <w:szCs w:val="26"/>
        </w:rPr>
        <w:t>United States v. Nanni</w:t>
      </w:r>
      <w:r w:rsidRPr="00081762">
        <w:rPr>
          <w:rFonts w:cs="Times New Roman"/>
          <w:noProof/>
          <w:color w:val="000000" w:themeColor="text1"/>
          <w:sz w:val="26"/>
          <w:szCs w:val="26"/>
        </w:rPr>
        <w:t xml:space="preserve">, </w:t>
      </w:r>
    </w:p>
    <w:p w14:paraId="07276D42" w14:textId="0B7CD703" w:rsidR="00081762" w:rsidRPr="00081762" w:rsidRDefault="00081762" w:rsidP="00081762">
      <w:pPr>
        <w:pStyle w:val="TableofAuthorities"/>
        <w:tabs>
          <w:tab w:val="right" w:leader="dot" w:pos="9350"/>
        </w:tabs>
        <w:spacing w:after="240" w:line="240" w:lineRule="auto"/>
        <w:ind w:left="360" w:hanging="360"/>
        <w:rPr>
          <w:rFonts w:cs="Times New Roman"/>
          <w:noProof/>
          <w:color w:val="000000" w:themeColor="text1"/>
          <w:sz w:val="26"/>
          <w:szCs w:val="26"/>
        </w:rPr>
      </w:pPr>
      <w:r w:rsidRPr="00081762">
        <w:rPr>
          <w:rFonts w:cs="Times New Roman"/>
          <w:noProof/>
          <w:color w:val="000000" w:themeColor="text1"/>
          <w:sz w:val="26"/>
          <w:szCs w:val="26"/>
        </w:rPr>
        <w:tab/>
        <w:t>59 F.3d 1425 (2d Cir. 1995).</w:t>
      </w:r>
      <w:r w:rsidRPr="00081762">
        <w:rPr>
          <w:rFonts w:cs="Times New Roman"/>
          <w:noProof/>
          <w:color w:val="000000" w:themeColor="text1"/>
          <w:sz w:val="26"/>
          <w:szCs w:val="26"/>
        </w:rPr>
        <w:tab/>
      </w:r>
      <w:r>
        <w:rPr>
          <w:rFonts w:cs="Times New Roman"/>
          <w:noProof/>
          <w:color w:val="000000" w:themeColor="text1"/>
          <w:sz w:val="26"/>
          <w:szCs w:val="26"/>
        </w:rPr>
        <w:t>8</w:t>
      </w:r>
    </w:p>
    <w:p w14:paraId="78FB246D" w14:textId="06338AE8" w:rsidR="00081762" w:rsidRPr="00081762" w:rsidRDefault="00081762" w:rsidP="00081762">
      <w:pPr>
        <w:pStyle w:val="TableofAuthorities"/>
        <w:tabs>
          <w:tab w:val="left" w:pos="3420"/>
          <w:tab w:val="right" w:leader="dot" w:pos="9350"/>
        </w:tabs>
        <w:spacing w:line="240" w:lineRule="auto"/>
        <w:rPr>
          <w:rFonts w:cs="Times New Roman"/>
          <w:noProof/>
          <w:color w:val="000000" w:themeColor="text1"/>
          <w:sz w:val="26"/>
          <w:szCs w:val="26"/>
        </w:rPr>
      </w:pPr>
      <w:r w:rsidRPr="00081762">
        <w:rPr>
          <w:rFonts w:cs="Times New Roman"/>
          <w:i/>
          <w:iCs/>
          <w:noProof/>
          <w:color w:val="000000" w:themeColor="text1"/>
          <w:sz w:val="26"/>
          <w:szCs w:val="26"/>
        </w:rPr>
        <w:t>United States v. Nemes</w:t>
      </w:r>
      <w:r w:rsidRPr="00081762">
        <w:rPr>
          <w:rFonts w:cs="Times New Roman"/>
          <w:noProof/>
          <w:color w:val="000000" w:themeColor="text1"/>
          <w:sz w:val="26"/>
          <w:szCs w:val="26"/>
        </w:rPr>
        <w:t xml:space="preserve">, </w:t>
      </w:r>
    </w:p>
    <w:p w14:paraId="62808F02" w14:textId="790E4336" w:rsidR="00081762" w:rsidRPr="00081762" w:rsidRDefault="00081762" w:rsidP="00081762">
      <w:pPr>
        <w:pStyle w:val="TableofAuthorities"/>
        <w:tabs>
          <w:tab w:val="right" w:leader="dot" w:pos="9350"/>
        </w:tabs>
        <w:spacing w:line="240" w:lineRule="auto"/>
        <w:rPr>
          <w:rFonts w:cs="Times New Roman"/>
          <w:i/>
          <w:iCs/>
          <w:noProof/>
          <w:color w:val="000000" w:themeColor="text1"/>
          <w:sz w:val="26"/>
          <w:szCs w:val="26"/>
        </w:rPr>
      </w:pPr>
      <w:r w:rsidRPr="00081762">
        <w:rPr>
          <w:rFonts w:cs="Times New Roman"/>
          <w:noProof/>
          <w:color w:val="000000" w:themeColor="text1"/>
          <w:sz w:val="26"/>
          <w:szCs w:val="26"/>
        </w:rPr>
        <w:tab/>
        <w:t>555 F.2d 51, 52 (2d Cir. 1977).</w:t>
      </w:r>
      <w:r w:rsidRPr="00081762">
        <w:rPr>
          <w:rFonts w:cs="Times New Roman"/>
          <w:noProof/>
          <w:color w:val="000000" w:themeColor="text1"/>
          <w:sz w:val="26"/>
          <w:szCs w:val="26"/>
        </w:rPr>
        <w:tab/>
      </w:r>
      <w:r>
        <w:rPr>
          <w:rFonts w:cs="Times New Roman"/>
          <w:noProof/>
          <w:color w:val="000000" w:themeColor="text1"/>
          <w:sz w:val="26"/>
          <w:szCs w:val="26"/>
        </w:rPr>
        <w:t>7</w:t>
      </w:r>
    </w:p>
    <w:p w14:paraId="1BCD50B5" w14:textId="77777777" w:rsidR="00081762" w:rsidRPr="00081762" w:rsidRDefault="00081762" w:rsidP="00CB0F91">
      <w:pPr>
        <w:pStyle w:val="TableofAuthorities"/>
        <w:tabs>
          <w:tab w:val="right" w:leader="dot" w:pos="9350"/>
        </w:tabs>
        <w:spacing w:line="240" w:lineRule="auto"/>
        <w:rPr>
          <w:rFonts w:cs="Times New Roman"/>
          <w:i/>
          <w:iCs/>
          <w:noProof/>
          <w:color w:val="000000" w:themeColor="text1"/>
          <w:sz w:val="26"/>
          <w:szCs w:val="26"/>
        </w:rPr>
      </w:pPr>
    </w:p>
    <w:p w14:paraId="44FCBB1F" w14:textId="4D3B7495" w:rsidR="00081762" w:rsidRPr="00081762" w:rsidRDefault="00081762" w:rsidP="00081762">
      <w:pPr>
        <w:pStyle w:val="TableofAuthorities"/>
        <w:tabs>
          <w:tab w:val="left" w:pos="3420"/>
          <w:tab w:val="right" w:leader="dot" w:pos="9350"/>
        </w:tabs>
        <w:spacing w:line="240" w:lineRule="auto"/>
        <w:rPr>
          <w:rFonts w:cs="Times New Roman"/>
          <w:noProof/>
          <w:color w:val="000000" w:themeColor="text1"/>
          <w:sz w:val="26"/>
          <w:szCs w:val="26"/>
        </w:rPr>
      </w:pPr>
      <w:r w:rsidRPr="00081762">
        <w:rPr>
          <w:rFonts w:cs="Times New Roman"/>
          <w:i/>
          <w:iCs/>
          <w:noProof/>
          <w:color w:val="000000" w:themeColor="text1"/>
          <w:sz w:val="26"/>
          <w:szCs w:val="26"/>
        </w:rPr>
        <w:t>United States v. Nixon</w:t>
      </w:r>
      <w:r w:rsidRPr="00081762">
        <w:rPr>
          <w:rFonts w:cs="Times New Roman"/>
          <w:noProof/>
          <w:color w:val="000000" w:themeColor="text1"/>
          <w:sz w:val="26"/>
          <w:szCs w:val="26"/>
        </w:rPr>
        <w:t xml:space="preserve">, </w:t>
      </w:r>
    </w:p>
    <w:p w14:paraId="2EA377B1" w14:textId="7806CB25" w:rsidR="00081762" w:rsidRPr="00081762" w:rsidRDefault="00081762" w:rsidP="00081762">
      <w:pPr>
        <w:pStyle w:val="TableofAuthorities"/>
        <w:tabs>
          <w:tab w:val="right" w:leader="dot" w:pos="9350"/>
        </w:tabs>
        <w:spacing w:after="240" w:line="240" w:lineRule="auto"/>
        <w:ind w:left="360" w:hanging="360"/>
        <w:rPr>
          <w:rFonts w:cs="Times New Roman"/>
          <w:noProof/>
          <w:color w:val="000000" w:themeColor="text1"/>
          <w:sz w:val="26"/>
          <w:szCs w:val="26"/>
        </w:rPr>
      </w:pPr>
      <w:r w:rsidRPr="00081762">
        <w:rPr>
          <w:rFonts w:cs="Times New Roman"/>
          <w:noProof/>
          <w:color w:val="000000" w:themeColor="text1"/>
          <w:sz w:val="26"/>
          <w:szCs w:val="26"/>
        </w:rPr>
        <w:tab/>
        <w:t>418 U.S. 683 (1974).</w:t>
      </w:r>
      <w:r w:rsidRPr="00081762">
        <w:rPr>
          <w:rFonts w:cs="Times New Roman"/>
          <w:noProof/>
          <w:color w:val="000000" w:themeColor="text1"/>
          <w:sz w:val="26"/>
          <w:szCs w:val="26"/>
        </w:rPr>
        <w:tab/>
      </w:r>
      <w:r>
        <w:rPr>
          <w:rFonts w:cs="Times New Roman"/>
          <w:noProof/>
          <w:color w:val="000000" w:themeColor="text1"/>
          <w:sz w:val="26"/>
          <w:szCs w:val="26"/>
        </w:rPr>
        <w:t>18</w:t>
      </w:r>
    </w:p>
    <w:p w14:paraId="45F581C4" w14:textId="1C8D9358" w:rsidR="00081762" w:rsidRPr="00081762" w:rsidRDefault="00081762" w:rsidP="00081762">
      <w:pPr>
        <w:pStyle w:val="TableofAuthorities"/>
        <w:tabs>
          <w:tab w:val="left" w:pos="3420"/>
          <w:tab w:val="right" w:leader="dot" w:pos="9350"/>
        </w:tabs>
        <w:spacing w:line="240" w:lineRule="auto"/>
        <w:rPr>
          <w:rFonts w:cs="Times New Roman"/>
          <w:noProof/>
          <w:color w:val="000000" w:themeColor="text1"/>
          <w:sz w:val="26"/>
          <w:szCs w:val="26"/>
        </w:rPr>
      </w:pPr>
      <w:r w:rsidRPr="00081762">
        <w:rPr>
          <w:rFonts w:cs="Times New Roman"/>
          <w:i/>
          <w:iCs/>
          <w:noProof/>
          <w:color w:val="000000" w:themeColor="text1"/>
          <w:sz w:val="26"/>
          <w:szCs w:val="26"/>
        </w:rPr>
        <w:t>United States v. Nobles</w:t>
      </w:r>
      <w:r w:rsidRPr="00081762">
        <w:rPr>
          <w:rFonts w:cs="Times New Roman"/>
          <w:noProof/>
          <w:color w:val="000000" w:themeColor="text1"/>
          <w:sz w:val="26"/>
          <w:szCs w:val="26"/>
        </w:rPr>
        <w:t xml:space="preserve">, </w:t>
      </w:r>
    </w:p>
    <w:p w14:paraId="76800E06" w14:textId="52BAEBEB" w:rsidR="00081762" w:rsidRPr="00081762" w:rsidRDefault="00081762" w:rsidP="00081762">
      <w:pPr>
        <w:pStyle w:val="TableofAuthorities"/>
        <w:tabs>
          <w:tab w:val="right" w:leader="dot" w:pos="9350"/>
        </w:tabs>
        <w:spacing w:after="240" w:line="240" w:lineRule="auto"/>
        <w:ind w:left="360" w:hanging="360"/>
        <w:rPr>
          <w:rFonts w:cs="Times New Roman"/>
          <w:noProof/>
          <w:color w:val="000000" w:themeColor="text1"/>
          <w:sz w:val="26"/>
          <w:szCs w:val="26"/>
        </w:rPr>
      </w:pPr>
      <w:r w:rsidRPr="00081762">
        <w:rPr>
          <w:rFonts w:cs="Times New Roman"/>
          <w:noProof/>
          <w:color w:val="000000" w:themeColor="text1"/>
          <w:sz w:val="26"/>
          <w:szCs w:val="26"/>
        </w:rPr>
        <w:tab/>
        <w:t>422 U.S. 225 (1975).</w:t>
      </w:r>
      <w:r w:rsidRPr="00081762">
        <w:rPr>
          <w:rFonts w:cs="Times New Roman"/>
          <w:noProof/>
          <w:color w:val="000000" w:themeColor="text1"/>
          <w:sz w:val="26"/>
          <w:szCs w:val="26"/>
        </w:rPr>
        <w:tab/>
      </w:r>
      <w:r>
        <w:rPr>
          <w:rFonts w:cs="Times New Roman"/>
          <w:noProof/>
          <w:color w:val="000000" w:themeColor="text1"/>
          <w:sz w:val="26"/>
          <w:szCs w:val="26"/>
        </w:rPr>
        <w:t>14</w:t>
      </w:r>
    </w:p>
    <w:p w14:paraId="24D6B18D" w14:textId="006A9CE5" w:rsidR="00081762" w:rsidRPr="00081762" w:rsidRDefault="00081762" w:rsidP="00081762">
      <w:pPr>
        <w:pStyle w:val="TableofAuthorities"/>
        <w:tabs>
          <w:tab w:val="left" w:pos="3420"/>
          <w:tab w:val="right" w:leader="dot" w:pos="9350"/>
        </w:tabs>
        <w:spacing w:line="240" w:lineRule="auto"/>
        <w:rPr>
          <w:rFonts w:cs="Times New Roman"/>
          <w:noProof/>
          <w:color w:val="000000" w:themeColor="text1"/>
          <w:sz w:val="26"/>
          <w:szCs w:val="26"/>
        </w:rPr>
      </w:pPr>
      <w:r w:rsidRPr="00081762">
        <w:rPr>
          <w:rFonts w:cs="Times New Roman"/>
          <w:i/>
          <w:iCs/>
          <w:noProof/>
          <w:color w:val="000000" w:themeColor="text1"/>
          <w:sz w:val="26"/>
          <w:szCs w:val="26"/>
        </w:rPr>
        <w:t>United States v. Ponds</w:t>
      </w:r>
      <w:r w:rsidRPr="00081762">
        <w:rPr>
          <w:rFonts w:cs="Times New Roman"/>
          <w:noProof/>
          <w:color w:val="000000" w:themeColor="text1"/>
          <w:sz w:val="26"/>
          <w:szCs w:val="26"/>
        </w:rPr>
        <w:t xml:space="preserve">, </w:t>
      </w:r>
    </w:p>
    <w:p w14:paraId="5B664789" w14:textId="27694598" w:rsidR="00081762" w:rsidRPr="00081762" w:rsidRDefault="00081762" w:rsidP="00081762">
      <w:pPr>
        <w:pStyle w:val="TableofAuthorities"/>
        <w:tabs>
          <w:tab w:val="right" w:leader="dot" w:pos="9350"/>
        </w:tabs>
        <w:spacing w:after="240" w:line="240" w:lineRule="auto"/>
        <w:ind w:left="360" w:hanging="360"/>
        <w:rPr>
          <w:rFonts w:cs="Times New Roman"/>
          <w:noProof/>
          <w:color w:val="000000" w:themeColor="text1"/>
          <w:sz w:val="26"/>
          <w:szCs w:val="26"/>
        </w:rPr>
      </w:pPr>
      <w:r w:rsidRPr="00081762">
        <w:rPr>
          <w:rFonts w:cs="Times New Roman"/>
          <w:noProof/>
          <w:color w:val="000000" w:themeColor="text1"/>
          <w:sz w:val="26"/>
          <w:szCs w:val="26"/>
        </w:rPr>
        <w:tab/>
        <w:t>454 F.3d 313 (2006).</w:t>
      </w:r>
      <w:r w:rsidRPr="00081762">
        <w:rPr>
          <w:rFonts w:cs="Times New Roman"/>
          <w:noProof/>
          <w:color w:val="000000" w:themeColor="text1"/>
          <w:sz w:val="26"/>
          <w:szCs w:val="26"/>
        </w:rPr>
        <w:tab/>
      </w:r>
      <w:r>
        <w:rPr>
          <w:rFonts w:cs="Times New Roman"/>
          <w:noProof/>
          <w:color w:val="000000" w:themeColor="text1"/>
          <w:sz w:val="26"/>
          <w:szCs w:val="26"/>
        </w:rPr>
        <w:t>11,12</w:t>
      </w:r>
    </w:p>
    <w:p w14:paraId="11CAA2CA" w14:textId="613BEFC9" w:rsidR="00081762" w:rsidRPr="00081762" w:rsidRDefault="00081762" w:rsidP="00081762">
      <w:pPr>
        <w:pStyle w:val="TableofAuthorities"/>
        <w:tabs>
          <w:tab w:val="left" w:pos="3420"/>
          <w:tab w:val="right" w:leader="dot" w:pos="9350"/>
        </w:tabs>
        <w:spacing w:line="240" w:lineRule="auto"/>
        <w:rPr>
          <w:rFonts w:cs="Times New Roman"/>
          <w:noProof/>
          <w:color w:val="000000" w:themeColor="text1"/>
          <w:sz w:val="26"/>
          <w:szCs w:val="26"/>
        </w:rPr>
      </w:pPr>
      <w:r w:rsidRPr="00081762">
        <w:rPr>
          <w:rFonts w:cs="Times New Roman"/>
          <w:i/>
          <w:iCs/>
          <w:noProof/>
          <w:color w:val="000000" w:themeColor="text1"/>
          <w:sz w:val="26"/>
          <w:szCs w:val="26"/>
        </w:rPr>
        <w:t>United States v. Rivieccio</w:t>
      </w:r>
      <w:r w:rsidRPr="00081762">
        <w:rPr>
          <w:rFonts w:cs="Times New Roman"/>
          <w:noProof/>
          <w:color w:val="000000" w:themeColor="text1"/>
          <w:sz w:val="26"/>
          <w:szCs w:val="26"/>
        </w:rPr>
        <w:t xml:space="preserve">, </w:t>
      </w:r>
    </w:p>
    <w:p w14:paraId="25D3CE11" w14:textId="4CDECD5F" w:rsidR="00081762" w:rsidRPr="00081762" w:rsidRDefault="00081762" w:rsidP="00081762">
      <w:pPr>
        <w:pStyle w:val="TableofAuthorities"/>
        <w:tabs>
          <w:tab w:val="right" w:leader="dot" w:pos="9350"/>
        </w:tabs>
        <w:spacing w:after="240" w:line="240" w:lineRule="auto"/>
        <w:ind w:left="360" w:hanging="360"/>
        <w:rPr>
          <w:rFonts w:cs="Times New Roman"/>
          <w:noProof/>
          <w:color w:val="000000" w:themeColor="text1"/>
          <w:sz w:val="26"/>
          <w:szCs w:val="26"/>
        </w:rPr>
      </w:pPr>
      <w:r w:rsidRPr="00081762">
        <w:rPr>
          <w:rFonts w:cs="Times New Roman"/>
          <w:noProof/>
          <w:color w:val="000000" w:themeColor="text1"/>
          <w:sz w:val="26"/>
          <w:szCs w:val="26"/>
        </w:rPr>
        <w:tab/>
        <w:t>919 F.2d 812 (2d Cir. 1990).</w:t>
      </w:r>
      <w:r w:rsidRPr="00081762">
        <w:rPr>
          <w:rFonts w:cs="Times New Roman"/>
          <w:noProof/>
          <w:color w:val="000000" w:themeColor="text1"/>
          <w:sz w:val="26"/>
          <w:szCs w:val="26"/>
        </w:rPr>
        <w:tab/>
      </w:r>
      <w:r>
        <w:rPr>
          <w:rFonts w:cs="Times New Roman"/>
          <w:noProof/>
          <w:color w:val="000000" w:themeColor="text1"/>
          <w:sz w:val="26"/>
          <w:szCs w:val="26"/>
        </w:rPr>
        <w:t>10</w:t>
      </w:r>
    </w:p>
    <w:p w14:paraId="747D0D1C" w14:textId="2EB4ACA3" w:rsidR="00081762" w:rsidRPr="00081762" w:rsidRDefault="00081762" w:rsidP="00081762">
      <w:pPr>
        <w:pStyle w:val="TableofAuthorities"/>
        <w:tabs>
          <w:tab w:val="left" w:pos="3420"/>
          <w:tab w:val="right" w:leader="dot" w:pos="9350"/>
        </w:tabs>
        <w:spacing w:line="240" w:lineRule="auto"/>
        <w:rPr>
          <w:rFonts w:cs="Times New Roman"/>
          <w:noProof/>
          <w:color w:val="000000" w:themeColor="text1"/>
          <w:sz w:val="26"/>
          <w:szCs w:val="26"/>
        </w:rPr>
      </w:pPr>
      <w:r w:rsidRPr="00081762">
        <w:rPr>
          <w:rFonts w:cs="Times New Roman"/>
          <w:i/>
          <w:iCs/>
          <w:noProof/>
          <w:color w:val="000000" w:themeColor="text1"/>
          <w:sz w:val="26"/>
          <w:szCs w:val="26"/>
        </w:rPr>
        <w:t>United States v. Stevenson,</w:t>
      </w:r>
      <w:r w:rsidRPr="00081762">
        <w:rPr>
          <w:rFonts w:cs="Times New Roman"/>
          <w:noProof/>
          <w:color w:val="000000" w:themeColor="text1"/>
          <w:sz w:val="26"/>
          <w:szCs w:val="26"/>
        </w:rPr>
        <w:t xml:space="preserve"> </w:t>
      </w:r>
    </w:p>
    <w:p w14:paraId="7C6CE71A" w14:textId="370B8C1A" w:rsidR="00081762" w:rsidRPr="00081762" w:rsidRDefault="00081762" w:rsidP="00081762">
      <w:pPr>
        <w:pStyle w:val="TableofAuthorities"/>
        <w:tabs>
          <w:tab w:val="right" w:leader="dot" w:pos="9350"/>
        </w:tabs>
        <w:spacing w:after="240" w:line="240" w:lineRule="auto"/>
        <w:ind w:left="360" w:hanging="360"/>
        <w:rPr>
          <w:rFonts w:cs="Times New Roman"/>
          <w:noProof/>
          <w:color w:val="000000" w:themeColor="text1"/>
          <w:sz w:val="26"/>
          <w:szCs w:val="26"/>
        </w:rPr>
      </w:pPr>
      <w:r w:rsidRPr="00081762">
        <w:rPr>
          <w:rFonts w:cs="Times New Roman"/>
          <w:noProof/>
          <w:color w:val="000000" w:themeColor="text1"/>
          <w:sz w:val="26"/>
          <w:szCs w:val="26"/>
        </w:rPr>
        <w:tab/>
        <w:t>727 F.3d 826 (8th Cir. 2013).</w:t>
      </w:r>
      <w:r w:rsidRPr="00081762">
        <w:rPr>
          <w:rFonts w:cs="Times New Roman"/>
          <w:noProof/>
          <w:color w:val="000000" w:themeColor="text1"/>
          <w:sz w:val="26"/>
          <w:szCs w:val="26"/>
        </w:rPr>
        <w:tab/>
      </w:r>
      <w:r>
        <w:rPr>
          <w:rFonts w:cs="Times New Roman"/>
          <w:noProof/>
          <w:color w:val="000000" w:themeColor="text1"/>
          <w:sz w:val="26"/>
          <w:szCs w:val="26"/>
        </w:rPr>
        <w:t>17,18</w:t>
      </w:r>
    </w:p>
    <w:p w14:paraId="308DAE47" w14:textId="301C1ACE" w:rsidR="00283F1C" w:rsidRPr="00081762" w:rsidRDefault="00DA2DF9" w:rsidP="00081762">
      <w:pPr>
        <w:pStyle w:val="TableofAuthorities"/>
        <w:tabs>
          <w:tab w:val="right" w:leader="dot" w:pos="9350"/>
        </w:tabs>
        <w:spacing w:after="240" w:line="240" w:lineRule="auto"/>
        <w:ind w:left="0" w:firstLine="0"/>
        <w:rPr>
          <w:rFonts w:cs="Times New Roman"/>
          <w:b/>
          <w:bCs/>
          <w:smallCaps/>
          <w:color w:val="000000" w:themeColor="text1"/>
          <w:sz w:val="26"/>
          <w:szCs w:val="26"/>
        </w:rPr>
      </w:pPr>
      <w:r w:rsidRPr="00081762">
        <w:rPr>
          <w:rFonts w:cs="Times New Roman"/>
          <w:b/>
          <w:bCs/>
          <w:smallCaps/>
          <w:color w:val="000000" w:themeColor="text1"/>
          <w:sz w:val="26"/>
          <w:szCs w:val="26"/>
        </w:rPr>
        <w:fldChar w:fldCharType="end"/>
      </w:r>
      <w:r w:rsidR="00283F1C" w:rsidRPr="00081762">
        <w:rPr>
          <w:rFonts w:cs="Times New Roman"/>
          <w:caps/>
          <w:smallCaps/>
          <w:color w:val="000000" w:themeColor="text1"/>
          <w:szCs w:val="26"/>
        </w:rPr>
        <w:fldChar w:fldCharType="begin"/>
      </w:r>
      <w:r w:rsidR="00283F1C" w:rsidRPr="00081762">
        <w:rPr>
          <w:rFonts w:cs="Times New Roman"/>
          <w:smallCaps/>
          <w:color w:val="000000" w:themeColor="text1"/>
          <w:szCs w:val="26"/>
        </w:rPr>
        <w:instrText xml:space="preserve"> TOA \h \c "2" \p </w:instrText>
      </w:r>
      <w:r w:rsidR="00283F1C" w:rsidRPr="00081762">
        <w:rPr>
          <w:rFonts w:cs="Times New Roman"/>
          <w:caps/>
          <w:smallCaps/>
          <w:color w:val="000000" w:themeColor="text1"/>
          <w:szCs w:val="26"/>
        </w:rPr>
        <w:fldChar w:fldCharType="separate"/>
      </w:r>
      <w:r w:rsidR="00283F1C" w:rsidRPr="00081762">
        <w:rPr>
          <w:rFonts w:cs="Times New Roman"/>
          <w:b/>
          <w:bCs/>
          <w:smallCaps/>
          <w:noProof/>
          <w:color w:val="000000" w:themeColor="text1"/>
          <w:sz w:val="26"/>
          <w:szCs w:val="26"/>
        </w:rPr>
        <w:t>Statutes</w:t>
      </w:r>
    </w:p>
    <w:p w14:paraId="46639AFB" w14:textId="21D2D4DA" w:rsidR="00283F1C" w:rsidRPr="00081762" w:rsidRDefault="000E2E84" w:rsidP="00283F1C">
      <w:pPr>
        <w:pStyle w:val="TableofAuthorities"/>
        <w:tabs>
          <w:tab w:val="right" w:leader="dot" w:pos="9350"/>
        </w:tabs>
        <w:rPr>
          <w:rFonts w:cs="Times New Roman"/>
          <w:noProof/>
          <w:color w:val="000000" w:themeColor="text1"/>
          <w:sz w:val="26"/>
          <w:szCs w:val="26"/>
        </w:rPr>
      </w:pPr>
      <w:r w:rsidRPr="00081762">
        <w:rPr>
          <w:rFonts w:cs="Times New Roman"/>
          <w:noProof/>
          <w:color w:val="000000" w:themeColor="text1"/>
          <w:sz w:val="26"/>
          <w:szCs w:val="26"/>
        </w:rPr>
        <w:t>18</w:t>
      </w:r>
      <w:r w:rsidR="00283F1C" w:rsidRPr="00081762">
        <w:rPr>
          <w:rFonts w:cs="Times New Roman"/>
          <w:noProof/>
          <w:color w:val="000000" w:themeColor="text1"/>
          <w:sz w:val="26"/>
          <w:szCs w:val="26"/>
        </w:rPr>
        <w:t xml:space="preserve"> U.S.C. §</w:t>
      </w:r>
      <w:r w:rsidRPr="00081762">
        <w:rPr>
          <w:rFonts w:cs="Times New Roman"/>
          <w:noProof/>
          <w:color w:val="000000" w:themeColor="text1"/>
          <w:sz w:val="26"/>
          <w:szCs w:val="26"/>
        </w:rPr>
        <w:t>§ 6002-6003</w:t>
      </w:r>
      <w:r w:rsidR="00283F1C" w:rsidRPr="00081762">
        <w:rPr>
          <w:rFonts w:cs="Times New Roman"/>
          <w:noProof/>
          <w:color w:val="000000" w:themeColor="text1"/>
          <w:sz w:val="26"/>
          <w:szCs w:val="26"/>
        </w:rPr>
        <w:tab/>
      </w:r>
      <w:r w:rsidR="0069230F" w:rsidRPr="00081762">
        <w:rPr>
          <w:rFonts w:cs="Times New Roman"/>
          <w:noProof/>
          <w:color w:val="000000" w:themeColor="text1"/>
          <w:sz w:val="26"/>
          <w:szCs w:val="26"/>
        </w:rPr>
        <w:t>4</w:t>
      </w:r>
    </w:p>
    <w:p w14:paraId="1C6BA7BB" w14:textId="486288AB" w:rsidR="00081762" w:rsidRPr="00081762" w:rsidRDefault="00081762" w:rsidP="00081762">
      <w:pPr>
        <w:pStyle w:val="TableofAuthorities"/>
        <w:tabs>
          <w:tab w:val="right" w:leader="dot" w:pos="9350"/>
        </w:tabs>
        <w:rPr>
          <w:rFonts w:cs="Times New Roman"/>
          <w:noProof/>
          <w:color w:val="000000" w:themeColor="text1"/>
          <w:sz w:val="26"/>
          <w:szCs w:val="26"/>
        </w:rPr>
      </w:pPr>
      <w:r w:rsidRPr="00081762">
        <w:rPr>
          <w:rFonts w:cs="Times New Roman"/>
          <w:noProof/>
          <w:color w:val="000000" w:themeColor="text1"/>
          <w:sz w:val="26"/>
          <w:szCs w:val="26"/>
        </w:rPr>
        <w:t>Fed. R. Evid. 403</w:t>
      </w:r>
      <w:r w:rsidRPr="00081762">
        <w:rPr>
          <w:rFonts w:cs="Times New Roman"/>
          <w:noProof/>
          <w:color w:val="000000" w:themeColor="text1"/>
          <w:sz w:val="26"/>
          <w:szCs w:val="26"/>
        </w:rPr>
        <w:tab/>
      </w:r>
      <w:r>
        <w:rPr>
          <w:rFonts w:cs="Times New Roman"/>
          <w:noProof/>
          <w:color w:val="000000" w:themeColor="text1"/>
          <w:sz w:val="26"/>
          <w:szCs w:val="26"/>
        </w:rPr>
        <w:t>18</w:t>
      </w:r>
    </w:p>
    <w:p w14:paraId="690E6694" w14:textId="3C33B187" w:rsidR="00081762" w:rsidRPr="00081762" w:rsidRDefault="00081762" w:rsidP="00081762">
      <w:pPr>
        <w:pStyle w:val="TableofAuthorities"/>
        <w:tabs>
          <w:tab w:val="right" w:leader="dot" w:pos="9350"/>
        </w:tabs>
        <w:rPr>
          <w:rFonts w:cs="Times New Roman"/>
          <w:noProof/>
          <w:color w:val="000000" w:themeColor="text1"/>
          <w:sz w:val="26"/>
          <w:szCs w:val="26"/>
        </w:rPr>
      </w:pPr>
      <w:r w:rsidRPr="00081762">
        <w:rPr>
          <w:rFonts w:cs="Times New Roman"/>
          <w:noProof/>
          <w:color w:val="000000" w:themeColor="text1"/>
          <w:sz w:val="26"/>
          <w:szCs w:val="26"/>
        </w:rPr>
        <w:t>Fed. R. Evid. 502</w:t>
      </w:r>
      <w:r w:rsidRPr="00081762">
        <w:rPr>
          <w:rFonts w:cs="Times New Roman"/>
          <w:noProof/>
          <w:color w:val="000000" w:themeColor="text1"/>
          <w:sz w:val="26"/>
          <w:szCs w:val="26"/>
        </w:rPr>
        <w:tab/>
      </w:r>
      <w:r>
        <w:rPr>
          <w:rFonts w:cs="Times New Roman"/>
          <w:noProof/>
          <w:color w:val="000000" w:themeColor="text1"/>
          <w:sz w:val="26"/>
          <w:szCs w:val="26"/>
        </w:rPr>
        <w:t>1</w:t>
      </w:r>
      <w:r w:rsidRPr="00081762">
        <w:rPr>
          <w:rFonts w:cs="Times New Roman"/>
          <w:noProof/>
          <w:color w:val="000000" w:themeColor="text1"/>
          <w:sz w:val="26"/>
          <w:szCs w:val="26"/>
        </w:rPr>
        <w:t xml:space="preserve">4, </w:t>
      </w:r>
      <w:r>
        <w:rPr>
          <w:rFonts w:cs="Times New Roman"/>
          <w:noProof/>
          <w:color w:val="000000" w:themeColor="text1"/>
          <w:sz w:val="26"/>
          <w:szCs w:val="26"/>
        </w:rPr>
        <w:t>1</w:t>
      </w:r>
      <w:r w:rsidRPr="00081762">
        <w:rPr>
          <w:rFonts w:cs="Times New Roman"/>
          <w:noProof/>
          <w:color w:val="000000" w:themeColor="text1"/>
          <w:sz w:val="26"/>
          <w:szCs w:val="26"/>
        </w:rPr>
        <w:t>5</w:t>
      </w:r>
    </w:p>
    <w:p w14:paraId="5786F26D" w14:textId="5C4ECC8D" w:rsidR="00F82C63" w:rsidRPr="00081762" w:rsidRDefault="00081762" w:rsidP="00081762">
      <w:pPr>
        <w:pStyle w:val="TableofAuthorities"/>
        <w:tabs>
          <w:tab w:val="right" w:leader="dot" w:pos="9350"/>
        </w:tabs>
        <w:rPr>
          <w:rFonts w:cs="Times New Roman"/>
          <w:noProof/>
          <w:color w:val="000000" w:themeColor="text1"/>
          <w:sz w:val="26"/>
          <w:szCs w:val="26"/>
        </w:rPr>
      </w:pPr>
      <w:r w:rsidRPr="00081762">
        <w:rPr>
          <w:rFonts w:cs="Times New Roman"/>
          <w:noProof/>
          <w:color w:val="000000" w:themeColor="text1"/>
          <w:sz w:val="26"/>
          <w:szCs w:val="26"/>
        </w:rPr>
        <w:t>Fed R. Crim. P. 16-17(c)</w:t>
      </w:r>
      <w:r w:rsidRPr="00081762">
        <w:rPr>
          <w:rFonts w:cs="Times New Roman"/>
          <w:noProof/>
          <w:color w:val="000000" w:themeColor="text1"/>
          <w:sz w:val="26"/>
          <w:szCs w:val="26"/>
        </w:rPr>
        <w:tab/>
      </w:r>
      <w:r>
        <w:rPr>
          <w:rFonts w:cs="Times New Roman"/>
          <w:noProof/>
          <w:color w:val="000000" w:themeColor="text1"/>
          <w:sz w:val="26"/>
          <w:szCs w:val="26"/>
        </w:rPr>
        <w:t>13,16,17</w:t>
      </w:r>
    </w:p>
    <w:p w14:paraId="7E27A545" w14:textId="77777777" w:rsidR="000E2E84" w:rsidRPr="00081762" w:rsidRDefault="000E2E84" w:rsidP="000E2E84">
      <w:pPr>
        <w:rPr>
          <w:rFonts w:ascii="Times New Roman" w:hAnsi="Times New Roman" w:cs="Times New Roman"/>
          <w:sz w:val="26"/>
          <w:szCs w:val="26"/>
        </w:rPr>
      </w:pPr>
    </w:p>
    <w:p w14:paraId="4F4918E2" w14:textId="77777777" w:rsidR="000E2E84" w:rsidRPr="00081762" w:rsidRDefault="000E2E84" w:rsidP="000E2E84">
      <w:pPr>
        <w:rPr>
          <w:rFonts w:ascii="Times New Roman" w:hAnsi="Times New Roman" w:cs="Times New Roman"/>
          <w:sz w:val="26"/>
          <w:szCs w:val="26"/>
        </w:rPr>
      </w:pPr>
    </w:p>
    <w:p w14:paraId="485C09D2" w14:textId="77777777" w:rsidR="00322774" w:rsidRPr="00265E2C" w:rsidRDefault="00283F1C" w:rsidP="00283F1C">
      <w:pPr>
        <w:rPr>
          <w:rFonts w:ascii="Times New Roman" w:hAnsi="Times New Roman" w:cs="Times New Roman"/>
          <w:b/>
          <w:bCs/>
          <w:smallCaps/>
          <w:color w:val="000000" w:themeColor="text1"/>
          <w:sz w:val="26"/>
          <w:szCs w:val="26"/>
        </w:rPr>
        <w:sectPr w:rsidR="00322774" w:rsidRPr="00265E2C" w:rsidSect="00322774">
          <w:footerReference w:type="default" r:id="rId10"/>
          <w:headerReference w:type="first" r:id="rId11"/>
          <w:footerReference w:type="first" r:id="rId12"/>
          <w:pgSz w:w="12240" w:h="15840"/>
          <w:pgMar w:top="1440" w:right="1440" w:bottom="1440" w:left="1440" w:header="720" w:footer="720" w:gutter="0"/>
          <w:pgNumType w:fmt="lowerRoman" w:start="1"/>
          <w:cols w:space="720"/>
          <w:titlePg/>
          <w:docGrid w:linePitch="360"/>
        </w:sectPr>
      </w:pPr>
      <w:r w:rsidRPr="00081762">
        <w:rPr>
          <w:rFonts w:ascii="Times New Roman" w:hAnsi="Times New Roman" w:cs="Times New Roman"/>
          <w:b/>
          <w:bCs/>
          <w:smallCaps/>
          <w:color w:val="000000" w:themeColor="text1"/>
          <w:sz w:val="26"/>
          <w:szCs w:val="26"/>
        </w:rPr>
        <w:fldChar w:fldCharType="end"/>
      </w:r>
    </w:p>
    <w:p w14:paraId="4F335823" w14:textId="7DFE761C" w:rsidR="00CC5FC4" w:rsidRPr="00081762" w:rsidRDefault="00212F6D" w:rsidP="00322774">
      <w:pPr>
        <w:pStyle w:val="Heading1"/>
        <w:spacing w:before="0" w:after="0"/>
        <w:jc w:val="center"/>
        <w:rPr>
          <w:rFonts w:ascii="Times New Roman" w:hAnsi="Times New Roman" w:cs="Times New Roman"/>
          <w:b/>
          <w:bCs/>
          <w:smallCaps/>
          <w:color w:val="000000" w:themeColor="text1"/>
          <w:sz w:val="26"/>
          <w:szCs w:val="26"/>
        </w:rPr>
      </w:pPr>
      <w:bookmarkStart w:id="1" w:name="_Toc207630151"/>
      <w:r w:rsidRPr="00081762">
        <w:rPr>
          <w:rFonts w:ascii="Times New Roman" w:hAnsi="Times New Roman" w:cs="Times New Roman"/>
          <w:b/>
          <w:bCs/>
          <w:smallCaps/>
          <w:color w:val="000000" w:themeColor="text1"/>
          <w:sz w:val="26"/>
          <w:szCs w:val="26"/>
        </w:rPr>
        <w:lastRenderedPageBreak/>
        <w:t>Introduction</w:t>
      </w:r>
      <w:bookmarkEnd w:id="1"/>
    </w:p>
    <w:p w14:paraId="26D68EE9" w14:textId="260600F1" w:rsidR="00CC5FC4" w:rsidRPr="00081762" w:rsidRDefault="00CC5FC4" w:rsidP="00401C40">
      <w:pPr>
        <w:jc w:val="center"/>
        <w:rPr>
          <w:rFonts w:ascii="Times New Roman" w:hAnsi="Times New Roman" w:cs="Times New Roman"/>
          <w:b/>
          <w:bCs/>
          <w:color w:val="000000" w:themeColor="text1"/>
          <w:sz w:val="26"/>
          <w:szCs w:val="26"/>
        </w:rPr>
      </w:pPr>
    </w:p>
    <w:p w14:paraId="14AA2FA2" w14:textId="47DAE501" w:rsidR="00C67DE2" w:rsidRPr="00081762" w:rsidRDefault="00C67DE2" w:rsidP="00C67DE2">
      <w:pPr>
        <w:pStyle w:val="paragraph"/>
        <w:spacing w:before="0" w:beforeAutospacing="0" w:after="0" w:afterAutospacing="0" w:line="480" w:lineRule="auto"/>
        <w:ind w:firstLine="720"/>
        <w:jc w:val="both"/>
        <w:textAlignment w:val="baseline"/>
        <w:rPr>
          <w:sz w:val="26"/>
          <w:szCs w:val="26"/>
        </w:rPr>
      </w:pPr>
      <w:r w:rsidRPr="00081762">
        <w:rPr>
          <w:rStyle w:val="normaltextrun"/>
          <w:color w:val="000000"/>
          <w:sz w:val="26"/>
          <w:szCs w:val="26"/>
        </w:rPr>
        <w:t>This Court should grant Emily Calloway’s (“Defendant”) Motion to Suppress Evidence and Motion to Quash Subpoena as the underlying evidence is a violation of the Work Product Doctrine, Ms. Calloway’s immunity order and her Fifth Amendment right against self-incrimination.</w:t>
      </w:r>
    </w:p>
    <w:p w14:paraId="5FF20875" w14:textId="5E5CAABF" w:rsidR="00C67DE2" w:rsidRPr="00081762" w:rsidRDefault="00C67DE2" w:rsidP="00C67DE2">
      <w:pPr>
        <w:pStyle w:val="paragraph"/>
        <w:spacing w:before="0" w:beforeAutospacing="0" w:after="0" w:afterAutospacing="0" w:line="480" w:lineRule="auto"/>
        <w:ind w:firstLine="720"/>
        <w:jc w:val="both"/>
        <w:textAlignment w:val="baseline"/>
        <w:rPr>
          <w:sz w:val="26"/>
          <w:szCs w:val="26"/>
        </w:rPr>
      </w:pPr>
      <w:r w:rsidRPr="00081762">
        <w:rPr>
          <w:rStyle w:val="normaltextrun"/>
          <w:color w:val="000000"/>
          <w:sz w:val="26"/>
          <w:szCs w:val="26"/>
        </w:rPr>
        <w:t>The Government has failed to establish sources independent of immunized testimony for disputed evidence, and the mere denial of exposure to immunized testimony fails to meet the Government’s burden. Since the Government cannot meet its burden for Kennedy Parker’s Testimony or Exhibit 19, both should be suppressed.</w:t>
      </w:r>
    </w:p>
    <w:p w14:paraId="6DDE5075" w14:textId="1196BA89" w:rsidR="00081762" w:rsidRDefault="00C67DE2" w:rsidP="00081762">
      <w:pPr>
        <w:pStyle w:val="paragraph"/>
        <w:spacing w:before="0" w:beforeAutospacing="0" w:after="0" w:afterAutospacing="0" w:line="480" w:lineRule="auto"/>
        <w:ind w:firstLine="720"/>
        <w:jc w:val="both"/>
        <w:textAlignment w:val="baseline"/>
        <w:rPr>
          <w:rStyle w:val="normaltextrun"/>
          <w:color w:val="000000"/>
          <w:sz w:val="26"/>
          <w:szCs w:val="26"/>
        </w:rPr>
      </w:pPr>
      <w:r w:rsidRPr="00081762">
        <w:rPr>
          <w:rStyle w:val="normaltextrun"/>
          <w:color w:val="000000"/>
          <w:sz w:val="26"/>
          <w:szCs w:val="26"/>
        </w:rPr>
        <w:t xml:space="preserve">Work Product Doctrine bars production of opinion work product. Maddox Armana’s interview notes are mental impressions created in anticipation of litigation. Since the government cannot prove substantial need or undue hardship, its subpoena should be denied. </w:t>
      </w:r>
    </w:p>
    <w:p w14:paraId="3FF9AE0D" w14:textId="77777777" w:rsidR="00081762" w:rsidRPr="00081762" w:rsidRDefault="00081762" w:rsidP="00081762">
      <w:pPr>
        <w:pStyle w:val="paragraph"/>
        <w:spacing w:before="0" w:beforeAutospacing="0" w:after="0" w:afterAutospacing="0" w:line="480" w:lineRule="auto"/>
        <w:ind w:firstLine="720"/>
        <w:jc w:val="both"/>
        <w:textAlignment w:val="baseline"/>
        <w:rPr>
          <w:color w:val="000000"/>
          <w:sz w:val="26"/>
          <w:szCs w:val="26"/>
        </w:rPr>
      </w:pPr>
    </w:p>
    <w:p w14:paraId="6CCA4BEE" w14:textId="7A00B0B2" w:rsidR="001B11BD" w:rsidRPr="00081762" w:rsidRDefault="00212F6D" w:rsidP="00EA10DF">
      <w:pPr>
        <w:pStyle w:val="Heading1"/>
        <w:spacing w:before="0" w:after="0" w:line="480" w:lineRule="auto"/>
        <w:contextualSpacing/>
        <w:jc w:val="center"/>
        <w:rPr>
          <w:rFonts w:ascii="Times New Roman" w:hAnsi="Times New Roman" w:cs="Times New Roman"/>
          <w:b/>
          <w:bCs/>
          <w:smallCaps/>
          <w:color w:val="000000" w:themeColor="text1"/>
          <w:sz w:val="26"/>
          <w:szCs w:val="26"/>
        </w:rPr>
      </w:pPr>
      <w:bookmarkStart w:id="2" w:name="_Toc207630152"/>
      <w:r w:rsidRPr="00081762">
        <w:rPr>
          <w:rFonts w:ascii="Times New Roman" w:hAnsi="Times New Roman" w:cs="Times New Roman"/>
          <w:b/>
          <w:bCs/>
          <w:smallCaps/>
          <w:color w:val="000000" w:themeColor="text1"/>
          <w:sz w:val="26"/>
          <w:szCs w:val="26"/>
        </w:rPr>
        <w:t>Statement of the Facts</w:t>
      </w:r>
      <w:bookmarkEnd w:id="2"/>
    </w:p>
    <w:p w14:paraId="0D7B8E7B" w14:textId="77777777" w:rsidR="00C67DE2" w:rsidRPr="00081762" w:rsidRDefault="001B11BD" w:rsidP="00C67DE2">
      <w:pPr>
        <w:spacing w:after="240"/>
        <w:jc w:val="center"/>
        <w:rPr>
          <w:rFonts w:ascii="Times New Roman" w:hAnsi="Times New Roman" w:cs="Times New Roman"/>
          <w:b/>
          <w:bCs/>
          <w:i/>
          <w:iCs/>
          <w:color w:val="000000" w:themeColor="text1"/>
          <w:sz w:val="26"/>
          <w:szCs w:val="26"/>
        </w:rPr>
      </w:pPr>
      <w:r w:rsidRPr="00081762">
        <w:rPr>
          <w:rFonts w:ascii="Times New Roman" w:hAnsi="Times New Roman" w:cs="Times New Roman"/>
          <w:b/>
          <w:bCs/>
          <w:color w:val="000000" w:themeColor="text1"/>
          <w:sz w:val="26"/>
          <w:szCs w:val="26"/>
        </w:rPr>
        <w:tab/>
      </w:r>
      <w:r w:rsidR="00C67DE2" w:rsidRPr="00081762">
        <w:rPr>
          <w:rFonts w:ascii="Times New Roman" w:hAnsi="Times New Roman" w:cs="Times New Roman"/>
          <w:b/>
          <w:bCs/>
          <w:i/>
          <w:iCs/>
          <w:color w:val="000000" w:themeColor="text1"/>
          <w:sz w:val="26"/>
          <w:szCs w:val="26"/>
        </w:rPr>
        <w:t>Initial Investigation of the Silver Palm &amp; Saint Donovan</w:t>
      </w:r>
    </w:p>
    <w:p w14:paraId="5815BC81" w14:textId="6841848F" w:rsidR="00C67DE2" w:rsidRPr="00081762" w:rsidRDefault="00C67DE2" w:rsidP="00081762">
      <w:pPr>
        <w:spacing w:line="480" w:lineRule="auto"/>
        <w:ind w:firstLine="720"/>
        <w:jc w:val="both"/>
        <w:rPr>
          <w:rFonts w:ascii="Times New Roman" w:hAnsi="Times New Roman" w:cs="Times New Roman"/>
          <w:b/>
          <w:bCs/>
          <w:i/>
          <w:iCs/>
          <w:color w:val="000000" w:themeColor="text1"/>
          <w:sz w:val="26"/>
          <w:szCs w:val="26"/>
        </w:rPr>
      </w:pPr>
      <w:r w:rsidRPr="00081762">
        <w:rPr>
          <w:rFonts w:ascii="Times New Roman" w:hAnsi="Times New Roman" w:cs="Times New Roman"/>
          <w:color w:val="000000" w:themeColor="text1"/>
          <w:sz w:val="26"/>
          <w:szCs w:val="26"/>
        </w:rPr>
        <w:t>Emily Calloway is the partial owner of the Silver Palm. She handled front of house and event work, while Saint Donovan handled all the financials. Investigation of the Silver Palm began because Daniel Blake, the Silver Palm Bookkeeper contacted financial fraud investigator, Tatum Sincalir. Sinclair and Blake work</w:t>
      </w:r>
      <w:r w:rsidR="00081762">
        <w:rPr>
          <w:rFonts w:ascii="Times New Roman" w:hAnsi="Times New Roman" w:cs="Times New Roman"/>
          <w:color w:val="000000" w:themeColor="text1"/>
          <w:sz w:val="26"/>
          <w:szCs w:val="26"/>
        </w:rPr>
        <w:t>ed</w:t>
      </w:r>
      <w:r w:rsidRPr="00081762">
        <w:rPr>
          <w:rFonts w:ascii="Times New Roman" w:hAnsi="Times New Roman" w:cs="Times New Roman"/>
          <w:color w:val="000000" w:themeColor="text1"/>
          <w:sz w:val="26"/>
          <w:szCs w:val="26"/>
        </w:rPr>
        <w:t xml:space="preserve"> through Silver Palms financials, including vendor Coastal. Blake believed he discovered a new lead</w:t>
      </w:r>
      <w:r w:rsidR="00081762">
        <w:rPr>
          <w:rFonts w:ascii="Times New Roman" w:hAnsi="Times New Roman" w:cs="Times New Roman"/>
          <w:color w:val="000000" w:themeColor="text1"/>
          <w:sz w:val="26"/>
          <w:szCs w:val="26"/>
        </w:rPr>
        <w:t xml:space="preserve">. </w:t>
      </w:r>
      <w:r w:rsidRPr="00081762">
        <w:rPr>
          <w:rFonts w:ascii="Times New Roman" w:hAnsi="Times New Roman" w:cs="Times New Roman"/>
          <w:color w:val="000000" w:themeColor="text1"/>
          <w:sz w:val="26"/>
          <w:szCs w:val="26"/>
        </w:rPr>
        <w:t xml:space="preserve">However, before </w:t>
      </w:r>
      <w:r w:rsidRPr="00081762">
        <w:rPr>
          <w:rFonts w:ascii="Times New Roman" w:hAnsi="Times New Roman" w:cs="Times New Roman"/>
          <w:color w:val="000000" w:themeColor="text1"/>
          <w:sz w:val="26"/>
          <w:szCs w:val="26"/>
        </w:rPr>
        <w:lastRenderedPageBreak/>
        <w:t xml:space="preserve">Sinclair could obtain this new investigative lead, Blake was murdered in his office at Silver Palm. Blake’s office contained no Coastal documents. </w:t>
      </w:r>
      <w:r w:rsidRPr="00081762">
        <w:rPr>
          <w:rStyle w:val="normaltextrun"/>
          <w:rFonts w:ascii="Times New Roman" w:hAnsi="Times New Roman" w:cs="Times New Roman"/>
          <w:color w:val="000000"/>
          <w:sz w:val="26"/>
          <w:szCs w:val="26"/>
          <w:shd w:val="clear" w:color="auto" w:fill="FFFFFF"/>
        </w:rPr>
        <w:t xml:space="preserve">(Nolan Dep. 25:60–25:68.) </w:t>
      </w:r>
    </w:p>
    <w:p w14:paraId="54ED8711" w14:textId="50A4BF9A" w:rsidR="00C67DE2" w:rsidRPr="00081762" w:rsidRDefault="00C67DE2" w:rsidP="00081762">
      <w:pPr>
        <w:spacing w:line="480" w:lineRule="auto"/>
        <w:ind w:firstLine="720"/>
        <w:jc w:val="both"/>
        <w:rPr>
          <w:rFonts w:ascii="Times New Roman" w:hAnsi="Times New Roman" w:cs="Times New Roman"/>
          <w:b/>
          <w:bCs/>
          <w:i/>
          <w:iCs/>
          <w:color w:val="000000" w:themeColor="text1"/>
          <w:sz w:val="26"/>
          <w:szCs w:val="26"/>
        </w:rPr>
      </w:pPr>
      <w:r w:rsidRPr="00081762">
        <w:rPr>
          <w:rFonts w:ascii="Times New Roman" w:hAnsi="Times New Roman" w:cs="Times New Roman"/>
          <w:color w:val="000000" w:themeColor="text1"/>
          <w:sz w:val="26"/>
          <w:szCs w:val="26"/>
        </w:rPr>
        <w:t>Sinclair brought on Bryce Nolan, another FBI agent to help investigate Blake’s murder. Investigators connected Donovan to Blake’s murderer, he was arrested and invoked his Fifth Amendment privilege. Bank records for Silver Palm vendors were subpoenaed and implicated Donovan and his associates. (</w:t>
      </w:r>
      <w:r w:rsidR="00081762">
        <w:rPr>
          <w:rFonts w:ascii="Times New Roman" w:hAnsi="Times New Roman" w:cs="Times New Roman"/>
          <w:color w:val="000000" w:themeColor="text1"/>
          <w:sz w:val="26"/>
          <w:szCs w:val="26"/>
        </w:rPr>
        <w:t>Ex. 1A</w:t>
      </w:r>
      <w:r w:rsidR="00081762" w:rsidRPr="00081762">
        <w:rPr>
          <w:rStyle w:val="normaltextrun"/>
          <w:rFonts w:ascii="Times New Roman" w:hAnsi="Times New Roman" w:cs="Times New Roman"/>
          <w:color w:val="000000"/>
          <w:sz w:val="26"/>
          <w:szCs w:val="26"/>
        </w:rPr>
        <w:t>–</w:t>
      </w:r>
      <w:r w:rsidR="00081762">
        <w:rPr>
          <w:rFonts w:ascii="Times New Roman" w:hAnsi="Times New Roman" w:cs="Times New Roman"/>
          <w:color w:val="000000" w:themeColor="text1"/>
          <w:sz w:val="26"/>
          <w:szCs w:val="26"/>
        </w:rPr>
        <w:t>D, Ex. 2</w:t>
      </w:r>
      <w:r w:rsidRPr="00081762">
        <w:rPr>
          <w:rFonts w:ascii="Times New Roman" w:hAnsi="Times New Roman" w:cs="Times New Roman"/>
          <w:color w:val="000000" w:themeColor="text1"/>
          <w:sz w:val="26"/>
          <w:szCs w:val="26"/>
        </w:rPr>
        <w:t>) These records did not implicate Ms. Calloway. Investigators attempted to identify Coastal financial records via request to a related foreign bank in the Caymans, but these attempts were unsuccessful. (</w:t>
      </w:r>
      <w:r w:rsidR="00081762" w:rsidRPr="00081762">
        <w:rPr>
          <w:rStyle w:val="normaltextrun"/>
          <w:rFonts w:ascii="Times New Roman" w:hAnsi="Times New Roman" w:cs="Times New Roman"/>
          <w:color w:val="000000"/>
          <w:sz w:val="26"/>
          <w:szCs w:val="26"/>
          <w:shd w:val="clear" w:color="auto" w:fill="FFFFFF"/>
        </w:rPr>
        <w:t>Nolan Dep. 27:121–27:125</w:t>
      </w:r>
      <w:r w:rsidRPr="00081762">
        <w:rPr>
          <w:rFonts w:ascii="Times New Roman" w:hAnsi="Times New Roman" w:cs="Times New Roman"/>
          <w:color w:val="000000" w:themeColor="text1"/>
          <w:sz w:val="26"/>
          <w:szCs w:val="26"/>
        </w:rPr>
        <w:t>)</w:t>
      </w:r>
    </w:p>
    <w:p w14:paraId="376367B9" w14:textId="77777777" w:rsidR="00C67DE2" w:rsidRDefault="00C67DE2" w:rsidP="00C67DE2">
      <w:pPr>
        <w:spacing w:after="240"/>
        <w:jc w:val="center"/>
        <w:rPr>
          <w:rFonts w:ascii="Times New Roman" w:hAnsi="Times New Roman" w:cs="Times New Roman"/>
          <w:b/>
          <w:bCs/>
          <w:i/>
          <w:iCs/>
          <w:color w:val="000000" w:themeColor="text1"/>
          <w:sz w:val="26"/>
          <w:szCs w:val="26"/>
        </w:rPr>
      </w:pPr>
      <w:r w:rsidRPr="00081762">
        <w:rPr>
          <w:rFonts w:ascii="Times New Roman" w:hAnsi="Times New Roman" w:cs="Times New Roman"/>
          <w:b/>
          <w:bCs/>
          <w:i/>
          <w:iCs/>
          <w:color w:val="000000" w:themeColor="text1"/>
          <w:sz w:val="26"/>
          <w:szCs w:val="26"/>
        </w:rPr>
        <w:t>Maddox Armana interview</w:t>
      </w:r>
    </w:p>
    <w:p w14:paraId="354727CF" w14:textId="7EDAD0F1" w:rsidR="00081762" w:rsidRDefault="00081762" w:rsidP="00081762">
      <w:pPr>
        <w:pStyle w:val="paragraph"/>
        <w:spacing w:before="0" w:beforeAutospacing="0" w:after="0" w:afterAutospacing="0" w:line="480" w:lineRule="auto"/>
        <w:ind w:firstLine="720"/>
        <w:jc w:val="both"/>
        <w:textAlignment w:val="baseline"/>
        <w:rPr>
          <w:sz w:val="18"/>
          <w:szCs w:val="18"/>
        </w:rPr>
      </w:pPr>
      <w:r w:rsidRPr="00081762">
        <w:rPr>
          <w:rStyle w:val="normaltextrun"/>
          <w:color w:val="000000"/>
          <w:sz w:val="26"/>
          <w:szCs w:val="26"/>
        </w:rPr>
        <w:t>After Donovan</w:t>
      </w:r>
      <w:r>
        <w:rPr>
          <w:rStyle w:val="normaltextrun"/>
          <w:color w:val="000000"/>
          <w:sz w:val="26"/>
          <w:szCs w:val="26"/>
        </w:rPr>
        <w:t xml:space="preserve"> </w:t>
      </w:r>
      <w:r w:rsidRPr="00081762">
        <w:rPr>
          <w:rStyle w:val="normaltextrun"/>
          <w:color w:val="000000"/>
          <w:sz w:val="26"/>
          <w:szCs w:val="26"/>
        </w:rPr>
        <w:t>was arrested, defense counsel for Calloway hired Maddox Armana, a private investigator. (Armana Dep. 43:35–43:38.) In anticipation of litigation against Ms. Calloway, Armana was tasked with assisting defense counsel in understanding the financial and organizational structure of Silver Palms and the associated shell companies to prepare a defense for Ms. Calloway. (</w:t>
      </w:r>
      <w:r w:rsidRPr="00081762">
        <w:rPr>
          <w:rStyle w:val="normaltextrun"/>
          <w:i/>
          <w:iCs/>
          <w:color w:val="000000"/>
          <w:sz w:val="26"/>
          <w:szCs w:val="26"/>
        </w:rPr>
        <w:t>Id</w:t>
      </w:r>
      <w:r w:rsidRPr="00081762">
        <w:rPr>
          <w:rStyle w:val="normaltextrun"/>
          <w:color w:val="000000"/>
          <w:sz w:val="26"/>
          <w:szCs w:val="26"/>
        </w:rPr>
        <w:t>. at 44:40–44:45.) Armana’s investigation of the outside vendors led them to Sierra Seton, former Operations Manager for Coastal. (</w:t>
      </w:r>
      <w:r w:rsidRPr="00081762">
        <w:rPr>
          <w:rStyle w:val="normaltextrun"/>
          <w:i/>
          <w:iCs/>
          <w:color w:val="000000"/>
          <w:sz w:val="26"/>
          <w:szCs w:val="26"/>
        </w:rPr>
        <w:t>Id</w:t>
      </w:r>
      <w:r w:rsidRPr="00081762">
        <w:rPr>
          <w:rStyle w:val="normaltextrun"/>
          <w:color w:val="000000"/>
          <w:sz w:val="26"/>
          <w:szCs w:val="26"/>
        </w:rPr>
        <w:t>. at 44:53–44:58.)</w:t>
      </w:r>
      <w:r w:rsidRPr="00081762">
        <w:rPr>
          <w:sz w:val="18"/>
          <w:szCs w:val="18"/>
        </w:rPr>
        <w:t xml:space="preserve"> </w:t>
      </w:r>
    </w:p>
    <w:p w14:paraId="1A3057E3" w14:textId="5166EEC9" w:rsidR="00081762" w:rsidRPr="00081762" w:rsidRDefault="00081762" w:rsidP="00081762">
      <w:pPr>
        <w:pStyle w:val="paragraph"/>
        <w:spacing w:before="0" w:beforeAutospacing="0" w:after="0" w:afterAutospacing="0" w:line="480" w:lineRule="auto"/>
        <w:ind w:firstLine="720"/>
        <w:jc w:val="both"/>
        <w:textAlignment w:val="baseline"/>
        <w:rPr>
          <w:color w:val="000000"/>
          <w:sz w:val="26"/>
          <w:szCs w:val="26"/>
        </w:rPr>
      </w:pPr>
      <w:r w:rsidRPr="00081762">
        <w:rPr>
          <w:rStyle w:val="normaltextrun"/>
          <w:color w:val="000000"/>
          <w:sz w:val="26"/>
          <w:szCs w:val="26"/>
        </w:rPr>
        <w:t>On February 15, 2024, Armana interviewed Seton. The records</w:t>
      </w:r>
      <w:r>
        <w:rPr>
          <w:rStyle w:val="normaltextrun"/>
          <w:color w:val="000000"/>
          <w:sz w:val="26"/>
          <w:szCs w:val="26"/>
        </w:rPr>
        <w:t xml:space="preserve"> </w:t>
      </w:r>
      <w:r w:rsidRPr="00081762">
        <w:rPr>
          <w:rStyle w:val="normaltextrun"/>
          <w:color w:val="000000"/>
          <w:sz w:val="26"/>
          <w:szCs w:val="26"/>
        </w:rPr>
        <w:t>sought are Armana’s interview</w:t>
      </w:r>
      <w:r>
        <w:rPr>
          <w:rStyle w:val="normaltextrun"/>
          <w:color w:val="000000"/>
          <w:sz w:val="26"/>
          <w:szCs w:val="26"/>
        </w:rPr>
        <w:t xml:space="preserve"> notes</w:t>
      </w:r>
      <w:r w:rsidRPr="00081762">
        <w:rPr>
          <w:rStyle w:val="normaltextrun"/>
          <w:color w:val="000000"/>
          <w:sz w:val="26"/>
          <w:szCs w:val="26"/>
        </w:rPr>
        <w:t>.</w:t>
      </w:r>
      <w:r>
        <w:rPr>
          <w:rStyle w:val="normaltextrun"/>
          <w:color w:val="000000"/>
          <w:sz w:val="26"/>
          <w:szCs w:val="26"/>
        </w:rPr>
        <w:t xml:space="preserve"> (Ex. 21.)</w:t>
      </w:r>
      <w:r w:rsidRPr="00081762">
        <w:rPr>
          <w:rStyle w:val="normaltextrun"/>
          <w:color w:val="000000"/>
          <w:sz w:val="26"/>
          <w:szCs w:val="26"/>
        </w:rPr>
        <w:t xml:space="preserve"> Armana’s notes detailed Seton’s knowledge of </w:t>
      </w:r>
      <w:r>
        <w:rPr>
          <w:rStyle w:val="normaltextrun"/>
          <w:color w:val="000000"/>
          <w:sz w:val="26"/>
          <w:szCs w:val="26"/>
        </w:rPr>
        <w:t xml:space="preserve">Coastal’s </w:t>
      </w:r>
      <w:r w:rsidRPr="00081762">
        <w:rPr>
          <w:rStyle w:val="normaltextrun"/>
          <w:color w:val="000000"/>
          <w:sz w:val="26"/>
          <w:szCs w:val="26"/>
        </w:rPr>
        <w:t xml:space="preserve">work performed at Silver Palms, </w:t>
      </w:r>
      <w:r>
        <w:rPr>
          <w:rStyle w:val="normaltextrun"/>
          <w:color w:val="000000"/>
          <w:sz w:val="26"/>
          <w:szCs w:val="26"/>
        </w:rPr>
        <w:t xml:space="preserve">the </w:t>
      </w:r>
      <w:r w:rsidRPr="00081762">
        <w:rPr>
          <w:rStyle w:val="normaltextrun"/>
          <w:color w:val="000000"/>
          <w:sz w:val="26"/>
          <w:szCs w:val="26"/>
        </w:rPr>
        <w:t>nominee</w:t>
      </w:r>
      <w:r>
        <w:rPr>
          <w:rStyle w:val="normaltextrun"/>
          <w:color w:val="000000"/>
          <w:sz w:val="26"/>
          <w:szCs w:val="26"/>
        </w:rPr>
        <w:t xml:space="preserve"> owner</w:t>
      </w:r>
      <w:r w:rsidRPr="00081762">
        <w:rPr>
          <w:rStyle w:val="normaltextrun"/>
          <w:color w:val="000000"/>
          <w:sz w:val="26"/>
          <w:szCs w:val="26"/>
        </w:rPr>
        <w:t xml:space="preserve">, the movement of </w:t>
      </w:r>
      <w:r>
        <w:rPr>
          <w:rStyle w:val="normaltextrun"/>
          <w:color w:val="000000"/>
          <w:sz w:val="26"/>
          <w:szCs w:val="26"/>
        </w:rPr>
        <w:t xml:space="preserve">offshore </w:t>
      </w:r>
      <w:r w:rsidRPr="00081762">
        <w:rPr>
          <w:rStyle w:val="normaltextrun"/>
          <w:color w:val="000000"/>
          <w:sz w:val="26"/>
          <w:szCs w:val="26"/>
        </w:rPr>
        <w:t>funds, and</w:t>
      </w:r>
      <w:r>
        <w:rPr>
          <w:rStyle w:val="normaltextrun"/>
          <w:color w:val="000000"/>
          <w:sz w:val="26"/>
          <w:szCs w:val="26"/>
        </w:rPr>
        <w:t xml:space="preserve"> Armana’s own</w:t>
      </w:r>
      <w:r w:rsidRPr="00081762">
        <w:rPr>
          <w:rStyle w:val="normaltextrun"/>
          <w:color w:val="000000"/>
          <w:sz w:val="26"/>
          <w:szCs w:val="26"/>
        </w:rPr>
        <w:t xml:space="preserve"> mental </w:t>
      </w:r>
      <w:r>
        <w:rPr>
          <w:rStyle w:val="normaltextrun"/>
          <w:color w:val="000000"/>
          <w:sz w:val="26"/>
          <w:szCs w:val="26"/>
        </w:rPr>
        <w:t>impressions.</w:t>
      </w:r>
      <w:r w:rsidRPr="00081762">
        <w:rPr>
          <w:rStyle w:val="normaltextrun"/>
          <w:color w:val="000000"/>
          <w:sz w:val="26"/>
          <w:szCs w:val="26"/>
        </w:rPr>
        <w:t xml:space="preserve"> (Armana Dep. 46:127–46:128.) Shortly after the interview, Seton left the country. (</w:t>
      </w:r>
      <w:r w:rsidRPr="00081762">
        <w:rPr>
          <w:rStyle w:val="normaltextrun"/>
          <w:i/>
          <w:iCs/>
          <w:color w:val="000000"/>
          <w:sz w:val="26"/>
          <w:szCs w:val="26"/>
        </w:rPr>
        <w:t>Id</w:t>
      </w:r>
      <w:r w:rsidRPr="00081762">
        <w:rPr>
          <w:rStyle w:val="normaltextrun"/>
          <w:color w:val="000000"/>
          <w:sz w:val="26"/>
          <w:szCs w:val="26"/>
        </w:rPr>
        <w:t>. at 46:151–46:159.)</w:t>
      </w:r>
      <w:r w:rsidRPr="00081762">
        <w:rPr>
          <w:rStyle w:val="eop"/>
          <w:color w:val="000000"/>
          <w:sz w:val="26"/>
          <w:szCs w:val="26"/>
        </w:rPr>
        <w:t> </w:t>
      </w:r>
    </w:p>
    <w:p w14:paraId="7B8F0828" w14:textId="77777777" w:rsidR="00C67DE2" w:rsidRPr="00081762" w:rsidRDefault="00C67DE2" w:rsidP="00C67DE2">
      <w:pPr>
        <w:spacing w:after="240"/>
        <w:jc w:val="center"/>
        <w:rPr>
          <w:rFonts w:ascii="Times New Roman" w:hAnsi="Times New Roman" w:cs="Times New Roman"/>
          <w:b/>
          <w:bCs/>
          <w:i/>
          <w:iCs/>
          <w:color w:val="000000" w:themeColor="text1"/>
          <w:sz w:val="26"/>
          <w:szCs w:val="26"/>
        </w:rPr>
      </w:pPr>
      <w:r w:rsidRPr="00081762">
        <w:rPr>
          <w:rFonts w:ascii="Times New Roman" w:hAnsi="Times New Roman" w:cs="Times New Roman"/>
          <w:b/>
          <w:bCs/>
          <w:i/>
          <w:iCs/>
          <w:color w:val="000000" w:themeColor="text1"/>
          <w:sz w:val="26"/>
          <w:szCs w:val="26"/>
        </w:rPr>
        <w:lastRenderedPageBreak/>
        <w:t>Bifurcation of Investigations &amp; Grant of Immunity</w:t>
      </w:r>
    </w:p>
    <w:p w14:paraId="3938F293" w14:textId="2798B0F4" w:rsidR="00C67DE2" w:rsidRPr="00081762" w:rsidRDefault="00C67DE2" w:rsidP="00081762">
      <w:pPr>
        <w:spacing w:line="480" w:lineRule="auto"/>
        <w:ind w:firstLine="720"/>
        <w:contextualSpacing/>
        <w:jc w:val="both"/>
        <w:rPr>
          <w:rFonts w:ascii="Times New Roman" w:hAnsi="Times New Roman" w:cs="Times New Roman"/>
          <w:color w:val="000000" w:themeColor="text1"/>
          <w:sz w:val="26"/>
          <w:szCs w:val="26"/>
        </w:rPr>
      </w:pPr>
      <w:r w:rsidRPr="00081762">
        <w:rPr>
          <w:rFonts w:ascii="Times New Roman" w:hAnsi="Times New Roman" w:cs="Times New Roman"/>
          <w:color w:val="000000" w:themeColor="text1"/>
          <w:sz w:val="26"/>
          <w:szCs w:val="26"/>
        </w:rPr>
        <w:t xml:space="preserve">The government chose to compel Ms. Calloway’s testimony, for use against Donovan. Investigations into Donovan and Ms. Calloway were bifurcated following the August 23, 2024, Immunity Order. (Ex. </w:t>
      </w:r>
      <w:r w:rsidR="00081762">
        <w:rPr>
          <w:rFonts w:ascii="Times New Roman" w:hAnsi="Times New Roman" w:cs="Times New Roman"/>
          <w:color w:val="000000" w:themeColor="text1"/>
          <w:sz w:val="26"/>
          <w:szCs w:val="26"/>
        </w:rPr>
        <w:t>12</w:t>
      </w:r>
      <w:r w:rsidRPr="00081762">
        <w:rPr>
          <w:rFonts w:ascii="Times New Roman" w:hAnsi="Times New Roman" w:cs="Times New Roman"/>
          <w:color w:val="000000" w:themeColor="text1"/>
          <w:sz w:val="26"/>
          <w:szCs w:val="26"/>
        </w:rPr>
        <w:t>.) Sinclair handled the Donovan investigation, and met with Ms. Calloway and her counsel on August 28, 2024, to understand what she would testify about on October 10, 2024. (</w:t>
      </w:r>
      <w:r w:rsidR="00081762" w:rsidRPr="00081762">
        <w:rPr>
          <w:rFonts w:ascii="Times New Roman" w:hAnsi="Times New Roman" w:cs="Times New Roman"/>
          <w:color w:val="000000" w:themeColor="text1"/>
          <w:sz w:val="26"/>
          <w:szCs w:val="26"/>
        </w:rPr>
        <w:t>S</w:t>
      </w:r>
      <w:r w:rsidR="00081762" w:rsidRPr="00081762">
        <w:rPr>
          <w:rStyle w:val="normaltextrun"/>
          <w:rFonts w:ascii="Times New Roman" w:hAnsi="Times New Roman" w:cs="Times New Roman"/>
          <w:color w:val="000000"/>
          <w:sz w:val="26"/>
          <w:szCs w:val="26"/>
          <w:shd w:val="clear" w:color="auto" w:fill="FFFFFF"/>
        </w:rPr>
        <w:t>inclair Dep. 22:554–22</w:t>
      </w:r>
      <w:r w:rsidR="00081762">
        <w:rPr>
          <w:rStyle w:val="normaltextrun"/>
          <w:rFonts w:ascii="Times New Roman" w:hAnsi="Times New Roman" w:cs="Times New Roman"/>
          <w:color w:val="000000"/>
          <w:sz w:val="26"/>
          <w:szCs w:val="26"/>
          <w:shd w:val="clear" w:color="auto" w:fill="FFFFFF"/>
        </w:rPr>
        <w:t xml:space="preserve">:555.) </w:t>
      </w:r>
      <w:r w:rsidRPr="00081762">
        <w:rPr>
          <w:rFonts w:ascii="Times New Roman" w:hAnsi="Times New Roman" w:cs="Times New Roman"/>
          <w:color w:val="000000" w:themeColor="text1"/>
          <w:sz w:val="26"/>
          <w:szCs w:val="26"/>
        </w:rPr>
        <w:t xml:space="preserve">Nolan took over the Calloway investigation. </w:t>
      </w:r>
    </w:p>
    <w:p w14:paraId="58BEB79C" w14:textId="0BD9A5F9" w:rsidR="00C67DE2" w:rsidRPr="00081762" w:rsidRDefault="00C67DE2" w:rsidP="00081762">
      <w:pPr>
        <w:spacing w:line="480" w:lineRule="auto"/>
        <w:ind w:firstLine="720"/>
        <w:contextualSpacing/>
        <w:jc w:val="both"/>
        <w:rPr>
          <w:rFonts w:ascii="Times New Roman" w:hAnsi="Times New Roman" w:cs="Times New Roman"/>
          <w:color w:val="000000"/>
          <w:sz w:val="26"/>
          <w:szCs w:val="26"/>
        </w:rPr>
      </w:pPr>
      <w:r w:rsidRPr="00081762">
        <w:rPr>
          <w:rFonts w:ascii="Times New Roman" w:hAnsi="Times New Roman" w:cs="Times New Roman"/>
          <w:color w:val="000000" w:themeColor="text1"/>
          <w:sz w:val="26"/>
          <w:szCs w:val="26"/>
        </w:rPr>
        <w:t>Ms. Calloway named Kennedy Parker, a Silver Palm employee, in her compelled statements. (</w:t>
      </w:r>
      <w:r w:rsidR="00081762">
        <w:rPr>
          <w:rFonts w:ascii="Times New Roman" w:hAnsi="Times New Roman" w:cs="Times New Roman"/>
          <w:color w:val="000000" w:themeColor="text1"/>
          <w:sz w:val="26"/>
          <w:szCs w:val="26"/>
        </w:rPr>
        <w:t>Ex. 13</w:t>
      </w:r>
      <w:r w:rsidRPr="00081762">
        <w:rPr>
          <w:rFonts w:ascii="Times New Roman" w:hAnsi="Times New Roman" w:cs="Times New Roman"/>
          <w:color w:val="000000" w:themeColor="text1"/>
          <w:sz w:val="26"/>
          <w:szCs w:val="26"/>
        </w:rPr>
        <w:t>.) This is the only person named in Ms. Calloway’s testimony and this is the first time in the investigation that a witness identified Parker. Prior to Sinclair’s initial meeting with Ms. Calloway, Parker appeared only on the employee roster subpoenaed in February 2024, but afterward she appeared on two interview lists generated by Nolan. (Ex.</w:t>
      </w:r>
      <w:r w:rsidR="00081762">
        <w:rPr>
          <w:rFonts w:ascii="Times New Roman" w:hAnsi="Times New Roman" w:cs="Times New Roman"/>
          <w:color w:val="000000" w:themeColor="text1"/>
          <w:sz w:val="26"/>
          <w:szCs w:val="26"/>
        </w:rPr>
        <w:t xml:space="preserve"> </w:t>
      </w:r>
      <w:r w:rsidRPr="00081762">
        <w:rPr>
          <w:rFonts w:ascii="Times New Roman" w:hAnsi="Times New Roman" w:cs="Times New Roman"/>
          <w:color w:val="000000" w:themeColor="text1"/>
          <w:sz w:val="26"/>
          <w:szCs w:val="26"/>
        </w:rPr>
        <w:t xml:space="preserve">16, </w:t>
      </w:r>
      <w:r w:rsidR="00081762">
        <w:rPr>
          <w:rFonts w:ascii="Times New Roman" w:hAnsi="Times New Roman" w:cs="Times New Roman"/>
          <w:color w:val="000000" w:themeColor="text1"/>
          <w:sz w:val="26"/>
          <w:szCs w:val="26"/>
        </w:rPr>
        <w:t xml:space="preserve">Ex. </w:t>
      </w:r>
      <w:r w:rsidRPr="00081762">
        <w:rPr>
          <w:rFonts w:ascii="Times New Roman" w:hAnsi="Times New Roman" w:cs="Times New Roman"/>
          <w:color w:val="000000" w:themeColor="text1"/>
          <w:sz w:val="26"/>
          <w:szCs w:val="26"/>
        </w:rPr>
        <w:t xml:space="preserve">17.) </w:t>
      </w:r>
      <w:r w:rsidRPr="00081762">
        <w:rPr>
          <w:rFonts w:ascii="Times New Roman" w:hAnsi="Times New Roman" w:cs="Times New Roman"/>
          <w:color w:val="000000"/>
          <w:sz w:val="26"/>
          <w:szCs w:val="26"/>
        </w:rPr>
        <w:t xml:space="preserve">On October 14, 2024, the Gulf Haven Tribune reported on Emily Calloway’s testimony. (Ex. 14.) This testimony </w:t>
      </w:r>
      <w:r w:rsidR="00081762">
        <w:rPr>
          <w:rFonts w:ascii="Times New Roman" w:hAnsi="Times New Roman" w:cs="Times New Roman"/>
          <w:color w:val="000000"/>
          <w:sz w:val="26"/>
          <w:szCs w:val="26"/>
        </w:rPr>
        <w:t>was</w:t>
      </w:r>
      <w:r w:rsidRPr="00081762">
        <w:rPr>
          <w:rFonts w:ascii="Times New Roman" w:hAnsi="Times New Roman" w:cs="Times New Roman"/>
          <w:color w:val="000000"/>
          <w:sz w:val="26"/>
          <w:szCs w:val="26"/>
        </w:rPr>
        <w:t xml:space="preserve"> also broadcast on local media channels</w:t>
      </w:r>
      <w:r w:rsidR="00081762">
        <w:rPr>
          <w:rFonts w:ascii="Times New Roman" w:hAnsi="Times New Roman" w:cs="Times New Roman"/>
          <w:color w:val="000000"/>
          <w:sz w:val="26"/>
          <w:szCs w:val="26"/>
        </w:rPr>
        <w:t>.</w:t>
      </w:r>
      <w:r w:rsidRPr="00081762">
        <w:rPr>
          <w:rFonts w:ascii="Times New Roman" w:hAnsi="Times New Roman" w:cs="Times New Roman"/>
          <w:color w:val="000000"/>
          <w:sz w:val="26"/>
          <w:szCs w:val="26"/>
        </w:rPr>
        <w:t xml:space="preserve"> (Sinclair Dep. 23:597-23:598). </w:t>
      </w:r>
    </w:p>
    <w:p w14:paraId="7BF9C222" w14:textId="623F1E51" w:rsidR="00AC3016" w:rsidRPr="00081762" w:rsidRDefault="00C67DE2" w:rsidP="00081762">
      <w:pPr>
        <w:spacing w:line="480" w:lineRule="auto"/>
        <w:ind w:firstLine="720"/>
        <w:contextualSpacing/>
        <w:jc w:val="both"/>
        <w:rPr>
          <w:rFonts w:ascii="Times New Roman" w:hAnsi="Times New Roman" w:cs="Times New Roman"/>
          <w:color w:val="000000" w:themeColor="text1"/>
          <w:sz w:val="26"/>
          <w:szCs w:val="26"/>
        </w:rPr>
      </w:pPr>
      <w:r w:rsidRPr="00081762">
        <w:rPr>
          <w:rFonts w:ascii="Times New Roman" w:hAnsi="Times New Roman" w:cs="Times New Roman"/>
          <w:color w:val="000000"/>
          <w:sz w:val="26"/>
          <w:szCs w:val="26"/>
        </w:rPr>
        <w:t>Nolan interview</w:t>
      </w:r>
      <w:r w:rsidR="00081762">
        <w:rPr>
          <w:rFonts w:ascii="Times New Roman" w:hAnsi="Times New Roman" w:cs="Times New Roman"/>
          <w:color w:val="000000"/>
          <w:sz w:val="26"/>
          <w:szCs w:val="26"/>
        </w:rPr>
        <w:t>ed</w:t>
      </w:r>
      <w:r w:rsidRPr="00081762">
        <w:rPr>
          <w:rFonts w:ascii="Times New Roman" w:hAnsi="Times New Roman" w:cs="Times New Roman"/>
          <w:color w:val="000000"/>
          <w:sz w:val="26"/>
          <w:szCs w:val="26"/>
        </w:rPr>
        <w:t xml:space="preserve"> Parker on October 31, 2024; this is the first time Parker is contacted by investigators. (</w:t>
      </w:r>
      <w:r w:rsidR="00081762" w:rsidRPr="00081762">
        <w:rPr>
          <w:rStyle w:val="normaltextrun"/>
          <w:rFonts w:ascii="Times New Roman" w:hAnsi="Times New Roman" w:cs="Times New Roman"/>
          <w:color w:val="000000"/>
          <w:sz w:val="26"/>
          <w:szCs w:val="26"/>
          <w:shd w:val="clear" w:color="auto" w:fill="FFFFFF"/>
        </w:rPr>
        <w:t>Parker Dep. 39:227–39:228.</w:t>
      </w:r>
      <w:r w:rsidRPr="00081762">
        <w:rPr>
          <w:rFonts w:ascii="Times New Roman" w:hAnsi="Times New Roman" w:cs="Times New Roman"/>
          <w:color w:val="000000"/>
          <w:sz w:val="26"/>
          <w:szCs w:val="26"/>
        </w:rPr>
        <w:t>)</w:t>
      </w:r>
      <w:r w:rsidR="00081762">
        <w:rPr>
          <w:rFonts w:ascii="Times New Roman" w:hAnsi="Times New Roman" w:cs="Times New Roman"/>
          <w:color w:val="000000"/>
          <w:sz w:val="26"/>
          <w:szCs w:val="26"/>
        </w:rPr>
        <w:t xml:space="preserve"> </w:t>
      </w:r>
      <w:r w:rsidRPr="00081762">
        <w:rPr>
          <w:rFonts w:ascii="Times New Roman" w:hAnsi="Times New Roman" w:cs="Times New Roman"/>
          <w:color w:val="000000"/>
          <w:sz w:val="26"/>
          <w:szCs w:val="26"/>
        </w:rPr>
        <w:t>Parker’s testimony leads investigators to a previously unknown storage unit containing otherwise unrecoverable Coastal records. (</w:t>
      </w:r>
      <w:r w:rsidR="00081762" w:rsidRPr="00081762">
        <w:rPr>
          <w:rStyle w:val="normaltextrun"/>
          <w:rFonts w:ascii="Times New Roman" w:hAnsi="Times New Roman" w:cs="Times New Roman"/>
          <w:color w:val="000000"/>
          <w:sz w:val="26"/>
          <w:szCs w:val="26"/>
          <w:shd w:val="clear" w:color="auto" w:fill="FFFFFF"/>
        </w:rPr>
        <w:t>Nolan Dep. 32:346–33:348.)</w:t>
      </w:r>
      <w:r w:rsidR="00081762">
        <w:rPr>
          <w:rStyle w:val="normaltextrun"/>
          <w:color w:val="000000"/>
          <w:sz w:val="26"/>
          <w:szCs w:val="26"/>
          <w:shd w:val="clear" w:color="auto" w:fill="FFFFFF"/>
        </w:rPr>
        <w:t xml:space="preserve"> </w:t>
      </w:r>
      <w:r w:rsidRPr="00081762">
        <w:rPr>
          <w:rFonts w:ascii="Times New Roman" w:hAnsi="Times New Roman" w:cs="Times New Roman"/>
          <w:color w:val="000000"/>
          <w:sz w:val="26"/>
          <w:szCs w:val="26"/>
        </w:rPr>
        <w:t xml:space="preserve">One document identifies Emily Calloway as the beneficiary of the Coastal account. (Ex. 19.) </w:t>
      </w:r>
    </w:p>
    <w:p w14:paraId="34AE5D7F" w14:textId="5961B6F7" w:rsidR="00FF7153" w:rsidRPr="00081762" w:rsidRDefault="00F9582C" w:rsidP="00FF7153">
      <w:pPr>
        <w:pStyle w:val="Heading1"/>
        <w:spacing w:before="0" w:after="0" w:line="480" w:lineRule="auto"/>
        <w:jc w:val="center"/>
        <w:rPr>
          <w:rFonts w:ascii="Times New Roman" w:hAnsi="Times New Roman" w:cs="Times New Roman"/>
          <w:b/>
          <w:bCs/>
          <w:smallCaps/>
          <w:color w:val="000000" w:themeColor="text1"/>
          <w:sz w:val="26"/>
          <w:szCs w:val="26"/>
        </w:rPr>
      </w:pPr>
      <w:bookmarkStart w:id="3" w:name="_Toc207630153"/>
      <w:r w:rsidRPr="00081762">
        <w:rPr>
          <w:rFonts w:ascii="Times New Roman" w:hAnsi="Times New Roman" w:cs="Times New Roman"/>
          <w:b/>
          <w:bCs/>
          <w:smallCaps/>
          <w:color w:val="000000" w:themeColor="text1"/>
          <w:sz w:val="26"/>
          <w:szCs w:val="26"/>
        </w:rPr>
        <w:lastRenderedPageBreak/>
        <w:t>Argument</w:t>
      </w:r>
      <w:bookmarkEnd w:id="3"/>
      <w:r w:rsidR="00AC3016" w:rsidRPr="00081762">
        <w:rPr>
          <w:rFonts w:ascii="Times New Roman" w:hAnsi="Times New Roman" w:cs="Times New Roman"/>
          <w:b/>
          <w:bCs/>
          <w:color w:val="000000" w:themeColor="text1"/>
          <w:sz w:val="26"/>
          <w:szCs w:val="26"/>
        </w:rPr>
        <w:t xml:space="preserve"> </w:t>
      </w:r>
    </w:p>
    <w:p w14:paraId="1D414196" w14:textId="41AAE7A9" w:rsidR="00AC3016" w:rsidRPr="00081762" w:rsidRDefault="00AC3016" w:rsidP="007B16A2">
      <w:pPr>
        <w:pStyle w:val="ListParagraph"/>
        <w:numPr>
          <w:ilvl w:val="0"/>
          <w:numId w:val="23"/>
        </w:numPr>
        <w:ind w:left="720"/>
        <w:jc w:val="both"/>
        <w:outlineLvl w:val="1"/>
        <w:rPr>
          <w:rFonts w:ascii="Times New Roman" w:hAnsi="Times New Roman" w:cs="Times New Roman"/>
          <w:b/>
          <w:bCs/>
          <w:color w:val="000000" w:themeColor="text1"/>
          <w:sz w:val="26"/>
          <w:szCs w:val="26"/>
        </w:rPr>
      </w:pPr>
      <w:r w:rsidRPr="00081762">
        <w:rPr>
          <w:rFonts w:ascii="Times New Roman" w:hAnsi="Times New Roman" w:cs="Times New Roman"/>
          <w:b/>
          <w:bCs/>
          <w:color w:val="000000" w:themeColor="text1"/>
          <w:sz w:val="26"/>
          <w:szCs w:val="26"/>
        </w:rPr>
        <w:t xml:space="preserve">Defendant’s Motion to Suppress Evidence Obtained in Violation of Court Order Should be </w:t>
      </w:r>
      <w:r w:rsidR="000F4E08" w:rsidRPr="00081762">
        <w:rPr>
          <w:rFonts w:ascii="Times New Roman" w:hAnsi="Times New Roman" w:cs="Times New Roman"/>
          <w:b/>
          <w:bCs/>
          <w:color w:val="000000" w:themeColor="text1"/>
          <w:sz w:val="26"/>
          <w:szCs w:val="26"/>
        </w:rPr>
        <w:t>Denied</w:t>
      </w:r>
      <w:r w:rsidR="00C27FAB" w:rsidRPr="00081762">
        <w:rPr>
          <w:rFonts w:ascii="Times New Roman" w:hAnsi="Times New Roman" w:cs="Times New Roman"/>
          <w:b/>
          <w:bCs/>
          <w:color w:val="000000" w:themeColor="text1"/>
          <w:sz w:val="26"/>
          <w:szCs w:val="26"/>
        </w:rPr>
        <w:t>.</w:t>
      </w:r>
    </w:p>
    <w:p w14:paraId="328588D7" w14:textId="77777777" w:rsidR="00C67DE2" w:rsidRPr="00081762" w:rsidRDefault="00C67DE2" w:rsidP="00C67DE2">
      <w:pPr>
        <w:pStyle w:val="ListParagraph"/>
        <w:jc w:val="both"/>
        <w:outlineLvl w:val="1"/>
        <w:rPr>
          <w:rFonts w:ascii="Times New Roman" w:hAnsi="Times New Roman" w:cs="Times New Roman"/>
          <w:b/>
          <w:bCs/>
          <w:color w:val="000000" w:themeColor="text1"/>
          <w:sz w:val="26"/>
          <w:szCs w:val="26"/>
        </w:rPr>
      </w:pPr>
    </w:p>
    <w:p w14:paraId="378D577D" w14:textId="05313701" w:rsidR="00C67DE2" w:rsidRPr="00081762" w:rsidRDefault="00C67DE2" w:rsidP="00C67DE2">
      <w:pPr>
        <w:pStyle w:val="paragraph"/>
        <w:spacing w:before="0" w:beforeAutospacing="0" w:after="0" w:afterAutospacing="0" w:line="480" w:lineRule="auto"/>
        <w:ind w:firstLine="360"/>
        <w:jc w:val="both"/>
        <w:textAlignment w:val="baseline"/>
        <w:rPr>
          <w:sz w:val="26"/>
          <w:szCs w:val="26"/>
        </w:rPr>
      </w:pPr>
      <w:r w:rsidRPr="00081762">
        <w:rPr>
          <w:rStyle w:val="normaltextrun"/>
          <w:color w:val="000000"/>
          <w:sz w:val="26"/>
          <w:szCs w:val="26"/>
        </w:rPr>
        <w:t>Emily Calloway received use and derivative use immunity pursuant to Title 18, United States Code Sections 6002, 6003 on August 23, 2024. (Ex. 12) This immunity protects against criminal prosecution arising out of any testimony or other information compelled in </w:t>
      </w:r>
      <w:r w:rsidRPr="00081762">
        <w:rPr>
          <w:rStyle w:val="normaltextrun"/>
          <w:i/>
          <w:iCs/>
          <w:color w:val="000000"/>
          <w:sz w:val="26"/>
          <w:szCs w:val="26"/>
        </w:rPr>
        <w:t>United States v. Donovan</w:t>
      </w:r>
      <w:r w:rsidRPr="00081762">
        <w:rPr>
          <w:rStyle w:val="normaltextrun"/>
          <w:color w:val="000000"/>
          <w:sz w:val="26"/>
          <w:szCs w:val="26"/>
        </w:rPr>
        <w:t>, Case No. 2024-CF-00416</w:t>
      </w:r>
      <w:r w:rsidR="00081762">
        <w:rPr>
          <w:rStyle w:val="normaltextrun"/>
          <w:color w:val="000000"/>
          <w:sz w:val="26"/>
          <w:szCs w:val="26"/>
        </w:rPr>
        <w:t xml:space="preserve">. </w:t>
      </w:r>
      <w:r w:rsidRPr="00081762">
        <w:rPr>
          <w:rStyle w:val="normaltextrun"/>
          <w:color w:val="000000"/>
          <w:sz w:val="26"/>
          <w:szCs w:val="26"/>
        </w:rPr>
        <w:t xml:space="preserve">Ms. Calloway is entitled to a </w:t>
      </w:r>
      <w:r w:rsidR="00081762" w:rsidRPr="00081762">
        <w:rPr>
          <w:rStyle w:val="normaltextrun"/>
          <w:i/>
          <w:iCs/>
          <w:color w:val="000000"/>
          <w:sz w:val="26"/>
          <w:szCs w:val="26"/>
        </w:rPr>
        <w:t xml:space="preserve">Kastigar </w:t>
      </w:r>
      <w:r w:rsidRPr="00081762">
        <w:rPr>
          <w:rStyle w:val="normaltextrun"/>
          <w:color w:val="000000"/>
          <w:sz w:val="26"/>
          <w:szCs w:val="26"/>
        </w:rPr>
        <w:t>hearing</w:t>
      </w:r>
      <w:r w:rsidRPr="00081762">
        <w:rPr>
          <w:rStyle w:val="normaltextrun"/>
          <w:i/>
          <w:iCs/>
          <w:color w:val="000000"/>
          <w:sz w:val="26"/>
          <w:szCs w:val="26"/>
        </w:rPr>
        <w:t xml:space="preserve"> </w:t>
      </w:r>
      <w:r w:rsidRPr="00081762">
        <w:rPr>
          <w:rStyle w:val="normaltextrun"/>
          <w:color w:val="000000"/>
          <w:sz w:val="26"/>
          <w:szCs w:val="26"/>
        </w:rPr>
        <w:t xml:space="preserve">on the grounds </w:t>
      </w:r>
      <w:r w:rsidR="00081762">
        <w:rPr>
          <w:rStyle w:val="normaltextrun"/>
          <w:color w:val="000000"/>
          <w:sz w:val="26"/>
          <w:szCs w:val="26"/>
        </w:rPr>
        <w:t xml:space="preserve">that </w:t>
      </w:r>
      <w:r w:rsidRPr="00081762">
        <w:rPr>
          <w:rStyle w:val="normaltextrun"/>
          <w:color w:val="000000"/>
          <w:sz w:val="26"/>
          <w:szCs w:val="26"/>
        </w:rPr>
        <w:t>evidence discovered by the United States on November 5, 2024, labeled as Exhibit 19 and the testimony of Kennedy Parker should be suppressed. </w:t>
      </w:r>
      <w:r w:rsidRPr="00081762">
        <w:rPr>
          <w:rStyle w:val="normaltextrun"/>
          <w:i/>
          <w:iCs/>
          <w:color w:val="000000"/>
          <w:sz w:val="26"/>
          <w:szCs w:val="26"/>
        </w:rPr>
        <w:t>Kastigar v. United States</w:t>
      </w:r>
      <w:r w:rsidRPr="00081762">
        <w:rPr>
          <w:rStyle w:val="normaltextrun"/>
          <w:color w:val="000000"/>
          <w:sz w:val="26"/>
          <w:szCs w:val="26"/>
        </w:rPr>
        <w:t>, 406 U.S. 441 (1972).</w:t>
      </w:r>
    </w:p>
    <w:p w14:paraId="44621892" w14:textId="1BC0FE9F" w:rsidR="00C67DE2" w:rsidRPr="00081762" w:rsidRDefault="00C67DE2" w:rsidP="00C67DE2">
      <w:pPr>
        <w:pStyle w:val="paragraph"/>
        <w:spacing w:before="0" w:beforeAutospacing="0" w:after="0" w:afterAutospacing="0" w:line="480" w:lineRule="auto"/>
        <w:ind w:firstLine="360"/>
        <w:jc w:val="both"/>
        <w:textAlignment w:val="baseline"/>
        <w:rPr>
          <w:sz w:val="26"/>
          <w:szCs w:val="26"/>
        </w:rPr>
      </w:pPr>
      <w:r w:rsidRPr="00081762">
        <w:rPr>
          <w:rStyle w:val="normaltextrun"/>
          <w:color w:val="000000"/>
          <w:sz w:val="26"/>
          <w:szCs w:val="26"/>
        </w:rPr>
        <w:t>Immunity pursuant to 18 U.S.C. § 6002, 6003 protects the privilege against self-incrimination by ensuring that no testimony or other information compelled under the order – or any information directly or indirectly derived from such testimony– may be used against the witness in any criminal case. This insulation</w:t>
      </w:r>
      <w:r w:rsidR="00081762" w:rsidRPr="00081762">
        <w:rPr>
          <w:rStyle w:val="normaltextrun"/>
          <w:color w:val="000000"/>
          <w:sz w:val="26"/>
          <w:szCs w:val="26"/>
        </w:rPr>
        <w:t xml:space="preserve"> </w:t>
      </w:r>
      <w:r w:rsidRPr="00081762">
        <w:rPr>
          <w:rStyle w:val="normaltextrun"/>
          <w:color w:val="000000"/>
          <w:sz w:val="26"/>
          <w:szCs w:val="26"/>
        </w:rPr>
        <w:t>began when the compelled statements were originally made on August 28, 2024. (Sinclair Dep. 22:554–22:555.) Any evidence obtained after this date that cannot be traced to a wholly independent investigatory source must be suppressed. </w:t>
      </w:r>
      <w:r w:rsidRPr="00081762">
        <w:rPr>
          <w:rStyle w:val="normaltextrun"/>
          <w:i/>
          <w:iCs/>
          <w:color w:val="000000"/>
          <w:sz w:val="26"/>
          <w:szCs w:val="26"/>
        </w:rPr>
        <w:t>Kastigar</w:t>
      </w:r>
      <w:r w:rsidRPr="00081762">
        <w:rPr>
          <w:rStyle w:val="normaltextrun"/>
          <w:color w:val="000000"/>
          <w:sz w:val="26"/>
          <w:szCs w:val="26"/>
        </w:rPr>
        <w:t>, 406 U.S. at 460.</w:t>
      </w:r>
    </w:p>
    <w:p w14:paraId="276CE292" w14:textId="24159E82" w:rsidR="00F9582C" w:rsidRPr="00081762" w:rsidRDefault="004149CB" w:rsidP="002E4103">
      <w:pPr>
        <w:pStyle w:val="ListParagraph"/>
        <w:keepNext/>
        <w:numPr>
          <w:ilvl w:val="0"/>
          <w:numId w:val="4"/>
        </w:numPr>
        <w:ind w:left="1440" w:hanging="810"/>
        <w:jc w:val="both"/>
        <w:outlineLvl w:val="2"/>
        <w:rPr>
          <w:rFonts w:ascii="Times New Roman" w:hAnsi="Times New Roman" w:cs="Times New Roman"/>
          <w:b/>
          <w:bCs/>
          <w:color w:val="000000" w:themeColor="text1"/>
          <w:sz w:val="26"/>
          <w:szCs w:val="26"/>
        </w:rPr>
      </w:pPr>
      <w:r w:rsidRPr="00081762">
        <w:rPr>
          <w:rFonts w:ascii="Times New Roman" w:hAnsi="Times New Roman" w:cs="Times New Roman"/>
          <w:b/>
          <w:bCs/>
          <w:color w:val="000000" w:themeColor="text1"/>
          <w:sz w:val="26"/>
          <w:szCs w:val="26"/>
        </w:rPr>
        <w:t xml:space="preserve">Violation of An Immunity Order is a Constitutional Violation of the Fifth Amendment Right Against Self Incrimination. </w:t>
      </w:r>
      <w:r w:rsidR="00AC3016" w:rsidRPr="00081762">
        <w:rPr>
          <w:rFonts w:ascii="Times New Roman" w:hAnsi="Times New Roman" w:cs="Times New Roman"/>
          <w:b/>
          <w:bCs/>
          <w:color w:val="000000" w:themeColor="text1"/>
          <w:sz w:val="26"/>
          <w:szCs w:val="26"/>
        </w:rPr>
        <w:t xml:space="preserve"> </w:t>
      </w:r>
    </w:p>
    <w:p w14:paraId="3E6C9E21" w14:textId="77777777" w:rsidR="00C67DE2" w:rsidRPr="00081762" w:rsidRDefault="00C67DE2" w:rsidP="00C67DE2">
      <w:pPr>
        <w:pStyle w:val="ListParagraph"/>
        <w:keepNext/>
        <w:ind w:left="1440"/>
        <w:jc w:val="both"/>
        <w:outlineLvl w:val="2"/>
        <w:rPr>
          <w:rFonts w:ascii="Times New Roman" w:hAnsi="Times New Roman" w:cs="Times New Roman"/>
          <w:b/>
          <w:bCs/>
          <w:color w:val="000000" w:themeColor="text1"/>
          <w:sz w:val="26"/>
          <w:szCs w:val="26"/>
        </w:rPr>
      </w:pPr>
    </w:p>
    <w:p w14:paraId="0101FBC4" w14:textId="665A4262" w:rsidR="00C67DE2" w:rsidRPr="00081762" w:rsidRDefault="00C67DE2" w:rsidP="00C67DE2">
      <w:pPr>
        <w:pStyle w:val="paragraph"/>
        <w:spacing w:before="0" w:beforeAutospacing="0" w:after="0" w:afterAutospacing="0" w:line="480" w:lineRule="auto"/>
        <w:ind w:firstLine="630"/>
        <w:jc w:val="both"/>
        <w:textAlignment w:val="baseline"/>
        <w:rPr>
          <w:sz w:val="26"/>
          <w:szCs w:val="26"/>
        </w:rPr>
      </w:pPr>
      <w:r w:rsidRPr="00081762">
        <w:rPr>
          <w:rStyle w:val="normaltextrun"/>
          <w:color w:val="000000"/>
          <w:sz w:val="26"/>
          <w:szCs w:val="26"/>
        </w:rPr>
        <w:t xml:space="preserve">The Fifth Amendment enshrines that no person shall be compelled in any criminal case to be a witness against himself, nor deprived of life, liberty, or property, without due process of law. U.S. Const. Amend. V. The proponent of a motion to suppress has the burden of adducing facts at the suppression hearing indicating that the proponent’s own </w:t>
      </w:r>
      <w:r w:rsidRPr="00081762">
        <w:rPr>
          <w:rStyle w:val="normaltextrun"/>
          <w:color w:val="000000"/>
          <w:sz w:val="26"/>
          <w:szCs w:val="26"/>
        </w:rPr>
        <w:lastRenderedPageBreak/>
        <w:t>rights were violated. </w:t>
      </w:r>
      <w:r w:rsidRPr="00081762">
        <w:rPr>
          <w:rStyle w:val="normaltextrun"/>
          <w:i/>
          <w:iCs/>
          <w:color w:val="000000"/>
          <w:sz w:val="26"/>
          <w:szCs w:val="26"/>
        </w:rPr>
        <w:t>United States v. Eckhart</w:t>
      </w:r>
      <w:r w:rsidRPr="00081762">
        <w:rPr>
          <w:rStyle w:val="normaltextrun"/>
          <w:color w:val="000000"/>
          <w:sz w:val="26"/>
          <w:szCs w:val="26"/>
        </w:rPr>
        <w:t>, 569 F.3d 1263, 1274 (10th Cir. 2009). Ms. Calloway’s Fifth Amendment right against self-incrimination was violated by the government’s failure to adhere to its evidentiary and investigative obligations under the Immunity Order.</w:t>
      </w:r>
    </w:p>
    <w:p w14:paraId="4424504A" w14:textId="77777777" w:rsidR="00C67DE2" w:rsidRPr="00081762" w:rsidRDefault="00C67DE2" w:rsidP="00C67DE2">
      <w:pPr>
        <w:pStyle w:val="paragraph"/>
        <w:spacing w:before="0" w:beforeAutospacing="0" w:after="0" w:afterAutospacing="0" w:line="480" w:lineRule="auto"/>
        <w:ind w:firstLine="720"/>
        <w:jc w:val="both"/>
        <w:textAlignment w:val="baseline"/>
        <w:rPr>
          <w:sz w:val="26"/>
          <w:szCs w:val="26"/>
        </w:rPr>
      </w:pPr>
      <w:r w:rsidRPr="00081762">
        <w:rPr>
          <w:rStyle w:val="normaltextrun"/>
          <w:color w:val="000000"/>
          <w:sz w:val="26"/>
          <w:szCs w:val="26"/>
        </w:rPr>
        <w:t>The United States Supreme Court in </w:t>
      </w:r>
      <w:r w:rsidRPr="00081762">
        <w:rPr>
          <w:rStyle w:val="normaltextrun"/>
          <w:i/>
          <w:iCs/>
          <w:color w:val="000000"/>
          <w:sz w:val="26"/>
          <w:szCs w:val="26"/>
        </w:rPr>
        <w:t>Kastigar</w:t>
      </w:r>
      <w:r w:rsidRPr="00081762">
        <w:rPr>
          <w:rStyle w:val="normaltextrun"/>
          <w:color w:val="000000"/>
          <w:sz w:val="26"/>
          <w:szCs w:val="26"/>
        </w:rPr>
        <w:t>, grappled with the implications of compelled testimony with respect to the Fifth Amendment privilege against self-incrimination. </w:t>
      </w:r>
      <w:r w:rsidRPr="00081762">
        <w:rPr>
          <w:rStyle w:val="normaltextrun"/>
          <w:i/>
          <w:iCs/>
          <w:color w:val="000000"/>
          <w:sz w:val="26"/>
          <w:szCs w:val="26"/>
        </w:rPr>
        <w:t>Kastigar</w:t>
      </w:r>
      <w:r w:rsidRPr="00081762">
        <w:rPr>
          <w:rStyle w:val="normaltextrun"/>
          <w:color w:val="000000"/>
          <w:sz w:val="26"/>
          <w:szCs w:val="26"/>
        </w:rPr>
        <w:t>, 406 U.S. at 442. The Court in </w:t>
      </w:r>
      <w:r w:rsidRPr="00081762">
        <w:rPr>
          <w:rStyle w:val="normaltextrun"/>
          <w:i/>
          <w:iCs/>
          <w:color w:val="000000"/>
          <w:sz w:val="26"/>
          <w:szCs w:val="26"/>
        </w:rPr>
        <w:t>Kastigar </w:t>
      </w:r>
      <w:r w:rsidRPr="00081762">
        <w:rPr>
          <w:rStyle w:val="normaltextrun"/>
          <w:color w:val="000000"/>
          <w:sz w:val="26"/>
          <w:szCs w:val="26"/>
        </w:rPr>
        <w:t>needed to make sense of prior cases and immunity legislation that implicated Fifth Amendment rights not yet actively protected. </w:t>
      </w:r>
      <w:r w:rsidRPr="00081762">
        <w:rPr>
          <w:rStyle w:val="normaltextrun"/>
          <w:i/>
          <w:iCs/>
          <w:color w:val="000000"/>
          <w:sz w:val="26"/>
          <w:szCs w:val="26"/>
        </w:rPr>
        <w:t>Id.</w:t>
      </w:r>
      <w:r w:rsidRPr="00081762">
        <w:rPr>
          <w:rStyle w:val="normaltextrun"/>
          <w:color w:val="000000"/>
          <w:sz w:val="26"/>
          <w:szCs w:val="26"/>
        </w:rPr>
        <w:t> </w:t>
      </w:r>
      <w:r w:rsidRPr="00081762">
        <w:rPr>
          <w:rStyle w:val="normaltextrun"/>
          <w:i/>
          <w:iCs/>
          <w:color w:val="000000"/>
          <w:sz w:val="26"/>
          <w:szCs w:val="26"/>
        </w:rPr>
        <w:t>Kastigar</w:t>
      </w:r>
      <w:r w:rsidRPr="00081762">
        <w:rPr>
          <w:rStyle w:val="normaltextrun"/>
          <w:color w:val="000000"/>
          <w:sz w:val="26"/>
          <w:szCs w:val="26"/>
        </w:rPr>
        <w:t>’s predecessor case, </w:t>
      </w:r>
      <w:r w:rsidRPr="00081762">
        <w:rPr>
          <w:rStyle w:val="normaltextrun"/>
          <w:i/>
          <w:iCs/>
          <w:color w:val="000000"/>
          <w:sz w:val="26"/>
          <w:szCs w:val="26"/>
        </w:rPr>
        <w:t>Counselman</w:t>
      </w:r>
      <w:r w:rsidRPr="00081762">
        <w:rPr>
          <w:rStyle w:val="normaltextrun"/>
          <w:color w:val="000000"/>
          <w:sz w:val="26"/>
          <w:szCs w:val="26"/>
        </w:rPr>
        <w:t>, considered a constitutional challenge to a similar immunity statute. </w:t>
      </w:r>
      <w:r w:rsidRPr="00081762">
        <w:rPr>
          <w:rStyle w:val="normaltextrun"/>
          <w:i/>
          <w:iCs/>
          <w:color w:val="000000"/>
          <w:sz w:val="26"/>
          <w:szCs w:val="26"/>
        </w:rPr>
        <w:t>Counselman v. Hitchcock</w:t>
      </w:r>
      <w:r w:rsidRPr="00081762">
        <w:rPr>
          <w:rStyle w:val="normaltextrun"/>
          <w:color w:val="000000"/>
          <w:sz w:val="26"/>
          <w:szCs w:val="26"/>
        </w:rPr>
        <w:t>, 142 U.S. 547 (1892). The Court in </w:t>
      </w:r>
      <w:r w:rsidRPr="00081762">
        <w:rPr>
          <w:rStyle w:val="normaltextrun"/>
          <w:i/>
          <w:iCs/>
          <w:color w:val="000000"/>
          <w:sz w:val="26"/>
          <w:szCs w:val="26"/>
        </w:rPr>
        <w:t>Counselman </w:t>
      </w:r>
      <w:r w:rsidRPr="00081762">
        <w:rPr>
          <w:rStyle w:val="normaltextrun"/>
          <w:color w:val="000000"/>
          <w:sz w:val="26"/>
          <w:szCs w:val="26"/>
        </w:rPr>
        <w:t>construed the statute as affording witness protection only against use of the specific testimony compelled under grant of immunity. </w:t>
      </w:r>
      <w:r w:rsidRPr="00081762">
        <w:rPr>
          <w:rStyle w:val="normaltextrun"/>
          <w:i/>
          <w:iCs/>
          <w:color w:val="000000"/>
          <w:sz w:val="26"/>
          <w:szCs w:val="26"/>
        </w:rPr>
        <w:t>Id. </w:t>
      </w:r>
      <w:r w:rsidRPr="00081762">
        <w:rPr>
          <w:rStyle w:val="normaltextrun"/>
          <w:color w:val="000000"/>
          <w:sz w:val="26"/>
          <w:szCs w:val="26"/>
        </w:rPr>
        <w:t>at 586. This construction meant that the statute would not prevent the use of compelled testimony to search out other testimony to be used in evidence against the witness. </w:t>
      </w:r>
      <w:r w:rsidRPr="00081762">
        <w:rPr>
          <w:rStyle w:val="normaltextrun"/>
          <w:i/>
          <w:iCs/>
          <w:color w:val="000000"/>
          <w:sz w:val="26"/>
          <w:szCs w:val="26"/>
        </w:rPr>
        <w:t>Id.</w:t>
      </w:r>
      <w:r w:rsidRPr="00081762">
        <w:rPr>
          <w:rStyle w:val="normaltextrun"/>
          <w:color w:val="000000"/>
          <w:sz w:val="26"/>
          <w:szCs w:val="26"/>
        </w:rPr>
        <w:t> </w:t>
      </w:r>
      <w:r w:rsidRPr="00081762">
        <w:rPr>
          <w:rStyle w:val="normaltextrun"/>
          <w:i/>
          <w:iCs/>
          <w:color w:val="000000"/>
          <w:sz w:val="26"/>
          <w:szCs w:val="26"/>
        </w:rPr>
        <w:t>Kastigar </w:t>
      </w:r>
      <w:r w:rsidRPr="00081762">
        <w:rPr>
          <w:rStyle w:val="normaltextrun"/>
          <w:color w:val="000000"/>
          <w:sz w:val="26"/>
          <w:szCs w:val="26"/>
        </w:rPr>
        <w:t>overruled C</w:t>
      </w:r>
      <w:r w:rsidRPr="00081762">
        <w:rPr>
          <w:rStyle w:val="normaltextrun"/>
          <w:i/>
          <w:iCs/>
          <w:color w:val="000000"/>
          <w:sz w:val="26"/>
          <w:szCs w:val="26"/>
        </w:rPr>
        <w:t>ounselman</w:t>
      </w:r>
      <w:r w:rsidRPr="00081762">
        <w:rPr>
          <w:rStyle w:val="normaltextrun"/>
          <w:color w:val="000000"/>
          <w:sz w:val="26"/>
          <w:szCs w:val="26"/>
        </w:rPr>
        <w:t> in determining that immunity from use and derivative use is coextensive with the scope of the Fifth Amendment. </w:t>
      </w:r>
      <w:r w:rsidRPr="00081762">
        <w:rPr>
          <w:rStyle w:val="normaltextrun"/>
          <w:i/>
          <w:iCs/>
          <w:color w:val="000000"/>
          <w:sz w:val="26"/>
          <w:szCs w:val="26"/>
        </w:rPr>
        <w:t>Kastigar</w:t>
      </w:r>
      <w:r w:rsidRPr="00081762">
        <w:rPr>
          <w:rStyle w:val="normaltextrun"/>
          <w:color w:val="000000"/>
          <w:sz w:val="26"/>
          <w:szCs w:val="26"/>
        </w:rPr>
        <w:t>, at 461. </w:t>
      </w:r>
      <w:r w:rsidRPr="00081762">
        <w:rPr>
          <w:rStyle w:val="tabchar"/>
          <w:color w:val="000000"/>
          <w:sz w:val="26"/>
          <w:szCs w:val="26"/>
        </w:rPr>
        <w:tab/>
      </w:r>
      <w:r w:rsidRPr="00081762">
        <w:rPr>
          <w:rStyle w:val="normaltextrun"/>
          <w:color w:val="000000"/>
          <w:sz w:val="26"/>
          <w:szCs w:val="26"/>
        </w:rPr>
        <w:t>Use and derivative use immunity prohibits prosecutorial authorities from using compelled testimony in any respect, directly, indirectly, or information derived therefrom to ensure the testimony cannot lead to criminal penalties. </w:t>
      </w:r>
      <w:r w:rsidRPr="00081762">
        <w:rPr>
          <w:rStyle w:val="normaltextrun"/>
          <w:i/>
          <w:iCs/>
          <w:color w:val="000000"/>
          <w:sz w:val="26"/>
          <w:szCs w:val="26"/>
        </w:rPr>
        <w:t>Id.</w:t>
      </w:r>
      <w:r w:rsidRPr="00081762">
        <w:rPr>
          <w:rStyle w:val="normaltextrun"/>
          <w:color w:val="000000"/>
          <w:sz w:val="26"/>
          <w:szCs w:val="26"/>
        </w:rPr>
        <w:t xml:space="preserve"> Violation of this type of immunity would leave witnesses in substantially the same position as if the witness had claimed the privilege in the absence of immunity. If the government can derive evidence </w:t>
      </w:r>
      <w:r w:rsidRPr="00081762">
        <w:rPr>
          <w:rStyle w:val="normaltextrun"/>
          <w:color w:val="000000"/>
          <w:sz w:val="26"/>
          <w:szCs w:val="26"/>
        </w:rPr>
        <w:lastRenderedPageBreak/>
        <w:t>against an immunized witness from the compelled testimony, then the witness’s right against self-incrimination has been usurped in violation of the Fifth Amendment.</w:t>
      </w:r>
      <w:r w:rsidRPr="00081762">
        <w:rPr>
          <w:rStyle w:val="eop"/>
          <w:color w:val="000000"/>
          <w:sz w:val="26"/>
          <w:szCs w:val="26"/>
        </w:rPr>
        <w:t> </w:t>
      </w:r>
    </w:p>
    <w:p w14:paraId="402908AA" w14:textId="21E4ECB9" w:rsidR="00C67DE2" w:rsidRPr="00081762" w:rsidRDefault="00C67DE2" w:rsidP="00C67DE2">
      <w:pPr>
        <w:pStyle w:val="paragraph"/>
        <w:spacing w:before="0" w:beforeAutospacing="0" w:after="0" w:afterAutospacing="0" w:line="480" w:lineRule="auto"/>
        <w:ind w:firstLine="630"/>
        <w:jc w:val="both"/>
        <w:textAlignment w:val="baseline"/>
        <w:rPr>
          <w:sz w:val="26"/>
          <w:szCs w:val="26"/>
        </w:rPr>
      </w:pPr>
      <w:r w:rsidRPr="00081762">
        <w:rPr>
          <w:rStyle w:val="normaltextrun"/>
          <w:color w:val="000000"/>
          <w:sz w:val="26"/>
          <w:szCs w:val="26"/>
        </w:rPr>
        <w:t>The law consistently emphasizes the importance of safeguarding Fifth Amendment rights, even in the face of ongoing investigations. Use and derivative use immunity is meant to strike a balance between investigation and privilege that is violated when a witness’s statements are used for criminal prosecution. Any evidence derived from Ms. Calloway’s testimony must be suppressed, or else she will be criminally prosecuted because of her compelled statements. This would be a clear constitutional violation of Ms. Calloway’s Fifth Amendment right against self-incrimination.</w:t>
      </w:r>
    </w:p>
    <w:p w14:paraId="17DA8115" w14:textId="285C9C8A" w:rsidR="00BF5B93" w:rsidRPr="00081762" w:rsidRDefault="00BF5B93" w:rsidP="00DA2DF9">
      <w:pPr>
        <w:pStyle w:val="ListParagraph"/>
        <w:keepNext/>
        <w:ind w:left="360"/>
        <w:jc w:val="both"/>
        <w:rPr>
          <w:rFonts w:ascii="Times New Roman" w:hAnsi="Times New Roman" w:cs="Times New Roman"/>
          <w:b/>
          <w:bCs/>
          <w:color w:val="000000" w:themeColor="text1"/>
          <w:sz w:val="26"/>
          <w:szCs w:val="26"/>
        </w:rPr>
      </w:pPr>
    </w:p>
    <w:p w14:paraId="1154F3EF" w14:textId="6F3E4CD4" w:rsidR="00C41823" w:rsidRPr="00081762" w:rsidRDefault="004149CB" w:rsidP="00C41823">
      <w:pPr>
        <w:pStyle w:val="ListParagraph"/>
        <w:keepNext/>
        <w:numPr>
          <w:ilvl w:val="0"/>
          <w:numId w:val="4"/>
        </w:numPr>
        <w:ind w:left="1440" w:hanging="810"/>
        <w:jc w:val="both"/>
        <w:outlineLvl w:val="2"/>
        <w:rPr>
          <w:rFonts w:ascii="Times New Roman" w:hAnsi="Times New Roman" w:cs="Times New Roman"/>
          <w:color w:val="000000" w:themeColor="text1"/>
          <w:sz w:val="26"/>
          <w:szCs w:val="26"/>
        </w:rPr>
      </w:pPr>
      <w:r w:rsidRPr="00081762">
        <w:rPr>
          <w:rFonts w:ascii="Times New Roman" w:hAnsi="Times New Roman" w:cs="Times New Roman"/>
          <w:b/>
          <w:bCs/>
          <w:color w:val="000000" w:themeColor="text1"/>
          <w:sz w:val="26"/>
          <w:szCs w:val="26"/>
        </w:rPr>
        <w:t>The Government</w:t>
      </w:r>
      <w:r w:rsidR="00DA677B" w:rsidRPr="00081762">
        <w:rPr>
          <w:rFonts w:ascii="Times New Roman" w:hAnsi="Times New Roman" w:cs="Times New Roman"/>
          <w:b/>
          <w:bCs/>
          <w:color w:val="000000" w:themeColor="text1"/>
          <w:sz w:val="26"/>
          <w:szCs w:val="26"/>
        </w:rPr>
        <w:t xml:space="preserve"> Has Failed to Establish Sources Independent of Immunized Testimony for Disputed Evidence</w:t>
      </w:r>
      <w:r w:rsidR="00857F0A" w:rsidRPr="00081762">
        <w:rPr>
          <w:rFonts w:ascii="Times New Roman" w:hAnsi="Times New Roman" w:cs="Times New Roman"/>
          <w:b/>
          <w:bCs/>
          <w:color w:val="000000" w:themeColor="text1"/>
          <w:sz w:val="26"/>
          <w:szCs w:val="26"/>
        </w:rPr>
        <w:t xml:space="preserve">. </w:t>
      </w:r>
    </w:p>
    <w:p w14:paraId="034A7960" w14:textId="025B5368" w:rsidR="00C67DE2" w:rsidRPr="00081762" w:rsidRDefault="00081762" w:rsidP="00081762">
      <w:pPr>
        <w:keepNext/>
        <w:spacing w:line="480" w:lineRule="auto"/>
        <w:ind w:firstLine="630"/>
        <w:jc w:val="both"/>
        <w:outlineLvl w:val="2"/>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Once a defendant has provided testimony under grant of immunity, the prosecution has the burden of showing, by a preponderance, that the evidence is seeks to include is not tainted. </w:t>
      </w:r>
      <w:r w:rsidRPr="00081762">
        <w:rPr>
          <w:rFonts w:ascii="Times New Roman" w:hAnsi="Times New Roman" w:cs="Times New Roman"/>
          <w:i/>
          <w:iCs/>
          <w:color w:val="000000" w:themeColor="text1"/>
          <w:sz w:val="26"/>
          <w:szCs w:val="26"/>
        </w:rPr>
        <w:t>Kastigar</w:t>
      </w:r>
      <w:r>
        <w:rPr>
          <w:rFonts w:ascii="Times New Roman" w:hAnsi="Times New Roman" w:cs="Times New Roman"/>
          <w:color w:val="000000" w:themeColor="text1"/>
          <w:sz w:val="26"/>
          <w:szCs w:val="26"/>
        </w:rPr>
        <w:t xml:space="preserve">, at 461. The government can only meet this burden by establishing an independent, legitimate source for the disputed evidence. </w:t>
      </w:r>
      <w:r w:rsidRPr="00081762">
        <w:rPr>
          <w:rFonts w:ascii="Times New Roman" w:hAnsi="Times New Roman" w:cs="Times New Roman"/>
          <w:i/>
          <w:iCs/>
          <w:color w:val="000000" w:themeColor="text1"/>
          <w:sz w:val="26"/>
          <w:szCs w:val="26"/>
        </w:rPr>
        <w:t>Id</w:t>
      </w:r>
      <w:r>
        <w:rPr>
          <w:rFonts w:ascii="Times New Roman" w:hAnsi="Times New Roman" w:cs="Times New Roman"/>
          <w:color w:val="000000" w:themeColor="text1"/>
          <w:sz w:val="26"/>
          <w:szCs w:val="26"/>
        </w:rPr>
        <w:t xml:space="preserve">. Essentially, the government has an affirmative duty to prove the evidence it proposes to sue is derived form a legitimate source wholly independent of the compelled testimony. </w:t>
      </w:r>
      <w:r w:rsidRPr="00081762">
        <w:rPr>
          <w:rFonts w:ascii="Times New Roman" w:hAnsi="Times New Roman" w:cs="Times New Roman"/>
          <w:i/>
          <w:iCs/>
          <w:color w:val="000000" w:themeColor="text1"/>
          <w:sz w:val="26"/>
          <w:szCs w:val="26"/>
        </w:rPr>
        <w:t>Id</w:t>
      </w:r>
      <w:r>
        <w:rPr>
          <w:rFonts w:ascii="Times New Roman" w:hAnsi="Times New Roman" w:cs="Times New Roman"/>
          <w:color w:val="000000" w:themeColor="text1"/>
          <w:sz w:val="26"/>
          <w:szCs w:val="26"/>
        </w:rPr>
        <w:t xml:space="preserve">. Any evidence obtained by the government that cannot be traced to an investigatory source wholly independent of Ms. Calloway’s immunized testimony must be suppressed. </w:t>
      </w:r>
    </w:p>
    <w:p w14:paraId="10B650BB" w14:textId="282B5058" w:rsidR="00C41823" w:rsidRPr="00081762" w:rsidRDefault="00EC4946" w:rsidP="00B373BC">
      <w:pPr>
        <w:pStyle w:val="ListParagraph"/>
        <w:keepNext/>
        <w:numPr>
          <w:ilvl w:val="0"/>
          <w:numId w:val="41"/>
        </w:numPr>
        <w:ind w:left="1440" w:hanging="540"/>
        <w:jc w:val="both"/>
        <w:outlineLvl w:val="2"/>
        <w:rPr>
          <w:rFonts w:ascii="Times New Roman" w:hAnsi="Times New Roman" w:cs="Times New Roman"/>
          <w:b/>
          <w:bCs/>
          <w:color w:val="000000" w:themeColor="text1"/>
          <w:sz w:val="26"/>
          <w:szCs w:val="26"/>
        </w:rPr>
      </w:pPr>
      <w:r w:rsidRPr="00081762">
        <w:rPr>
          <w:rFonts w:ascii="Times New Roman" w:hAnsi="Times New Roman" w:cs="Times New Roman"/>
          <w:b/>
          <w:bCs/>
          <w:color w:val="000000" w:themeColor="text1"/>
          <w:sz w:val="26"/>
          <w:szCs w:val="26"/>
        </w:rPr>
        <w:t>Mere Denial of Exposure to Immunized Testimony Fails to Meet the Government’s Burden</w:t>
      </w:r>
      <w:r w:rsidR="00B373BC" w:rsidRPr="00081762">
        <w:rPr>
          <w:rFonts w:ascii="Times New Roman" w:hAnsi="Times New Roman" w:cs="Times New Roman"/>
          <w:b/>
          <w:bCs/>
          <w:color w:val="000000" w:themeColor="text1"/>
          <w:sz w:val="26"/>
          <w:szCs w:val="26"/>
        </w:rPr>
        <w:t>.</w:t>
      </w:r>
    </w:p>
    <w:p w14:paraId="5E5783FF" w14:textId="77777777" w:rsidR="00C67DE2" w:rsidRPr="00081762" w:rsidRDefault="00C67DE2" w:rsidP="00C67DE2">
      <w:pPr>
        <w:pStyle w:val="ListParagraph"/>
        <w:keepNext/>
        <w:ind w:left="1440"/>
        <w:jc w:val="both"/>
        <w:outlineLvl w:val="2"/>
        <w:rPr>
          <w:rFonts w:ascii="Times New Roman" w:hAnsi="Times New Roman" w:cs="Times New Roman"/>
          <w:b/>
          <w:bCs/>
          <w:color w:val="000000" w:themeColor="text1"/>
          <w:sz w:val="26"/>
          <w:szCs w:val="26"/>
        </w:rPr>
      </w:pPr>
    </w:p>
    <w:p w14:paraId="4225FB58" w14:textId="19E6B8CB" w:rsidR="00C67DE2" w:rsidRPr="00081762" w:rsidRDefault="00C67DE2" w:rsidP="00C67DE2">
      <w:pPr>
        <w:pStyle w:val="paragraph"/>
        <w:spacing w:before="0" w:beforeAutospacing="0" w:after="0" w:afterAutospacing="0" w:line="480" w:lineRule="auto"/>
        <w:ind w:firstLine="360"/>
        <w:jc w:val="both"/>
        <w:textAlignment w:val="baseline"/>
        <w:rPr>
          <w:sz w:val="26"/>
          <w:szCs w:val="26"/>
        </w:rPr>
      </w:pPr>
      <w:r w:rsidRPr="00081762">
        <w:rPr>
          <w:rStyle w:val="normaltextrun"/>
          <w:color w:val="000000"/>
          <w:sz w:val="26"/>
          <w:szCs w:val="26"/>
        </w:rPr>
        <w:t xml:space="preserve">The government cannot meet its burden that evidence has been derived from sources independent of immunized testimony by mere denial of exposure or use of immunized </w:t>
      </w:r>
      <w:r w:rsidRPr="00081762">
        <w:rPr>
          <w:rStyle w:val="normaltextrun"/>
          <w:color w:val="000000"/>
          <w:sz w:val="26"/>
          <w:szCs w:val="26"/>
        </w:rPr>
        <w:lastRenderedPageBreak/>
        <w:t>testimony. </w:t>
      </w:r>
      <w:r w:rsidRPr="00081762">
        <w:rPr>
          <w:rStyle w:val="normaltextrun"/>
          <w:i/>
          <w:iCs/>
          <w:color w:val="000000"/>
          <w:sz w:val="26"/>
          <w:szCs w:val="26"/>
        </w:rPr>
        <w:t>United States v. Nemes</w:t>
      </w:r>
      <w:r w:rsidRPr="00081762">
        <w:rPr>
          <w:rStyle w:val="normaltextrun"/>
          <w:color w:val="000000"/>
          <w:sz w:val="26"/>
          <w:szCs w:val="26"/>
        </w:rPr>
        <w:t>, 555 F.2d 51, 52 (2d Cir. 1977). Investigators attempt to provide evidence and testimony to the immediate erection and sanctity of the wall between </w:t>
      </w:r>
      <w:r w:rsidR="00081762">
        <w:rPr>
          <w:rStyle w:val="normaltextrun"/>
          <w:color w:val="000000"/>
          <w:sz w:val="26"/>
          <w:szCs w:val="26"/>
        </w:rPr>
        <w:t>i</w:t>
      </w:r>
      <w:r w:rsidRPr="00081762">
        <w:rPr>
          <w:rStyle w:val="normaltextrun"/>
          <w:color w:val="000000"/>
          <w:sz w:val="26"/>
          <w:szCs w:val="26"/>
        </w:rPr>
        <w:t>nvestigations. (Sinclair Dep. 22:548–552; Nolan Dep. 29:210–29:213.) </w:t>
      </w:r>
      <w:r w:rsidR="00081762" w:rsidRPr="00081762">
        <w:rPr>
          <w:rStyle w:val="normaltextrun"/>
          <w:color w:val="000000"/>
          <w:sz w:val="26"/>
          <w:szCs w:val="26"/>
        </w:rPr>
        <w:t>But</w:t>
      </w:r>
      <w:r w:rsidRPr="00081762">
        <w:rPr>
          <w:rStyle w:val="normaltextrun"/>
          <w:color w:val="000000"/>
          <w:sz w:val="26"/>
          <w:szCs w:val="26"/>
        </w:rPr>
        <w:t> the government’s burden is not so easily met</w:t>
      </w:r>
      <w:r w:rsidR="00081762">
        <w:rPr>
          <w:rStyle w:val="normaltextrun"/>
          <w:color w:val="000000"/>
          <w:sz w:val="26"/>
          <w:szCs w:val="26"/>
        </w:rPr>
        <w:t>.</w:t>
      </w:r>
    </w:p>
    <w:p w14:paraId="55EA8546" w14:textId="77777777" w:rsidR="00081762" w:rsidRDefault="00C67DE2" w:rsidP="00C67DE2">
      <w:pPr>
        <w:pStyle w:val="paragraph"/>
        <w:spacing w:before="0" w:beforeAutospacing="0" w:after="0" w:afterAutospacing="0" w:line="480" w:lineRule="auto"/>
        <w:ind w:firstLine="360"/>
        <w:jc w:val="both"/>
        <w:textAlignment w:val="baseline"/>
        <w:rPr>
          <w:rStyle w:val="normaltextrun"/>
          <w:color w:val="000000"/>
          <w:sz w:val="26"/>
          <w:szCs w:val="26"/>
        </w:rPr>
      </w:pPr>
      <w:r w:rsidRPr="00081762">
        <w:rPr>
          <w:rStyle w:val="normaltextrun"/>
          <w:color w:val="000000"/>
          <w:sz w:val="26"/>
          <w:szCs w:val="26"/>
        </w:rPr>
        <w:t>In </w:t>
      </w:r>
      <w:r w:rsidRPr="00081762">
        <w:rPr>
          <w:rStyle w:val="normaltextrun"/>
          <w:i/>
          <w:iCs/>
          <w:color w:val="000000"/>
          <w:sz w:val="26"/>
          <w:szCs w:val="26"/>
        </w:rPr>
        <w:t>Mapelli</w:t>
      </w:r>
      <w:r w:rsidRPr="00081762">
        <w:rPr>
          <w:rStyle w:val="normaltextrun"/>
          <w:color w:val="000000"/>
          <w:sz w:val="26"/>
          <w:szCs w:val="26"/>
        </w:rPr>
        <w:t>, the government tried to protect against a claim of indirect use by assigning the case to other investigators not exposed to the immunized testimony and barring communication from exposed investigators. </w:t>
      </w:r>
      <w:r w:rsidRPr="00081762">
        <w:rPr>
          <w:rStyle w:val="normaltextrun"/>
          <w:i/>
          <w:iCs/>
          <w:color w:val="000000"/>
          <w:sz w:val="26"/>
          <w:szCs w:val="26"/>
        </w:rPr>
        <w:t>United States v. Mapelli</w:t>
      </w:r>
      <w:r w:rsidRPr="00081762">
        <w:rPr>
          <w:rStyle w:val="normaltextrun"/>
          <w:color w:val="000000"/>
          <w:sz w:val="26"/>
          <w:szCs w:val="26"/>
        </w:rPr>
        <w:t>, 971 F.2d 284, 288 (9th Cir. 1992). However, since the government offered no evidence whatsoever that it would not use information derived from the compelled testimony, it failed to meet the </w:t>
      </w:r>
      <w:r w:rsidRPr="00081762">
        <w:rPr>
          <w:rStyle w:val="normaltextrun"/>
          <w:i/>
          <w:iCs/>
          <w:color w:val="000000"/>
          <w:sz w:val="26"/>
          <w:szCs w:val="26"/>
        </w:rPr>
        <w:t>Kastigar </w:t>
      </w:r>
      <w:r w:rsidRPr="00081762">
        <w:rPr>
          <w:rStyle w:val="normaltextrun"/>
          <w:color w:val="000000"/>
          <w:sz w:val="26"/>
          <w:szCs w:val="26"/>
        </w:rPr>
        <w:t>burden of proof. </w:t>
      </w:r>
      <w:r w:rsidRPr="00081762">
        <w:rPr>
          <w:rStyle w:val="normaltextrun"/>
          <w:i/>
          <w:iCs/>
          <w:color w:val="000000"/>
          <w:sz w:val="26"/>
          <w:szCs w:val="26"/>
        </w:rPr>
        <w:t>Id.</w:t>
      </w:r>
      <w:r w:rsidRPr="00081762">
        <w:rPr>
          <w:rStyle w:val="normaltextrun"/>
          <w:color w:val="000000"/>
          <w:sz w:val="26"/>
          <w:szCs w:val="26"/>
        </w:rPr>
        <w:t> </w:t>
      </w:r>
    </w:p>
    <w:p w14:paraId="462836B6" w14:textId="4BEE26CD" w:rsidR="00C67DE2" w:rsidRPr="00081762" w:rsidRDefault="00C67DE2" w:rsidP="00C67DE2">
      <w:pPr>
        <w:pStyle w:val="paragraph"/>
        <w:spacing w:before="0" w:beforeAutospacing="0" w:after="0" w:afterAutospacing="0" w:line="480" w:lineRule="auto"/>
        <w:ind w:firstLine="360"/>
        <w:jc w:val="both"/>
        <w:textAlignment w:val="baseline"/>
        <w:rPr>
          <w:sz w:val="26"/>
          <w:szCs w:val="26"/>
        </w:rPr>
      </w:pPr>
      <w:r w:rsidRPr="00081762">
        <w:rPr>
          <w:rStyle w:val="normaltextrun"/>
          <w:color w:val="000000"/>
          <w:sz w:val="26"/>
          <w:szCs w:val="26"/>
        </w:rPr>
        <w:t>Claims of good faith handling of immunized testimony is not determinative; to meet its burden, the government must provide proof that the evidence is derived from independent sources. </w:t>
      </w:r>
      <w:r w:rsidRPr="00081762">
        <w:rPr>
          <w:rStyle w:val="normaltextrun"/>
          <w:i/>
          <w:iCs/>
          <w:color w:val="000000"/>
          <w:sz w:val="26"/>
          <w:szCs w:val="26"/>
        </w:rPr>
        <w:t>United States v. Montoya</w:t>
      </w:r>
      <w:r w:rsidRPr="00081762">
        <w:rPr>
          <w:rStyle w:val="normaltextrun"/>
          <w:color w:val="000000"/>
          <w:sz w:val="26"/>
          <w:szCs w:val="26"/>
        </w:rPr>
        <w:t xml:space="preserve">, 45 F.3d 1286, 1292 (9th Cir. 1995). Thus, despite assertions that the evidence developed came from records and witnesses </w:t>
      </w:r>
      <w:r w:rsidR="00081762">
        <w:rPr>
          <w:rStyle w:val="normaltextrun"/>
          <w:color w:val="000000"/>
          <w:sz w:val="26"/>
          <w:szCs w:val="26"/>
        </w:rPr>
        <w:t xml:space="preserve">independently </w:t>
      </w:r>
      <w:r w:rsidRPr="00081762">
        <w:rPr>
          <w:rStyle w:val="normaltextrun"/>
          <w:color w:val="000000"/>
          <w:sz w:val="26"/>
          <w:szCs w:val="26"/>
        </w:rPr>
        <w:t>reache</w:t>
      </w:r>
      <w:r w:rsidR="00081762">
        <w:rPr>
          <w:rStyle w:val="normaltextrun"/>
          <w:color w:val="000000"/>
          <w:sz w:val="26"/>
          <w:szCs w:val="26"/>
        </w:rPr>
        <w:t>d</w:t>
      </w:r>
      <w:r w:rsidRPr="00081762">
        <w:rPr>
          <w:rStyle w:val="normaltextrun"/>
          <w:color w:val="000000"/>
          <w:sz w:val="26"/>
          <w:szCs w:val="26"/>
        </w:rPr>
        <w:t>, investigators do not explicitly identify these supposed independent sources. (Nolan Dep. 29:223–29:228.) </w:t>
      </w:r>
    </w:p>
    <w:p w14:paraId="3F93EB76" w14:textId="77777777" w:rsidR="00A6252F" w:rsidRPr="00081762" w:rsidRDefault="00A6252F" w:rsidP="00A6252F">
      <w:pPr>
        <w:pStyle w:val="ListParagraph"/>
        <w:keepNext/>
        <w:ind w:left="900"/>
        <w:jc w:val="both"/>
        <w:outlineLvl w:val="2"/>
        <w:rPr>
          <w:rFonts w:ascii="Times New Roman" w:hAnsi="Times New Roman" w:cs="Times New Roman"/>
          <w:b/>
          <w:bCs/>
          <w:color w:val="000000" w:themeColor="text1"/>
          <w:sz w:val="26"/>
          <w:szCs w:val="26"/>
        </w:rPr>
      </w:pPr>
    </w:p>
    <w:p w14:paraId="2398F26A" w14:textId="36D61B66" w:rsidR="00A6252F" w:rsidRPr="00081762" w:rsidRDefault="00AC7551" w:rsidP="00AC7551">
      <w:pPr>
        <w:pStyle w:val="ListParagraph"/>
        <w:keepNext/>
        <w:numPr>
          <w:ilvl w:val="0"/>
          <w:numId w:val="41"/>
        </w:numPr>
        <w:ind w:left="1440" w:hanging="540"/>
        <w:jc w:val="both"/>
        <w:outlineLvl w:val="2"/>
        <w:rPr>
          <w:rFonts w:ascii="Times New Roman" w:hAnsi="Times New Roman" w:cs="Times New Roman"/>
          <w:b/>
          <w:bCs/>
          <w:color w:val="000000" w:themeColor="text1"/>
          <w:sz w:val="26"/>
          <w:szCs w:val="26"/>
        </w:rPr>
      </w:pPr>
      <w:r w:rsidRPr="00081762">
        <w:rPr>
          <w:rFonts w:ascii="Times New Roman" w:hAnsi="Times New Roman" w:cs="Times New Roman"/>
          <w:b/>
          <w:bCs/>
          <w:color w:val="000000" w:themeColor="text1"/>
          <w:sz w:val="26"/>
          <w:szCs w:val="26"/>
        </w:rPr>
        <w:t xml:space="preserve">The Government Cannot meet its Burden for Kennedy Parker’s Testimony or Exhibit 19; Both Should be Suppressed. </w:t>
      </w:r>
    </w:p>
    <w:p w14:paraId="5BC9DD3A" w14:textId="77777777" w:rsidR="00C67DE2" w:rsidRPr="00081762" w:rsidRDefault="00C67DE2" w:rsidP="00C67DE2">
      <w:pPr>
        <w:pStyle w:val="ListParagraph"/>
        <w:keepNext/>
        <w:ind w:left="1440"/>
        <w:jc w:val="both"/>
        <w:outlineLvl w:val="2"/>
        <w:rPr>
          <w:rFonts w:ascii="Times New Roman" w:hAnsi="Times New Roman" w:cs="Times New Roman"/>
          <w:b/>
          <w:bCs/>
          <w:color w:val="000000" w:themeColor="text1"/>
          <w:sz w:val="26"/>
          <w:szCs w:val="26"/>
        </w:rPr>
      </w:pPr>
    </w:p>
    <w:p w14:paraId="79D4BDBC" w14:textId="3DC0832C" w:rsidR="00C67DE2" w:rsidRDefault="00C67DE2" w:rsidP="00C67DE2">
      <w:pPr>
        <w:pStyle w:val="ListParagraph"/>
        <w:keepNext/>
        <w:numPr>
          <w:ilvl w:val="1"/>
          <w:numId w:val="41"/>
        </w:numPr>
        <w:jc w:val="both"/>
        <w:outlineLvl w:val="2"/>
        <w:rPr>
          <w:rFonts w:ascii="Times New Roman" w:hAnsi="Times New Roman" w:cs="Times New Roman"/>
          <w:b/>
          <w:bCs/>
          <w:color w:val="000000" w:themeColor="text1"/>
          <w:sz w:val="26"/>
          <w:szCs w:val="26"/>
        </w:rPr>
      </w:pPr>
      <w:r w:rsidRPr="00081762">
        <w:rPr>
          <w:rFonts w:ascii="Times New Roman" w:hAnsi="Times New Roman" w:cs="Times New Roman"/>
          <w:b/>
          <w:bCs/>
          <w:color w:val="000000" w:themeColor="text1"/>
          <w:sz w:val="26"/>
          <w:szCs w:val="26"/>
        </w:rPr>
        <w:t xml:space="preserve">Use of Immunized Testimony as an Investigatory Lead is Not an Independent Source. </w:t>
      </w:r>
    </w:p>
    <w:p w14:paraId="1F9C9275" w14:textId="77777777" w:rsidR="00081762" w:rsidRPr="00081762" w:rsidRDefault="00081762" w:rsidP="00081762">
      <w:pPr>
        <w:pStyle w:val="ListParagraph"/>
        <w:keepNext/>
        <w:ind w:left="1440"/>
        <w:jc w:val="both"/>
        <w:outlineLvl w:val="2"/>
        <w:rPr>
          <w:rFonts w:ascii="Times New Roman" w:hAnsi="Times New Roman" w:cs="Times New Roman"/>
          <w:b/>
          <w:bCs/>
          <w:color w:val="000000" w:themeColor="text1"/>
          <w:sz w:val="26"/>
          <w:szCs w:val="26"/>
        </w:rPr>
      </w:pPr>
    </w:p>
    <w:p w14:paraId="66677A9A" w14:textId="4399A257" w:rsidR="00C67DE2" w:rsidRPr="00081762" w:rsidRDefault="00A022EC" w:rsidP="00A022EC">
      <w:pPr>
        <w:keepNext/>
        <w:spacing w:line="480" w:lineRule="auto"/>
        <w:ind w:firstLine="360"/>
        <w:jc w:val="both"/>
        <w:outlineLvl w:val="2"/>
        <w:rPr>
          <w:rFonts w:ascii="Times New Roman" w:hAnsi="Times New Roman" w:cs="Times New Roman"/>
          <w:color w:val="000000" w:themeColor="text1"/>
          <w:sz w:val="26"/>
          <w:szCs w:val="26"/>
        </w:rPr>
      </w:pPr>
      <w:r w:rsidRPr="00081762">
        <w:rPr>
          <w:rStyle w:val="normaltextrun"/>
          <w:rFonts w:ascii="Times New Roman" w:hAnsi="Times New Roman" w:cs="Times New Roman"/>
          <w:color w:val="000000" w:themeColor="text1"/>
          <w:sz w:val="26"/>
          <w:szCs w:val="26"/>
        </w:rPr>
        <w:t xml:space="preserve">Use and derivative use immunity, includes barring testimony as an investigatory lead. </w:t>
      </w:r>
      <w:r w:rsidRPr="00081762">
        <w:rPr>
          <w:rStyle w:val="normaltextrun"/>
          <w:rFonts w:ascii="Times New Roman" w:hAnsi="Times New Roman" w:cs="Times New Roman"/>
          <w:i/>
          <w:iCs/>
          <w:color w:val="000000" w:themeColor="text1"/>
          <w:sz w:val="26"/>
          <w:szCs w:val="26"/>
        </w:rPr>
        <w:t>Kastigar</w:t>
      </w:r>
      <w:r w:rsidRPr="00081762">
        <w:rPr>
          <w:rStyle w:val="normaltextrun"/>
          <w:rFonts w:ascii="Times New Roman" w:hAnsi="Times New Roman" w:cs="Times New Roman"/>
          <w:color w:val="000000" w:themeColor="text1"/>
          <w:sz w:val="26"/>
          <w:szCs w:val="26"/>
        </w:rPr>
        <w:t xml:space="preserve">, at 445. This is a comprehensive safeguard; investigatory leads include the use of </w:t>
      </w:r>
      <w:r w:rsidRPr="00081762">
        <w:rPr>
          <w:rStyle w:val="normaltextrun"/>
          <w:rFonts w:ascii="Times New Roman" w:hAnsi="Times New Roman" w:cs="Times New Roman"/>
          <w:color w:val="000000" w:themeColor="text1"/>
          <w:sz w:val="26"/>
          <w:szCs w:val="26"/>
        </w:rPr>
        <w:lastRenderedPageBreak/>
        <w:t xml:space="preserve">any evidence to focus an investigation on a witness. </w:t>
      </w:r>
      <w:r w:rsidRPr="00081762">
        <w:rPr>
          <w:rStyle w:val="normaltextrun"/>
          <w:rFonts w:ascii="Times New Roman" w:hAnsi="Times New Roman" w:cs="Times New Roman"/>
          <w:i/>
          <w:iCs/>
          <w:color w:val="000000" w:themeColor="text1"/>
          <w:sz w:val="26"/>
          <w:szCs w:val="26"/>
        </w:rPr>
        <w:t>Albertson v. Subversive Activities Control Bd</w:t>
      </w:r>
      <w:r w:rsidRPr="00081762">
        <w:rPr>
          <w:rStyle w:val="normaltextrun"/>
          <w:rFonts w:ascii="Times New Roman" w:hAnsi="Times New Roman" w:cs="Times New Roman"/>
          <w:color w:val="000000" w:themeColor="text1"/>
          <w:sz w:val="26"/>
          <w:szCs w:val="26"/>
        </w:rPr>
        <w:t xml:space="preserve">., 382 U.S. 70, 80 (1965). </w:t>
      </w:r>
      <w:r w:rsidR="00C67DE2" w:rsidRPr="00081762">
        <w:rPr>
          <w:rStyle w:val="normaltextrun"/>
          <w:rFonts w:ascii="Times New Roman" w:hAnsi="Times New Roman" w:cs="Times New Roman"/>
          <w:color w:val="000000"/>
          <w:sz w:val="26"/>
          <w:szCs w:val="26"/>
        </w:rPr>
        <w:t>In determining whether the compelled testimony could have influenced the government’s decision to pursue a certain line of investigation, the court must dec</w:t>
      </w:r>
      <w:r w:rsidR="00081762">
        <w:rPr>
          <w:rStyle w:val="normaltextrun"/>
          <w:rFonts w:ascii="Times New Roman" w:hAnsi="Times New Roman" w:cs="Times New Roman"/>
          <w:color w:val="000000"/>
          <w:sz w:val="26"/>
          <w:szCs w:val="26"/>
        </w:rPr>
        <w:t xml:space="preserve">ide if </w:t>
      </w:r>
      <w:r w:rsidR="00C67DE2" w:rsidRPr="00081762">
        <w:rPr>
          <w:rStyle w:val="normaltextrun"/>
          <w:rFonts w:ascii="Times New Roman" w:hAnsi="Times New Roman" w:cs="Times New Roman"/>
          <w:color w:val="000000"/>
          <w:sz w:val="26"/>
          <w:szCs w:val="26"/>
        </w:rPr>
        <w:t>the government would have taken the same steps independent of the immunized statements. U</w:t>
      </w:r>
      <w:r w:rsidR="00C67DE2" w:rsidRPr="00081762">
        <w:rPr>
          <w:rStyle w:val="normaltextrun"/>
          <w:rFonts w:ascii="Times New Roman" w:hAnsi="Times New Roman" w:cs="Times New Roman"/>
          <w:i/>
          <w:iCs/>
          <w:color w:val="000000"/>
          <w:sz w:val="26"/>
          <w:szCs w:val="26"/>
        </w:rPr>
        <w:t>nited States v. Nanni</w:t>
      </w:r>
      <w:r w:rsidR="00C67DE2" w:rsidRPr="00081762">
        <w:rPr>
          <w:rStyle w:val="normaltextrun"/>
          <w:rFonts w:ascii="Times New Roman" w:hAnsi="Times New Roman" w:cs="Times New Roman"/>
          <w:color w:val="000000"/>
          <w:sz w:val="26"/>
          <w:szCs w:val="26"/>
        </w:rPr>
        <w:t>, 59 F.3d 1425, 1433 (2d Cir. 1995). This is so even if it appears that the pursuit could have been motivated by both tainted and independent facts. </w:t>
      </w:r>
      <w:r w:rsidR="00C67DE2" w:rsidRPr="00081762">
        <w:rPr>
          <w:rStyle w:val="normaltextrun"/>
          <w:rFonts w:ascii="Times New Roman" w:hAnsi="Times New Roman" w:cs="Times New Roman"/>
          <w:i/>
          <w:iCs/>
          <w:color w:val="000000"/>
          <w:sz w:val="26"/>
          <w:szCs w:val="26"/>
        </w:rPr>
        <w:t>Id.</w:t>
      </w:r>
    </w:p>
    <w:p w14:paraId="2AD7555E" w14:textId="14E546B3" w:rsidR="00C67DE2" w:rsidRPr="00081762" w:rsidRDefault="00C67DE2" w:rsidP="00A022EC">
      <w:pPr>
        <w:pStyle w:val="paragraph"/>
        <w:spacing w:before="0" w:beforeAutospacing="0" w:after="0" w:afterAutospacing="0" w:line="480" w:lineRule="auto"/>
        <w:ind w:firstLine="360"/>
        <w:jc w:val="both"/>
        <w:textAlignment w:val="baseline"/>
        <w:rPr>
          <w:sz w:val="26"/>
          <w:szCs w:val="26"/>
        </w:rPr>
      </w:pPr>
      <w:r w:rsidRPr="00081762">
        <w:rPr>
          <w:rStyle w:val="normaltextrun"/>
          <w:color w:val="000000"/>
          <w:sz w:val="26"/>
          <w:szCs w:val="26"/>
        </w:rPr>
        <w:t>The government would need to show that it had sufficient independent facts that lead to disputed evidence before the investigators obtained Ms. Calloway’s statements on August 28, 2024</w:t>
      </w:r>
      <w:r w:rsidR="00081762">
        <w:rPr>
          <w:rStyle w:val="normaltextrun"/>
          <w:color w:val="000000"/>
          <w:sz w:val="26"/>
          <w:szCs w:val="26"/>
        </w:rPr>
        <w:t>. The</w:t>
      </w:r>
      <w:r w:rsidRPr="00081762">
        <w:rPr>
          <w:rStyle w:val="normaltextrun"/>
          <w:color w:val="000000"/>
          <w:sz w:val="26"/>
          <w:szCs w:val="26"/>
        </w:rPr>
        <w:t xml:space="preserve"> substance of which can be found in the excerpt of Ms. Calloway’s official testimony. (Ex. 13</w:t>
      </w:r>
      <w:r w:rsidR="00081762" w:rsidRPr="00081762">
        <w:rPr>
          <w:rStyle w:val="normaltextrun"/>
          <w:color w:val="000000"/>
          <w:sz w:val="26"/>
          <w:szCs w:val="26"/>
        </w:rPr>
        <w:t>.</w:t>
      </w:r>
      <w:r w:rsidRPr="00081762">
        <w:rPr>
          <w:rStyle w:val="normaltextrun"/>
          <w:color w:val="000000"/>
          <w:sz w:val="26"/>
          <w:szCs w:val="26"/>
        </w:rPr>
        <w:t>)  Kennedy Parker is the only person Ms. Calloway named, and this is the first time any witness has identified Parker. (Ex. 13) This information is solely received by the Donovan side of the investigation; not to be shared with the team investigating Ms. Calloway.</w:t>
      </w:r>
    </w:p>
    <w:p w14:paraId="21F2AE73" w14:textId="070F2CFC" w:rsidR="00C67DE2" w:rsidRPr="00081762" w:rsidRDefault="00C67DE2" w:rsidP="00C67DE2">
      <w:pPr>
        <w:pStyle w:val="paragraph"/>
        <w:spacing w:before="0" w:beforeAutospacing="0" w:after="0" w:afterAutospacing="0" w:line="480" w:lineRule="auto"/>
        <w:ind w:firstLine="360"/>
        <w:jc w:val="both"/>
        <w:textAlignment w:val="baseline"/>
        <w:rPr>
          <w:sz w:val="26"/>
          <w:szCs w:val="26"/>
        </w:rPr>
      </w:pPr>
      <w:r w:rsidRPr="00081762">
        <w:rPr>
          <w:rStyle w:val="normaltextrun"/>
          <w:color w:val="000000"/>
          <w:sz w:val="26"/>
          <w:szCs w:val="26"/>
        </w:rPr>
        <w:t>Prior to this point, the only document identifying Parker was the employee roster subpoenaed in early February 2024. (Ex. 10; Sinclair Dep. 18:407–18:408.) The roster listed 100 employees of the Silver Palms; Parker was number 64 on that list. Nolan testified that The Calloway Team To-Do List, Exhibit 16, was created between August 23 and August 27, 2024. (Nolan Dep. 29:234.) The to-do list names Parker among 12 other employees not yet interviewed and contains a note from Nolan: “LONG list; develop month to month plan.” (Ex. 16.) Nolan confirms that</w:t>
      </w:r>
      <w:r w:rsidR="00081762">
        <w:rPr>
          <w:rStyle w:val="normaltextrun"/>
          <w:color w:val="000000"/>
          <w:sz w:val="26"/>
          <w:szCs w:val="26"/>
        </w:rPr>
        <w:t xml:space="preserve"> employee</w:t>
      </w:r>
      <w:r w:rsidRPr="00081762">
        <w:rPr>
          <w:rStyle w:val="normaltextrun"/>
          <w:color w:val="000000"/>
          <w:sz w:val="26"/>
          <w:szCs w:val="26"/>
        </w:rPr>
        <w:t xml:space="preserve"> interviews would have taken months. (Nolan Dep. 31:282–31:283.)</w:t>
      </w:r>
    </w:p>
    <w:p w14:paraId="761B2733" w14:textId="4F1757C7" w:rsidR="00C67DE2" w:rsidRPr="00081762" w:rsidRDefault="00C67DE2" w:rsidP="00C67DE2">
      <w:pPr>
        <w:pStyle w:val="paragraph"/>
        <w:spacing w:before="0" w:beforeAutospacing="0" w:after="0" w:afterAutospacing="0" w:line="480" w:lineRule="auto"/>
        <w:ind w:firstLine="360"/>
        <w:jc w:val="both"/>
        <w:textAlignment w:val="baseline"/>
        <w:rPr>
          <w:sz w:val="26"/>
          <w:szCs w:val="26"/>
        </w:rPr>
      </w:pPr>
      <w:r w:rsidRPr="00081762">
        <w:rPr>
          <w:rStyle w:val="normaltextrun"/>
          <w:color w:val="000000"/>
          <w:sz w:val="26"/>
          <w:szCs w:val="26"/>
        </w:rPr>
        <w:lastRenderedPageBreak/>
        <w:t xml:space="preserve">Despite these admissions, Nolan then creates the Employee Interview Priority List. (Ex. 17.) This is the first document that </w:t>
      </w:r>
      <w:r w:rsidR="00081762">
        <w:rPr>
          <w:rStyle w:val="normaltextrun"/>
          <w:color w:val="000000"/>
          <w:sz w:val="26"/>
          <w:szCs w:val="26"/>
        </w:rPr>
        <w:t>prioritizes</w:t>
      </w:r>
      <w:r w:rsidRPr="00081762">
        <w:rPr>
          <w:rStyle w:val="normaltextrun"/>
          <w:color w:val="000000"/>
          <w:sz w:val="26"/>
          <w:szCs w:val="26"/>
        </w:rPr>
        <w:t xml:space="preserve"> Parker in the investigation and is also the only document not dated. (Nolan Dep. 30:269–31:276; Ex, 17.) </w:t>
      </w:r>
      <w:r w:rsidR="00081762" w:rsidRPr="00081762">
        <w:rPr>
          <w:rStyle w:val="normaltextrun"/>
          <w:color w:val="000000"/>
          <w:sz w:val="26"/>
          <w:szCs w:val="26"/>
        </w:rPr>
        <w:t xml:space="preserve"> </w:t>
      </w:r>
      <w:r w:rsidRPr="00081762">
        <w:rPr>
          <w:rStyle w:val="normaltextrun"/>
          <w:color w:val="000000"/>
          <w:sz w:val="26"/>
          <w:szCs w:val="26"/>
        </w:rPr>
        <w:t xml:space="preserve">The only other employees named above Parker in priority are employees already interviewed in the Donovan investigation and re-interviewed by Nolan months prior. (Ex. 11.)  Without clear independent evidentiary support, Parker suddenly became a priority after being the only person named </w:t>
      </w:r>
      <w:r w:rsidR="00081762">
        <w:rPr>
          <w:rStyle w:val="normaltextrun"/>
          <w:color w:val="000000"/>
          <w:sz w:val="26"/>
          <w:szCs w:val="26"/>
        </w:rPr>
        <w:t>by</w:t>
      </w:r>
      <w:r w:rsidRPr="00081762">
        <w:rPr>
          <w:rStyle w:val="normaltextrun"/>
          <w:color w:val="000000"/>
          <w:sz w:val="26"/>
          <w:szCs w:val="26"/>
        </w:rPr>
        <w:t> Ms. Calloway.</w:t>
      </w:r>
    </w:p>
    <w:p w14:paraId="0ABBBCED" w14:textId="480B7E14" w:rsidR="00C67DE2" w:rsidRPr="00081762" w:rsidRDefault="00C67DE2" w:rsidP="00C67DE2">
      <w:pPr>
        <w:pStyle w:val="paragraph"/>
        <w:spacing w:before="0" w:beforeAutospacing="0" w:after="0" w:afterAutospacing="0" w:line="480" w:lineRule="auto"/>
        <w:ind w:firstLine="360"/>
        <w:jc w:val="both"/>
        <w:textAlignment w:val="baseline"/>
        <w:rPr>
          <w:sz w:val="26"/>
          <w:szCs w:val="26"/>
        </w:rPr>
      </w:pPr>
      <w:r w:rsidRPr="00081762">
        <w:rPr>
          <w:rStyle w:val="normaltextrun"/>
          <w:color w:val="000000"/>
          <w:sz w:val="26"/>
          <w:szCs w:val="26"/>
        </w:rPr>
        <w:t>Ms. Calloway testifies in the Donovan trial on October 10, 2024. Her testimony is covered in the Gulf Haven Tribune on October 14, 2024, broadcast across multiple local stations, and frontpage news for weeks. (Ex. 14; Sinclair Dep. 23:593–23:599.) </w:t>
      </w:r>
      <w:r w:rsidR="00081762">
        <w:rPr>
          <w:rStyle w:val="normaltextrun"/>
          <w:color w:val="000000"/>
          <w:sz w:val="26"/>
          <w:szCs w:val="26"/>
        </w:rPr>
        <w:t xml:space="preserve">On October 21, 2024, </w:t>
      </w:r>
      <w:r w:rsidRPr="00081762">
        <w:rPr>
          <w:rStyle w:val="normaltextrun"/>
          <w:color w:val="000000"/>
          <w:sz w:val="26"/>
          <w:szCs w:val="26"/>
        </w:rPr>
        <w:t>Parker is </w:t>
      </w:r>
      <w:r w:rsidR="00081762">
        <w:rPr>
          <w:rStyle w:val="normaltextrun"/>
          <w:color w:val="000000"/>
          <w:sz w:val="26"/>
          <w:szCs w:val="26"/>
        </w:rPr>
        <w:t xml:space="preserve">the first be </w:t>
      </w:r>
      <w:r w:rsidRPr="00081762">
        <w:rPr>
          <w:rStyle w:val="normaltextrun"/>
          <w:color w:val="000000"/>
          <w:sz w:val="26"/>
          <w:szCs w:val="26"/>
        </w:rPr>
        <w:t xml:space="preserve">interviewed by investigators </w:t>
      </w:r>
      <w:r w:rsidR="00081762">
        <w:rPr>
          <w:rStyle w:val="normaltextrun"/>
          <w:color w:val="000000"/>
          <w:sz w:val="26"/>
          <w:szCs w:val="26"/>
        </w:rPr>
        <w:t xml:space="preserve">after Ms. Calloway’s. </w:t>
      </w:r>
      <w:r w:rsidRPr="00081762">
        <w:rPr>
          <w:rStyle w:val="normaltextrun"/>
          <w:color w:val="000000"/>
          <w:sz w:val="26"/>
          <w:szCs w:val="26"/>
        </w:rPr>
        <w:t xml:space="preserve">(Ex. 18.) Parker </w:t>
      </w:r>
      <w:r w:rsidR="00081762">
        <w:rPr>
          <w:rStyle w:val="normaltextrun"/>
          <w:color w:val="000000"/>
          <w:sz w:val="26"/>
          <w:szCs w:val="26"/>
        </w:rPr>
        <w:t>had</w:t>
      </w:r>
      <w:r w:rsidRPr="00081762">
        <w:rPr>
          <w:rStyle w:val="normaltextrun"/>
          <w:color w:val="000000"/>
          <w:sz w:val="26"/>
          <w:szCs w:val="26"/>
        </w:rPr>
        <w:t xml:space="preserve"> not </w:t>
      </w:r>
      <w:r w:rsidR="00081762">
        <w:rPr>
          <w:rStyle w:val="normaltextrun"/>
          <w:color w:val="000000"/>
          <w:sz w:val="26"/>
          <w:szCs w:val="26"/>
        </w:rPr>
        <w:t xml:space="preserve">been </w:t>
      </w:r>
      <w:r w:rsidRPr="00081762">
        <w:rPr>
          <w:rStyle w:val="normaltextrun"/>
          <w:color w:val="000000"/>
          <w:sz w:val="26"/>
          <w:szCs w:val="26"/>
        </w:rPr>
        <w:t>approached at any point previously in the investigation. (Parker Dep. 39:227–39:228.)</w:t>
      </w:r>
    </w:p>
    <w:p w14:paraId="5F4B8B11" w14:textId="3E9BF2AD" w:rsidR="00C67DE2" w:rsidRPr="00081762" w:rsidRDefault="00C67DE2" w:rsidP="00C67DE2">
      <w:pPr>
        <w:pStyle w:val="paragraph"/>
        <w:spacing w:before="0" w:beforeAutospacing="0" w:after="0" w:afterAutospacing="0" w:line="480" w:lineRule="auto"/>
        <w:ind w:firstLine="360"/>
        <w:jc w:val="both"/>
        <w:textAlignment w:val="baseline"/>
        <w:rPr>
          <w:sz w:val="26"/>
          <w:szCs w:val="26"/>
        </w:rPr>
      </w:pPr>
      <w:r w:rsidRPr="00081762">
        <w:rPr>
          <w:rStyle w:val="normaltextrun"/>
          <w:color w:val="000000"/>
          <w:sz w:val="26"/>
          <w:szCs w:val="26"/>
        </w:rPr>
        <w:t>Without Ms. Calloway’s testimony,</w:t>
      </w:r>
      <w:r w:rsidR="00081762">
        <w:rPr>
          <w:rStyle w:val="normaltextrun"/>
          <w:color w:val="000000"/>
          <w:sz w:val="26"/>
          <w:szCs w:val="26"/>
        </w:rPr>
        <w:t xml:space="preserve"> the investigation</w:t>
      </w:r>
      <w:r w:rsidRPr="00081762">
        <w:rPr>
          <w:rStyle w:val="normaltextrun"/>
          <w:color w:val="000000"/>
          <w:sz w:val="26"/>
          <w:szCs w:val="26"/>
        </w:rPr>
        <w:t xml:space="preserve"> would not have taken the same </w:t>
      </w:r>
      <w:r w:rsidR="00081762">
        <w:rPr>
          <w:rStyle w:val="normaltextrun"/>
          <w:color w:val="000000"/>
          <w:sz w:val="26"/>
          <w:szCs w:val="26"/>
        </w:rPr>
        <w:t>direction</w:t>
      </w:r>
      <w:r w:rsidRPr="00081762">
        <w:rPr>
          <w:rStyle w:val="normaltextrun"/>
          <w:color w:val="000000"/>
          <w:sz w:val="26"/>
          <w:szCs w:val="26"/>
        </w:rPr>
        <w:t xml:space="preserve">. It is </w:t>
      </w:r>
      <w:r w:rsidR="00081762">
        <w:rPr>
          <w:rStyle w:val="normaltextrun"/>
          <w:color w:val="000000"/>
          <w:sz w:val="26"/>
          <w:szCs w:val="26"/>
        </w:rPr>
        <w:t>irrelevant</w:t>
      </w:r>
      <w:r w:rsidRPr="00081762">
        <w:rPr>
          <w:rStyle w:val="normaltextrun"/>
          <w:color w:val="000000"/>
          <w:sz w:val="26"/>
          <w:szCs w:val="26"/>
        </w:rPr>
        <w:t xml:space="preserve"> </w:t>
      </w:r>
      <w:r w:rsidR="00081762">
        <w:rPr>
          <w:rStyle w:val="normaltextrun"/>
          <w:color w:val="000000"/>
          <w:sz w:val="26"/>
          <w:szCs w:val="26"/>
        </w:rPr>
        <w:t>if</w:t>
      </w:r>
      <w:r w:rsidRPr="00081762">
        <w:rPr>
          <w:rStyle w:val="normaltextrun"/>
          <w:color w:val="000000"/>
          <w:sz w:val="26"/>
          <w:szCs w:val="26"/>
        </w:rPr>
        <w:t xml:space="preserve"> investigators would have eventually interviewed Parker. It is </w:t>
      </w:r>
      <w:r w:rsidR="00081762">
        <w:rPr>
          <w:rStyle w:val="normaltextrun"/>
          <w:color w:val="000000"/>
          <w:sz w:val="26"/>
          <w:szCs w:val="26"/>
        </w:rPr>
        <w:t xml:space="preserve">only </w:t>
      </w:r>
      <w:r w:rsidRPr="00081762">
        <w:rPr>
          <w:rStyle w:val="normaltextrun"/>
          <w:color w:val="000000"/>
          <w:sz w:val="26"/>
          <w:szCs w:val="26"/>
        </w:rPr>
        <w:t>important that investigators would not have taken the same steps absent Ms. Calloway’s testimony</w:t>
      </w:r>
      <w:r w:rsidR="00081762">
        <w:rPr>
          <w:rStyle w:val="normaltextrun"/>
          <w:color w:val="000000"/>
          <w:sz w:val="26"/>
          <w:szCs w:val="26"/>
        </w:rPr>
        <w:t xml:space="preserve">. </w:t>
      </w:r>
      <w:r w:rsidRPr="00081762">
        <w:rPr>
          <w:rStyle w:val="normaltextrun"/>
          <w:color w:val="000000"/>
          <w:sz w:val="26"/>
          <w:szCs w:val="26"/>
        </w:rPr>
        <w:t xml:space="preserve">Parker was just one of a hundred employees. Immediately after the compelled statements, </w:t>
      </w:r>
      <w:r w:rsidR="00081762">
        <w:rPr>
          <w:rStyle w:val="normaltextrun"/>
          <w:color w:val="000000"/>
          <w:sz w:val="26"/>
          <w:szCs w:val="26"/>
        </w:rPr>
        <w:t xml:space="preserve">Parker was no longer one of a hundred employees, but </w:t>
      </w:r>
      <w:r w:rsidRPr="00081762">
        <w:rPr>
          <w:rStyle w:val="normaltextrun"/>
          <w:color w:val="000000"/>
          <w:sz w:val="26"/>
          <w:szCs w:val="26"/>
        </w:rPr>
        <w:t xml:space="preserve">the very next </w:t>
      </w:r>
      <w:r w:rsidR="00081762">
        <w:rPr>
          <w:rStyle w:val="normaltextrun"/>
          <w:color w:val="000000"/>
          <w:sz w:val="26"/>
          <w:szCs w:val="26"/>
        </w:rPr>
        <w:t>lead</w:t>
      </w:r>
      <w:r w:rsidRPr="00081762">
        <w:rPr>
          <w:rStyle w:val="normaltextrun"/>
          <w:color w:val="000000"/>
          <w:sz w:val="26"/>
          <w:szCs w:val="26"/>
        </w:rPr>
        <w:t>. Investigators used Ms. Calloway’s testimony to focus the investigation on a specific witness because of the information contained in the immunized testimony. </w:t>
      </w:r>
    </w:p>
    <w:p w14:paraId="6D6DA21A" w14:textId="4DDE4260" w:rsidR="00A6252F" w:rsidRPr="00081762" w:rsidRDefault="00C67DE2" w:rsidP="00081762">
      <w:pPr>
        <w:pStyle w:val="paragraph"/>
        <w:spacing w:before="0" w:beforeAutospacing="0" w:after="0" w:afterAutospacing="0" w:line="480" w:lineRule="auto"/>
        <w:ind w:firstLine="360"/>
        <w:jc w:val="both"/>
        <w:textAlignment w:val="baseline"/>
        <w:rPr>
          <w:sz w:val="26"/>
          <w:szCs w:val="26"/>
        </w:rPr>
      </w:pPr>
      <w:r w:rsidRPr="00081762">
        <w:rPr>
          <w:rStyle w:val="normaltextrun"/>
          <w:color w:val="000000"/>
          <w:sz w:val="26"/>
          <w:szCs w:val="26"/>
        </w:rPr>
        <w:t>In </w:t>
      </w:r>
      <w:r w:rsidRPr="00081762">
        <w:rPr>
          <w:rStyle w:val="normaltextrun"/>
          <w:i/>
          <w:iCs/>
          <w:color w:val="000000"/>
          <w:sz w:val="26"/>
          <w:szCs w:val="26"/>
        </w:rPr>
        <w:t>Harris</w:t>
      </w:r>
      <w:r w:rsidRPr="00081762">
        <w:rPr>
          <w:rStyle w:val="normaltextrun"/>
          <w:color w:val="000000"/>
          <w:sz w:val="26"/>
          <w:szCs w:val="26"/>
        </w:rPr>
        <w:t xml:space="preserve">, the government was unable to eliminate the possibility that it used immunized testimony as an investigatory lead because several links in the chain of the </w:t>
      </w:r>
      <w:r w:rsidRPr="00081762">
        <w:rPr>
          <w:rStyle w:val="normaltextrun"/>
          <w:color w:val="000000"/>
          <w:sz w:val="26"/>
          <w:szCs w:val="26"/>
        </w:rPr>
        <w:lastRenderedPageBreak/>
        <w:t>government story were made weak from utter lack of insulating procedures or precautionary measures.</w:t>
      </w:r>
      <w:r w:rsidR="00081762">
        <w:rPr>
          <w:rStyle w:val="normaltextrun"/>
          <w:color w:val="000000"/>
          <w:sz w:val="26"/>
          <w:szCs w:val="26"/>
        </w:rPr>
        <w:t xml:space="preserve"> </w:t>
      </w:r>
      <w:r w:rsidR="00081762" w:rsidRPr="00081762">
        <w:rPr>
          <w:rStyle w:val="normaltextrun"/>
          <w:i/>
          <w:iCs/>
          <w:color w:val="000000"/>
          <w:sz w:val="26"/>
          <w:szCs w:val="26"/>
        </w:rPr>
        <w:t>United States v. Harris</w:t>
      </w:r>
      <w:r w:rsidR="00081762" w:rsidRPr="00081762">
        <w:rPr>
          <w:rStyle w:val="normaltextrun"/>
          <w:color w:val="000000"/>
          <w:sz w:val="26"/>
          <w:szCs w:val="26"/>
        </w:rPr>
        <w:t>, 973 F.2d 333 (4th Cir. 1992).</w:t>
      </w:r>
      <w:r w:rsidRPr="00081762">
        <w:rPr>
          <w:rStyle w:val="normaltextrun"/>
          <w:color w:val="000000"/>
          <w:sz w:val="26"/>
          <w:szCs w:val="26"/>
        </w:rPr>
        <w:t> </w:t>
      </w:r>
      <w:r w:rsidR="00081762" w:rsidRPr="00081762">
        <w:rPr>
          <w:rStyle w:val="normaltextrun"/>
          <w:color w:val="000000"/>
          <w:sz w:val="26"/>
          <w:szCs w:val="26"/>
        </w:rPr>
        <w:t>Although investigative exposure to immunized testimony is not determinative, exposure in the absence of a clear independent source will leave the government unable to meet its burden. </w:t>
      </w:r>
      <w:r w:rsidRPr="00081762">
        <w:rPr>
          <w:rStyle w:val="normaltextrun"/>
          <w:i/>
          <w:iCs/>
          <w:color w:val="000000"/>
          <w:sz w:val="26"/>
          <w:szCs w:val="26"/>
        </w:rPr>
        <w:t>Id. </w:t>
      </w:r>
      <w:r w:rsidRPr="00081762">
        <w:rPr>
          <w:rStyle w:val="normaltextrun"/>
          <w:color w:val="000000"/>
          <w:sz w:val="26"/>
          <w:szCs w:val="26"/>
        </w:rPr>
        <w:t xml:space="preserve"> Given the timeline </w:t>
      </w:r>
      <w:r w:rsidR="00081762">
        <w:rPr>
          <w:rStyle w:val="normaltextrun"/>
          <w:color w:val="000000"/>
          <w:sz w:val="26"/>
          <w:szCs w:val="26"/>
        </w:rPr>
        <w:t xml:space="preserve">of </w:t>
      </w:r>
      <w:r w:rsidR="00081762" w:rsidRPr="00081762">
        <w:rPr>
          <w:rStyle w:val="normaltextrun"/>
          <w:color w:val="000000"/>
          <w:sz w:val="26"/>
          <w:szCs w:val="26"/>
        </w:rPr>
        <w:t>investigator’s</w:t>
      </w:r>
      <w:r w:rsidRPr="00081762">
        <w:rPr>
          <w:rStyle w:val="normaltextrun"/>
          <w:color w:val="000000"/>
          <w:sz w:val="26"/>
          <w:szCs w:val="26"/>
        </w:rPr>
        <w:t xml:space="preserve"> </w:t>
      </w:r>
      <w:r w:rsidR="00081762">
        <w:rPr>
          <w:rStyle w:val="normaltextrun"/>
          <w:color w:val="000000"/>
          <w:sz w:val="26"/>
          <w:szCs w:val="26"/>
        </w:rPr>
        <w:t>decision to</w:t>
      </w:r>
      <w:r w:rsidR="00081762" w:rsidRPr="00081762">
        <w:rPr>
          <w:rStyle w:val="normaltextrun"/>
          <w:color w:val="000000"/>
          <w:sz w:val="26"/>
          <w:szCs w:val="26"/>
        </w:rPr>
        <w:t xml:space="preserve"> </w:t>
      </w:r>
      <w:r w:rsidRPr="00081762">
        <w:rPr>
          <w:rStyle w:val="normaltextrun"/>
          <w:color w:val="000000"/>
          <w:sz w:val="26"/>
          <w:szCs w:val="26"/>
        </w:rPr>
        <w:t xml:space="preserve">target Parker – and without </w:t>
      </w:r>
      <w:r w:rsidR="00081762">
        <w:rPr>
          <w:rStyle w:val="normaltextrun"/>
          <w:color w:val="000000"/>
          <w:sz w:val="26"/>
          <w:szCs w:val="26"/>
        </w:rPr>
        <w:t>evidence</w:t>
      </w:r>
      <w:r w:rsidRPr="00081762">
        <w:rPr>
          <w:rStyle w:val="normaltextrun"/>
          <w:color w:val="000000"/>
          <w:sz w:val="26"/>
          <w:szCs w:val="26"/>
        </w:rPr>
        <w:t xml:space="preserve"> that the investigation would have independently taken </w:t>
      </w:r>
      <w:r w:rsidR="00081762">
        <w:rPr>
          <w:rStyle w:val="normaltextrun"/>
          <w:color w:val="000000"/>
          <w:sz w:val="26"/>
          <w:szCs w:val="26"/>
        </w:rPr>
        <w:t>that direction</w:t>
      </w:r>
      <w:r w:rsidRPr="00081762">
        <w:rPr>
          <w:rStyle w:val="normaltextrun"/>
          <w:color w:val="000000"/>
          <w:sz w:val="26"/>
          <w:szCs w:val="26"/>
        </w:rPr>
        <w:t xml:space="preserve"> – the government is unable to eliminate the possibility it used immunized testimony as an investigatory lead.</w:t>
      </w:r>
    </w:p>
    <w:p w14:paraId="661C40B7" w14:textId="77777777" w:rsidR="00A6252F" w:rsidRPr="00081762" w:rsidRDefault="00A6252F" w:rsidP="00A6252F">
      <w:pPr>
        <w:pStyle w:val="ListParagraph"/>
        <w:keepNext/>
        <w:ind w:left="1440"/>
        <w:jc w:val="both"/>
        <w:outlineLvl w:val="2"/>
        <w:rPr>
          <w:rFonts w:ascii="Times New Roman" w:hAnsi="Times New Roman" w:cs="Times New Roman"/>
          <w:b/>
          <w:bCs/>
          <w:color w:val="000000" w:themeColor="text1"/>
          <w:sz w:val="26"/>
          <w:szCs w:val="26"/>
        </w:rPr>
      </w:pPr>
    </w:p>
    <w:p w14:paraId="2D42177B" w14:textId="0E5C3C74" w:rsidR="00A6252F" w:rsidRPr="00081762" w:rsidRDefault="00DD1C12" w:rsidP="00A6252F">
      <w:pPr>
        <w:pStyle w:val="ListParagraph"/>
        <w:keepNext/>
        <w:numPr>
          <w:ilvl w:val="1"/>
          <w:numId w:val="41"/>
        </w:numPr>
        <w:jc w:val="both"/>
        <w:outlineLvl w:val="2"/>
        <w:rPr>
          <w:rFonts w:ascii="Times New Roman" w:hAnsi="Times New Roman" w:cs="Times New Roman"/>
          <w:b/>
          <w:bCs/>
          <w:color w:val="000000" w:themeColor="text1"/>
          <w:sz w:val="26"/>
          <w:szCs w:val="26"/>
        </w:rPr>
      </w:pPr>
      <w:r w:rsidRPr="00081762">
        <w:rPr>
          <w:rFonts w:ascii="Times New Roman" w:hAnsi="Times New Roman" w:cs="Times New Roman"/>
          <w:b/>
          <w:bCs/>
          <w:color w:val="000000" w:themeColor="text1"/>
          <w:sz w:val="26"/>
          <w:szCs w:val="26"/>
        </w:rPr>
        <w:t>The Government Cannot Prove Sufficient Prior Knowledge to Constitute an Independent Source.</w:t>
      </w:r>
      <w:r w:rsidR="00A6252F" w:rsidRPr="00081762">
        <w:rPr>
          <w:rFonts w:ascii="Times New Roman" w:hAnsi="Times New Roman" w:cs="Times New Roman"/>
          <w:b/>
          <w:bCs/>
          <w:color w:val="000000" w:themeColor="text1"/>
          <w:sz w:val="26"/>
          <w:szCs w:val="26"/>
        </w:rPr>
        <w:t xml:space="preserve"> </w:t>
      </w:r>
    </w:p>
    <w:p w14:paraId="489EE73A" w14:textId="77777777" w:rsidR="00C67DE2" w:rsidRPr="00081762" w:rsidRDefault="00C67DE2" w:rsidP="00C67DE2">
      <w:pPr>
        <w:pStyle w:val="ListParagraph"/>
        <w:keepNext/>
        <w:ind w:left="1440"/>
        <w:jc w:val="both"/>
        <w:outlineLvl w:val="2"/>
        <w:rPr>
          <w:rFonts w:ascii="Times New Roman" w:hAnsi="Times New Roman" w:cs="Times New Roman"/>
          <w:b/>
          <w:bCs/>
          <w:color w:val="000000" w:themeColor="text1"/>
          <w:sz w:val="26"/>
          <w:szCs w:val="26"/>
        </w:rPr>
      </w:pPr>
    </w:p>
    <w:p w14:paraId="16282441" w14:textId="07EECAB9" w:rsidR="00C67DE2" w:rsidRPr="00081762" w:rsidRDefault="00C67DE2" w:rsidP="00C67DE2">
      <w:pPr>
        <w:pStyle w:val="paragraph"/>
        <w:spacing w:before="0" w:beforeAutospacing="0" w:after="0" w:afterAutospacing="0" w:line="480" w:lineRule="auto"/>
        <w:ind w:firstLine="360"/>
        <w:jc w:val="both"/>
        <w:textAlignment w:val="baseline"/>
        <w:rPr>
          <w:sz w:val="26"/>
          <w:szCs w:val="26"/>
        </w:rPr>
      </w:pPr>
      <w:r w:rsidRPr="00081762">
        <w:rPr>
          <w:rStyle w:val="normaltextrun"/>
          <w:color w:val="000000"/>
          <w:sz w:val="26"/>
          <w:szCs w:val="26"/>
        </w:rPr>
        <w:t xml:space="preserve">The government </w:t>
      </w:r>
      <w:r w:rsidR="00081762">
        <w:rPr>
          <w:rStyle w:val="normaltextrun"/>
          <w:color w:val="000000"/>
          <w:sz w:val="26"/>
          <w:szCs w:val="26"/>
        </w:rPr>
        <w:t>cannot show</w:t>
      </w:r>
      <w:r w:rsidRPr="00081762">
        <w:rPr>
          <w:rStyle w:val="normaltextrun"/>
          <w:color w:val="000000"/>
          <w:sz w:val="26"/>
          <w:szCs w:val="26"/>
        </w:rPr>
        <w:t xml:space="preserve"> sufficient prior knowledge of Parker to constitute an independent source because it cannot prove that the employee roster or other lists would have </w:t>
      </w:r>
      <w:r w:rsidR="00081762">
        <w:rPr>
          <w:rStyle w:val="normaltextrun"/>
          <w:color w:val="000000"/>
          <w:sz w:val="26"/>
          <w:szCs w:val="26"/>
        </w:rPr>
        <w:t xml:space="preserve">eventually </w:t>
      </w:r>
      <w:r w:rsidRPr="00081762">
        <w:rPr>
          <w:rStyle w:val="normaltextrun"/>
          <w:color w:val="000000"/>
          <w:sz w:val="26"/>
          <w:szCs w:val="26"/>
        </w:rPr>
        <w:t xml:space="preserve">led </w:t>
      </w:r>
      <w:r w:rsidR="00081762">
        <w:rPr>
          <w:rStyle w:val="normaltextrun"/>
          <w:color w:val="000000"/>
          <w:sz w:val="26"/>
          <w:szCs w:val="26"/>
        </w:rPr>
        <w:t xml:space="preserve">to </w:t>
      </w:r>
      <w:r w:rsidRPr="00081762">
        <w:rPr>
          <w:rStyle w:val="normaltextrun"/>
          <w:color w:val="000000"/>
          <w:sz w:val="26"/>
          <w:szCs w:val="26"/>
        </w:rPr>
        <w:t>Parker’s testimony. Prior knowledge is not met by mere awareness of a potential witness’s existence. </w:t>
      </w:r>
      <w:r w:rsidRPr="00081762">
        <w:rPr>
          <w:rStyle w:val="normaltextrun"/>
          <w:i/>
          <w:iCs/>
          <w:color w:val="000000"/>
          <w:sz w:val="26"/>
          <w:szCs w:val="26"/>
        </w:rPr>
        <w:t>United States v. Rivieccio,</w:t>
      </w:r>
      <w:r w:rsidRPr="00081762">
        <w:rPr>
          <w:rStyle w:val="normaltextrun"/>
          <w:color w:val="000000"/>
          <w:sz w:val="26"/>
          <w:szCs w:val="26"/>
        </w:rPr>
        <w:t> 919 F.2d 812, 815 (2d Cir. 1990). For prior knowledge to be an independent source, the government must be aware of a potential witness’s involvement or insight before the compelled testimony. </w:t>
      </w:r>
      <w:r w:rsidRPr="00081762">
        <w:rPr>
          <w:rStyle w:val="normaltextrun"/>
          <w:i/>
          <w:iCs/>
          <w:color w:val="000000"/>
          <w:sz w:val="26"/>
          <w:szCs w:val="26"/>
        </w:rPr>
        <w:t>Id. </w:t>
      </w:r>
      <w:r w:rsidRPr="00081762">
        <w:rPr>
          <w:rStyle w:val="normaltextrun"/>
          <w:color w:val="000000"/>
          <w:sz w:val="26"/>
          <w:szCs w:val="26"/>
        </w:rPr>
        <w:t>The government had no reason to believe that Parker was involved in the conspiracy or even had any relevant information</w:t>
      </w:r>
      <w:r w:rsidR="00081762">
        <w:rPr>
          <w:rStyle w:val="normaltextrun"/>
          <w:color w:val="000000"/>
          <w:sz w:val="26"/>
          <w:szCs w:val="26"/>
        </w:rPr>
        <w:t>.</w:t>
      </w:r>
    </w:p>
    <w:p w14:paraId="1D03810C" w14:textId="77E312D5" w:rsidR="00C67DE2" w:rsidRPr="00081762" w:rsidRDefault="00C67DE2" w:rsidP="00C67DE2">
      <w:pPr>
        <w:pStyle w:val="paragraph"/>
        <w:spacing w:before="0" w:beforeAutospacing="0" w:after="0" w:afterAutospacing="0" w:line="480" w:lineRule="auto"/>
        <w:ind w:firstLine="360"/>
        <w:jc w:val="both"/>
        <w:textAlignment w:val="baseline"/>
        <w:rPr>
          <w:sz w:val="26"/>
          <w:szCs w:val="26"/>
        </w:rPr>
      </w:pPr>
      <w:r w:rsidRPr="00081762">
        <w:rPr>
          <w:rStyle w:val="normaltextrun"/>
          <w:color w:val="000000"/>
          <w:sz w:val="26"/>
          <w:szCs w:val="26"/>
        </w:rPr>
        <w:t xml:space="preserve">In fact, the government did not know that Parker had </w:t>
      </w:r>
      <w:r w:rsidR="00081762">
        <w:rPr>
          <w:rStyle w:val="normaltextrun"/>
          <w:color w:val="000000"/>
          <w:sz w:val="26"/>
          <w:szCs w:val="26"/>
        </w:rPr>
        <w:t>heard</w:t>
      </w:r>
      <w:r w:rsidRPr="00081762">
        <w:rPr>
          <w:rStyle w:val="normaltextrun"/>
          <w:color w:val="000000"/>
          <w:sz w:val="26"/>
          <w:szCs w:val="26"/>
        </w:rPr>
        <w:t xml:space="preserve"> the </w:t>
      </w:r>
      <w:r w:rsidR="00081762">
        <w:rPr>
          <w:rStyle w:val="normaltextrun"/>
          <w:color w:val="000000"/>
          <w:sz w:val="26"/>
          <w:szCs w:val="26"/>
        </w:rPr>
        <w:t xml:space="preserve">holiday party </w:t>
      </w:r>
      <w:r w:rsidRPr="00081762">
        <w:rPr>
          <w:rStyle w:val="normaltextrun"/>
          <w:color w:val="000000"/>
          <w:sz w:val="26"/>
          <w:szCs w:val="26"/>
        </w:rPr>
        <w:t>conversation</w:t>
      </w:r>
      <w:r w:rsidR="00081762">
        <w:rPr>
          <w:rStyle w:val="normaltextrun"/>
          <w:color w:val="000000"/>
          <w:sz w:val="26"/>
          <w:szCs w:val="26"/>
        </w:rPr>
        <w:t xml:space="preserve">. </w:t>
      </w:r>
      <w:r w:rsidRPr="00081762">
        <w:rPr>
          <w:rStyle w:val="normaltextrun"/>
          <w:color w:val="000000"/>
          <w:sz w:val="26"/>
          <w:szCs w:val="26"/>
        </w:rPr>
        <w:t>(Sinclair Dep. 22:561–22:562.) Sinclair </w:t>
      </w:r>
      <w:r w:rsidR="00081762">
        <w:rPr>
          <w:rStyle w:val="normaltextrun"/>
          <w:color w:val="000000"/>
          <w:sz w:val="26"/>
          <w:szCs w:val="26"/>
        </w:rPr>
        <w:t xml:space="preserve">further </w:t>
      </w:r>
      <w:r w:rsidRPr="00081762">
        <w:rPr>
          <w:rStyle w:val="normaltextrun"/>
          <w:color w:val="000000"/>
          <w:sz w:val="26"/>
          <w:szCs w:val="26"/>
        </w:rPr>
        <w:t>confirms</w:t>
      </w:r>
      <w:r w:rsidR="00081762">
        <w:rPr>
          <w:rStyle w:val="normaltextrun"/>
          <w:color w:val="000000"/>
          <w:sz w:val="26"/>
          <w:szCs w:val="26"/>
        </w:rPr>
        <w:t xml:space="preserve">, </w:t>
      </w:r>
      <w:r w:rsidRPr="00081762">
        <w:rPr>
          <w:rStyle w:val="normaltextrun"/>
          <w:color w:val="000000"/>
          <w:sz w:val="26"/>
          <w:szCs w:val="26"/>
        </w:rPr>
        <w:t xml:space="preserve">saying that prior to August 28, 2024, there were a lot of names on the employer roster, and no one was </w:t>
      </w:r>
      <w:r w:rsidRPr="00081762">
        <w:rPr>
          <w:rStyle w:val="normaltextrun"/>
          <w:color w:val="000000"/>
          <w:sz w:val="26"/>
          <w:szCs w:val="26"/>
        </w:rPr>
        <w:lastRenderedPageBreak/>
        <w:t>focusing on Parker as a person with information relevant to the investigation; investigators did not think that Parker mattered one way or another. (Sinclair Dep. 22:570–22:575.</w:t>
      </w:r>
      <w:r w:rsidR="00081762">
        <w:rPr>
          <w:rStyle w:val="normaltextrun"/>
          <w:color w:val="000000"/>
          <w:sz w:val="26"/>
          <w:szCs w:val="26"/>
        </w:rPr>
        <w:t>)</w:t>
      </w:r>
    </w:p>
    <w:p w14:paraId="2A7A5C03" w14:textId="5D567102" w:rsidR="00C67DE2" w:rsidRPr="00081762" w:rsidRDefault="00C67DE2" w:rsidP="00C67DE2">
      <w:pPr>
        <w:pStyle w:val="paragraph"/>
        <w:spacing w:before="0" w:beforeAutospacing="0" w:after="0" w:afterAutospacing="0" w:line="480" w:lineRule="auto"/>
        <w:ind w:firstLine="360"/>
        <w:jc w:val="both"/>
        <w:textAlignment w:val="baseline"/>
        <w:rPr>
          <w:sz w:val="26"/>
          <w:szCs w:val="26"/>
        </w:rPr>
      </w:pPr>
      <w:r w:rsidRPr="00081762">
        <w:rPr>
          <w:rStyle w:val="normaltextrun"/>
          <w:color w:val="000000"/>
          <w:sz w:val="26"/>
          <w:szCs w:val="26"/>
        </w:rPr>
        <w:t>Parker was not interviewed earlier due to a belief that Parker did not have relevant information to the Donovan prosecution and investigators had to make choices where to spend resources. (Nolan Dep. 31:293–31:297.) The government cannot prove it would have eventually uncovered Parker’s testimony, not only because it had no prior knowledge of Parker’s importance, but also because there is no proof that Parker would have been interviewed at all.</w:t>
      </w:r>
    </w:p>
    <w:p w14:paraId="3328B0D6" w14:textId="7DF0E865" w:rsidR="00C67DE2" w:rsidRPr="00081762" w:rsidRDefault="00C67DE2" w:rsidP="00C67DE2">
      <w:pPr>
        <w:pStyle w:val="paragraph"/>
        <w:spacing w:before="0" w:beforeAutospacing="0" w:after="0" w:afterAutospacing="0" w:line="480" w:lineRule="auto"/>
        <w:ind w:firstLine="360"/>
        <w:jc w:val="both"/>
        <w:textAlignment w:val="baseline"/>
        <w:rPr>
          <w:sz w:val="26"/>
          <w:szCs w:val="26"/>
        </w:rPr>
      </w:pPr>
      <w:r w:rsidRPr="00081762">
        <w:rPr>
          <w:rStyle w:val="normaltextrun"/>
          <w:color w:val="000000"/>
          <w:sz w:val="26"/>
          <w:szCs w:val="26"/>
        </w:rPr>
        <w:t>In </w:t>
      </w:r>
      <w:r w:rsidRPr="00081762">
        <w:rPr>
          <w:rStyle w:val="normaltextrun"/>
          <w:i/>
          <w:iCs/>
          <w:color w:val="000000"/>
          <w:sz w:val="26"/>
          <w:szCs w:val="26"/>
        </w:rPr>
        <w:t>Ponds</w:t>
      </w:r>
      <w:r w:rsidRPr="00081762">
        <w:rPr>
          <w:rStyle w:val="normaltextrun"/>
          <w:color w:val="000000"/>
          <w:sz w:val="26"/>
          <w:szCs w:val="26"/>
        </w:rPr>
        <w:t>, investigators were unable to show prior knowledge by making broad assumptions that a witness’ position would be able to provide the </w:t>
      </w:r>
      <w:r w:rsidR="00081762">
        <w:rPr>
          <w:rStyle w:val="normaltextrun"/>
          <w:color w:val="000000"/>
          <w:sz w:val="26"/>
          <w:szCs w:val="26"/>
        </w:rPr>
        <w:t>certain.</w:t>
      </w:r>
      <w:r w:rsidRPr="00081762">
        <w:rPr>
          <w:rStyle w:val="normaltextrun"/>
          <w:color w:val="000000"/>
          <w:sz w:val="26"/>
          <w:szCs w:val="26"/>
        </w:rPr>
        <w:t> </w:t>
      </w:r>
      <w:r w:rsidR="00081762" w:rsidRPr="00081762">
        <w:rPr>
          <w:rStyle w:val="normaltextrun"/>
          <w:color w:val="000000"/>
          <w:sz w:val="26"/>
          <w:szCs w:val="26"/>
        </w:rPr>
        <w:t>D</w:t>
      </w:r>
      <w:r w:rsidRPr="00081762">
        <w:rPr>
          <w:rStyle w:val="normaltextrun"/>
          <w:color w:val="000000"/>
          <w:sz w:val="26"/>
          <w:szCs w:val="26"/>
        </w:rPr>
        <w:t>ocuments</w:t>
      </w:r>
      <w:r w:rsidR="00081762">
        <w:rPr>
          <w:rStyle w:val="normaltextrun"/>
          <w:color w:val="000000"/>
          <w:sz w:val="26"/>
          <w:szCs w:val="26"/>
        </w:rPr>
        <w:t xml:space="preserve">. </w:t>
      </w:r>
      <w:r w:rsidRPr="00081762">
        <w:rPr>
          <w:rStyle w:val="normaltextrun"/>
          <w:i/>
          <w:iCs/>
          <w:color w:val="000000"/>
          <w:sz w:val="26"/>
          <w:szCs w:val="26"/>
        </w:rPr>
        <w:t>United</w:t>
      </w:r>
      <w:r w:rsidR="00081762">
        <w:rPr>
          <w:rStyle w:val="normaltextrun"/>
          <w:i/>
          <w:iCs/>
          <w:color w:val="000000"/>
          <w:sz w:val="26"/>
          <w:szCs w:val="26"/>
        </w:rPr>
        <w:t xml:space="preserve"> </w:t>
      </w:r>
      <w:r w:rsidRPr="00081762">
        <w:rPr>
          <w:rStyle w:val="normaltextrun"/>
          <w:i/>
          <w:iCs/>
          <w:color w:val="000000"/>
          <w:sz w:val="26"/>
          <w:szCs w:val="26"/>
        </w:rPr>
        <w:t>States</w:t>
      </w:r>
      <w:r w:rsidR="00081762">
        <w:rPr>
          <w:rStyle w:val="normaltextrun"/>
          <w:i/>
          <w:iCs/>
          <w:color w:val="000000"/>
          <w:sz w:val="26"/>
          <w:szCs w:val="26"/>
        </w:rPr>
        <w:t xml:space="preserve"> </w:t>
      </w:r>
      <w:r w:rsidRPr="00081762">
        <w:rPr>
          <w:rStyle w:val="normaltextrun"/>
          <w:i/>
          <w:iCs/>
          <w:color w:val="000000"/>
          <w:sz w:val="26"/>
          <w:szCs w:val="26"/>
        </w:rPr>
        <w:t>v.</w:t>
      </w:r>
      <w:r w:rsidR="00081762">
        <w:rPr>
          <w:rStyle w:val="normaltextrun"/>
          <w:i/>
          <w:iCs/>
          <w:color w:val="000000"/>
          <w:sz w:val="26"/>
          <w:szCs w:val="26"/>
        </w:rPr>
        <w:t xml:space="preserve"> </w:t>
      </w:r>
      <w:r w:rsidRPr="00081762">
        <w:rPr>
          <w:rStyle w:val="normaltextrun"/>
          <w:i/>
          <w:iCs/>
          <w:color w:val="000000"/>
          <w:sz w:val="26"/>
          <w:szCs w:val="26"/>
        </w:rPr>
        <w:t>Ponds</w:t>
      </w:r>
      <w:r w:rsidRPr="00081762">
        <w:rPr>
          <w:rStyle w:val="normaltextrun"/>
          <w:color w:val="000000"/>
          <w:sz w:val="26"/>
          <w:szCs w:val="26"/>
        </w:rPr>
        <w:t>,</w:t>
      </w:r>
      <w:r w:rsidR="00081762">
        <w:rPr>
          <w:rStyle w:val="normaltextrun"/>
          <w:color w:val="000000"/>
          <w:sz w:val="26"/>
          <w:szCs w:val="26"/>
        </w:rPr>
        <w:t xml:space="preserve"> </w:t>
      </w:r>
      <w:r w:rsidRPr="00081762">
        <w:rPr>
          <w:rStyle w:val="normaltextrun"/>
          <w:color w:val="000000"/>
          <w:sz w:val="26"/>
          <w:szCs w:val="26"/>
        </w:rPr>
        <w:t>454</w:t>
      </w:r>
      <w:r w:rsidR="00081762">
        <w:rPr>
          <w:rStyle w:val="normaltextrun"/>
          <w:color w:val="000000"/>
          <w:sz w:val="26"/>
          <w:szCs w:val="26"/>
        </w:rPr>
        <w:t xml:space="preserve"> </w:t>
      </w:r>
      <w:r w:rsidRPr="00081762">
        <w:rPr>
          <w:rStyle w:val="normaltextrun"/>
          <w:color w:val="000000"/>
          <w:sz w:val="26"/>
          <w:szCs w:val="26"/>
        </w:rPr>
        <w:t>F.3d</w:t>
      </w:r>
      <w:r w:rsidR="00081762">
        <w:rPr>
          <w:rStyle w:val="normaltextrun"/>
          <w:color w:val="000000"/>
          <w:sz w:val="26"/>
          <w:szCs w:val="26"/>
        </w:rPr>
        <w:t xml:space="preserve"> </w:t>
      </w:r>
      <w:r w:rsidRPr="00081762">
        <w:rPr>
          <w:rStyle w:val="normaltextrun"/>
          <w:color w:val="000000"/>
          <w:sz w:val="26"/>
          <w:szCs w:val="26"/>
        </w:rPr>
        <w:t>313</w:t>
      </w:r>
      <w:r w:rsidR="00081762">
        <w:rPr>
          <w:rStyle w:val="normaltextrun"/>
          <w:color w:val="000000"/>
          <w:sz w:val="26"/>
          <w:szCs w:val="26"/>
        </w:rPr>
        <w:t xml:space="preserve"> </w:t>
      </w:r>
      <w:r w:rsidRPr="00081762">
        <w:rPr>
          <w:rStyle w:val="normaltextrun"/>
          <w:color w:val="000000"/>
          <w:sz w:val="26"/>
          <w:szCs w:val="26"/>
        </w:rPr>
        <w:t>(2006). The government need</w:t>
      </w:r>
      <w:r w:rsidR="00081762">
        <w:rPr>
          <w:rStyle w:val="normaltextrun"/>
          <w:color w:val="000000"/>
          <w:sz w:val="26"/>
          <w:szCs w:val="26"/>
        </w:rPr>
        <w:t>s</w:t>
      </w:r>
      <w:r w:rsidRPr="00081762">
        <w:rPr>
          <w:rStyle w:val="normaltextrun"/>
          <w:color w:val="000000"/>
          <w:sz w:val="26"/>
          <w:szCs w:val="26"/>
        </w:rPr>
        <w:t xml:space="preserve"> to know before</w:t>
      </w:r>
      <w:r w:rsidR="00081762">
        <w:rPr>
          <w:rStyle w:val="normaltextrun"/>
          <w:color w:val="000000"/>
          <w:sz w:val="26"/>
          <w:szCs w:val="26"/>
        </w:rPr>
        <w:t xml:space="preserve">hand </w:t>
      </w:r>
      <w:r w:rsidRPr="00081762">
        <w:rPr>
          <w:rStyle w:val="normaltextrun"/>
          <w:color w:val="000000"/>
          <w:sz w:val="26"/>
          <w:szCs w:val="26"/>
        </w:rPr>
        <w:t>that a witness possessed the documents produced. </w:t>
      </w:r>
      <w:r w:rsidRPr="00081762">
        <w:rPr>
          <w:rStyle w:val="normaltextrun"/>
          <w:i/>
          <w:iCs/>
          <w:color w:val="000000"/>
          <w:sz w:val="26"/>
          <w:szCs w:val="26"/>
        </w:rPr>
        <w:t>Id.</w:t>
      </w:r>
      <w:r w:rsidRPr="00081762">
        <w:rPr>
          <w:rStyle w:val="normaltextrun"/>
          <w:color w:val="000000"/>
          <w:sz w:val="26"/>
          <w:szCs w:val="26"/>
        </w:rPr>
        <w:t> The government had no prior knowledge that Parker had any relevant insight into the inner workings of Silver Palms, much less into the Coastal documents recovered. (Ex. 19.) Nor would the government have any reason to believe that an Events &amp; Banquets employee would have financial records for outside organizations.</w:t>
      </w:r>
    </w:p>
    <w:p w14:paraId="3B14E21A" w14:textId="5CD33D4A" w:rsidR="00C67DE2" w:rsidRPr="00081762" w:rsidRDefault="00C67DE2" w:rsidP="00C67DE2">
      <w:pPr>
        <w:pStyle w:val="paragraph"/>
        <w:spacing w:before="0" w:beforeAutospacing="0" w:after="0" w:afterAutospacing="0" w:line="480" w:lineRule="auto"/>
        <w:ind w:firstLine="360"/>
        <w:jc w:val="both"/>
        <w:textAlignment w:val="baseline"/>
        <w:rPr>
          <w:sz w:val="26"/>
          <w:szCs w:val="26"/>
        </w:rPr>
      </w:pPr>
      <w:r w:rsidRPr="00081762">
        <w:rPr>
          <w:rStyle w:val="normaltextrun"/>
          <w:color w:val="000000"/>
          <w:sz w:val="26"/>
          <w:szCs w:val="26"/>
        </w:rPr>
        <w:t>Other than Parker’s testimony, the government had no other means to acquire Exhibit 19 or the information contained therein. The government would need multiple sources that could elicit this information. In </w:t>
      </w:r>
      <w:r w:rsidRPr="00081762">
        <w:rPr>
          <w:rStyle w:val="normaltextrun"/>
          <w:i/>
          <w:iCs/>
          <w:color w:val="000000"/>
          <w:sz w:val="26"/>
          <w:szCs w:val="26"/>
        </w:rPr>
        <w:t>Cantu</w:t>
      </w:r>
      <w:r w:rsidRPr="00081762">
        <w:rPr>
          <w:rStyle w:val="normaltextrun"/>
          <w:color w:val="000000"/>
          <w:sz w:val="26"/>
          <w:szCs w:val="26"/>
        </w:rPr>
        <w:t xml:space="preserve">, the court determined that although the defendant provided the government with important evidentiary evidence, the government secured </w:t>
      </w:r>
      <w:r w:rsidR="00081762" w:rsidRPr="00081762">
        <w:rPr>
          <w:rStyle w:val="normaltextrun"/>
          <w:color w:val="000000"/>
          <w:sz w:val="26"/>
          <w:szCs w:val="26"/>
        </w:rPr>
        <w:t>several</w:t>
      </w:r>
      <w:r w:rsidRPr="00081762">
        <w:rPr>
          <w:rStyle w:val="normaltextrun"/>
          <w:color w:val="000000"/>
          <w:sz w:val="26"/>
          <w:szCs w:val="26"/>
        </w:rPr>
        <w:t> sources to constitute the wholly independent line of investigation. </w:t>
      </w:r>
      <w:r w:rsidRPr="00081762">
        <w:rPr>
          <w:rStyle w:val="normaltextrun"/>
          <w:i/>
          <w:iCs/>
          <w:color w:val="000000"/>
          <w:sz w:val="26"/>
          <w:szCs w:val="26"/>
        </w:rPr>
        <w:t>United States v. Cantu</w:t>
      </w:r>
      <w:r w:rsidRPr="00081762">
        <w:rPr>
          <w:rStyle w:val="normaltextrun"/>
          <w:color w:val="000000"/>
          <w:sz w:val="26"/>
          <w:szCs w:val="26"/>
        </w:rPr>
        <w:t xml:space="preserve">, 185 F.3d 298, 299 (5th Cir. 1999). If investigators simply happened upon the </w:t>
      </w:r>
      <w:r w:rsidRPr="00081762">
        <w:rPr>
          <w:rStyle w:val="normaltextrun"/>
          <w:color w:val="000000"/>
          <w:sz w:val="26"/>
          <w:szCs w:val="26"/>
        </w:rPr>
        <w:lastRenderedPageBreak/>
        <w:t>contents of Exhibit 19, this would also constitute an independent source. </w:t>
      </w:r>
      <w:r w:rsidRPr="00081762">
        <w:rPr>
          <w:rStyle w:val="normaltextrun"/>
          <w:i/>
          <w:iCs/>
          <w:color w:val="000000"/>
          <w:sz w:val="26"/>
          <w:szCs w:val="26"/>
        </w:rPr>
        <w:t>Ponds</w:t>
      </w:r>
      <w:r w:rsidRPr="00081762">
        <w:rPr>
          <w:rStyle w:val="normaltextrun"/>
          <w:color w:val="000000"/>
          <w:sz w:val="26"/>
          <w:szCs w:val="26"/>
        </w:rPr>
        <w:t xml:space="preserve">, at 320. To </w:t>
      </w:r>
      <w:r w:rsidR="00081762">
        <w:rPr>
          <w:rStyle w:val="normaltextrun"/>
          <w:color w:val="000000"/>
          <w:sz w:val="26"/>
          <w:szCs w:val="26"/>
        </w:rPr>
        <w:t>meet its burden, t</w:t>
      </w:r>
      <w:r w:rsidRPr="00081762">
        <w:rPr>
          <w:rStyle w:val="normaltextrun"/>
          <w:color w:val="000000"/>
          <w:sz w:val="26"/>
          <w:szCs w:val="26"/>
        </w:rPr>
        <w:t>he government would need to show an ongoing investigatory line that could connect to either the storage unit, or the coastal records themselves.</w:t>
      </w:r>
    </w:p>
    <w:p w14:paraId="2B32C98D" w14:textId="36468C94" w:rsidR="00C67DE2" w:rsidRPr="00081762" w:rsidRDefault="00C67DE2" w:rsidP="00C67DE2">
      <w:pPr>
        <w:pStyle w:val="paragraph"/>
        <w:spacing w:before="0" w:beforeAutospacing="0" w:after="0" w:afterAutospacing="0" w:line="480" w:lineRule="auto"/>
        <w:ind w:firstLine="360"/>
        <w:jc w:val="both"/>
        <w:textAlignment w:val="baseline"/>
        <w:rPr>
          <w:sz w:val="26"/>
          <w:szCs w:val="26"/>
        </w:rPr>
      </w:pPr>
      <w:r w:rsidRPr="00081762">
        <w:rPr>
          <w:rStyle w:val="normaltextrun"/>
          <w:color w:val="000000"/>
          <w:sz w:val="26"/>
          <w:szCs w:val="26"/>
        </w:rPr>
        <w:t xml:space="preserve">The government cannot show any independent investigatory line that would have led to the storage unit. Using the information provided in Parker’s testimony, Nolan confirmed that the storage unit existed and was rented under the name Carlos Calloway. (Nolan Dep. 33:352–33:354.) Prior to Parker’s statement, investigators had not known about the storage unit. (Nolan Dep. 32:346–33:348.) Given this clear denial of ongoing investigation and the fact that the unit was not in Ms. Calloway’s name, it would not have been </w:t>
      </w:r>
      <w:r w:rsidR="00081762">
        <w:rPr>
          <w:rStyle w:val="normaltextrun"/>
          <w:color w:val="000000"/>
          <w:sz w:val="26"/>
          <w:szCs w:val="26"/>
        </w:rPr>
        <w:t>otherwise</w:t>
      </w:r>
      <w:r w:rsidR="00081762" w:rsidRPr="00081762">
        <w:rPr>
          <w:rStyle w:val="normaltextrun"/>
          <w:color w:val="000000"/>
          <w:sz w:val="26"/>
          <w:szCs w:val="26"/>
        </w:rPr>
        <w:t xml:space="preserve"> </w:t>
      </w:r>
      <w:r w:rsidRPr="00081762">
        <w:rPr>
          <w:rStyle w:val="normaltextrun"/>
          <w:color w:val="000000"/>
          <w:sz w:val="26"/>
          <w:szCs w:val="26"/>
        </w:rPr>
        <w:t>discovered.</w:t>
      </w:r>
    </w:p>
    <w:p w14:paraId="5FE02F26" w14:textId="3DCEBF45" w:rsidR="00C67DE2" w:rsidRDefault="00081762" w:rsidP="00081762">
      <w:pPr>
        <w:pStyle w:val="paragraph"/>
        <w:spacing w:before="0" w:beforeAutospacing="0" w:after="0" w:afterAutospacing="0" w:line="480" w:lineRule="auto"/>
        <w:ind w:firstLine="360"/>
        <w:jc w:val="both"/>
        <w:textAlignment w:val="baseline"/>
        <w:rPr>
          <w:rStyle w:val="eop"/>
          <w:color w:val="000000"/>
          <w:sz w:val="26"/>
          <w:szCs w:val="26"/>
        </w:rPr>
      </w:pPr>
      <w:r>
        <w:rPr>
          <w:rStyle w:val="normaltextrun"/>
          <w:color w:val="000000"/>
          <w:sz w:val="26"/>
          <w:szCs w:val="26"/>
        </w:rPr>
        <w:t>Although t</w:t>
      </w:r>
      <w:r w:rsidR="00C67DE2" w:rsidRPr="00081762">
        <w:rPr>
          <w:rStyle w:val="normaltextrun"/>
          <w:color w:val="000000"/>
          <w:sz w:val="26"/>
          <w:szCs w:val="26"/>
        </w:rPr>
        <w:t>he government can show investigatory lines that point to Coastal</w:t>
      </w:r>
      <w:r>
        <w:rPr>
          <w:rStyle w:val="normaltextrun"/>
          <w:color w:val="000000"/>
          <w:sz w:val="26"/>
          <w:szCs w:val="26"/>
        </w:rPr>
        <w:t xml:space="preserve"> financials</w:t>
      </w:r>
      <w:r w:rsidR="00C67DE2" w:rsidRPr="00081762">
        <w:rPr>
          <w:rStyle w:val="normaltextrun"/>
          <w:color w:val="000000"/>
          <w:sz w:val="26"/>
          <w:szCs w:val="26"/>
        </w:rPr>
        <w:t>, all lines result in dead ends</w:t>
      </w:r>
      <w:r>
        <w:rPr>
          <w:rStyle w:val="normaltextrun"/>
          <w:color w:val="000000"/>
          <w:sz w:val="26"/>
          <w:szCs w:val="26"/>
        </w:rPr>
        <w:t xml:space="preserve">. The </w:t>
      </w:r>
      <w:r w:rsidR="00C67DE2" w:rsidRPr="00081762">
        <w:rPr>
          <w:rStyle w:val="normaltextrun"/>
          <w:color w:val="000000"/>
          <w:sz w:val="26"/>
          <w:szCs w:val="26"/>
        </w:rPr>
        <w:t>Coastal record </w:t>
      </w:r>
      <w:r>
        <w:rPr>
          <w:rStyle w:val="normaltextrun"/>
          <w:color w:val="000000"/>
          <w:sz w:val="26"/>
          <w:szCs w:val="26"/>
        </w:rPr>
        <w:t xml:space="preserve">identifying Emily Calloway </w:t>
      </w:r>
      <w:r w:rsidR="00C67DE2" w:rsidRPr="00081762">
        <w:rPr>
          <w:rStyle w:val="normaltextrun"/>
          <w:color w:val="000000"/>
          <w:sz w:val="26"/>
          <w:szCs w:val="26"/>
        </w:rPr>
        <w:t>had never</w:t>
      </w:r>
      <w:r>
        <w:rPr>
          <w:rStyle w:val="normaltextrun"/>
          <w:color w:val="000000"/>
          <w:sz w:val="26"/>
          <w:szCs w:val="26"/>
        </w:rPr>
        <w:t xml:space="preserve"> been</w:t>
      </w:r>
      <w:r w:rsidR="00C67DE2" w:rsidRPr="00081762">
        <w:rPr>
          <w:rStyle w:val="normaltextrun"/>
          <w:color w:val="000000"/>
          <w:sz w:val="26"/>
          <w:szCs w:val="26"/>
        </w:rPr>
        <w:t> discovered anywhere else</w:t>
      </w:r>
      <w:r>
        <w:rPr>
          <w:rStyle w:val="normaltextrun"/>
          <w:color w:val="000000"/>
          <w:sz w:val="26"/>
          <w:szCs w:val="26"/>
        </w:rPr>
        <w:t xml:space="preserve">, the unit was the only way to determine the owner of the Cayman account. </w:t>
      </w:r>
      <w:r w:rsidR="00C67DE2" w:rsidRPr="00081762">
        <w:rPr>
          <w:rStyle w:val="normaltextrun"/>
          <w:color w:val="000000"/>
          <w:sz w:val="26"/>
          <w:szCs w:val="26"/>
        </w:rPr>
        <w:t xml:space="preserve">(Nolan Dep. 33:356–33:360.) Information on other Silver Palms vendors was subpoenaed, and none of it implicated Ms. Calloway or indicated the recipient of the Coastal payments. (Nolan Dep. 26:85–26:93.) Other </w:t>
      </w:r>
      <w:r>
        <w:rPr>
          <w:rStyle w:val="normaltextrun"/>
          <w:color w:val="000000"/>
          <w:sz w:val="26"/>
          <w:szCs w:val="26"/>
        </w:rPr>
        <w:t xml:space="preserve">potential witnesses to Coatal’s owner </w:t>
      </w:r>
      <w:r w:rsidR="00C67DE2" w:rsidRPr="00081762">
        <w:rPr>
          <w:rStyle w:val="normaltextrun"/>
          <w:color w:val="000000"/>
          <w:sz w:val="26"/>
          <w:szCs w:val="26"/>
        </w:rPr>
        <w:t xml:space="preserve">were </w:t>
      </w:r>
      <w:r>
        <w:rPr>
          <w:rStyle w:val="normaltextrun"/>
          <w:color w:val="000000"/>
          <w:sz w:val="26"/>
          <w:szCs w:val="26"/>
        </w:rPr>
        <w:t>unavailable</w:t>
      </w:r>
      <w:r w:rsidR="00C67DE2" w:rsidRPr="00081762">
        <w:rPr>
          <w:rStyle w:val="normaltextrun"/>
          <w:color w:val="000000"/>
          <w:sz w:val="26"/>
          <w:szCs w:val="26"/>
        </w:rPr>
        <w:t>. (Nolan Dep. 26:100–26:104; </w:t>
      </w:r>
      <w:r w:rsidR="00C67DE2" w:rsidRPr="00081762">
        <w:rPr>
          <w:rStyle w:val="normaltextrun"/>
          <w:i/>
          <w:iCs/>
          <w:color w:val="000000"/>
          <w:sz w:val="26"/>
          <w:szCs w:val="26"/>
        </w:rPr>
        <w:t>Id. </w:t>
      </w:r>
      <w:r w:rsidR="00C67DE2" w:rsidRPr="00081762">
        <w:rPr>
          <w:rStyle w:val="normaltextrun"/>
          <w:color w:val="000000"/>
          <w:sz w:val="26"/>
          <w:szCs w:val="26"/>
        </w:rPr>
        <w:t>at 28:161–28:163.) </w:t>
      </w:r>
      <w:r w:rsidR="00C67DE2" w:rsidRPr="00081762">
        <w:rPr>
          <w:rStyle w:val="eop"/>
          <w:color w:val="000000"/>
          <w:sz w:val="26"/>
          <w:szCs w:val="26"/>
        </w:rPr>
        <w:t> </w:t>
      </w:r>
    </w:p>
    <w:p w14:paraId="0ED5B85C" w14:textId="77777777" w:rsidR="00081762" w:rsidRDefault="00081762" w:rsidP="00081762">
      <w:pPr>
        <w:pStyle w:val="paragraph"/>
        <w:spacing w:before="0" w:beforeAutospacing="0" w:after="0" w:afterAutospacing="0" w:line="480" w:lineRule="auto"/>
        <w:ind w:firstLine="360"/>
        <w:jc w:val="both"/>
        <w:textAlignment w:val="baseline"/>
        <w:rPr>
          <w:rStyle w:val="normaltextrun"/>
          <w:color w:val="000000"/>
          <w:sz w:val="26"/>
          <w:szCs w:val="26"/>
        </w:rPr>
      </w:pPr>
      <w:r>
        <w:rPr>
          <w:rStyle w:val="eop"/>
          <w:color w:val="000000"/>
          <w:sz w:val="26"/>
          <w:szCs w:val="26"/>
        </w:rPr>
        <w:t xml:space="preserve">The registered address on Coastal incorporation filings traced to an empty office. (Nolan Dep. 26:106-26:108.) There was no other way to confirm the owner except tracing Coastal payments. </w:t>
      </w:r>
      <w:r w:rsidR="00C67DE2" w:rsidRPr="00081762">
        <w:rPr>
          <w:rStyle w:val="normaltextrun"/>
          <w:color w:val="000000"/>
          <w:sz w:val="26"/>
          <w:szCs w:val="26"/>
        </w:rPr>
        <w:t>The money transferred to Coastal would go to a bank account in the Caymans, and once it was offshore, investigators could not follow it. (Nolan Dep. 26:112–26:114.) Investigators</w:t>
      </w:r>
      <w:r w:rsidRPr="00081762">
        <w:rPr>
          <w:rStyle w:val="normaltextrun"/>
          <w:color w:val="000000"/>
          <w:sz w:val="26"/>
          <w:szCs w:val="26"/>
        </w:rPr>
        <w:t xml:space="preserve"> </w:t>
      </w:r>
      <w:r w:rsidR="00C67DE2" w:rsidRPr="00081762">
        <w:rPr>
          <w:rStyle w:val="normaltextrun"/>
          <w:color w:val="000000"/>
          <w:sz w:val="26"/>
          <w:szCs w:val="26"/>
        </w:rPr>
        <w:t>submit</w:t>
      </w:r>
      <w:r>
        <w:rPr>
          <w:rStyle w:val="normaltextrun"/>
          <w:color w:val="000000"/>
          <w:sz w:val="26"/>
          <w:szCs w:val="26"/>
        </w:rPr>
        <w:t>ted</w:t>
      </w:r>
      <w:r w:rsidR="00C67DE2" w:rsidRPr="00081762">
        <w:rPr>
          <w:rStyle w:val="normaltextrun"/>
          <w:color w:val="000000"/>
          <w:sz w:val="26"/>
          <w:szCs w:val="26"/>
        </w:rPr>
        <w:t xml:space="preserve"> a Mutual Legal Assistance Treaty request, an MLAT, to </w:t>
      </w:r>
      <w:r w:rsidR="00C67DE2" w:rsidRPr="00081762">
        <w:rPr>
          <w:rStyle w:val="normaltextrun"/>
          <w:color w:val="000000"/>
          <w:sz w:val="26"/>
          <w:szCs w:val="26"/>
        </w:rPr>
        <w:lastRenderedPageBreak/>
        <w:t>the Cayman authorities, asking them to identify the beneficial owne</w:t>
      </w:r>
      <w:r>
        <w:rPr>
          <w:rStyle w:val="normaltextrun"/>
          <w:color w:val="000000"/>
          <w:sz w:val="26"/>
          <w:szCs w:val="26"/>
        </w:rPr>
        <w:t>r</w:t>
      </w:r>
      <w:r w:rsidR="00C67DE2" w:rsidRPr="00081762">
        <w:rPr>
          <w:rStyle w:val="normaltextrun"/>
          <w:color w:val="000000"/>
          <w:sz w:val="26"/>
          <w:szCs w:val="26"/>
        </w:rPr>
        <w:t xml:space="preserve">. (Nolan Dep. 26:116–27:118.) The MLAT was submitted in June 2024, and it was still pending when the wall went up. (Sinclair Dep. 17:373–376.) The MLAT came back in October 2024 and was a dead end. </w:t>
      </w:r>
    </w:p>
    <w:p w14:paraId="3AECCA68" w14:textId="033AA565" w:rsidR="00DA677B" w:rsidRPr="00081762" w:rsidRDefault="00081762" w:rsidP="00081762">
      <w:pPr>
        <w:pStyle w:val="paragraph"/>
        <w:spacing w:before="0" w:beforeAutospacing="0" w:after="0" w:afterAutospacing="0" w:line="480" w:lineRule="auto"/>
        <w:ind w:firstLine="360"/>
        <w:jc w:val="both"/>
        <w:textAlignment w:val="baseline"/>
        <w:rPr>
          <w:sz w:val="26"/>
          <w:szCs w:val="26"/>
        </w:rPr>
      </w:pPr>
      <w:r>
        <w:rPr>
          <w:rStyle w:val="normaltextrun"/>
          <w:color w:val="000000"/>
          <w:sz w:val="26"/>
          <w:szCs w:val="26"/>
        </w:rPr>
        <w:t>They</w:t>
      </w:r>
      <w:r w:rsidR="00C67DE2" w:rsidRPr="00081762">
        <w:rPr>
          <w:rStyle w:val="normaltextrun"/>
          <w:color w:val="000000"/>
          <w:sz w:val="26"/>
          <w:szCs w:val="26"/>
        </w:rPr>
        <w:t xml:space="preserve"> could only identify the holding company on the account, nothing more. That’s it. The trail stopped there. Investigators could never independently unmask the owner through the treaty process. (Nolan Dep. 27:121–27:125) This was the only remaining independent route. </w:t>
      </w:r>
      <w:r>
        <w:rPr>
          <w:rStyle w:val="normaltextrun"/>
          <w:color w:val="000000"/>
          <w:sz w:val="26"/>
          <w:szCs w:val="26"/>
        </w:rPr>
        <w:t>W</w:t>
      </w:r>
      <w:r w:rsidR="00C67DE2" w:rsidRPr="00081762">
        <w:rPr>
          <w:rStyle w:val="normaltextrun"/>
          <w:color w:val="000000"/>
          <w:sz w:val="26"/>
          <w:szCs w:val="26"/>
        </w:rPr>
        <w:t>ithout jurisdiction, the investigative path ended once the money left the country, without seeing the owner. (Sinclair Dep. 17:349–17:351.)</w:t>
      </w:r>
      <w:r w:rsidR="00C67DE2" w:rsidRPr="00081762">
        <w:rPr>
          <w:rStyle w:val="eop"/>
          <w:color w:val="000000"/>
          <w:sz w:val="26"/>
          <w:szCs w:val="26"/>
        </w:rPr>
        <w:t> </w:t>
      </w:r>
    </w:p>
    <w:p w14:paraId="2E0A3C8D" w14:textId="77777777" w:rsidR="00DA677B" w:rsidRPr="00081762" w:rsidRDefault="00DA677B" w:rsidP="00DA677B">
      <w:pPr>
        <w:pStyle w:val="ListParagraph"/>
        <w:jc w:val="both"/>
        <w:outlineLvl w:val="1"/>
        <w:rPr>
          <w:rFonts w:ascii="Times New Roman" w:hAnsi="Times New Roman" w:cs="Times New Roman"/>
          <w:b/>
          <w:bCs/>
          <w:color w:val="000000" w:themeColor="text1"/>
          <w:sz w:val="26"/>
          <w:szCs w:val="26"/>
        </w:rPr>
      </w:pPr>
    </w:p>
    <w:p w14:paraId="116FF3E2" w14:textId="5F4D3D3F" w:rsidR="00525471" w:rsidRPr="00081762" w:rsidRDefault="00525471" w:rsidP="00525471">
      <w:pPr>
        <w:pStyle w:val="ListParagraph"/>
        <w:numPr>
          <w:ilvl w:val="0"/>
          <w:numId w:val="23"/>
        </w:numPr>
        <w:ind w:left="720"/>
        <w:jc w:val="both"/>
        <w:outlineLvl w:val="1"/>
        <w:rPr>
          <w:rFonts w:ascii="Times New Roman" w:hAnsi="Times New Roman" w:cs="Times New Roman"/>
          <w:b/>
          <w:bCs/>
          <w:color w:val="000000" w:themeColor="text1"/>
          <w:sz w:val="26"/>
          <w:szCs w:val="26"/>
        </w:rPr>
      </w:pPr>
      <w:r w:rsidRPr="00081762">
        <w:rPr>
          <w:rFonts w:ascii="Times New Roman" w:hAnsi="Times New Roman" w:cs="Times New Roman"/>
          <w:b/>
          <w:bCs/>
          <w:color w:val="000000" w:themeColor="text1"/>
          <w:sz w:val="26"/>
          <w:szCs w:val="26"/>
        </w:rPr>
        <w:t xml:space="preserve">Defendant’s Motion to Suppress Evidence Obtained in Violation of Court Order Should be </w:t>
      </w:r>
      <w:r w:rsidR="000F4E08" w:rsidRPr="00081762">
        <w:rPr>
          <w:rFonts w:ascii="Times New Roman" w:hAnsi="Times New Roman" w:cs="Times New Roman"/>
          <w:b/>
          <w:bCs/>
          <w:color w:val="000000" w:themeColor="text1"/>
          <w:sz w:val="26"/>
          <w:szCs w:val="26"/>
        </w:rPr>
        <w:t>Denied</w:t>
      </w:r>
      <w:r w:rsidRPr="00081762">
        <w:rPr>
          <w:rFonts w:ascii="Times New Roman" w:hAnsi="Times New Roman" w:cs="Times New Roman"/>
          <w:b/>
          <w:bCs/>
          <w:color w:val="000000" w:themeColor="text1"/>
          <w:sz w:val="26"/>
          <w:szCs w:val="26"/>
        </w:rPr>
        <w:t>.</w:t>
      </w:r>
    </w:p>
    <w:p w14:paraId="0EEBD00A" w14:textId="77777777" w:rsidR="00525471" w:rsidRPr="00081762" w:rsidRDefault="00525471" w:rsidP="00525471">
      <w:pPr>
        <w:keepNext/>
        <w:jc w:val="both"/>
        <w:outlineLvl w:val="2"/>
        <w:rPr>
          <w:rFonts w:ascii="Times New Roman" w:hAnsi="Times New Roman" w:cs="Times New Roman"/>
          <w:b/>
          <w:bCs/>
          <w:color w:val="000000" w:themeColor="text1"/>
          <w:sz w:val="26"/>
          <w:szCs w:val="26"/>
        </w:rPr>
      </w:pPr>
    </w:p>
    <w:p w14:paraId="371F17C6" w14:textId="2682B384" w:rsidR="001F30CD" w:rsidRPr="00081762" w:rsidRDefault="00C67DE2" w:rsidP="00A34227">
      <w:pPr>
        <w:pStyle w:val="ListParagraph"/>
        <w:keepNext/>
        <w:numPr>
          <w:ilvl w:val="3"/>
          <w:numId w:val="38"/>
        </w:numPr>
        <w:ind w:left="1440" w:hanging="810"/>
        <w:jc w:val="both"/>
        <w:outlineLvl w:val="2"/>
        <w:rPr>
          <w:rFonts w:ascii="Times New Roman" w:hAnsi="Times New Roman" w:cs="Times New Roman"/>
          <w:b/>
          <w:bCs/>
          <w:color w:val="000000" w:themeColor="text1"/>
          <w:sz w:val="26"/>
          <w:szCs w:val="26"/>
        </w:rPr>
      </w:pPr>
      <w:r w:rsidRPr="00081762">
        <w:rPr>
          <w:rFonts w:ascii="Times New Roman" w:hAnsi="Times New Roman" w:cs="Times New Roman"/>
          <w:b/>
          <w:bCs/>
          <w:color w:val="000000" w:themeColor="text1"/>
          <w:sz w:val="26"/>
          <w:szCs w:val="26"/>
        </w:rPr>
        <w:t>Work Product Doctrine Bars Production of Maddox Armana’s Interview Notes.</w:t>
      </w:r>
    </w:p>
    <w:p w14:paraId="44C2A2B6" w14:textId="77777777" w:rsidR="00C67DE2" w:rsidRPr="00081762" w:rsidRDefault="00C67DE2" w:rsidP="00081762">
      <w:pPr>
        <w:keepNext/>
        <w:jc w:val="both"/>
        <w:outlineLvl w:val="2"/>
        <w:rPr>
          <w:rFonts w:ascii="Times New Roman" w:hAnsi="Times New Roman" w:cs="Times New Roman"/>
          <w:b/>
          <w:bCs/>
          <w:color w:val="000000" w:themeColor="text1"/>
          <w:sz w:val="26"/>
          <w:szCs w:val="26"/>
        </w:rPr>
      </w:pPr>
    </w:p>
    <w:p w14:paraId="0E655BCB" w14:textId="192C4F76" w:rsidR="00C67DE2" w:rsidRPr="00081762" w:rsidRDefault="00C67DE2" w:rsidP="00C67DE2">
      <w:pPr>
        <w:keepNext/>
        <w:spacing w:line="480" w:lineRule="auto"/>
        <w:ind w:firstLine="630"/>
        <w:jc w:val="both"/>
        <w:rPr>
          <w:rStyle w:val="eop"/>
          <w:rFonts w:ascii="Times New Roman" w:hAnsi="Times New Roman" w:cs="Times New Roman"/>
          <w:color w:val="000000"/>
          <w:sz w:val="26"/>
          <w:szCs w:val="26"/>
          <w:shd w:val="clear" w:color="auto" w:fill="FFFFFF"/>
        </w:rPr>
      </w:pPr>
      <w:r w:rsidRPr="00081762">
        <w:rPr>
          <w:rStyle w:val="normaltextrun"/>
          <w:rFonts w:ascii="Times New Roman" w:hAnsi="Times New Roman" w:cs="Times New Roman"/>
          <w:color w:val="000000"/>
          <w:sz w:val="26"/>
          <w:szCs w:val="26"/>
          <w:shd w:val="clear" w:color="auto" w:fill="FFFFFF"/>
        </w:rPr>
        <w:t>Under the Federal Rule Criminal Procedure 17(c), “on motion made promptly,” federal courts have the discretion to quash or modify the subpoena, if compliance would be unreasonable or oppressive. (Fed. R. Crim. P. 17.) The movant bears the burden of demonstrating that compliance would be unreasonable or oppressive</w:t>
      </w:r>
      <w:r w:rsidRPr="00081762">
        <w:rPr>
          <w:rStyle w:val="normaltextrun"/>
          <w:rFonts w:ascii="Times New Roman" w:hAnsi="Times New Roman" w:cs="Times New Roman"/>
          <w:color w:val="C00000"/>
          <w:sz w:val="26"/>
          <w:szCs w:val="26"/>
          <w:shd w:val="clear" w:color="auto" w:fill="FFFFFF"/>
        </w:rPr>
        <w:t>.</w:t>
      </w:r>
      <w:r w:rsidRPr="00081762">
        <w:rPr>
          <w:rStyle w:val="normaltextrun"/>
          <w:rFonts w:ascii="Times New Roman" w:hAnsi="Times New Roman" w:cs="Times New Roman"/>
          <w:color w:val="000000"/>
          <w:sz w:val="26"/>
          <w:szCs w:val="26"/>
          <w:shd w:val="clear" w:color="auto" w:fill="FFFFFF"/>
        </w:rPr>
        <w:t> </w:t>
      </w:r>
      <w:r w:rsidRPr="00081762">
        <w:rPr>
          <w:rStyle w:val="normaltextrun"/>
          <w:rFonts w:ascii="Times New Roman" w:hAnsi="Times New Roman" w:cs="Times New Roman"/>
          <w:i/>
          <w:iCs/>
          <w:color w:val="000000"/>
          <w:sz w:val="26"/>
          <w:szCs w:val="26"/>
          <w:shd w:val="clear" w:color="auto" w:fill="FFFFFF"/>
        </w:rPr>
        <w:t>United States v. DNRB, Inc.</w:t>
      </w:r>
      <w:r w:rsidRPr="00081762">
        <w:rPr>
          <w:rStyle w:val="normaltextrun"/>
          <w:rFonts w:ascii="Times New Roman" w:hAnsi="Times New Roman" w:cs="Times New Roman"/>
          <w:color w:val="000000"/>
          <w:sz w:val="26"/>
          <w:szCs w:val="26"/>
          <w:shd w:val="clear" w:color="auto" w:fill="FFFFFF"/>
        </w:rPr>
        <w:t>, 257 F. Supp. 3d 1033 (W.D. Mo. 2017).</w:t>
      </w:r>
      <w:r w:rsidR="00081762">
        <w:rPr>
          <w:rStyle w:val="normaltextrun"/>
          <w:rFonts w:ascii="Times New Roman" w:hAnsi="Times New Roman" w:cs="Times New Roman"/>
          <w:color w:val="000000"/>
          <w:sz w:val="26"/>
          <w:szCs w:val="26"/>
          <w:shd w:val="clear" w:color="auto" w:fill="FFFFFF"/>
        </w:rPr>
        <w:t xml:space="preserve"> </w:t>
      </w:r>
      <w:r w:rsidRPr="00081762">
        <w:rPr>
          <w:rStyle w:val="normaltextrun"/>
          <w:rFonts w:ascii="Times New Roman" w:hAnsi="Times New Roman" w:cs="Times New Roman"/>
          <w:color w:val="000000"/>
          <w:sz w:val="26"/>
          <w:szCs w:val="26"/>
          <w:shd w:val="clear" w:color="auto" w:fill="FFFFFF"/>
        </w:rPr>
        <w:t>A subpoena may be found unreasonable or oppressive if it is “used as a vehicle to assert a…privileg</w:t>
      </w:r>
      <w:r w:rsidR="00081762">
        <w:rPr>
          <w:rStyle w:val="normaltextrun"/>
          <w:rFonts w:ascii="Times New Roman" w:hAnsi="Times New Roman" w:cs="Times New Roman"/>
          <w:color w:val="000000"/>
          <w:sz w:val="26"/>
          <w:szCs w:val="26"/>
          <w:shd w:val="clear" w:color="auto" w:fill="FFFFFF"/>
        </w:rPr>
        <w:t xml:space="preserve">e.” United States v. Bergeson, 425 F.3d at 1221 (9th Cir. 2005). </w:t>
      </w:r>
      <w:r w:rsidRPr="00081762">
        <w:rPr>
          <w:rStyle w:val="eop"/>
          <w:rFonts w:ascii="Times New Roman" w:hAnsi="Times New Roman" w:cs="Times New Roman"/>
          <w:color w:val="000000"/>
          <w:sz w:val="26"/>
          <w:szCs w:val="26"/>
          <w:shd w:val="clear" w:color="auto" w:fill="FFFFFF"/>
        </w:rPr>
        <w:t xml:space="preserve">The privilege asserted by the government is </w:t>
      </w:r>
      <w:r w:rsidRPr="00081762">
        <w:rPr>
          <w:rStyle w:val="eop"/>
          <w:rFonts w:ascii="Times New Roman" w:hAnsi="Times New Roman" w:cs="Times New Roman"/>
          <w:color w:val="000000"/>
          <w:sz w:val="26"/>
          <w:szCs w:val="26"/>
          <w:shd w:val="clear" w:color="auto" w:fill="FFFFFF"/>
        </w:rPr>
        <w:lastRenderedPageBreak/>
        <w:t xml:space="preserve">work product, as the prosecution seeks to allow in Maddox Armana’s interview notes under the doctrine’s exceptions. </w:t>
      </w:r>
    </w:p>
    <w:p w14:paraId="1BAA63A9" w14:textId="0A83B48D" w:rsidR="00C67DE2" w:rsidRPr="00081762" w:rsidRDefault="00C67DE2" w:rsidP="00C67DE2">
      <w:pPr>
        <w:keepNext/>
        <w:spacing w:line="480" w:lineRule="auto"/>
        <w:ind w:firstLine="720"/>
        <w:jc w:val="both"/>
        <w:rPr>
          <w:rStyle w:val="eop"/>
          <w:rFonts w:ascii="Times New Roman" w:hAnsi="Times New Roman" w:cs="Times New Roman"/>
          <w:color w:val="000000"/>
          <w:sz w:val="26"/>
          <w:szCs w:val="26"/>
          <w:shd w:val="clear" w:color="auto" w:fill="FFFFFF"/>
        </w:rPr>
      </w:pPr>
      <w:r w:rsidRPr="00081762">
        <w:rPr>
          <w:rFonts w:ascii="Times New Roman" w:hAnsi="Times New Roman" w:cs="Times New Roman"/>
          <w:color w:val="000000" w:themeColor="text1"/>
          <w:sz w:val="26"/>
          <w:szCs w:val="26"/>
        </w:rPr>
        <w:t xml:space="preserve">Federal Rule of Evidence 502 states that “work product protection” means the protection that applicable law provides for tangible material (or its intangible equivalent) prepared in anticipation of litigation. Fed. R. Evid. 502. </w:t>
      </w:r>
      <w:r w:rsidRPr="00081762">
        <w:rPr>
          <w:rStyle w:val="eop"/>
          <w:rFonts w:ascii="Times New Roman" w:hAnsi="Times New Roman" w:cs="Times New Roman"/>
          <w:color w:val="000000"/>
          <w:sz w:val="26"/>
          <w:szCs w:val="26"/>
          <w:shd w:val="clear" w:color="auto" w:fill="FFFFFF"/>
        </w:rPr>
        <w:t xml:space="preserve">Work product exists as a privilege to protect defendants from discovery of a litigation teams’ efforts to develop defense. </w:t>
      </w:r>
    </w:p>
    <w:p w14:paraId="3EDFD109" w14:textId="51553B7B" w:rsidR="001F30CD" w:rsidRPr="00081762" w:rsidRDefault="00C67DE2" w:rsidP="00C67DE2">
      <w:pPr>
        <w:keepNext/>
        <w:spacing w:line="480" w:lineRule="auto"/>
        <w:ind w:firstLine="630"/>
        <w:jc w:val="both"/>
        <w:rPr>
          <w:rFonts w:ascii="Times New Roman" w:hAnsi="Times New Roman" w:cs="Times New Roman"/>
          <w:color w:val="000000"/>
          <w:sz w:val="26"/>
          <w:szCs w:val="26"/>
          <w:shd w:val="clear" w:color="auto" w:fill="FFFFFF"/>
        </w:rPr>
      </w:pPr>
      <w:r w:rsidRPr="00081762">
        <w:rPr>
          <w:rStyle w:val="eop"/>
          <w:rFonts w:ascii="Times New Roman" w:hAnsi="Times New Roman" w:cs="Times New Roman"/>
          <w:color w:val="000000"/>
          <w:sz w:val="26"/>
          <w:szCs w:val="26"/>
          <w:shd w:val="clear" w:color="auto" w:fill="FFFFFF"/>
        </w:rPr>
        <w:t xml:space="preserve">The interview of Sierra Seton is undoubtedly work product, and without sufficient proof from the government that an exception applies, Armana’s notes cannot be discoverable. For these, reasons, defense Counsel for Emily Calloway respectfully asks that Defendant’s Motion to Quash United States Subpoena Duces be granted.  </w:t>
      </w:r>
    </w:p>
    <w:p w14:paraId="3093DD6B" w14:textId="0AB87B3F" w:rsidR="00730924" w:rsidRPr="00081762" w:rsidRDefault="00C67DE2" w:rsidP="00730924">
      <w:pPr>
        <w:pStyle w:val="ListParagraph"/>
        <w:keepNext/>
        <w:numPr>
          <w:ilvl w:val="0"/>
          <w:numId w:val="43"/>
        </w:numPr>
        <w:ind w:left="1440" w:hanging="450"/>
        <w:jc w:val="both"/>
        <w:outlineLvl w:val="2"/>
        <w:rPr>
          <w:rFonts w:ascii="Times New Roman" w:hAnsi="Times New Roman" w:cs="Times New Roman"/>
          <w:b/>
          <w:bCs/>
          <w:color w:val="000000" w:themeColor="text1"/>
          <w:sz w:val="26"/>
          <w:szCs w:val="26"/>
        </w:rPr>
      </w:pPr>
      <w:r w:rsidRPr="00081762">
        <w:rPr>
          <w:rFonts w:ascii="Times New Roman" w:hAnsi="Times New Roman" w:cs="Times New Roman"/>
          <w:b/>
          <w:bCs/>
          <w:color w:val="000000" w:themeColor="text1"/>
          <w:sz w:val="26"/>
          <w:szCs w:val="26"/>
        </w:rPr>
        <w:t>The Interview of Sierra Seton was Created in Anticipation of Litigation.</w:t>
      </w:r>
    </w:p>
    <w:p w14:paraId="7038FF5C" w14:textId="77777777" w:rsidR="00C67DE2" w:rsidRPr="00081762" w:rsidRDefault="00C67DE2" w:rsidP="00C67DE2">
      <w:pPr>
        <w:pStyle w:val="ListParagraph"/>
        <w:keepNext/>
        <w:ind w:left="1440"/>
        <w:jc w:val="both"/>
        <w:outlineLvl w:val="2"/>
        <w:rPr>
          <w:rFonts w:ascii="Times New Roman" w:hAnsi="Times New Roman" w:cs="Times New Roman"/>
          <w:b/>
          <w:bCs/>
          <w:color w:val="000000" w:themeColor="text1"/>
          <w:sz w:val="26"/>
          <w:szCs w:val="26"/>
        </w:rPr>
      </w:pPr>
    </w:p>
    <w:p w14:paraId="260C9BD3" w14:textId="3CA25798" w:rsidR="00C67DE2" w:rsidRPr="00081762" w:rsidRDefault="00C67DE2" w:rsidP="00C67DE2">
      <w:pPr>
        <w:keepNext/>
        <w:spacing w:line="480" w:lineRule="auto"/>
        <w:ind w:firstLine="720"/>
        <w:jc w:val="both"/>
        <w:rPr>
          <w:rStyle w:val="normaltextrun"/>
          <w:rFonts w:ascii="Times New Roman" w:hAnsi="Times New Roman" w:cs="Times New Roman"/>
          <w:color w:val="000000"/>
          <w:sz w:val="26"/>
          <w:szCs w:val="26"/>
          <w:shd w:val="clear" w:color="auto" w:fill="FFFFFF"/>
        </w:rPr>
      </w:pPr>
      <w:r w:rsidRPr="00081762">
        <w:rPr>
          <w:rStyle w:val="normaltextrun"/>
          <w:rFonts w:ascii="Times New Roman" w:hAnsi="Times New Roman" w:cs="Times New Roman"/>
          <w:color w:val="000000"/>
          <w:sz w:val="26"/>
          <w:szCs w:val="26"/>
          <w:shd w:val="clear" w:color="auto" w:fill="FFFFFF"/>
        </w:rPr>
        <w:t>The Work Product Doctrine protects materials prepared in anticipation of litigation by or for a party or that party’s representative. (</w:t>
      </w:r>
      <w:r w:rsidRPr="00081762">
        <w:rPr>
          <w:rStyle w:val="normaltextrun"/>
          <w:rFonts w:ascii="Times New Roman" w:hAnsi="Times New Roman" w:cs="Times New Roman"/>
          <w:i/>
          <w:iCs/>
          <w:color w:val="000000"/>
          <w:sz w:val="26"/>
          <w:szCs w:val="26"/>
          <w:shd w:val="clear" w:color="auto" w:fill="FFFFFF"/>
        </w:rPr>
        <w:t>Hickman v. Taylor</w:t>
      </w:r>
      <w:r w:rsidRPr="00081762">
        <w:rPr>
          <w:rStyle w:val="normaltextrun"/>
          <w:rFonts w:ascii="Times New Roman" w:hAnsi="Times New Roman" w:cs="Times New Roman"/>
          <w:color w:val="000000"/>
          <w:sz w:val="26"/>
          <w:szCs w:val="26"/>
          <w:shd w:val="clear" w:color="auto" w:fill="FFFFFF"/>
        </w:rPr>
        <w:t>, 329 U.S. 495, 510–11 (1947); </w:t>
      </w:r>
      <w:r w:rsidRPr="00081762">
        <w:rPr>
          <w:rStyle w:val="normaltextrun"/>
          <w:rFonts w:ascii="Times New Roman" w:hAnsi="Times New Roman" w:cs="Times New Roman"/>
          <w:i/>
          <w:iCs/>
          <w:color w:val="000000"/>
          <w:sz w:val="26"/>
          <w:szCs w:val="26"/>
          <w:shd w:val="clear" w:color="auto" w:fill="FFFFFF"/>
        </w:rPr>
        <w:t>United States v. Nobles</w:t>
      </w:r>
      <w:r w:rsidRPr="00081762">
        <w:rPr>
          <w:rStyle w:val="normaltextrun"/>
          <w:rFonts w:ascii="Times New Roman" w:hAnsi="Times New Roman" w:cs="Times New Roman"/>
          <w:color w:val="000000"/>
          <w:sz w:val="26"/>
          <w:szCs w:val="26"/>
          <w:shd w:val="clear" w:color="auto" w:fill="FFFFFF"/>
        </w:rPr>
        <w:t>, 422 U.S. 225, 236–39 (1975).) The Supreme Court held that the doctrine applies in criminal cases and can extend to materials prepared by a private investigator working at counsel’s direction. (</w:t>
      </w:r>
      <w:r w:rsidRPr="00081762">
        <w:rPr>
          <w:rStyle w:val="normaltextrun"/>
          <w:rFonts w:ascii="Times New Roman" w:hAnsi="Times New Roman" w:cs="Times New Roman"/>
          <w:i/>
          <w:iCs/>
          <w:color w:val="000000"/>
          <w:sz w:val="26"/>
          <w:szCs w:val="26"/>
          <w:shd w:val="clear" w:color="auto" w:fill="FFFFFF"/>
        </w:rPr>
        <w:t>Nobles</w:t>
      </w:r>
      <w:r w:rsidRPr="00081762">
        <w:rPr>
          <w:rStyle w:val="normaltextrun"/>
          <w:rFonts w:ascii="Times New Roman" w:hAnsi="Times New Roman" w:cs="Times New Roman"/>
          <w:color w:val="000000"/>
          <w:sz w:val="26"/>
          <w:szCs w:val="26"/>
          <w:shd w:val="clear" w:color="auto" w:fill="FFFFFF"/>
        </w:rPr>
        <w:t>, 422 U.S. at 238–39.) Armana is as a private investigator deliberately hired by Defense counsel for Ms. Calloway as a defensive litigation strategy. Thus, Armana’s work for Ms. Calloway’s legal team was created by or for a Ms. Calloway, of that Ms. Calloway’s representative.</w:t>
      </w:r>
    </w:p>
    <w:p w14:paraId="683A1C2F" w14:textId="788548FE" w:rsidR="00C67DE2" w:rsidRPr="00081762" w:rsidRDefault="00C67DE2" w:rsidP="00C67DE2">
      <w:pPr>
        <w:keepNext/>
        <w:spacing w:line="480" w:lineRule="auto"/>
        <w:ind w:firstLine="720"/>
        <w:jc w:val="both"/>
        <w:rPr>
          <w:rStyle w:val="eop"/>
          <w:rFonts w:ascii="Times New Roman" w:hAnsi="Times New Roman" w:cs="Times New Roman"/>
          <w:color w:val="000000"/>
          <w:sz w:val="26"/>
          <w:szCs w:val="26"/>
          <w:shd w:val="clear" w:color="auto" w:fill="FFFFFF"/>
        </w:rPr>
      </w:pPr>
      <w:r w:rsidRPr="00081762">
        <w:rPr>
          <w:rStyle w:val="normaltextrun"/>
          <w:rFonts w:ascii="Times New Roman" w:hAnsi="Times New Roman" w:cs="Times New Roman"/>
          <w:color w:val="000000"/>
          <w:sz w:val="26"/>
          <w:szCs w:val="26"/>
          <w:shd w:val="clear" w:color="auto" w:fill="FFFFFF"/>
        </w:rPr>
        <w:t>Work product is considered in relation to pending or anticipated litigation if, considering the facts and the nature of the attorney work product, the materials can fairly be said to have been prepared because of the prospect of litigation. (</w:t>
      </w:r>
      <w:r w:rsidRPr="00081762">
        <w:rPr>
          <w:rStyle w:val="normaltextrun"/>
          <w:rFonts w:ascii="Times New Roman" w:hAnsi="Times New Roman" w:cs="Times New Roman"/>
          <w:i/>
          <w:iCs/>
          <w:color w:val="000000"/>
          <w:sz w:val="26"/>
          <w:szCs w:val="26"/>
          <w:shd w:val="clear" w:color="auto" w:fill="FFFFFF"/>
        </w:rPr>
        <w:t xml:space="preserve">United States </w:t>
      </w:r>
      <w:r w:rsidRPr="00081762">
        <w:rPr>
          <w:rStyle w:val="normaltextrun"/>
          <w:rFonts w:ascii="Times New Roman" w:hAnsi="Times New Roman" w:cs="Times New Roman"/>
          <w:i/>
          <w:iCs/>
          <w:color w:val="000000"/>
          <w:sz w:val="26"/>
          <w:szCs w:val="26"/>
          <w:shd w:val="clear" w:color="auto" w:fill="FFFFFF"/>
        </w:rPr>
        <w:lastRenderedPageBreak/>
        <w:t>v. Adlman</w:t>
      </w:r>
      <w:r w:rsidRPr="00081762">
        <w:rPr>
          <w:rStyle w:val="normaltextrun"/>
          <w:rFonts w:ascii="Times New Roman" w:hAnsi="Times New Roman" w:cs="Times New Roman"/>
          <w:color w:val="000000"/>
          <w:sz w:val="26"/>
          <w:szCs w:val="26"/>
          <w:shd w:val="clear" w:color="auto" w:fill="FFFFFF"/>
        </w:rPr>
        <w:t>, 134 F.3d 1194, 1202 (2d Cir. 1998).) Saint Donovan, Ms. Calloway’s former business partner, was arrested on January 26, 2024, and later convicted. (Sinclair Dep. 15:273–15:277.) It would be reasonable for Ms. Calloway and her defense counsel to anticipate litigation against her, as they were already aware of the ongoing investigation of the Silver Palm. This is not a remote or inchoate possibility of future litigation. (</w:t>
      </w:r>
      <w:r w:rsidRPr="00081762">
        <w:rPr>
          <w:rStyle w:val="normaltextrun"/>
          <w:rFonts w:ascii="Times New Roman" w:hAnsi="Times New Roman" w:cs="Times New Roman"/>
          <w:i/>
          <w:iCs/>
          <w:color w:val="000000"/>
          <w:sz w:val="26"/>
          <w:szCs w:val="26"/>
          <w:shd w:val="clear" w:color="auto" w:fill="FFFFFF"/>
        </w:rPr>
        <w:t>Diversified Indus., Inc. v. Meredith</w:t>
      </w:r>
      <w:r w:rsidRPr="00081762">
        <w:rPr>
          <w:rStyle w:val="normaltextrun"/>
          <w:rFonts w:ascii="Times New Roman" w:hAnsi="Times New Roman" w:cs="Times New Roman"/>
          <w:color w:val="000000"/>
          <w:sz w:val="26"/>
          <w:szCs w:val="26"/>
          <w:shd w:val="clear" w:color="auto" w:fill="FFFFFF"/>
        </w:rPr>
        <w:t>, 572 F.2d 596, 604 (8th Cir. 1977).) </w:t>
      </w:r>
      <w:r w:rsidRPr="00081762">
        <w:rPr>
          <w:rStyle w:val="eop"/>
          <w:rFonts w:ascii="Times New Roman" w:hAnsi="Times New Roman" w:cs="Times New Roman"/>
          <w:color w:val="000000"/>
          <w:sz w:val="26"/>
          <w:szCs w:val="26"/>
          <w:shd w:val="clear" w:color="auto" w:fill="FFFFFF"/>
        </w:rPr>
        <w:t xml:space="preserve"> It is not just trial preparation that is protected, but also anticipation of litigation. Fed. R. Evid. 502. So, the fact that litigation could be anticipated from the circumstances makes it irrelevant that Ms. Calloway had not yet been indicted. </w:t>
      </w:r>
    </w:p>
    <w:p w14:paraId="1A6A620B" w14:textId="49194BFF" w:rsidR="00C67DE2" w:rsidRPr="00081762" w:rsidRDefault="00C67DE2" w:rsidP="00C67DE2">
      <w:pPr>
        <w:keepNext/>
        <w:spacing w:line="480" w:lineRule="auto"/>
        <w:ind w:firstLine="720"/>
        <w:jc w:val="both"/>
        <w:rPr>
          <w:rStyle w:val="eop"/>
          <w:rFonts w:ascii="Times New Roman" w:hAnsi="Times New Roman" w:cs="Times New Roman"/>
          <w:color w:val="000000"/>
          <w:sz w:val="26"/>
          <w:szCs w:val="26"/>
          <w:shd w:val="clear" w:color="auto" w:fill="FFFFFF"/>
        </w:rPr>
      </w:pPr>
      <w:r w:rsidRPr="00081762">
        <w:rPr>
          <w:rStyle w:val="eop"/>
          <w:rFonts w:ascii="Times New Roman" w:hAnsi="Times New Roman" w:cs="Times New Roman"/>
          <w:color w:val="000000"/>
          <w:sz w:val="26"/>
          <w:szCs w:val="26"/>
          <w:shd w:val="clear" w:color="auto" w:fill="FFFFFF"/>
        </w:rPr>
        <w:t xml:space="preserve">Further, the materials themselves are related to the subject of the anticipated litigation. Seton, as the Operation Manager of Coastal, is an important interview for the defense litigation strategy. Due to the Donovan’s indictment for fraudulent financial conspiracy, Ms. Calloway’s legal team would be anticipating similar charges. Work product related to such charges was undeniably created in anticipation of litigation. </w:t>
      </w:r>
    </w:p>
    <w:p w14:paraId="6A1D62C5" w14:textId="1FBE3BAF" w:rsidR="00730924" w:rsidRPr="00081762" w:rsidRDefault="00C67DE2" w:rsidP="00730924">
      <w:pPr>
        <w:pStyle w:val="ListParagraph"/>
        <w:keepNext/>
        <w:numPr>
          <w:ilvl w:val="0"/>
          <w:numId w:val="43"/>
        </w:numPr>
        <w:ind w:left="1440" w:hanging="450"/>
        <w:jc w:val="both"/>
        <w:outlineLvl w:val="2"/>
        <w:rPr>
          <w:rFonts w:ascii="Times New Roman" w:hAnsi="Times New Roman" w:cs="Times New Roman"/>
          <w:b/>
          <w:bCs/>
          <w:color w:val="000000" w:themeColor="text1"/>
          <w:sz w:val="26"/>
          <w:szCs w:val="26"/>
        </w:rPr>
      </w:pPr>
      <w:r w:rsidRPr="00081762">
        <w:rPr>
          <w:rFonts w:ascii="Times New Roman" w:hAnsi="Times New Roman" w:cs="Times New Roman"/>
          <w:b/>
          <w:bCs/>
          <w:color w:val="000000" w:themeColor="text1"/>
          <w:sz w:val="26"/>
          <w:szCs w:val="26"/>
        </w:rPr>
        <w:t xml:space="preserve">The Entirety of Sierra Seton’s Interview Constitutes Undiscoverable Work Product. </w:t>
      </w:r>
    </w:p>
    <w:p w14:paraId="62CB45B4" w14:textId="77777777" w:rsidR="00C67DE2" w:rsidRPr="00081762" w:rsidRDefault="00C67DE2" w:rsidP="00C67DE2">
      <w:pPr>
        <w:pStyle w:val="ListParagraph"/>
        <w:keepNext/>
        <w:ind w:left="1440"/>
        <w:jc w:val="both"/>
        <w:outlineLvl w:val="2"/>
        <w:rPr>
          <w:rFonts w:ascii="Times New Roman" w:hAnsi="Times New Roman" w:cs="Times New Roman"/>
          <w:b/>
          <w:bCs/>
          <w:color w:val="000000" w:themeColor="text1"/>
          <w:sz w:val="26"/>
          <w:szCs w:val="26"/>
        </w:rPr>
      </w:pPr>
    </w:p>
    <w:p w14:paraId="030CFEB8" w14:textId="5A82E305" w:rsidR="00C67DE2" w:rsidRPr="00081762" w:rsidRDefault="00C67DE2" w:rsidP="00C67DE2">
      <w:pPr>
        <w:keepNext/>
        <w:spacing w:line="480" w:lineRule="auto"/>
        <w:ind w:firstLine="720"/>
        <w:jc w:val="both"/>
        <w:outlineLvl w:val="2"/>
        <w:rPr>
          <w:rStyle w:val="normaltextrun"/>
          <w:rFonts w:ascii="Times New Roman" w:hAnsi="Times New Roman" w:cs="Times New Roman"/>
          <w:i/>
          <w:iCs/>
          <w:color w:val="000000"/>
          <w:sz w:val="26"/>
          <w:szCs w:val="26"/>
          <w:shd w:val="clear" w:color="auto" w:fill="FFFFFF"/>
        </w:rPr>
      </w:pPr>
      <w:r w:rsidRPr="00081762">
        <w:rPr>
          <w:rFonts w:ascii="Times New Roman" w:hAnsi="Times New Roman" w:cs="Times New Roman"/>
          <w:color w:val="000000" w:themeColor="text1"/>
          <w:sz w:val="26"/>
          <w:szCs w:val="26"/>
        </w:rPr>
        <w:t>Work product is protected as either tangible material or its intangible equivalent. Fed. R. Evid. 502. Essentially, t</w:t>
      </w:r>
      <w:r w:rsidRPr="00081762">
        <w:rPr>
          <w:rStyle w:val="normaltextrun"/>
          <w:rFonts w:ascii="Times New Roman" w:hAnsi="Times New Roman" w:cs="Times New Roman"/>
          <w:color w:val="000000"/>
          <w:sz w:val="26"/>
          <w:szCs w:val="26"/>
          <w:shd w:val="clear" w:color="auto" w:fill="FFFFFF"/>
        </w:rPr>
        <w:t>he Work Product Doctrine protects two types of attorney work product: (1) fact work product, which is “a transaction of the factual events involved,” and (2) opinion work product, which “represents the actual thoughts and impressions of the attorney.” (I</w:t>
      </w:r>
      <w:r w:rsidRPr="00081762">
        <w:rPr>
          <w:rStyle w:val="normaltextrun"/>
          <w:rFonts w:ascii="Times New Roman" w:hAnsi="Times New Roman" w:cs="Times New Roman"/>
          <w:i/>
          <w:iCs/>
          <w:color w:val="000000"/>
          <w:sz w:val="26"/>
          <w:szCs w:val="26"/>
          <w:shd w:val="clear" w:color="auto" w:fill="FFFFFF"/>
        </w:rPr>
        <w:t>n re Search Warrant Issued June 13, 2019</w:t>
      </w:r>
      <w:r w:rsidRPr="00081762">
        <w:rPr>
          <w:rStyle w:val="normaltextrun"/>
          <w:rFonts w:ascii="Times New Roman" w:hAnsi="Times New Roman" w:cs="Times New Roman"/>
          <w:color w:val="000000"/>
          <w:sz w:val="26"/>
          <w:szCs w:val="26"/>
          <w:shd w:val="clear" w:color="auto" w:fill="FFFFFF"/>
        </w:rPr>
        <w:t>, 942 F.3d 159, 174 (4th Cir.2019).)</w:t>
      </w:r>
      <w:r w:rsidRPr="00081762">
        <w:rPr>
          <w:rStyle w:val="normaltextrun"/>
          <w:rFonts w:ascii="Times New Roman" w:hAnsi="Times New Roman" w:cs="Times New Roman"/>
          <w:color w:val="C00000"/>
          <w:sz w:val="26"/>
          <w:szCs w:val="26"/>
          <w:shd w:val="clear" w:color="auto" w:fill="FFFFFF"/>
        </w:rPr>
        <w:t> </w:t>
      </w:r>
      <w:r w:rsidRPr="00081762">
        <w:rPr>
          <w:rStyle w:val="normaltextrun"/>
          <w:rFonts w:ascii="Times New Roman" w:hAnsi="Times New Roman" w:cs="Times New Roman"/>
          <w:color w:val="000000"/>
          <w:sz w:val="26"/>
          <w:szCs w:val="26"/>
          <w:shd w:val="clear" w:color="auto" w:fill="FFFFFF"/>
        </w:rPr>
        <w:t xml:space="preserve">Opinion work product ‘enjoys a nearly absolute immunity’ and can be </w:t>
      </w:r>
      <w:r w:rsidRPr="00081762">
        <w:rPr>
          <w:rStyle w:val="normaltextrun"/>
          <w:rFonts w:ascii="Times New Roman" w:hAnsi="Times New Roman" w:cs="Times New Roman"/>
          <w:color w:val="000000"/>
          <w:sz w:val="26"/>
          <w:szCs w:val="26"/>
          <w:shd w:val="clear" w:color="auto" w:fill="FFFFFF"/>
        </w:rPr>
        <w:lastRenderedPageBreak/>
        <w:t>discovered by adverse parties ‘only in very rare and extraordinary circumstances.” Fed. R. Crim. P. 16. This abundant protection stems from the concern that counsel’s thought process in relation to pending or anticipated litigation will be exposed through the compiled documents. (</w:t>
      </w:r>
      <w:r w:rsidRPr="00081762">
        <w:rPr>
          <w:rStyle w:val="normaltextrun"/>
          <w:rFonts w:ascii="Times New Roman" w:hAnsi="Times New Roman" w:cs="Times New Roman"/>
          <w:i/>
          <w:iCs/>
          <w:color w:val="000000"/>
          <w:sz w:val="26"/>
          <w:szCs w:val="26"/>
          <w:shd w:val="clear" w:color="auto" w:fill="FFFFFF"/>
        </w:rPr>
        <w:t>Id.</w:t>
      </w:r>
      <w:r w:rsidRPr="00081762">
        <w:rPr>
          <w:rStyle w:val="normaltextrun"/>
          <w:rFonts w:ascii="Times New Roman" w:hAnsi="Times New Roman" w:cs="Times New Roman"/>
          <w:color w:val="000000"/>
          <w:sz w:val="26"/>
          <w:szCs w:val="26"/>
          <w:shd w:val="clear" w:color="auto" w:fill="FFFFFF"/>
        </w:rPr>
        <w:t>)</w:t>
      </w:r>
      <w:r w:rsidRPr="00081762">
        <w:rPr>
          <w:rStyle w:val="normaltextrun"/>
          <w:rFonts w:ascii="Times New Roman" w:hAnsi="Times New Roman" w:cs="Times New Roman"/>
          <w:i/>
          <w:iCs/>
          <w:color w:val="000000"/>
          <w:sz w:val="26"/>
          <w:szCs w:val="26"/>
          <w:shd w:val="clear" w:color="auto" w:fill="FFFFFF"/>
        </w:rPr>
        <w:t xml:space="preserve"> </w:t>
      </w:r>
    </w:p>
    <w:p w14:paraId="6573DD59" w14:textId="54642CF3" w:rsidR="00C67DE2" w:rsidRPr="00081762" w:rsidRDefault="00C67DE2" w:rsidP="00C67DE2">
      <w:pPr>
        <w:keepNext/>
        <w:spacing w:line="480" w:lineRule="auto"/>
        <w:ind w:firstLine="720"/>
        <w:jc w:val="both"/>
        <w:outlineLvl w:val="2"/>
        <w:rPr>
          <w:rFonts w:ascii="Times New Roman" w:hAnsi="Times New Roman" w:cs="Times New Roman"/>
          <w:color w:val="000000"/>
          <w:sz w:val="26"/>
          <w:szCs w:val="26"/>
          <w:shd w:val="clear" w:color="auto" w:fill="FFFFFF"/>
        </w:rPr>
      </w:pPr>
      <w:r w:rsidRPr="00081762">
        <w:rPr>
          <w:rStyle w:val="normaltextrun"/>
          <w:rFonts w:ascii="Times New Roman" w:hAnsi="Times New Roman" w:cs="Times New Roman"/>
          <w:color w:val="000000"/>
          <w:sz w:val="26"/>
          <w:szCs w:val="26"/>
          <w:shd w:val="clear" w:color="auto" w:fill="FFFFFF"/>
        </w:rPr>
        <w:t>Armana’s contemporaneous interview notes are not merely a factual account of event that transpired, as they reflect Armana’s own judgments and mental impressions. Armana’s notes strategizing where to follow up and further information to explore represent actual mental impressions and the strategy of Ms. Calloway’s attorneys. </w:t>
      </w:r>
      <w:r w:rsidR="00081762" w:rsidRPr="00081762">
        <w:rPr>
          <w:rStyle w:val="eop"/>
          <w:rFonts w:ascii="Times New Roman" w:hAnsi="Times New Roman" w:cs="Times New Roman"/>
          <w:color w:val="000000"/>
          <w:sz w:val="26"/>
          <w:szCs w:val="26"/>
          <w:shd w:val="clear" w:color="auto" w:fill="FFFFFF"/>
        </w:rPr>
        <w:t xml:space="preserve"> </w:t>
      </w:r>
      <w:r w:rsidRPr="00081762">
        <w:rPr>
          <w:rStyle w:val="eop"/>
          <w:rFonts w:ascii="Times New Roman" w:hAnsi="Times New Roman" w:cs="Times New Roman"/>
          <w:color w:val="000000"/>
          <w:sz w:val="26"/>
          <w:szCs w:val="26"/>
          <w:shd w:val="clear" w:color="auto" w:fill="FFFFFF"/>
        </w:rPr>
        <w:t xml:space="preserve">In fact, no part of Armana’s interview notes can be considered a factual transaction of events because Armana was unable to make an accurate transcript of the interview. Armana did not record the interview. Nor did Armana ask Seton to write her own answers or sign a statement affirming to the accuracy of the notes taken. Without such tangible tethers, the interview notes in their entirety consist of Armana’s thoughts and impressions gathered while speaking with Seton. </w:t>
      </w:r>
    </w:p>
    <w:p w14:paraId="1BB22920" w14:textId="4922CC19" w:rsidR="00AC3016" w:rsidRPr="00081762" w:rsidRDefault="00C67DE2" w:rsidP="00C67DE2">
      <w:pPr>
        <w:pStyle w:val="ListParagraph"/>
        <w:keepNext/>
        <w:numPr>
          <w:ilvl w:val="3"/>
          <w:numId w:val="38"/>
        </w:numPr>
        <w:ind w:left="1440" w:hanging="720"/>
        <w:jc w:val="both"/>
        <w:outlineLvl w:val="2"/>
        <w:rPr>
          <w:rFonts w:ascii="Times New Roman" w:hAnsi="Times New Roman" w:cs="Times New Roman"/>
          <w:b/>
          <w:bCs/>
          <w:color w:val="000000" w:themeColor="text1"/>
          <w:sz w:val="26"/>
          <w:szCs w:val="26"/>
        </w:rPr>
      </w:pPr>
      <w:r w:rsidRPr="00081762">
        <w:rPr>
          <w:rFonts w:ascii="Times New Roman" w:hAnsi="Times New Roman" w:cs="Times New Roman"/>
          <w:b/>
          <w:bCs/>
          <w:color w:val="000000" w:themeColor="text1"/>
          <w:sz w:val="26"/>
          <w:szCs w:val="26"/>
        </w:rPr>
        <w:t xml:space="preserve">The Government Cannot </w:t>
      </w:r>
      <w:r w:rsidR="00081762" w:rsidRPr="00081762">
        <w:rPr>
          <w:rFonts w:ascii="Times New Roman" w:hAnsi="Times New Roman" w:cs="Times New Roman"/>
          <w:b/>
          <w:bCs/>
          <w:color w:val="000000" w:themeColor="text1"/>
          <w:sz w:val="26"/>
          <w:szCs w:val="26"/>
        </w:rPr>
        <w:t xml:space="preserve">Sufficiently </w:t>
      </w:r>
      <w:r w:rsidRPr="00081762">
        <w:rPr>
          <w:rFonts w:ascii="Times New Roman" w:hAnsi="Times New Roman" w:cs="Times New Roman"/>
          <w:b/>
          <w:bCs/>
          <w:color w:val="000000" w:themeColor="text1"/>
          <w:sz w:val="26"/>
          <w:szCs w:val="26"/>
        </w:rPr>
        <w:t xml:space="preserve">Prove Substantial Need or Undue Hardship. </w:t>
      </w:r>
    </w:p>
    <w:p w14:paraId="3226CCEC" w14:textId="77777777" w:rsidR="00C67DE2" w:rsidRPr="00081762" w:rsidRDefault="00C67DE2" w:rsidP="00C67DE2">
      <w:pPr>
        <w:pStyle w:val="ListParagraph"/>
        <w:keepNext/>
        <w:ind w:left="1440"/>
        <w:jc w:val="both"/>
        <w:outlineLvl w:val="2"/>
        <w:rPr>
          <w:rFonts w:ascii="Times New Roman" w:hAnsi="Times New Roman" w:cs="Times New Roman"/>
          <w:b/>
          <w:bCs/>
          <w:color w:val="000000" w:themeColor="text1"/>
          <w:sz w:val="26"/>
          <w:szCs w:val="26"/>
        </w:rPr>
      </w:pPr>
    </w:p>
    <w:p w14:paraId="30EB417B" w14:textId="01C9A3C0" w:rsidR="00C67DE2" w:rsidRPr="00081762" w:rsidRDefault="00C67DE2" w:rsidP="00C67DE2">
      <w:pPr>
        <w:keepNext/>
        <w:spacing w:line="480" w:lineRule="auto"/>
        <w:ind w:firstLine="720"/>
        <w:jc w:val="both"/>
        <w:rPr>
          <w:rFonts w:ascii="Times New Roman" w:hAnsi="Times New Roman" w:cs="Times New Roman"/>
          <w:color w:val="000000" w:themeColor="text1"/>
          <w:sz w:val="26"/>
          <w:szCs w:val="26"/>
        </w:rPr>
      </w:pPr>
      <w:r w:rsidRPr="00081762">
        <w:rPr>
          <w:rFonts w:ascii="Times New Roman" w:hAnsi="Times New Roman" w:cs="Times New Roman"/>
          <w:color w:val="000000" w:themeColor="text1"/>
          <w:sz w:val="26"/>
          <w:szCs w:val="26"/>
        </w:rPr>
        <w:t xml:space="preserve">Factual work product, not mental impressions, may be discoverable if the party seeking to include the disputed evidence can show both a substantial need and an undue hardship. Undue hardship is usually shown when a witness is completely unavailable, typically by death. The prosecution will likely argue Seton’s unavailability as undue </w:t>
      </w:r>
      <w:r w:rsidRPr="00081762">
        <w:rPr>
          <w:rFonts w:ascii="Times New Roman" w:hAnsi="Times New Roman" w:cs="Times New Roman"/>
          <w:color w:val="000000" w:themeColor="text1"/>
          <w:sz w:val="26"/>
          <w:szCs w:val="26"/>
        </w:rPr>
        <w:lastRenderedPageBreak/>
        <w:t xml:space="preserve">hardship. However, there can be no undue hardship if there is no substantial need for the information sought. </w:t>
      </w:r>
    </w:p>
    <w:p w14:paraId="6CB2B146" w14:textId="693C16EB" w:rsidR="00C67DE2" w:rsidRPr="00081762" w:rsidRDefault="00C67DE2" w:rsidP="00C67DE2">
      <w:pPr>
        <w:keepNext/>
        <w:spacing w:line="480" w:lineRule="auto"/>
        <w:ind w:firstLine="720"/>
        <w:jc w:val="both"/>
        <w:rPr>
          <w:rFonts w:ascii="Times New Roman" w:hAnsi="Times New Roman" w:cs="Times New Roman"/>
          <w:color w:val="000000" w:themeColor="text1"/>
          <w:sz w:val="26"/>
          <w:szCs w:val="26"/>
        </w:rPr>
      </w:pPr>
      <w:r w:rsidRPr="00081762">
        <w:rPr>
          <w:rFonts w:ascii="Times New Roman" w:hAnsi="Times New Roman" w:cs="Times New Roman"/>
          <w:color w:val="000000" w:themeColor="text1"/>
          <w:sz w:val="26"/>
          <w:szCs w:val="26"/>
        </w:rPr>
        <w:t xml:space="preserve">The requesting party may show substantial need by demonstrating that the party with the evidence would enjoy a “distinct advantage.” (Nevada v. J-M Mfg. Co., Inc., 555 Fed. App’x 782, 785 (10th Cir. 2014).) This advantage may exist because the information is unique. (In re Grand Jury Subpoena Dated July 6, 2005, 510 F.3d 180, 188 (2d Cir. 2007.)  Courts generally do not recognize a substantial need for work product that is merely corroborative. (Baker v. Gen. Motors Corp. 209 F.3d 1051, 1054 (8th Cir. 2000).) </w:t>
      </w:r>
    </w:p>
    <w:p w14:paraId="15DDDBBA" w14:textId="3ECEC466" w:rsidR="00C67DE2" w:rsidRPr="00081762" w:rsidRDefault="00C67DE2" w:rsidP="00C67DE2">
      <w:pPr>
        <w:keepNext/>
        <w:spacing w:line="480" w:lineRule="auto"/>
        <w:ind w:firstLine="720"/>
        <w:jc w:val="both"/>
        <w:rPr>
          <w:rStyle w:val="eop"/>
          <w:rFonts w:ascii="Times New Roman" w:hAnsi="Times New Roman" w:cs="Times New Roman"/>
          <w:color w:val="000000"/>
          <w:sz w:val="26"/>
          <w:szCs w:val="26"/>
          <w:shd w:val="clear" w:color="auto" w:fill="FFFFFF"/>
        </w:rPr>
      </w:pPr>
      <w:r w:rsidRPr="00081762">
        <w:rPr>
          <w:rStyle w:val="normaltextrun"/>
          <w:rFonts w:ascii="Times New Roman" w:hAnsi="Times New Roman" w:cs="Times New Roman"/>
          <w:color w:val="000000"/>
          <w:sz w:val="26"/>
          <w:szCs w:val="26"/>
          <w:shd w:val="clear" w:color="auto" w:fill="FFFFFF"/>
        </w:rPr>
        <w:t>Generally, the information that Seton provided to Armada was information that the Government investigators were already aware of. Seton’s interview provided clarity as to the vendor operations and corporate structure of Coastal. (Ex. 21). The government was able to subpoena the records of the companies that received large sums of money from Emerald, including Coastal, and they were similarly able to identify Ky Chandler as the nominee owner. (Sinclair Depo 16:316–16:345.) Even before this subpoena was issued, the government had access to a plethora of information, including commercial account records (Exhibit 8), Secretary of State registration records (Exhibit 2), invoices (Exhibit 1A-1C), and HR rosters (Exhibit 10) from Silver Palms. </w:t>
      </w:r>
      <w:r w:rsidRPr="00081762">
        <w:rPr>
          <w:rStyle w:val="eop"/>
          <w:rFonts w:ascii="Times New Roman" w:hAnsi="Times New Roman" w:cs="Times New Roman"/>
          <w:color w:val="000000"/>
          <w:sz w:val="26"/>
          <w:szCs w:val="26"/>
          <w:shd w:val="clear" w:color="auto" w:fill="FFFFFF"/>
        </w:rPr>
        <w:t> </w:t>
      </w:r>
    </w:p>
    <w:p w14:paraId="7EB2D427" w14:textId="3D16A08F" w:rsidR="00C67DE2" w:rsidRPr="00081762" w:rsidRDefault="00C67DE2" w:rsidP="00C67DE2">
      <w:pPr>
        <w:keepNext/>
        <w:spacing w:line="480" w:lineRule="auto"/>
        <w:ind w:firstLine="720"/>
        <w:jc w:val="both"/>
        <w:rPr>
          <w:rStyle w:val="eop"/>
          <w:rFonts w:ascii="Times New Roman" w:hAnsi="Times New Roman" w:cs="Times New Roman"/>
          <w:color w:val="000000"/>
          <w:sz w:val="26"/>
          <w:szCs w:val="26"/>
          <w:shd w:val="clear" w:color="auto" w:fill="FFFFFF"/>
        </w:rPr>
      </w:pPr>
      <w:r w:rsidRPr="00081762">
        <w:rPr>
          <w:rFonts w:ascii="Times New Roman" w:hAnsi="Times New Roman" w:cs="Times New Roman"/>
          <w:color w:val="000000" w:themeColor="text1"/>
          <w:sz w:val="26"/>
          <w:szCs w:val="26"/>
        </w:rPr>
        <w:t>T</w:t>
      </w:r>
      <w:r w:rsidRPr="00081762">
        <w:rPr>
          <w:rStyle w:val="normaltextrun"/>
          <w:rFonts w:ascii="Times New Roman" w:hAnsi="Times New Roman" w:cs="Times New Roman"/>
          <w:color w:val="000000"/>
          <w:sz w:val="26"/>
          <w:szCs w:val="26"/>
          <w:shd w:val="clear" w:color="auto" w:fill="FFFFFF"/>
        </w:rPr>
        <w:t>he Government must request the designated items “with adequate specificity and show that the requested document is relevant and admissible.” (Fed. R. Crim. P. 17(c); 18 U.S.C.A.; </w:t>
      </w:r>
      <w:r w:rsidRPr="00081762">
        <w:rPr>
          <w:rStyle w:val="normaltextrun"/>
          <w:rFonts w:ascii="Times New Roman" w:hAnsi="Times New Roman" w:cs="Times New Roman"/>
          <w:i/>
          <w:iCs/>
          <w:color w:val="000000"/>
          <w:sz w:val="26"/>
          <w:szCs w:val="26"/>
          <w:shd w:val="clear" w:color="auto" w:fill="FFFFFF"/>
        </w:rPr>
        <w:t>United States v. Stevenson</w:t>
      </w:r>
      <w:r w:rsidRPr="00081762">
        <w:rPr>
          <w:rStyle w:val="normaltextrun"/>
          <w:rFonts w:ascii="Times New Roman" w:hAnsi="Times New Roman" w:cs="Times New Roman"/>
          <w:color w:val="000000"/>
          <w:sz w:val="26"/>
          <w:szCs w:val="26"/>
          <w:shd w:val="clear" w:color="auto" w:fill="FFFFFF"/>
        </w:rPr>
        <w:t xml:space="preserve">, 727 F.3d 826 (8th Cir. 2013).) </w:t>
      </w:r>
      <w:r w:rsidRPr="00081762">
        <w:rPr>
          <w:rStyle w:val="eop"/>
          <w:rFonts w:ascii="Times New Roman" w:hAnsi="Times New Roman" w:cs="Times New Roman"/>
          <w:color w:val="000000"/>
          <w:sz w:val="26"/>
          <w:szCs w:val="26"/>
          <w:shd w:val="clear" w:color="auto" w:fill="FFFFFF"/>
        </w:rPr>
        <w:t xml:space="preserve">The government’s subpoena suggests “an effort at exploratory discovery,” seeking to broadly sweep any possible information related to Ms. Calloway’s private investigator’s interview of Seton. </w:t>
      </w:r>
      <w:r w:rsidRPr="00081762">
        <w:rPr>
          <w:rStyle w:val="eop"/>
          <w:rFonts w:ascii="Times New Roman" w:hAnsi="Times New Roman" w:cs="Times New Roman"/>
          <w:color w:val="000000"/>
          <w:sz w:val="26"/>
          <w:szCs w:val="26"/>
          <w:shd w:val="clear" w:color="auto" w:fill="FFFFFF"/>
        </w:rPr>
        <w:lastRenderedPageBreak/>
        <w:t>(</w:t>
      </w:r>
      <w:r w:rsidRPr="00081762">
        <w:rPr>
          <w:rStyle w:val="eop"/>
          <w:rFonts w:ascii="Times New Roman" w:hAnsi="Times New Roman" w:cs="Times New Roman"/>
          <w:i/>
          <w:iCs/>
          <w:color w:val="000000"/>
          <w:sz w:val="26"/>
          <w:szCs w:val="26"/>
          <w:shd w:val="clear" w:color="auto" w:fill="FFFFFF"/>
        </w:rPr>
        <w:t>Stevenson</w:t>
      </w:r>
      <w:r w:rsidRPr="00081762">
        <w:rPr>
          <w:rStyle w:val="eop"/>
          <w:rFonts w:ascii="Times New Roman" w:hAnsi="Times New Roman" w:cs="Times New Roman"/>
          <w:color w:val="000000"/>
          <w:sz w:val="26"/>
          <w:szCs w:val="26"/>
          <w:shd w:val="clear" w:color="auto" w:fill="FFFFFF"/>
        </w:rPr>
        <w:t xml:space="preserve">, 727 F.3d at 832.) If the government can only speculate as to what the requested information could show, it is conducting a duplicative fishing expedition.” </w:t>
      </w:r>
      <w:r w:rsidR="00081762" w:rsidRPr="00081762">
        <w:rPr>
          <w:rStyle w:val="eop"/>
          <w:rFonts w:ascii="Times New Roman" w:hAnsi="Times New Roman" w:cs="Times New Roman"/>
          <w:i/>
          <w:iCs/>
          <w:color w:val="000000"/>
          <w:sz w:val="26"/>
          <w:szCs w:val="26"/>
          <w:shd w:val="clear" w:color="auto" w:fill="FFFFFF"/>
        </w:rPr>
        <w:t>United States v. Nixon</w:t>
      </w:r>
      <w:r w:rsidR="00081762">
        <w:rPr>
          <w:rStyle w:val="eop"/>
          <w:rFonts w:ascii="Times New Roman" w:hAnsi="Times New Roman" w:cs="Times New Roman"/>
          <w:color w:val="000000"/>
          <w:sz w:val="26"/>
          <w:szCs w:val="26"/>
          <w:shd w:val="clear" w:color="auto" w:fill="FFFFFF"/>
        </w:rPr>
        <w:t>, 418 U.S. 638, 699-700 (1974).</w:t>
      </w:r>
    </w:p>
    <w:p w14:paraId="444A9ED6" w14:textId="2651322E" w:rsidR="00C67DE2" w:rsidRPr="00081762" w:rsidRDefault="00C67DE2" w:rsidP="00C67DE2">
      <w:pPr>
        <w:keepNext/>
        <w:spacing w:line="480" w:lineRule="auto"/>
        <w:ind w:firstLine="720"/>
        <w:jc w:val="both"/>
        <w:rPr>
          <w:rFonts w:ascii="Times New Roman" w:hAnsi="Times New Roman" w:cs="Times New Roman"/>
          <w:color w:val="000000" w:themeColor="text1"/>
          <w:sz w:val="26"/>
          <w:szCs w:val="26"/>
        </w:rPr>
      </w:pPr>
      <w:r w:rsidRPr="00081762">
        <w:rPr>
          <w:rFonts w:ascii="Times New Roman" w:hAnsi="Times New Roman" w:cs="Times New Roman"/>
          <w:color w:val="000000" w:themeColor="text1"/>
          <w:sz w:val="26"/>
          <w:szCs w:val="26"/>
        </w:rPr>
        <w:t xml:space="preserve">The requesting party could demonstrate a substantial need exists because it is crucial to the liability determination at issue or of great probative value. (Appleton Papers, Inc. v. E.P.A., 702 F.3d 1018, 1023 (7th Cir. 2012).) Even if additional evidence may be relevant to the case, not only is it duplicative but, the interview notes are not of great probative value. Federal Rule of Evidence 403 will keep out somewhat relevant information when it is outweighed by the severe prejudicial nature of the evidence. Fed. R. Evid. 403. As mentioned, Armana’s notes indicate his impressions that include mentions of Ms. Calloway, even though Seton never named Ms. Calloway herself. There is no undue hardship or substantial need for evidence that is prejudicial, duplicative and inadmissible. </w:t>
      </w:r>
    </w:p>
    <w:p w14:paraId="39488F75" w14:textId="57C8CD53" w:rsidR="002F5288" w:rsidRPr="00081762" w:rsidRDefault="00F9582C" w:rsidP="00F9653F">
      <w:pPr>
        <w:spacing w:line="480" w:lineRule="auto"/>
        <w:contextualSpacing/>
        <w:jc w:val="center"/>
        <w:rPr>
          <w:rFonts w:ascii="Times New Roman" w:hAnsi="Times New Roman" w:cs="Times New Roman"/>
          <w:color w:val="000000" w:themeColor="text1"/>
          <w:sz w:val="26"/>
          <w:szCs w:val="26"/>
        </w:rPr>
      </w:pPr>
      <w:r w:rsidRPr="00081762">
        <w:rPr>
          <w:rFonts w:ascii="Times New Roman" w:hAnsi="Times New Roman" w:cs="Times New Roman"/>
          <w:b/>
          <w:bCs/>
          <w:smallCaps/>
          <w:color w:val="000000" w:themeColor="text1"/>
          <w:sz w:val="26"/>
          <w:szCs w:val="26"/>
        </w:rPr>
        <w:t>Conclusion</w:t>
      </w:r>
    </w:p>
    <w:p w14:paraId="6AF43456" w14:textId="6E2FF0DA" w:rsidR="00F9653F" w:rsidRPr="00081762" w:rsidRDefault="00F9582C" w:rsidP="00EA10DF">
      <w:pPr>
        <w:spacing w:line="480" w:lineRule="auto"/>
        <w:jc w:val="both"/>
        <w:rPr>
          <w:rFonts w:ascii="Times New Roman" w:hAnsi="Times New Roman" w:cs="Times New Roman"/>
          <w:color w:val="000000" w:themeColor="text1"/>
          <w:sz w:val="26"/>
          <w:szCs w:val="26"/>
        </w:rPr>
      </w:pPr>
      <w:r w:rsidRPr="00081762">
        <w:rPr>
          <w:rFonts w:ascii="Times New Roman" w:hAnsi="Times New Roman" w:cs="Times New Roman"/>
          <w:b/>
          <w:bCs/>
          <w:smallCaps/>
          <w:color w:val="000000" w:themeColor="text1"/>
          <w:sz w:val="26"/>
          <w:szCs w:val="26"/>
        </w:rPr>
        <w:tab/>
      </w:r>
      <w:r w:rsidRPr="00081762">
        <w:rPr>
          <w:rFonts w:ascii="Times New Roman" w:hAnsi="Times New Roman" w:cs="Times New Roman"/>
          <w:color w:val="000000" w:themeColor="text1"/>
          <w:sz w:val="26"/>
          <w:szCs w:val="26"/>
        </w:rPr>
        <w:t xml:space="preserve">For the foregoing reasons, </w:t>
      </w:r>
      <w:r w:rsidR="00AC3016" w:rsidRPr="00081762">
        <w:rPr>
          <w:rFonts w:ascii="Times New Roman" w:hAnsi="Times New Roman" w:cs="Times New Roman"/>
          <w:color w:val="000000" w:themeColor="text1"/>
          <w:sz w:val="26"/>
          <w:szCs w:val="26"/>
        </w:rPr>
        <w:t>Prosecution</w:t>
      </w:r>
      <w:r w:rsidRPr="00081762">
        <w:rPr>
          <w:rFonts w:ascii="Times New Roman" w:hAnsi="Times New Roman" w:cs="Times New Roman"/>
          <w:color w:val="000000" w:themeColor="text1"/>
          <w:sz w:val="26"/>
          <w:szCs w:val="26"/>
        </w:rPr>
        <w:t xml:space="preserve"> respectfully requests that this Court </w:t>
      </w:r>
      <w:r w:rsidR="00AC3016" w:rsidRPr="00081762">
        <w:rPr>
          <w:rFonts w:ascii="Times New Roman" w:hAnsi="Times New Roman" w:cs="Times New Roman"/>
          <w:color w:val="000000" w:themeColor="text1"/>
          <w:sz w:val="26"/>
          <w:szCs w:val="26"/>
        </w:rPr>
        <w:t>deny</w:t>
      </w:r>
      <w:r w:rsidRPr="00081762">
        <w:rPr>
          <w:rFonts w:ascii="Times New Roman" w:hAnsi="Times New Roman" w:cs="Times New Roman"/>
          <w:color w:val="000000" w:themeColor="text1"/>
          <w:sz w:val="26"/>
          <w:szCs w:val="26"/>
        </w:rPr>
        <w:t xml:space="preserve"> </w:t>
      </w:r>
      <w:r w:rsidR="00AC3016" w:rsidRPr="00081762">
        <w:rPr>
          <w:rFonts w:ascii="Times New Roman" w:hAnsi="Times New Roman" w:cs="Times New Roman"/>
          <w:color w:val="000000" w:themeColor="text1"/>
          <w:sz w:val="26"/>
          <w:szCs w:val="26"/>
        </w:rPr>
        <w:t>Defendant’s</w:t>
      </w:r>
      <w:r w:rsidRPr="00081762">
        <w:rPr>
          <w:rFonts w:ascii="Times New Roman" w:hAnsi="Times New Roman" w:cs="Times New Roman"/>
          <w:color w:val="000000" w:themeColor="text1"/>
          <w:sz w:val="26"/>
          <w:szCs w:val="26"/>
        </w:rPr>
        <w:t xml:space="preserve"> Motion </w:t>
      </w:r>
      <w:r w:rsidR="00AC3016" w:rsidRPr="00081762">
        <w:rPr>
          <w:rFonts w:ascii="Times New Roman" w:hAnsi="Times New Roman" w:cs="Times New Roman"/>
          <w:color w:val="000000" w:themeColor="text1"/>
          <w:sz w:val="26"/>
          <w:szCs w:val="26"/>
        </w:rPr>
        <w:t>to Suppress Evidence and Motion to Quash Subpoena</w:t>
      </w:r>
      <w:r w:rsidRPr="00081762">
        <w:rPr>
          <w:rFonts w:ascii="Times New Roman" w:hAnsi="Times New Roman" w:cs="Times New Roman"/>
          <w:color w:val="000000" w:themeColor="text1"/>
          <w:sz w:val="26"/>
          <w:szCs w:val="26"/>
        </w:rPr>
        <w:t>.</w:t>
      </w:r>
    </w:p>
    <w:p w14:paraId="615A6284" w14:textId="77777777" w:rsidR="00F9653F" w:rsidRPr="00265E2C" w:rsidRDefault="00F9582C" w:rsidP="00F9653F">
      <w:pPr>
        <w:spacing w:line="480" w:lineRule="auto"/>
        <w:ind w:left="5760"/>
        <w:rPr>
          <w:rFonts w:ascii="Times New Roman" w:hAnsi="Times New Roman" w:cs="Times New Roman"/>
          <w:color w:val="000000" w:themeColor="text1"/>
          <w:sz w:val="26"/>
          <w:szCs w:val="26"/>
        </w:rPr>
      </w:pPr>
      <w:r w:rsidRPr="00265E2C">
        <w:rPr>
          <w:rFonts w:ascii="Times New Roman" w:hAnsi="Times New Roman" w:cs="Times New Roman"/>
          <w:color w:val="000000" w:themeColor="text1"/>
          <w:sz w:val="26"/>
          <w:szCs w:val="26"/>
        </w:rPr>
        <w:t xml:space="preserve">Respectfully Submitted, </w:t>
      </w:r>
    </w:p>
    <w:p w14:paraId="0A894AA4" w14:textId="07F784D2" w:rsidR="00F9653F" w:rsidRPr="00265E2C" w:rsidRDefault="00F9582C" w:rsidP="001F0478">
      <w:pPr>
        <w:tabs>
          <w:tab w:val="left" w:pos="8100"/>
        </w:tabs>
        <w:ind w:left="5760"/>
        <w:rPr>
          <w:rFonts w:ascii="Times New Roman" w:hAnsi="Times New Roman" w:cs="Times New Roman"/>
          <w:color w:val="000000" w:themeColor="text1"/>
          <w:sz w:val="26"/>
          <w:szCs w:val="26"/>
        </w:rPr>
      </w:pPr>
      <w:r w:rsidRPr="00265E2C">
        <w:rPr>
          <w:rFonts w:ascii="Times New Roman" w:hAnsi="Times New Roman" w:cs="Times New Roman"/>
          <w:color w:val="000000" w:themeColor="text1"/>
          <w:sz w:val="26"/>
          <w:szCs w:val="26"/>
          <w:u w:val="single"/>
        </w:rPr>
        <w:t xml:space="preserve">/s/ Team </w:t>
      </w:r>
      <w:r w:rsidR="000E2E84" w:rsidRPr="00265E2C">
        <w:rPr>
          <w:rFonts w:ascii="Times New Roman" w:hAnsi="Times New Roman" w:cs="Times New Roman"/>
          <w:color w:val="000000" w:themeColor="text1"/>
          <w:sz w:val="26"/>
          <w:szCs w:val="26"/>
          <w:u w:val="single"/>
        </w:rPr>
        <w:t>312</w:t>
      </w:r>
      <w:r w:rsidR="001F0478" w:rsidRPr="00265E2C">
        <w:rPr>
          <w:rFonts w:ascii="Times New Roman" w:hAnsi="Times New Roman" w:cs="Times New Roman"/>
          <w:color w:val="000000" w:themeColor="text1"/>
          <w:sz w:val="26"/>
          <w:szCs w:val="26"/>
          <w:u w:val="single"/>
        </w:rPr>
        <w:tab/>
      </w:r>
      <w:r w:rsidR="000E2E84" w:rsidRPr="00265E2C">
        <w:rPr>
          <w:rFonts w:ascii="Times New Roman" w:hAnsi="Times New Roman" w:cs="Times New Roman"/>
          <w:color w:val="000000" w:themeColor="text1"/>
          <w:sz w:val="26"/>
          <w:szCs w:val="26"/>
          <w:u w:val="single"/>
        </w:rPr>
        <w:tab/>
      </w:r>
      <w:r w:rsidR="001F0478" w:rsidRPr="00265E2C">
        <w:rPr>
          <w:rFonts w:ascii="Times New Roman" w:hAnsi="Times New Roman" w:cs="Times New Roman"/>
          <w:color w:val="000000" w:themeColor="text1"/>
          <w:sz w:val="26"/>
          <w:szCs w:val="26"/>
        </w:rPr>
        <w:t xml:space="preserve"> </w:t>
      </w:r>
    </w:p>
    <w:p w14:paraId="5E56F0C5" w14:textId="09624FC9" w:rsidR="00F9582C" w:rsidRPr="00265E2C" w:rsidRDefault="00F9582C" w:rsidP="001F0478">
      <w:pPr>
        <w:ind w:left="5760"/>
        <w:rPr>
          <w:rFonts w:ascii="Times New Roman" w:hAnsi="Times New Roman" w:cs="Times New Roman"/>
          <w:color w:val="000000" w:themeColor="text1"/>
          <w:sz w:val="26"/>
          <w:szCs w:val="26"/>
        </w:rPr>
      </w:pPr>
      <w:r w:rsidRPr="00265E2C">
        <w:rPr>
          <w:rFonts w:ascii="Times New Roman" w:hAnsi="Times New Roman" w:cs="Times New Roman"/>
          <w:color w:val="000000" w:themeColor="text1"/>
          <w:sz w:val="26"/>
          <w:szCs w:val="26"/>
        </w:rPr>
        <w:t xml:space="preserve">Attorneys for the </w:t>
      </w:r>
      <w:r w:rsidR="000F4E08">
        <w:rPr>
          <w:rFonts w:ascii="Times New Roman" w:hAnsi="Times New Roman" w:cs="Times New Roman"/>
          <w:color w:val="000000" w:themeColor="text1"/>
          <w:sz w:val="26"/>
          <w:szCs w:val="26"/>
        </w:rPr>
        <w:t>Prosecution</w:t>
      </w:r>
    </w:p>
    <w:p w14:paraId="37B81369" w14:textId="1B9B8ABE" w:rsidR="00AC3016" w:rsidRPr="00265E2C" w:rsidRDefault="00AC3016" w:rsidP="001F0478">
      <w:pPr>
        <w:ind w:left="5760"/>
        <w:rPr>
          <w:rFonts w:ascii="Times New Roman" w:hAnsi="Times New Roman" w:cs="Times New Roman"/>
          <w:color w:val="000000" w:themeColor="text1"/>
          <w:sz w:val="26"/>
          <w:szCs w:val="26"/>
        </w:rPr>
      </w:pPr>
      <w:r w:rsidRPr="00265E2C">
        <w:rPr>
          <w:rFonts w:ascii="Times New Roman" w:hAnsi="Times New Roman" w:cs="Times New Roman"/>
          <w:color w:val="000000" w:themeColor="text1"/>
          <w:sz w:val="26"/>
          <w:szCs w:val="26"/>
        </w:rPr>
        <w:t xml:space="preserve"> </w:t>
      </w:r>
    </w:p>
    <w:sectPr w:rsidR="00AC3016" w:rsidRPr="00265E2C" w:rsidSect="00322774">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71D13" w14:textId="77777777" w:rsidR="00911F6A" w:rsidRDefault="00911F6A" w:rsidP="00A54F4A">
      <w:r>
        <w:separator/>
      </w:r>
    </w:p>
  </w:endnote>
  <w:endnote w:type="continuationSeparator" w:id="0">
    <w:p w14:paraId="41DE978E" w14:textId="77777777" w:rsidR="00911F6A" w:rsidRDefault="00911F6A" w:rsidP="00A54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Times New Roman (Body CS)">
    <w:altName w:val="Times New Roman"/>
    <w:charset w:val="00"/>
    <w:family w:val="roman"/>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43419996"/>
      <w:docPartObj>
        <w:docPartGallery w:val="Page Numbers (Bottom of Page)"/>
        <w:docPartUnique/>
      </w:docPartObj>
    </w:sdtPr>
    <w:sdtEndPr>
      <w:rPr>
        <w:rStyle w:val="PageNumber"/>
      </w:rPr>
    </w:sdtEndPr>
    <w:sdtContent>
      <w:p w14:paraId="36066C7C" w14:textId="77777777" w:rsidR="00475B07" w:rsidRDefault="00953743" w:rsidP="0032277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2F7CB12E" w14:textId="77777777" w:rsidR="00475B07" w:rsidRDefault="00475B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6"/>
        <w:szCs w:val="26"/>
      </w:rPr>
      <w:id w:val="1260802220"/>
      <w:docPartObj>
        <w:docPartGallery w:val="Page Numbers (Bottom of Page)"/>
        <w:docPartUnique/>
      </w:docPartObj>
    </w:sdtPr>
    <w:sdtEndPr>
      <w:rPr>
        <w:rStyle w:val="PageNumber"/>
      </w:rPr>
    </w:sdtEndPr>
    <w:sdtContent>
      <w:p w14:paraId="79D94E4E" w14:textId="1A2D4033" w:rsidR="00322774" w:rsidRPr="00EA10DF" w:rsidRDefault="00322774" w:rsidP="009F2003">
        <w:pPr>
          <w:pStyle w:val="Footer"/>
          <w:framePr w:wrap="none" w:vAnchor="text" w:hAnchor="margin" w:xAlign="center" w:y="1"/>
          <w:rPr>
            <w:rStyle w:val="PageNumber"/>
            <w:rFonts w:ascii="Times New Roman" w:hAnsi="Times New Roman" w:cs="Times New Roman"/>
            <w:sz w:val="26"/>
            <w:szCs w:val="26"/>
          </w:rPr>
        </w:pPr>
        <w:r w:rsidRPr="00EA10DF">
          <w:rPr>
            <w:rStyle w:val="PageNumber"/>
            <w:rFonts w:ascii="Times New Roman" w:hAnsi="Times New Roman" w:cs="Times New Roman"/>
            <w:sz w:val="26"/>
            <w:szCs w:val="26"/>
          </w:rPr>
          <w:fldChar w:fldCharType="begin"/>
        </w:r>
        <w:r w:rsidRPr="00EA10DF">
          <w:rPr>
            <w:rStyle w:val="PageNumber"/>
            <w:rFonts w:ascii="Times New Roman" w:hAnsi="Times New Roman" w:cs="Times New Roman"/>
            <w:sz w:val="26"/>
            <w:szCs w:val="26"/>
          </w:rPr>
          <w:instrText xml:space="preserve"> PAGE </w:instrText>
        </w:r>
        <w:r w:rsidRPr="00EA10DF">
          <w:rPr>
            <w:rStyle w:val="PageNumber"/>
            <w:rFonts w:ascii="Times New Roman" w:hAnsi="Times New Roman" w:cs="Times New Roman"/>
            <w:sz w:val="26"/>
            <w:szCs w:val="26"/>
          </w:rPr>
          <w:fldChar w:fldCharType="separate"/>
        </w:r>
        <w:r w:rsidRPr="00EA10DF">
          <w:rPr>
            <w:rStyle w:val="PageNumber"/>
            <w:rFonts w:ascii="Times New Roman" w:hAnsi="Times New Roman" w:cs="Times New Roman"/>
            <w:noProof/>
            <w:sz w:val="26"/>
            <w:szCs w:val="26"/>
          </w:rPr>
          <w:t>ii</w:t>
        </w:r>
        <w:r w:rsidRPr="00EA10DF">
          <w:rPr>
            <w:rStyle w:val="PageNumber"/>
            <w:rFonts w:ascii="Times New Roman" w:hAnsi="Times New Roman" w:cs="Times New Roman"/>
            <w:sz w:val="26"/>
            <w:szCs w:val="26"/>
          </w:rPr>
          <w:fldChar w:fldCharType="end"/>
        </w:r>
      </w:p>
    </w:sdtContent>
  </w:sdt>
  <w:p w14:paraId="2F3EF937" w14:textId="1C0F62B6" w:rsidR="00322774" w:rsidRDefault="00322774" w:rsidP="00322774">
    <w:pPr>
      <w:pStyle w:val="Footer"/>
      <w:tabs>
        <w:tab w:val="clear" w:pos="4680"/>
        <w:tab w:val="clear" w:pos="936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33401125"/>
      <w:docPartObj>
        <w:docPartGallery w:val="Page Numbers (Bottom of Page)"/>
        <w:docPartUnique/>
      </w:docPartObj>
    </w:sdtPr>
    <w:sdtEndPr>
      <w:rPr>
        <w:rStyle w:val="PageNumber"/>
      </w:rPr>
    </w:sdtEndPr>
    <w:sdtContent>
      <w:p w14:paraId="1A46229F" w14:textId="403B5CCC" w:rsidR="00322774" w:rsidRDefault="00322774" w:rsidP="009F2003">
        <w:pPr>
          <w:pStyle w:val="Footer"/>
          <w:framePr w:wrap="none" w:vAnchor="text" w:hAnchor="margin" w:xAlign="center" w:y="1"/>
          <w:rPr>
            <w:rStyle w:val="PageNumber"/>
          </w:rPr>
        </w:pPr>
        <w:r w:rsidRPr="00EA10DF">
          <w:rPr>
            <w:rStyle w:val="PageNumber"/>
            <w:rFonts w:ascii="Times New Roman" w:hAnsi="Times New Roman" w:cs="Times New Roman"/>
            <w:sz w:val="26"/>
            <w:szCs w:val="26"/>
          </w:rPr>
          <w:fldChar w:fldCharType="begin"/>
        </w:r>
        <w:r w:rsidRPr="00EA10DF">
          <w:rPr>
            <w:rStyle w:val="PageNumber"/>
            <w:rFonts w:ascii="Times New Roman" w:hAnsi="Times New Roman" w:cs="Times New Roman"/>
            <w:sz w:val="26"/>
            <w:szCs w:val="26"/>
          </w:rPr>
          <w:instrText xml:space="preserve"> PAGE </w:instrText>
        </w:r>
        <w:r w:rsidRPr="00EA10DF">
          <w:rPr>
            <w:rStyle w:val="PageNumber"/>
            <w:rFonts w:ascii="Times New Roman" w:hAnsi="Times New Roman" w:cs="Times New Roman"/>
            <w:sz w:val="26"/>
            <w:szCs w:val="26"/>
          </w:rPr>
          <w:fldChar w:fldCharType="separate"/>
        </w:r>
        <w:r w:rsidRPr="00EA10DF">
          <w:rPr>
            <w:rStyle w:val="PageNumber"/>
            <w:rFonts w:ascii="Times New Roman" w:hAnsi="Times New Roman" w:cs="Times New Roman"/>
            <w:noProof/>
            <w:sz w:val="26"/>
            <w:szCs w:val="26"/>
          </w:rPr>
          <w:t>ii</w:t>
        </w:r>
        <w:r w:rsidRPr="00EA10DF">
          <w:rPr>
            <w:rStyle w:val="PageNumber"/>
            <w:rFonts w:ascii="Times New Roman" w:hAnsi="Times New Roman" w:cs="Times New Roman"/>
            <w:sz w:val="26"/>
            <w:szCs w:val="26"/>
          </w:rPr>
          <w:fldChar w:fldCharType="end"/>
        </w:r>
      </w:p>
    </w:sdtContent>
  </w:sdt>
  <w:p w14:paraId="58522C8F" w14:textId="77777777" w:rsidR="00322774" w:rsidRDefault="003227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8C76A" w14:textId="77777777" w:rsidR="00911F6A" w:rsidRDefault="00911F6A" w:rsidP="00A54F4A">
      <w:r>
        <w:separator/>
      </w:r>
    </w:p>
  </w:footnote>
  <w:footnote w:type="continuationSeparator" w:id="0">
    <w:p w14:paraId="2B30272A" w14:textId="77777777" w:rsidR="00911F6A" w:rsidRDefault="00911F6A" w:rsidP="00A54F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B293C" w14:textId="187B5A11" w:rsidR="004B5F07" w:rsidRPr="00DA2DF9" w:rsidRDefault="004B5F07" w:rsidP="00DA2DF9">
    <w:pPr>
      <w:pStyle w:val="Header"/>
      <w:jc w:val="right"/>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F065E" w14:textId="0C58B3A2" w:rsidR="001F0478" w:rsidRPr="00322774" w:rsidRDefault="005375FB" w:rsidP="001F0478">
    <w:pPr>
      <w:pStyle w:val="Header"/>
      <w:jc w:val="right"/>
      <w:rPr>
        <w:rFonts w:ascii="Times New Roman" w:hAnsi="Times New Roman" w:cs="Times New Roman"/>
        <w:sz w:val="26"/>
        <w:szCs w:val="26"/>
      </w:rPr>
    </w:pPr>
    <w:r>
      <w:rPr>
        <w:rFonts w:ascii="Times New Roman" w:hAnsi="Times New Roman" w:cs="Times New Roman"/>
        <w:sz w:val="26"/>
        <w:szCs w:val="26"/>
      </w:rPr>
      <w:t xml:space="preserve">Team </w:t>
    </w:r>
    <w:r w:rsidR="000E2E84">
      <w:rPr>
        <w:rFonts w:ascii="Times New Roman" w:hAnsi="Times New Roman" w:cs="Times New Roman"/>
        <w:sz w:val="26"/>
        <w:szCs w:val="26"/>
      </w:rPr>
      <w:t xml:space="preserve">312 </w:t>
    </w:r>
    <w:r w:rsidR="00FA2D14">
      <w:rPr>
        <w:rFonts w:ascii="Times New Roman" w:hAnsi="Times New Roman" w:cs="Times New Roman"/>
        <w:sz w:val="26"/>
        <w:szCs w:val="26"/>
      </w:rPr>
      <w:t>–</w:t>
    </w:r>
    <w:r w:rsidR="000E2E84">
      <w:rPr>
        <w:rFonts w:ascii="Times New Roman" w:hAnsi="Times New Roman" w:cs="Times New Roman"/>
        <w:sz w:val="26"/>
        <w:szCs w:val="26"/>
      </w:rPr>
      <w:t xml:space="preserve"> </w:t>
    </w:r>
    <w:r w:rsidR="00FA2D14">
      <w:rPr>
        <w:rFonts w:ascii="Times New Roman" w:hAnsi="Times New Roman" w:cs="Times New Roman"/>
        <w:sz w:val="26"/>
        <w:szCs w:val="26"/>
      </w:rPr>
      <w:t>Movant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F410E" w14:textId="6A3F9684" w:rsidR="005375FB" w:rsidRPr="00322774" w:rsidRDefault="005375FB" w:rsidP="001F0478">
    <w:pPr>
      <w:pStyle w:val="Header"/>
      <w:jc w:val="right"/>
      <w:rPr>
        <w:rFonts w:ascii="Times New Roman" w:hAnsi="Times New Roman" w:cs="Times New Roman"/>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2103"/>
    <w:multiLevelType w:val="hybridMultilevel"/>
    <w:tmpl w:val="7246414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EF2129"/>
    <w:multiLevelType w:val="hybridMultilevel"/>
    <w:tmpl w:val="AC9ED440"/>
    <w:lvl w:ilvl="0" w:tplc="9D50AFF4">
      <w:start w:val="1"/>
      <w:numFmt w:val="decimal"/>
      <w:lvlText w:val="%1."/>
      <w:lvlJc w:val="left"/>
      <w:pPr>
        <w:ind w:left="2610" w:hanging="360"/>
      </w:pPr>
      <w:rPr>
        <w:rFonts w:hint="default"/>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 w15:restartNumberingAfterBreak="0">
    <w:nsid w:val="0FC11CEE"/>
    <w:multiLevelType w:val="hybridMultilevel"/>
    <w:tmpl w:val="6164A9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9A1D7F"/>
    <w:multiLevelType w:val="hybridMultilevel"/>
    <w:tmpl w:val="5548FC9C"/>
    <w:lvl w:ilvl="0" w:tplc="4D926E4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BA57DC"/>
    <w:multiLevelType w:val="hybridMultilevel"/>
    <w:tmpl w:val="71DC7410"/>
    <w:lvl w:ilvl="0" w:tplc="B358DA4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23534F9"/>
    <w:multiLevelType w:val="hybridMultilevel"/>
    <w:tmpl w:val="0AD4EBE2"/>
    <w:lvl w:ilvl="0" w:tplc="BA4477B8">
      <w:start w:val="1"/>
      <w:numFmt w:val="upperRoman"/>
      <w:pStyle w:val="TOC2"/>
      <w:lvlText w:val="%1."/>
      <w:lvlJc w:val="left"/>
      <w:pPr>
        <w:ind w:left="1080" w:hanging="720"/>
      </w:pPr>
      <w:rPr>
        <w:rFonts w:ascii="Times New Roman" w:eastAsiaTheme="minorHAnsi" w:hAnsi="Times New Roman" w:cs="Times New Roman" w:hint="default"/>
        <w:b/>
        <w:color w:val="467886" w:themeColor="hyperlink"/>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FE461D"/>
    <w:multiLevelType w:val="multilevel"/>
    <w:tmpl w:val="5D9ED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CE4CBB"/>
    <w:multiLevelType w:val="hybridMultilevel"/>
    <w:tmpl w:val="C220C6C4"/>
    <w:lvl w:ilvl="0" w:tplc="40C8A530">
      <w:start w:val="1"/>
      <w:numFmt w:val="upperRoman"/>
      <w:lvlText w:val="%1."/>
      <w:lvlJc w:val="left"/>
      <w:pPr>
        <w:ind w:left="720" w:hanging="720"/>
      </w:pPr>
      <w:rPr>
        <w:rFonts w:eastAsia="Times New Roman" w:cs="Times New Roman" w:hint="default"/>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68B4DAA"/>
    <w:multiLevelType w:val="hybridMultilevel"/>
    <w:tmpl w:val="BACC9750"/>
    <w:lvl w:ilvl="0" w:tplc="70A046C8">
      <w:start w:val="1"/>
      <w:numFmt w:val="upperLetter"/>
      <w:lvlText w:val="%1."/>
      <w:lvlJc w:val="left"/>
      <w:pPr>
        <w:ind w:left="840" w:hanging="360"/>
      </w:pPr>
      <w:rPr>
        <w:rFonts w:ascii="Times New Roman" w:eastAsiaTheme="minorHAnsi" w:hAnsi="Times New Roman" w:cs="Times New Roman" w:hint="default"/>
        <w:b/>
        <w:color w:val="467886" w:themeColor="hyperlink"/>
        <w:u w:val="single"/>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9" w15:restartNumberingAfterBreak="0">
    <w:nsid w:val="293D533A"/>
    <w:multiLevelType w:val="hybridMultilevel"/>
    <w:tmpl w:val="D5CEDD98"/>
    <w:lvl w:ilvl="0" w:tplc="622802E8">
      <w:start w:val="1"/>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A4670C2"/>
    <w:multiLevelType w:val="hybridMultilevel"/>
    <w:tmpl w:val="414099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7E2C41"/>
    <w:multiLevelType w:val="hybridMultilevel"/>
    <w:tmpl w:val="57CC867C"/>
    <w:lvl w:ilvl="0" w:tplc="FE18758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FC6BAB"/>
    <w:multiLevelType w:val="hybridMultilevel"/>
    <w:tmpl w:val="AD261F9A"/>
    <w:lvl w:ilvl="0" w:tplc="D0E0C49E">
      <w:start w:val="1"/>
      <w:numFmt w:val="decimal"/>
      <w:pStyle w:val="TOC3"/>
      <w:lvlText w:val="%1."/>
      <w:lvlJc w:val="left"/>
      <w:pPr>
        <w:ind w:left="1350" w:hanging="360"/>
      </w:pPr>
      <w:rPr>
        <w:rFonts w:ascii="Times New Roman" w:eastAsiaTheme="minorHAnsi" w:hAnsi="Times New Roman" w:cs="Times New Roman" w:hint="default"/>
        <w:b/>
        <w:color w:val="467886" w:themeColor="hyperlink"/>
        <w:u w:val="single"/>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3" w15:restartNumberingAfterBreak="0">
    <w:nsid w:val="30492AC0"/>
    <w:multiLevelType w:val="hybridMultilevel"/>
    <w:tmpl w:val="E7E87170"/>
    <w:lvl w:ilvl="0" w:tplc="C4D47AB2">
      <w:start w:val="1"/>
      <w:numFmt w:val="decimal"/>
      <w:lvlText w:val="%1."/>
      <w:lvlJc w:val="left"/>
      <w:pPr>
        <w:ind w:left="1080" w:hanging="360"/>
      </w:pPr>
      <w:rPr>
        <w:rFonts w:hint="default"/>
        <w:b/>
        <w:bCs/>
      </w:rPr>
    </w:lvl>
    <w:lvl w:ilvl="1" w:tplc="04090019">
      <w:start w:val="1"/>
      <w:numFmt w:val="lowerLetter"/>
      <w:lvlText w:val="%2."/>
      <w:lvlJc w:val="left"/>
      <w:pPr>
        <w:ind w:left="1800" w:hanging="360"/>
      </w:pPr>
    </w:lvl>
    <w:lvl w:ilvl="2" w:tplc="3BD47C82">
      <w:start w:val="1"/>
      <w:numFmt w:val="decimal"/>
      <w:lvlText w:val="%3."/>
      <w:lvlJc w:val="right"/>
      <w:pPr>
        <w:ind w:left="2520" w:hanging="180"/>
      </w:pPr>
      <w:rPr>
        <w:rFonts w:ascii="Times New Roman" w:eastAsiaTheme="minorHAnsi" w:hAnsi="Times New Roman" w:cs="Times New Roman"/>
      </w:rPr>
    </w:lvl>
    <w:lvl w:ilvl="3" w:tplc="316C7164">
      <w:start w:val="1"/>
      <w:numFmt w:val="upperLetter"/>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A8E2BAC"/>
    <w:multiLevelType w:val="hybridMultilevel"/>
    <w:tmpl w:val="D8060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9C5BD6"/>
    <w:multiLevelType w:val="hybridMultilevel"/>
    <w:tmpl w:val="4C106346"/>
    <w:lvl w:ilvl="0" w:tplc="608A234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DE2D5E"/>
    <w:multiLevelType w:val="hybridMultilevel"/>
    <w:tmpl w:val="EB129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B659C5"/>
    <w:multiLevelType w:val="hybridMultilevel"/>
    <w:tmpl w:val="5548FC9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26F6F23"/>
    <w:multiLevelType w:val="hybridMultilevel"/>
    <w:tmpl w:val="D5D856D4"/>
    <w:lvl w:ilvl="0" w:tplc="C2301E06">
      <w:start w:val="1"/>
      <w:numFmt w:val="upperRoman"/>
      <w:lvlText w:val="%1."/>
      <w:lvlJc w:val="left"/>
      <w:pPr>
        <w:ind w:left="720" w:hanging="720"/>
      </w:pPr>
      <w:rPr>
        <w:rFonts w:hint="default"/>
      </w:rPr>
    </w:lvl>
    <w:lvl w:ilvl="1" w:tplc="04090015">
      <w:start w:val="1"/>
      <w:numFmt w:val="upperLetter"/>
      <w:lvlText w:val="%2."/>
      <w:lvlJc w:val="left"/>
      <w:pPr>
        <w:ind w:left="1080" w:hanging="360"/>
      </w:pPr>
    </w:lvl>
    <w:lvl w:ilvl="2" w:tplc="0409000F">
      <w:start w:val="1"/>
      <w:numFmt w:val="decimal"/>
      <w:lvlText w:val="%3."/>
      <w:lvlJc w:val="left"/>
      <w:pPr>
        <w:ind w:left="117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834ED1"/>
    <w:multiLevelType w:val="hybridMultilevel"/>
    <w:tmpl w:val="18108E3C"/>
    <w:lvl w:ilvl="0" w:tplc="64D23B3E">
      <w:start w:val="2"/>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A765526"/>
    <w:multiLevelType w:val="hybridMultilevel"/>
    <w:tmpl w:val="B2D640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F06B91"/>
    <w:multiLevelType w:val="hybridMultilevel"/>
    <w:tmpl w:val="F64683E2"/>
    <w:lvl w:ilvl="0" w:tplc="8F6EE31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30B1484"/>
    <w:multiLevelType w:val="hybridMultilevel"/>
    <w:tmpl w:val="D726649C"/>
    <w:lvl w:ilvl="0" w:tplc="D8C20512">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6442C93"/>
    <w:multiLevelType w:val="hybridMultilevel"/>
    <w:tmpl w:val="6226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D217C1"/>
    <w:multiLevelType w:val="multilevel"/>
    <w:tmpl w:val="5D9ED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C8D45F6"/>
    <w:multiLevelType w:val="hybridMultilevel"/>
    <w:tmpl w:val="15F820AE"/>
    <w:lvl w:ilvl="0" w:tplc="4BE892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6A2998"/>
    <w:multiLevelType w:val="hybridMultilevel"/>
    <w:tmpl w:val="50902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0668D0"/>
    <w:multiLevelType w:val="hybridMultilevel"/>
    <w:tmpl w:val="A0EE4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4377F9"/>
    <w:multiLevelType w:val="hybridMultilevel"/>
    <w:tmpl w:val="DAD4B6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953538"/>
    <w:multiLevelType w:val="hybridMultilevel"/>
    <w:tmpl w:val="1CB80BC8"/>
    <w:lvl w:ilvl="0" w:tplc="D5942B0E">
      <w:start w:val="1"/>
      <w:numFmt w:val="bullet"/>
      <w:lvlText w:val="-"/>
      <w:lvlJc w:val="left"/>
      <w:pPr>
        <w:ind w:left="720" w:hanging="360"/>
      </w:pPr>
      <w:rPr>
        <w:rFonts w:ascii="Century Schoolbook" w:eastAsiaTheme="minorHAnsi" w:hAnsi="Century Schoolbook" w:cs="Times New Roman (Body C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C36517"/>
    <w:multiLevelType w:val="multilevel"/>
    <w:tmpl w:val="BFE65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C110F00"/>
    <w:multiLevelType w:val="hybridMultilevel"/>
    <w:tmpl w:val="D480E39A"/>
    <w:lvl w:ilvl="0" w:tplc="C2301E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CD86462"/>
    <w:multiLevelType w:val="hybridMultilevel"/>
    <w:tmpl w:val="E12026BE"/>
    <w:lvl w:ilvl="0" w:tplc="04090015">
      <w:start w:val="1"/>
      <w:numFmt w:val="upperLetter"/>
      <w:lvlText w:val="%1."/>
      <w:lvlJc w:val="left"/>
      <w:pPr>
        <w:ind w:left="1530" w:hanging="36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3" w15:restartNumberingAfterBreak="0">
    <w:nsid w:val="70484583"/>
    <w:multiLevelType w:val="hybridMultilevel"/>
    <w:tmpl w:val="E33E4A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A83E3D"/>
    <w:multiLevelType w:val="hybridMultilevel"/>
    <w:tmpl w:val="451C9B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3F010E4"/>
    <w:multiLevelType w:val="hybridMultilevel"/>
    <w:tmpl w:val="C894839E"/>
    <w:lvl w:ilvl="0" w:tplc="CC28D9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5B1333"/>
    <w:multiLevelType w:val="multilevel"/>
    <w:tmpl w:val="5D9ED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D271687"/>
    <w:multiLevelType w:val="hybridMultilevel"/>
    <w:tmpl w:val="45740094"/>
    <w:lvl w:ilvl="0" w:tplc="097645E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8" w15:restartNumberingAfterBreak="0">
    <w:nsid w:val="7D9F15D6"/>
    <w:multiLevelType w:val="hybridMultilevel"/>
    <w:tmpl w:val="A33C9E58"/>
    <w:lvl w:ilvl="0" w:tplc="A3441B50">
      <w:start w:val="1"/>
      <w:numFmt w:val="upperLetter"/>
      <w:lvlText w:val="%1."/>
      <w:lvlJc w:val="left"/>
      <w:pPr>
        <w:ind w:left="1080" w:hanging="360"/>
      </w:pPr>
      <w:rPr>
        <w:rFonts w:hint="default"/>
        <w:b/>
        <w:bC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DFA4002"/>
    <w:multiLevelType w:val="hybridMultilevel"/>
    <w:tmpl w:val="885239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1D3CCD"/>
    <w:multiLevelType w:val="hybridMultilevel"/>
    <w:tmpl w:val="E58483DA"/>
    <w:lvl w:ilvl="0" w:tplc="47EEF3D6">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 w15:restartNumberingAfterBreak="0">
    <w:nsid w:val="7FF8152C"/>
    <w:multiLevelType w:val="hybridMultilevel"/>
    <w:tmpl w:val="20E0BD50"/>
    <w:lvl w:ilvl="0" w:tplc="2966B9AA">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932542889">
    <w:abstractNumId w:val="7"/>
  </w:num>
  <w:num w:numId="2" w16cid:durableId="1941373100">
    <w:abstractNumId w:val="2"/>
  </w:num>
  <w:num w:numId="3" w16cid:durableId="1760175399">
    <w:abstractNumId w:val="34"/>
  </w:num>
  <w:num w:numId="4" w16cid:durableId="687103749">
    <w:abstractNumId w:val="38"/>
  </w:num>
  <w:num w:numId="5" w16cid:durableId="360202506">
    <w:abstractNumId w:val="14"/>
  </w:num>
  <w:num w:numId="6" w16cid:durableId="667055961">
    <w:abstractNumId w:val="35"/>
  </w:num>
  <w:num w:numId="7" w16cid:durableId="668488557">
    <w:abstractNumId w:val="20"/>
  </w:num>
  <w:num w:numId="8" w16cid:durableId="1867256907">
    <w:abstractNumId w:val="10"/>
  </w:num>
  <w:num w:numId="9" w16cid:durableId="1963685331">
    <w:abstractNumId w:val="33"/>
  </w:num>
  <w:num w:numId="10" w16cid:durableId="326173705">
    <w:abstractNumId w:val="30"/>
  </w:num>
  <w:num w:numId="11" w16cid:durableId="2073237496">
    <w:abstractNumId w:val="24"/>
  </w:num>
  <w:num w:numId="12" w16cid:durableId="459423302">
    <w:abstractNumId w:val="6"/>
  </w:num>
  <w:num w:numId="13" w16cid:durableId="948783079">
    <w:abstractNumId w:val="36"/>
  </w:num>
  <w:num w:numId="14" w16cid:durableId="1467162307">
    <w:abstractNumId w:val="27"/>
  </w:num>
  <w:num w:numId="15" w16cid:durableId="21639650">
    <w:abstractNumId w:val="23"/>
  </w:num>
  <w:num w:numId="16" w16cid:durableId="1263995920">
    <w:abstractNumId w:val="39"/>
  </w:num>
  <w:num w:numId="17" w16cid:durableId="1286421875">
    <w:abstractNumId w:val="25"/>
  </w:num>
  <w:num w:numId="18" w16cid:durableId="1006598316">
    <w:abstractNumId w:val="26"/>
  </w:num>
  <w:num w:numId="19" w16cid:durableId="1302156459">
    <w:abstractNumId w:val="16"/>
  </w:num>
  <w:num w:numId="20" w16cid:durableId="599945869">
    <w:abstractNumId w:val="29"/>
  </w:num>
  <w:num w:numId="21" w16cid:durableId="538664471">
    <w:abstractNumId w:val="28"/>
  </w:num>
  <w:num w:numId="22" w16cid:durableId="405340698">
    <w:abstractNumId w:val="18"/>
  </w:num>
  <w:num w:numId="23" w16cid:durableId="1413359447">
    <w:abstractNumId w:val="31"/>
  </w:num>
  <w:num w:numId="24" w16cid:durableId="324016257">
    <w:abstractNumId w:val="5"/>
  </w:num>
  <w:num w:numId="25" w16cid:durableId="1224028914">
    <w:abstractNumId w:val="8"/>
  </w:num>
  <w:num w:numId="26" w16cid:durableId="1389647095">
    <w:abstractNumId w:val="12"/>
  </w:num>
  <w:num w:numId="27" w16cid:durableId="2027319917">
    <w:abstractNumId w:val="12"/>
    <w:lvlOverride w:ilvl="0">
      <w:startOverride w:val="1"/>
    </w:lvlOverride>
  </w:num>
  <w:num w:numId="28" w16cid:durableId="971862007">
    <w:abstractNumId w:val="15"/>
  </w:num>
  <w:num w:numId="29" w16cid:durableId="103623359">
    <w:abstractNumId w:val="41"/>
  </w:num>
  <w:num w:numId="30" w16cid:durableId="299964717">
    <w:abstractNumId w:val="37"/>
  </w:num>
  <w:num w:numId="31" w16cid:durableId="1694725259">
    <w:abstractNumId w:val="21"/>
  </w:num>
  <w:num w:numId="32" w16cid:durableId="851334222">
    <w:abstractNumId w:val="32"/>
  </w:num>
  <w:num w:numId="33" w16cid:durableId="1423062544">
    <w:abstractNumId w:val="1"/>
  </w:num>
  <w:num w:numId="34" w16cid:durableId="1370296805">
    <w:abstractNumId w:val="40"/>
  </w:num>
  <w:num w:numId="35" w16cid:durableId="309284427">
    <w:abstractNumId w:val="4"/>
  </w:num>
  <w:num w:numId="36" w16cid:durableId="1842617615">
    <w:abstractNumId w:val="22"/>
  </w:num>
  <w:num w:numId="37" w16cid:durableId="1683314130">
    <w:abstractNumId w:val="9"/>
  </w:num>
  <w:num w:numId="38" w16cid:durableId="791167353">
    <w:abstractNumId w:val="13"/>
  </w:num>
  <w:num w:numId="39" w16cid:durableId="1894848033">
    <w:abstractNumId w:val="19"/>
  </w:num>
  <w:num w:numId="40" w16cid:durableId="1663506085">
    <w:abstractNumId w:val="11"/>
  </w:num>
  <w:num w:numId="41" w16cid:durableId="1940284797">
    <w:abstractNumId w:val="3"/>
  </w:num>
  <w:num w:numId="42" w16cid:durableId="822309501">
    <w:abstractNumId w:val="0"/>
  </w:num>
  <w:num w:numId="43" w16cid:durableId="4292826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drawingGridHorizontalSpacing w:val="187"/>
  <w:drawingGridVerticalSpacing w:val="187"/>
  <w:doNotUseMarginsForDrawingGridOrigin/>
  <w:drawingGridHorizontalOrigin w:val="1440"/>
  <w:drawingGridVerticalOrigin w:val="144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F4A"/>
    <w:rsid w:val="00002180"/>
    <w:rsid w:val="00006B14"/>
    <w:rsid w:val="0000797A"/>
    <w:rsid w:val="00012FCC"/>
    <w:rsid w:val="00025EEC"/>
    <w:rsid w:val="00030AC6"/>
    <w:rsid w:val="000317A1"/>
    <w:rsid w:val="00034089"/>
    <w:rsid w:val="0003465C"/>
    <w:rsid w:val="00034DAA"/>
    <w:rsid w:val="0003505B"/>
    <w:rsid w:val="00036376"/>
    <w:rsid w:val="000403BB"/>
    <w:rsid w:val="00044092"/>
    <w:rsid w:val="000504AD"/>
    <w:rsid w:val="00054D97"/>
    <w:rsid w:val="00055715"/>
    <w:rsid w:val="000571EC"/>
    <w:rsid w:val="00061473"/>
    <w:rsid w:val="000621D3"/>
    <w:rsid w:val="000628F0"/>
    <w:rsid w:val="00063C4E"/>
    <w:rsid w:val="000651E8"/>
    <w:rsid w:val="00066A07"/>
    <w:rsid w:val="000671FF"/>
    <w:rsid w:val="000726E9"/>
    <w:rsid w:val="0007433B"/>
    <w:rsid w:val="00075F3D"/>
    <w:rsid w:val="00081315"/>
    <w:rsid w:val="00081762"/>
    <w:rsid w:val="00081C9B"/>
    <w:rsid w:val="00082A25"/>
    <w:rsid w:val="00083035"/>
    <w:rsid w:val="00083F04"/>
    <w:rsid w:val="000848E2"/>
    <w:rsid w:val="000916CA"/>
    <w:rsid w:val="0009184C"/>
    <w:rsid w:val="0009374B"/>
    <w:rsid w:val="00096947"/>
    <w:rsid w:val="00097D6B"/>
    <w:rsid w:val="000A0034"/>
    <w:rsid w:val="000A2F95"/>
    <w:rsid w:val="000A4F04"/>
    <w:rsid w:val="000A7415"/>
    <w:rsid w:val="000B0526"/>
    <w:rsid w:val="000B41A3"/>
    <w:rsid w:val="000B4831"/>
    <w:rsid w:val="000C4E9B"/>
    <w:rsid w:val="000C5A77"/>
    <w:rsid w:val="000C7BC7"/>
    <w:rsid w:val="000D33C0"/>
    <w:rsid w:val="000D447E"/>
    <w:rsid w:val="000D4E18"/>
    <w:rsid w:val="000D4EF9"/>
    <w:rsid w:val="000D74E8"/>
    <w:rsid w:val="000E2E84"/>
    <w:rsid w:val="000E52FE"/>
    <w:rsid w:val="000F1837"/>
    <w:rsid w:val="000F4312"/>
    <w:rsid w:val="000F4E08"/>
    <w:rsid w:val="00100FB4"/>
    <w:rsid w:val="00103CB9"/>
    <w:rsid w:val="001064E2"/>
    <w:rsid w:val="00107ACE"/>
    <w:rsid w:val="00110555"/>
    <w:rsid w:val="001131BD"/>
    <w:rsid w:val="0011676D"/>
    <w:rsid w:val="0011682E"/>
    <w:rsid w:val="00117C36"/>
    <w:rsid w:val="00120668"/>
    <w:rsid w:val="001212C4"/>
    <w:rsid w:val="0012393E"/>
    <w:rsid w:val="001255A7"/>
    <w:rsid w:val="00127929"/>
    <w:rsid w:val="00130C66"/>
    <w:rsid w:val="001357F5"/>
    <w:rsid w:val="001360B4"/>
    <w:rsid w:val="00137989"/>
    <w:rsid w:val="00140A23"/>
    <w:rsid w:val="0014105F"/>
    <w:rsid w:val="00143D20"/>
    <w:rsid w:val="00144842"/>
    <w:rsid w:val="00145562"/>
    <w:rsid w:val="00147B49"/>
    <w:rsid w:val="001500E4"/>
    <w:rsid w:val="00150C7C"/>
    <w:rsid w:val="00152776"/>
    <w:rsid w:val="00153B44"/>
    <w:rsid w:val="00157F3E"/>
    <w:rsid w:val="00160451"/>
    <w:rsid w:val="00160A44"/>
    <w:rsid w:val="00160CA7"/>
    <w:rsid w:val="0016350F"/>
    <w:rsid w:val="001638C2"/>
    <w:rsid w:val="001639A8"/>
    <w:rsid w:val="0016508F"/>
    <w:rsid w:val="00170A54"/>
    <w:rsid w:val="001740AD"/>
    <w:rsid w:val="0017430C"/>
    <w:rsid w:val="00180327"/>
    <w:rsid w:val="00180491"/>
    <w:rsid w:val="001837C4"/>
    <w:rsid w:val="001867ED"/>
    <w:rsid w:val="001877E3"/>
    <w:rsid w:val="00193994"/>
    <w:rsid w:val="00196AEB"/>
    <w:rsid w:val="001A20CF"/>
    <w:rsid w:val="001A6A59"/>
    <w:rsid w:val="001B02CC"/>
    <w:rsid w:val="001B11BD"/>
    <w:rsid w:val="001B3690"/>
    <w:rsid w:val="001B4AAD"/>
    <w:rsid w:val="001B4BBE"/>
    <w:rsid w:val="001B79C4"/>
    <w:rsid w:val="001C2764"/>
    <w:rsid w:val="001D18AD"/>
    <w:rsid w:val="001D3C4F"/>
    <w:rsid w:val="001D6744"/>
    <w:rsid w:val="001E45B4"/>
    <w:rsid w:val="001F0478"/>
    <w:rsid w:val="001F1DE3"/>
    <w:rsid w:val="001F25F0"/>
    <w:rsid w:val="001F30CD"/>
    <w:rsid w:val="001F36A6"/>
    <w:rsid w:val="001F392D"/>
    <w:rsid w:val="001F43C5"/>
    <w:rsid w:val="001F541F"/>
    <w:rsid w:val="00202994"/>
    <w:rsid w:val="0020379D"/>
    <w:rsid w:val="00204250"/>
    <w:rsid w:val="00206502"/>
    <w:rsid w:val="00211EE5"/>
    <w:rsid w:val="00212F6D"/>
    <w:rsid w:val="002142D1"/>
    <w:rsid w:val="00222027"/>
    <w:rsid w:val="00223F44"/>
    <w:rsid w:val="00227390"/>
    <w:rsid w:val="002347A4"/>
    <w:rsid w:val="002348AA"/>
    <w:rsid w:val="00234E89"/>
    <w:rsid w:val="0024016A"/>
    <w:rsid w:val="00241237"/>
    <w:rsid w:val="00244174"/>
    <w:rsid w:val="0024419A"/>
    <w:rsid w:val="00245F3E"/>
    <w:rsid w:val="00245FCF"/>
    <w:rsid w:val="00246534"/>
    <w:rsid w:val="00246617"/>
    <w:rsid w:val="00246B1E"/>
    <w:rsid w:val="00246C73"/>
    <w:rsid w:val="00251C24"/>
    <w:rsid w:val="0025205D"/>
    <w:rsid w:val="00252752"/>
    <w:rsid w:val="00252AF7"/>
    <w:rsid w:val="0025505F"/>
    <w:rsid w:val="00262436"/>
    <w:rsid w:val="002643B7"/>
    <w:rsid w:val="00265E2C"/>
    <w:rsid w:val="00266599"/>
    <w:rsid w:val="00267E98"/>
    <w:rsid w:val="00270CEE"/>
    <w:rsid w:val="002737B0"/>
    <w:rsid w:val="00273EED"/>
    <w:rsid w:val="00275B54"/>
    <w:rsid w:val="0027767C"/>
    <w:rsid w:val="002821D8"/>
    <w:rsid w:val="00282778"/>
    <w:rsid w:val="00283F1C"/>
    <w:rsid w:val="0028664F"/>
    <w:rsid w:val="00287705"/>
    <w:rsid w:val="00292F57"/>
    <w:rsid w:val="00294571"/>
    <w:rsid w:val="002969C1"/>
    <w:rsid w:val="00296E0B"/>
    <w:rsid w:val="002A1418"/>
    <w:rsid w:val="002A596C"/>
    <w:rsid w:val="002A6CFA"/>
    <w:rsid w:val="002B0111"/>
    <w:rsid w:val="002B27AA"/>
    <w:rsid w:val="002C26BD"/>
    <w:rsid w:val="002C2B95"/>
    <w:rsid w:val="002C489B"/>
    <w:rsid w:val="002D0585"/>
    <w:rsid w:val="002D1606"/>
    <w:rsid w:val="002D1F54"/>
    <w:rsid w:val="002D7FBE"/>
    <w:rsid w:val="002E1EA1"/>
    <w:rsid w:val="002E4103"/>
    <w:rsid w:val="002E576F"/>
    <w:rsid w:val="002E6241"/>
    <w:rsid w:val="002E764B"/>
    <w:rsid w:val="002F0347"/>
    <w:rsid w:val="002F0EEE"/>
    <w:rsid w:val="002F23E8"/>
    <w:rsid w:val="002F4A20"/>
    <w:rsid w:val="002F5288"/>
    <w:rsid w:val="002F7073"/>
    <w:rsid w:val="002F7BAD"/>
    <w:rsid w:val="002F7CC9"/>
    <w:rsid w:val="00300473"/>
    <w:rsid w:val="00302ED1"/>
    <w:rsid w:val="003034BD"/>
    <w:rsid w:val="00303CF2"/>
    <w:rsid w:val="0030461D"/>
    <w:rsid w:val="00304688"/>
    <w:rsid w:val="003062D2"/>
    <w:rsid w:val="0030640E"/>
    <w:rsid w:val="0030670A"/>
    <w:rsid w:val="00307940"/>
    <w:rsid w:val="00307F22"/>
    <w:rsid w:val="0031074E"/>
    <w:rsid w:val="00312F79"/>
    <w:rsid w:val="0031424B"/>
    <w:rsid w:val="0031487D"/>
    <w:rsid w:val="0032167A"/>
    <w:rsid w:val="00321754"/>
    <w:rsid w:val="00322774"/>
    <w:rsid w:val="00324F17"/>
    <w:rsid w:val="00327FC1"/>
    <w:rsid w:val="0033025F"/>
    <w:rsid w:val="003309A1"/>
    <w:rsid w:val="00330EF6"/>
    <w:rsid w:val="003339CB"/>
    <w:rsid w:val="00335328"/>
    <w:rsid w:val="00335C87"/>
    <w:rsid w:val="003402C6"/>
    <w:rsid w:val="00342A37"/>
    <w:rsid w:val="0034302B"/>
    <w:rsid w:val="00345D3F"/>
    <w:rsid w:val="00345E01"/>
    <w:rsid w:val="003467AB"/>
    <w:rsid w:val="00347F9E"/>
    <w:rsid w:val="0035737E"/>
    <w:rsid w:val="00362A98"/>
    <w:rsid w:val="003634D3"/>
    <w:rsid w:val="003664CF"/>
    <w:rsid w:val="003714E3"/>
    <w:rsid w:val="00373094"/>
    <w:rsid w:val="0037342B"/>
    <w:rsid w:val="00373E1D"/>
    <w:rsid w:val="0037424D"/>
    <w:rsid w:val="0037548C"/>
    <w:rsid w:val="00376129"/>
    <w:rsid w:val="003901C2"/>
    <w:rsid w:val="00390C60"/>
    <w:rsid w:val="00393458"/>
    <w:rsid w:val="00393A71"/>
    <w:rsid w:val="00396297"/>
    <w:rsid w:val="00396461"/>
    <w:rsid w:val="00396697"/>
    <w:rsid w:val="00397EB5"/>
    <w:rsid w:val="003A15A6"/>
    <w:rsid w:val="003A563B"/>
    <w:rsid w:val="003A6DDC"/>
    <w:rsid w:val="003B0341"/>
    <w:rsid w:val="003B0E24"/>
    <w:rsid w:val="003B113C"/>
    <w:rsid w:val="003B7E4D"/>
    <w:rsid w:val="003C259A"/>
    <w:rsid w:val="003C4B24"/>
    <w:rsid w:val="003C7BFC"/>
    <w:rsid w:val="003D1694"/>
    <w:rsid w:val="003D18D1"/>
    <w:rsid w:val="003D2B10"/>
    <w:rsid w:val="003D2F02"/>
    <w:rsid w:val="003D3E09"/>
    <w:rsid w:val="003D4EF0"/>
    <w:rsid w:val="003E077B"/>
    <w:rsid w:val="003E1792"/>
    <w:rsid w:val="003E2162"/>
    <w:rsid w:val="003E3694"/>
    <w:rsid w:val="003E45ED"/>
    <w:rsid w:val="003E6FCD"/>
    <w:rsid w:val="003F520C"/>
    <w:rsid w:val="003F57B2"/>
    <w:rsid w:val="003F580A"/>
    <w:rsid w:val="003F58CE"/>
    <w:rsid w:val="003F6011"/>
    <w:rsid w:val="004004B1"/>
    <w:rsid w:val="004014DB"/>
    <w:rsid w:val="0040163F"/>
    <w:rsid w:val="00401C40"/>
    <w:rsid w:val="004042A6"/>
    <w:rsid w:val="00404661"/>
    <w:rsid w:val="00404DA1"/>
    <w:rsid w:val="00411C90"/>
    <w:rsid w:val="00411F00"/>
    <w:rsid w:val="00413D37"/>
    <w:rsid w:val="00413F39"/>
    <w:rsid w:val="004149CB"/>
    <w:rsid w:val="00414BD3"/>
    <w:rsid w:val="0041625F"/>
    <w:rsid w:val="00420F5A"/>
    <w:rsid w:val="00421036"/>
    <w:rsid w:val="00421376"/>
    <w:rsid w:val="004217A2"/>
    <w:rsid w:val="0042508F"/>
    <w:rsid w:val="00430889"/>
    <w:rsid w:val="00430DF2"/>
    <w:rsid w:val="00441F2E"/>
    <w:rsid w:val="004420DC"/>
    <w:rsid w:val="004445DC"/>
    <w:rsid w:val="00457A63"/>
    <w:rsid w:val="0046276A"/>
    <w:rsid w:val="0046276D"/>
    <w:rsid w:val="004637DE"/>
    <w:rsid w:val="00464B1F"/>
    <w:rsid w:val="00464DE6"/>
    <w:rsid w:val="0046647C"/>
    <w:rsid w:val="004666EC"/>
    <w:rsid w:val="00466A1B"/>
    <w:rsid w:val="00467C00"/>
    <w:rsid w:val="004725AE"/>
    <w:rsid w:val="004758B2"/>
    <w:rsid w:val="00475B07"/>
    <w:rsid w:val="0047734D"/>
    <w:rsid w:val="004946C8"/>
    <w:rsid w:val="00495166"/>
    <w:rsid w:val="00495BF6"/>
    <w:rsid w:val="004A1065"/>
    <w:rsid w:val="004B5F07"/>
    <w:rsid w:val="004B6C94"/>
    <w:rsid w:val="004B71C7"/>
    <w:rsid w:val="004C171C"/>
    <w:rsid w:val="004D0240"/>
    <w:rsid w:val="004D10AA"/>
    <w:rsid w:val="004D1DAF"/>
    <w:rsid w:val="004D3A68"/>
    <w:rsid w:val="004D3E12"/>
    <w:rsid w:val="004D47D9"/>
    <w:rsid w:val="004D6506"/>
    <w:rsid w:val="004D68E7"/>
    <w:rsid w:val="004D7DBF"/>
    <w:rsid w:val="004E0C4B"/>
    <w:rsid w:val="004E5162"/>
    <w:rsid w:val="004E5B18"/>
    <w:rsid w:val="004E67D9"/>
    <w:rsid w:val="004E6A70"/>
    <w:rsid w:val="004E6DEF"/>
    <w:rsid w:val="004F1C3A"/>
    <w:rsid w:val="004F3734"/>
    <w:rsid w:val="004F4227"/>
    <w:rsid w:val="004F4AC4"/>
    <w:rsid w:val="004F544D"/>
    <w:rsid w:val="0050000E"/>
    <w:rsid w:val="0050044F"/>
    <w:rsid w:val="005077DF"/>
    <w:rsid w:val="005114BB"/>
    <w:rsid w:val="00512699"/>
    <w:rsid w:val="00514AF8"/>
    <w:rsid w:val="005162CF"/>
    <w:rsid w:val="00520026"/>
    <w:rsid w:val="00525471"/>
    <w:rsid w:val="00526D65"/>
    <w:rsid w:val="00526DD8"/>
    <w:rsid w:val="00531653"/>
    <w:rsid w:val="005350C0"/>
    <w:rsid w:val="00535D22"/>
    <w:rsid w:val="0053605E"/>
    <w:rsid w:val="005375FB"/>
    <w:rsid w:val="0053765B"/>
    <w:rsid w:val="00542A4D"/>
    <w:rsid w:val="00546BF4"/>
    <w:rsid w:val="00547595"/>
    <w:rsid w:val="0055338F"/>
    <w:rsid w:val="00555F56"/>
    <w:rsid w:val="005565E3"/>
    <w:rsid w:val="00557637"/>
    <w:rsid w:val="00563558"/>
    <w:rsid w:val="00565AC2"/>
    <w:rsid w:val="00565DD9"/>
    <w:rsid w:val="00567E6F"/>
    <w:rsid w:val="00570AEA"/>
    <w:rsid w:val="00570ED6"/>
    <w:rsid w:val="0057329C"/>
    <w:rsid w:val="00575A18"/>
    <w:rsid w:val="00577C36"/>
    <w:rsid w:val="00583B62"/>
    <w:rsid w:val="0058666E"/>
    <w:rsid w:val="005908F0"/>
    <w:rsid w:val="00591296"/>
    <w:rsid w:val="00592677"/>
    <w:rsid w:val="005929BF"/>
    <w:rsid w:val="005947EC"/>
    <w:rsid w:val="00595324"/>
    <w:rsid w:val="0059793B"/>
    <w:rsid w:val="005A0B04"/>
    <w:rsid w:val="005A1719"/>
    <w:rsid w:val="005A4416"/>
    <w:rsid w:val="005A6498"/>
    <w:rsid w:val="005A7934"/>
    <w:rsid w:val="005B1493"/>
    <w:rsid w:val="005B3A1D"/>
    <w:rsid w:val="005C2AC9"/>
    <w:rsid w:val="005C400D"/>
    <w:rsid w:val="005C4067"/>
    <w:rsid w:val="005C5202"/>
    <w:rsid w:val="005C5F93"/>
    <w:rsid w:val="005D29EA"/>
    <w:rsid w:val="005D5174"/>
    <w:rsid w:val="005D6426"/>
    <w:rsid w:val="005D7AAF"/>
    <w:rsid w:val="005E4669"/>
    <w:rsid w:val="005E641E"/>
    <w:rsid w:val="005E67DD"/>
    <w:rsid w:val="005E71AD"/>
    <w:rsid w:val="005F0279"/>
    <w:rsid w:val="005F0EDD"/>
    <w:rsid w:val="005F3C40"/>
    <w:rsid w:val="005F5302"/>
    <w:rsid w:val="005F56D7"/>
    <w:rsid w:val="005F5739"/>
    <w:rsid w:val="005F69A2"/>
    <w:rsid w:val="005F7BC5"/>
    <w:rsid w:val="00601C48"/>
    <w:rsid w:val="0060366E"/>
    <w:rsid w:val="00603B03"/>
    <w:rsid w:val="00603E4B"/>
    <w:rsid w:val="00605FDE"/>
    <w:rsid w:val="00611E62"/>
    <w:rsid w:val="006120ED"/>
    <w:rsid w:val="00612AE5"/>
    <w:rsid w:val="0062389F"/>
    <w:rsid w:val="00624DF5"/>
    <w:rsid w:val="0062605C"/>
    <w:rsid w:val="00630F2D"/>
    <w:rsid w:val="0063743D"/>
    <w:rsid w:val="0064146B"/>
    <w:rsid w:val="00643F61"/>
    <w:rsid w:val="00646095"/>
    <w:rsid w:val="00646324"/>
    <w:rsid w:val="0064649C"/>
    <w:rsid w:val="00650B01"/>
    <w:rsid w:val="00651A69"/>
    <w:rsid w:val="00653A7D"/>
    <w:rsid w:val="00657F28"/>
    <w:rsid w:val="00662164"/>
    <w:rsid w:val="006633F0"/>
    <w:rsid w:val="0067198F"/>
    <w:rsid w:val="0067211C"/>
    <w:rsid w:val="00676ECB"/>
    <w:rsid w:val="006771C9"/>
    <w:rsid w:val="00677613"/>
    <w:rsid w:val="006840CB"/>
    <w:rsid w:val="006841ED"/>
    <w:rsid w:val="006862F1"/>
    <w:rsid w:val="00690A1B"/>
    <w:rsid w:val="00691EE9"/>
    <w:rsid w:val="00691F28"/>
    <w:rsid w:val="0069230F"/>
    <w:rsid w:val="00692F43"/>
    <w:rsid w:val="006931A9"/>
    <w:rsid w:val="006940CD"/>
    <w:rsid w:val="0069423D"/>
    <w:rsid w:val="006948F3"/>
    <w:rsid w:val="00695466"/>
    <w:rsid w:val="00695468"/>
    <w:rsid w:val="0069758A"/>
    <w:rsid w:val="006A007C"/>
    <w:rsid w:val="006A102A"/>
    <w:rsid w:val="006A1113"/>
    <w:rsid w:val="006A1DD4"/>
    <w:rsid w:val="006A465C"/>
    <w:rsid w:val="006A512D"/>
    <w:rsid w:val="006A51D7"/>
    <w:rsid w:val="006A7707"/>
    <w:rsid w:val="006B0C20"/>
    <w:rsid w:val="006B2092"/>
    <w:rsid w:val="006B20D7"/>
    <w:rsid w:val="006B6B07"/>
    <w:rsid w:val="006B7979"/>
    <w:rsid w:val="006C4343"/>
    <w:rsid w:val="006C7354"/>
    <w:rsid w:val="006D1111"/>
    <w:rsid w:val="006D5842"/>
    <w:rsid w:val="006D7C94"/>
    <w:rsid w:val="006D7F00"/>
    <w:rsid w:val="006E2470"/>
    <w:rsid w:val="006E7164"/>
    <w:rsid w:val="006E7443"/>
    <w:rsid w:val="006F0760"/>
    <w:rsid w:val="006F1C87"/>
    <w:rsid w:val="006F296F"/>
    <w:rsid w:val="006F372E"/>
    <w:rsid w:val="007001C8"/>
    <w:rsid w:val="0070248A"/>
    <w:rsid w:val="00705246"/>
    <w:rsid w:val="007053DB"/>
    <w:rsid w:val="007069C9"/>
    <w:rsid w:val="0070717E"/>
    <w:rsid w:val="00710201"/>
    <w:rsid w:val="00713D46"/>
    <w:rsid w:val="00715D1A"/>
    <w:rsid w:val="00720A77"/>
    <w:rsid w:val="00721940"/>
    <w:rsid w:val="00722395"/>
    <w:rsid w:val="007233DB"/>
    <w:rsid w:val="007269F8"/>
    <w:rsid w:val="00727148"/>
    <w:rsid w:val="0073002C"/>
    <w:rsid w:val="00730924"/>
    <w:rsid w:val="007330A0"/>
    <w:rsid w:val="0073382D"/>
    <w:rsid w:val="00737C11"/>
    <w:rsid w:val="0074585B"/>
    <w:rsid w:val="007463AE"/>
    <w:rsid w:val="0075027D"/>
    <w:rsid w:val="00750504"/>
    <w:rsid w:val="00750809"/>
    <w:rsid w:val="00753DC4"/>
    <w:rsid w:val="00756DEF"/>
    <w:rsid w:val="007573E3"/>
    <w:rsid w:val="00762667"/>
    <w:rsid w:val="00764F97"/>
    <w:rsid w:val="007715C6"/>
    <w:rsid w:val="00772EA9"/>
    <w:rsid w:val="0077450A"/>
    <w:rsid w:val="00775D28"/>
    <w:rsid w:val="00776173"/>
    <w:rsid w:val="00780278"/>
    <w:rsid w:val="00782535"/>
    <w:rsid w:val="007832C5"/>
    <w:rsid w:val="007833BC"/>
    <w:rsid w:val="00783581"/>
    <w:rsid w:val="007842BC"/>
    <w:rsid w:val="00784C04"/>
    <w:rsid w:val="00785E5B"/>
    <w:rsid w:val="0078780B"/>
    <w:rsid w:val="0079511F"/>
    <w:rsid w:val="007A02B5"/>
    <w:rsid w:val="007A1DA0"/>
    <w:rsid w:val="007A2BC8"/>
    <w:rsid w:val="007A52FC"/>
    <w:rsid w:val="007A56EE"/>
    <w:rsid w:val="007B04F4"/>
    <w:rsid w:val="007B16A2"/>
    <w:rsid w:val="007B1BEB"/>
    <w:rsid w:val="007B6312"/>
    <w:rsid w:val="007C5E18"/>
    <w:rsid w:val="007D0A8F"/>
    <w:rsid w:val="007D1C8B"/>
    <w:rsid w:val="007D340B"/>
    <w:rsid w:val="007D376C"/>
    <w:rsid w:val="007D5610"/>
    <w:rsid w:val="007E1138"/>
    <w:rsid w:val="007E376C"/>
    <w:rsid w:val="007F0BA9"/>
    <w:rsid w:val="007F3E3A"/>
    <w:rsid w:val="007F59F2"/>
    <w:rsid w:val="007F5EAA"/>
    <w:rsid w:val="00800B94"/>
    <w:rsid w:val="00802FD7"/>
    <w:rsid w:val="00803CD0"/>
    <w:rsid w:val="008045B8"/>
    <w:rsid w:val="008047D5"/>
    <w:rsid w:val="00805D2F"/>
    <w:rsid w:val="00805D9B"/>
    <w:rsid w:val="0080721F"/>
    <w:rsid w:val="00810415"/>
    <w:rsid w:val="00811AD3"/>
    <w:rsid w:val="0081750F"/>
    <w:rsid w:val="00817B89"/>
    <w:rsid w:val="00820893"/>
    <w:rsid w:val="008214AE"/>
    <w:rsid w:val="008221FF"/>
    <w:rsid w:val="00822561"/>
    <w:rsid w:val="00822681"/>
    <w:rsid w:val="00824245"/>
    <w:rsid w:val="00825367"/>
    <w:rsid w:val="00826B82"/>
    <w:rsid w:val="00827627"/>
    <w:rsid w:val="008306EA"/>
    <w:rsid w:val="00831B82"/>
    <w:rsid w:val="00832893"/>
    <w:rsid w:val="00833869"/>
    <w:rsid w:val="00833C6B"/>
    <w:rsid w:val="0084516F"/>
    <w:rsid w:val="00847485"/>
    <w:rsid w:val="0085178E"/>
    <w:rsid w:val="00852103"/>
    <w:rsid w:val="0085219F"/>
    <w:rsid w:val="00852ECE"/>
    <w:rsid w:val="00853203"/>
    <w:rsid w:val="008532B1"/>
    <w:rsid w:val="00857F0A"/>
    <w:rsid w:val="0086139C"/>
    <w:rsid w:val="008655AB"/>
    <w:rsid w:val="00867A97"/>
    <w:rsid w:val="00867B61"/>
    <w:rsid w:val="00867F42"/>
    <w:rsid w:val="008707AF"/>
    <w:rsid w:val="0087750D"/>
    <w:rsid w:val="008777A2"/>
    <w:rsid w:val="008779B9"/>
    <w:rsid w:val="00877C22"/>
    <w:rsid w:val="008829AC"/>
    <w:rsid w:val="00883438"/>
    <w:rsid w:val="00885E34"/>
    <w:rsid w:val="008901CC"/>
    <w:rsid w:val="00891631"/>
    <w:rsid w:val="008941E8"/>
    <w:rsid w:val="008959A0"/>
    <w:rsid w:val="008966F2"/>
    <w:rsid w:val="008A258C"/>
    <w:rsid w:val="008B019D"/>
    <w:rsid w:val="008B0C01"/>
    <w:rsid w:val="008B1951"/>
    <w:rsid w:val="008B227F"/>
    <w:rsid w:val="008B2916"/>
    <w:rsid w:val="008B4AA7"/>
    <w:rsid w:val="008B530E"/>
    <w:rsid w:val="008B7F96"/>
    <w:rsid w:val="008C06DE"/>
    <w:rsid w:val="008C0E1A"/>
    <w:rsid w:val="008C3241"/>
    <w:rsid w:val="008C3319"/>
    <w:rsid w:val="008C3703"/>
    <w:rsid w:val="008C3C1D"/>
    <w:rsid w:val="008D05E4"/>
    <w:rsid w:val="008D45B2"/>
    <w:rsid w:val="008D7DBB"/>
    <w:rsid w:val="008E4751"/>
    <w:rsid w:val="008E6EBB"/>
    <w:rsid w:val="008F1622"/>
    <w:rsid w:val="009036B2"/>
    <w:rsid w:val="00904962"/>
    <w:rsid w:val="00904BCC"/>
    <w:rsid w:val="009075F9"/>
    <w:rsid w:val="0090791D"/>
    <w:rsid w:val="00910304"/>
    <w:rsid w:val="00910824"/>
    <w:rsid w:val="00910B8B"/>
    <w:rsid w:val="00910F4B"/>
    <w:rsid w:val="00911281"/>
    <w:rsid w:val="00911498"/>
    <w:rsid w:val="009114A2"/>
    <w:rsid w:val="00911F6A"/>
    <w:rsid w:val="00914542"/>
    <w:rsid w:val="0091471E"/>
    <w:rsid w:val="00914D57"/>
    <w:rsid w:val="009164F3"/>
    <w:rsid w:val="0091767B"/>
    <w:rsid w:val="009202B6"/>
    <w:rsid w:val="00922A4D"/>
    <w:rsid w:val="009247BC"/>
    <w:rsid w:val="00937CCC"/>
    <w:rsid w:val="009408FF"/>
    <w:rsid w:val="009452B0"/>
    <w:rsid w:val="0094547A"/>
    <w:rsid w:val="009469F5"/>
    <w:rsid w:val="00951B24"/>
    <w:rsid w:val="00951EE4"/>
    <w:rsid w:val="00952DF8"/>
    <w:rsid w:val="00953743"/>
    <w:rsid w:val="00961E33"/>
    <w:rsid w:val="009647F7"/>
    <w:rsid w:val="00967B3F"/>
    <w:rsid w:val="00971261"/>
    <w:rsid w:val="009720F7"/>
    <w:rsid w:val="009724A3"/>
    <w:rsid w:val="00977100"/>
    <w:rsid w:val="0098176E"/>
    <w:rsid w:val="009818BE"/>
    <w:rsid w:val="00982097"/>
    <w:rsid w:val="009842E6"/>
    <w:rsid w:val="009845FE"/>
    <w:rsid w:val="00991552"/>
    <w:rsid w:val="00991F92"/>
    <w:rsid w:val="009942BC"/>
    <w:rsid w:val="009956C3"/>
    <w:rsid w:val="00995AEE"/>
    <w:rsid w:val="009A0C9B"/>
    <w:rsid w:val="009A0F10"/>
    <w:rsid w:val="009A2594"/>
    <w:rsid w:val="009A4158"/>
    <w:rsid w:val="009A4A9A"/>
    <w:rsid w:val="009A7F0F"/>
    <w:rsid w:val="009B02BC"/>
    <w:rsid w:val="009B106E"/>
    <w:rsid w:val="009B4569"/>
    <w:rsid w:val="009B4DED"/>
    <w:rsid w:val="009B4FC8"/>
    <w:rsid w:val="009B5544"/>
    <w:rsid w:val="009C1A48"/>
    <w:rsid w:val="009C20DF"/>
    <w:rsid w:val="009C2585"/>
    <w:rsid w:val="009C63A6"/>
    <w:rsid w:val="009C7420"/>
    <w:rsid w:val="009D0373"/>
    <w:rsid w:val="009D1153"/>
    <w:rsid w:val="009D1DD2"/>
    <w:rsid w:val="009D33B5"/>
    <w:rsid w:val="009D7AF1"/>
    <w:rsid w:val="009E497A"/>
    <w:rsid w:val="009F0E2E"/>
    <w:rsid w:val="009F2A80"/>
    <w:rsid w:val="009F5608"/>
    <w:rsid w:val="009F7248"/>
    <w:rsid w:val="009F750A"/>
    <w:rsid w:val="009F7995"/>
    <w:rsid w:val="00A0113C"/>
    <w:rsid w:val="00A022EC"/>
    <w:rsid w:val="00A02653"/>
    <w:rsid w:val="00A04698"/>
    <w:rsid w:val="00A05EE4"/>
    <w:rsid w:val="00A06BAC"/>
    <w:rsid w:val="00A079DA"/>
    <w:rsid w:val="00A10EA5"/>
    <w:rsid w:val="00A1244B"/>
    <w:rsid w:val="00A12C18"/>
    <w:rsid w:val="00A13B7C"/>
    <w:rsid w:val="00A14253"/>
    <w:rsid w:val="00A151D8"/>
    <w:rsid w:val="00A20DB1"/>
    <w:rsid w:val="00A220C3"/>
    <w:rsid w:val="00A22B33"/>
    <w:rsid w:val="00A23C5D"/>
    <w:rsid w:val="00A24281"/>
    <w:rsid w:val="00A245BB"/>
    <w:rsid w:val="00A271A4"/>
    <w:rsid w:val="00A30983"/>
    <w:rsid w:val="00A309BA"/>
    <w:rsid w:val="00A33433"/>
    <w:rsid w:val="00A33E8C"/>
    <w:rsid w:val="00A34227"/>
    <w:rsid w:val="00A346FA"/>
    <w:rsid w:val="00A37D1B"/>
    <w:rsid w:val="00A4025A"/>
    <w:rsid w:val="00A42EAB"/>
    <w:rsid w:val="00A436F0"/>
    <w:rsid w:val="00A442CB"/>
    <w:rsid w:val="00A500FF"/>
    <w:rsid w:val="00A50814"/>
    <w:rsid w:val="00A54B91"/>
    <w:rsid w:val="00A54F4A"/>
    <w:rsid w:val="00A57B95"/>
    <w:rsid w:val="00A6246A"/>
    <w:rsid w:val="00A6252F"/>
    <w:rsid w:val="00A66E5E"/>
    <w:rsid w:val="00A71EA8"/>
    <w:rsid w:val="00A72CAD"/>
    <w:rsid w:val="00A73429"/>
    <w:rsid w:val="00A80947"/>
    <w:rsid w:val="00A81756"/>
    <w:rsid w:val="00A83A32"/>
    <w:rsid w:val="00A85A71"/>
    <w:rsid w:val="00A8688C"/>
    <w:rsid w:val="00A9093C"/>
    <w:rsid w:val="00A912C9"/>
    <w:rsid w:val="00A917E1"/>
    <w:rsid w:val="00A92FC2"/>
    <w:rsid w:val="00A9302E"/>
    <w:rsid w:val="00A963A6"/>
    <w:rsid w:val="00A96AE3"/>
    <w:rsid w:val="00A9750E"/>
    <w:rsid w:val="00AA33DA"/>
    <w:rsid w:val="00AB0FDB"/>
    <w:rsid w:val="00AB36C0"/>
    <w:rsid w:val="00AB40EC"/>
    <w:rsid w:val="00AB4A9E"/>
    <w:rsid w:val="00AB6B25"/>
    <w:rsid w:val="00AC3016"/>
    <w:rsid w:val="00AC6812"/>
    <w:rsid w:val="00AC7551"/>
    <w:rsid w:val="00AD214A"/>
    <w:rsid w:val="00AD3E3B"/>
    <w:rsid w:val="00AE44CD"/>
    <w:rsid w:val="00AE6EF7"/>
    <w:rsid w:val="00AE6FF5"/>
    <w:rsid w:val="00AE7735"/>
    <w:rsid w:val="00AF085C"/>
    <w:rsid w:val="00AF19A2"/>
    <w:rsid w:val="00AF21E6"/>
    <w:rsid w:val="00AF3741"/>
    <w:rsid w:val="00AF48B0"/>
    <w:rsid w:val="00AF5200"/>
    <w:rsid w:val="00AF6DDA"/>
    <w:rsid w:val="00B0073D"/>
    <w:rsid w:val="00B029E3"/>
    <w:rsid w:val="00B06E03"/>
    <w:rsid w:val="00B10722"/>
    <w:rsid w:val="00B118A2"/>
    <w:rsid w:val="00B2159C"/>
    <w:rsid w:val="00B22747"/>
    <w:rsid w:val="00B25A98"/>
    <w:rsid w:val="00B262F8"/>
    <w:rsid w:val="00B26BFF"/>
    <w:rsid w:val="00B34A5C"/>
    <w:rsid w:val="00B35764"/>
    <w:rsid w:val="00B364D2"/>
    <w:rsid w:val="00B3695D"/>
    <w:rsid w:val="00B372F2"/>
    <w:rsid w:val="00B373BC"/>
    <w:rsid w:val="00B37A21"/>
    <w:rsid w:val="00B41F7F"/>
    <w:rsid w:val="00B440CA"/>
    <w:rsid w:val="00B46B67"/>
    <w:rsid w:val="00B46DCF"/>
    <w:rsid w:val="00B47BB4"/>
    <w:rsid w:val="00B514FE"/>
    <w:rsid w:val="00B52A8E"/>
    <w:rsid w:val="00B54904"/>
    <w:rsid w:val="00B5667E"/>
    <w:rsid w:val="00B66CF4"/>
    <w:rsid w:val="00B67B4F"/>
    <w:rsid w:val="00B70090"/>
    <w:rsid w:val="00B70606"/>
    <w:rsid w:val="00B71EA5"/>
    <w:rsid w:val="00B74DDE"/>
    <w:rsid w:val="00B753EA"/>
    <w:rsid w:val="00B76841"/>
    <w:rsid w:val="00B808D5"/>
    <w:rsid w:val="00B8117A"/>
    <w:rsid w:val="00B82AA2"/>
    <w:rsid w:val="00B83340"/>
    <w:rsid w:val="00B85E4D"/>
    <w:rsid w:val="00B862F0"/>
    <w:rsid w:val="00B906D4"/>
    <w:rsid w:val="00B916C8"/>
    <w:rsid w:val="00B93B0D"/>
    <w:rsid w:val="00BA047F"/>
    <w:rsid w:val="00BA1B64"/>
    <w:rsid w:val="00BA3241"/>
    <w:rsid w:val="00BA331B"/>
    <w:rsid w:val="00BA4FE1"/>
    <w:rsid w:val="00BA7298"/>
    <w:rsid w:val="00BB1597"/>
    <w:rsid w:val="00BB62A8"/>
    <w:rsid w:val="00BC0A43"/>
    <w:rsid w:val="00BC2776"/>
    <w:rsid w:val="00BC2F61"/>
    <w:rsid w:val="00BC327E"/>
    <w:rsid w:val="00BC5E7B"/>
    <w:rsid w:val="00BD1BAF"/>
    <w:rsid w:val="00BD26E8"/>
    <w:rsid w:val="00BD3A17"/>
    <w:rsid w:val="00BD5219"/>
    <w:rsid w:val="00BD75EB"/>
    <w:rsid w:val="00BE0A50"/>
    <w:rsid w:val="00BE0D85"/>
    <w:rsid w:val="00BE0FAF"/>
    <w:rsid w:val="00BE1EEE"/>
    <w:rsid w:val="00BE2267"/>
    <w:rsid w:val="00BE3BDB"/>
    <w:rsid w:val="00BF14BE"/>
    <w:rsid w:val="00BF2D19"/>
    <w:rsid w:val="00BF462A"/>
    <w:rsid w:val="00BF599B"/>
    <w:rsid w:val="00BF5B93"/>
    <w:rsid w:val="00BF5D7F"/>
    <w:rsid w:val="00C00150"/>
    <w:rsid w:val="00C00A29"/>
    <w:rsid w:val="00C029BB"/>
    <w:rsid w:val="00C03C02"/>
    <w:rsid w:val="00C04AC6"/>
    <w:rsid w:val="00C10758"/>
    <w:rsid w:val="00C10D70"/>
    <w:rsid w:val="00C11796"/>
    <w:rsid w:val="00C13185"/>
    <w:rsid w:val="00C15825"/>
    <w:rsid w:val="00C15856"/>
    <w:rsid w:val="00C16D43"/>
    <w:rsid w:val="00C17C99"/>
    <w:rsid w:val="00C200D5"/>
    <w:rsid w:val="00C2138D"/>
    <w:rsid w:val="00C21CB7"/>
    <w:rsid w:val="00C243A3"/>
    <w:rsid w:val="00C24C5D"/>
    <w:rsid w:val="00C27FAB"/>
    <w:rsid w:val="00C31700"/>
    <w:rsid w:val="00C33F38"/>
    <w:rsid w:val="00C3420C"/>
    <w:rsid w:val="00C3633A"/>
    <w:rsid w:val="00C36C42"/>
    <w:rsid w:val="00C41823"/>
    <w:rsid w:val="00C47B3C"/>
    <w:rsid w:val="00C47FCF"/>
    <w:rsid w:val="00C523DC"/>
    <w:rsid w:val="00C56E8C"/>
    <w:rsid w:val="00C57096"/>
    <w:rsid w:val="00C6242A"/>
    <w:rsid w:val="00C660EC"/>
    <w:rsid w:val="00C66D03"/>
    <w:rsid w:val="00C67C4F"/>
    <w:rsid w:val="00C67DE2"/>
    <w:rsid w:val="00C70DE0"/>
    <w:rsid w:val="00C71A06"/>
    <w:rsid w:val="00C71BDD"/>
    <w:rsid w:val="00C7203D"/>
    <w:rsid w:val="00C7506A"/>
    <w:rsid w:val="00C751FD"/>
    <w:rsid w:val="00C7569A"/>
    <w:rsid w:val="00C835FF"/>
    <w:rsid w:val="00C8450A"/>
    <w:rsid w:val="00C86349"/>
    <w:rsid w:val="00C9095F"/>
    <w:rsid w:val="00C909E5"/>
    <w:rsid w:val="00CA0AFC"/>
    <w:rsid w:val="00CA19CA"/>
    <w:rsid w:val="00CA3E3C"/>
    <w:rsid w:val="00CA662F"/>
    <w:rsid w:val="00CB0611"/>
    <w:rsid w:val="00CB0F91"/>
    <w:rsid w:val="00CB1B61"/>
    <w:rsid w:val="00CB2837"/>
    <w:rsid w:val="00CB2CC0"/>
    <w:rsid w:val="00CB334B"/>
    <w:rsid w:val="00CB3675"/>
    <w:rsid w:val="00CB6674"/>
    <w:rsid w:val="00CB7588"/>
    <w:rsid w:val="00CB78CA"/>
    <w:rsid w:val="00CC1812"/>
    <w:rsid w:val="00CC46ED"/>
    <w:rsid w:val="00CC5FC4"/>
    <w:rsid w:val="00CC68A6"/>
    <w:rsid w:val="00CC68E5"/>
    <w:rsid w:val="00CC6BF1"/>
    <w:rsid w:val="00CC6EDB"/>
    <w:rsid w:val="00CD3321"/>
    <w:rsid w:val="00CD3AD4"/>
    <w:rsid w:val="00CD4F4F"/>
    <w:rsid w:val="00CE0662"/>
    <w:rsid w:val="00CE4AF5"/>
    <w:rsid w:val="00CE5008"/>
    <w:rsid w:val="00CE6E56"/>
    <w:rsid w:val="00CE7520"/>
    <w:rsid w:val="00CE7811"/>
    <w:rsid w:val="00CF01C0"/>
    <w:rsid w:val="00CF0362"/>
    <w:rsid w:val="00CF20F4"/>
    <w:rsid w:val="00CF3941"/>
    <w:rsid w:val="00CF3CE9"/>
    <w:rsid w:val="00CF529A"/>
    <w:rsid w:val="00CF53CE"/>
    <w:rsid w:val="00CF77FA"/>
    <w:rsid w:val="00D005B1"/>
    <w:rsid w:val="00D025B2"/>
    <w:rsid w:val="00D02D9E"/>
    <w:rsid w:val="00D048C1"/>
    <w:rsid w:val="00D0559E"/>
    <w:rsid w:val="00D06418"/>
    <w:rsid w:val="00D075FF"/>
    <w:rsid w:val="00D1223F"/>
    <w:rsid w:val="00D133EF"/>
    <w:rsid w:val="00D1354E"/>
    <w:rsid w:val="00D13790"/>
    <w:rsid w:val="00D167BF"/>
    <w:rsid w:val="00D167D2"/>
    <w:rsid w:val="00D202C9"/>
    <w:rsid w:val="00D20972"/>
    <w:rsid w:val="00D253FA"/>
    <w:rsid w:val="00D26791"/>
    <w:rsid w:val="00D27762"/>
    <w:rsid w:val="00D3087F"/>
    <w:rsid w:val="00D315E8"/>
    <w:rsid w:val="00D33D2B"/>
    <w:rsid w:val="00D34FE3"/>
    <w:rsid w:val="00D3637A"/>
    <w:rsid w:val="00D40E3F"/>
    <w:rsid w:val="00D435BD"/>
    <w:rsid w:val="00D47646"/>
    <w:rsid w:val="00D54417"/>
    <w:rsid w:val="00D54D1D"/>
    <w:rsid w:val="00D56289"/>
    <w:rsid w:val="00D60270"/>
    <w:rsid w:val="00D6047A"/>
    <w:rsid w:val="00D60612"/>
    <w:rsid w:val="00D60978"/>
    <w:rsid w:val="00D6350F"/>
    <w:rsid w:val="00D66AF1"/>
    <w:rsid w:val="00D7064F"/>
    <w:rsid w:val="00D717F8"/>
    <w:rsid w:val="00D73457"/>
    <w:rsid w:val="00D73A28"/>
    <w:rsid w:val="00D77C25"/>
    <w:rsid w:val="00D77DBD"/>
    <w:rsid w:val="00D80A61"/>
    <w:rsid w:val="00D817C6"/>
    <w:rsid w:val="00D83AA5"/>
    <w:rsid w:val="00D83BF2"/>
    <w:rsid w:val="00D84157"/>
    <w:rsid w:val="00D84483"/>
    <w:rsid w:val="00D86712"/>
    <w:rsid w:val="00D90E50"/>
    <w:rsid w:val="00D9109E"/>
    <w:rsid w:val="00D925D0"/>
    <w:rsid w:val="00D93A6A"/>
    <w:rsid w:val="00DA2DD5"/>
    <w:rsid w:val="00DA2DF9"/>
    <w:rsid w:val="00DA3423"/>
    <w:rsid w:val="00DA44CB"/>
    <w:rsid w:val="00DA62DE"/>
    <w:rsid w:val="00DA677B"/>
    <w:rsid w:val="00DB178B"/>
    <w:rsid w:val="00DB2576"/>
    <w:rsid w:val="00DB3D8C"/>
    <w:rsid w:val="00DB3DA7"/>
    <w:rsid w:val="00DB4ACD"/>
    <w:rsid w:val="00DB4DB7"/>
    <w:rsid w:val="00DB7D08"/>
    <w:rsid w:val="00DC045C"/>
    <w:rsid w:val="00DC1731"/>
    <w:rsid w:val="00DC4F26"/>
    <w:rsid w:val="00DD085F"/>
    <w:rsid w:val="00DD169B"/>
    <w:rsid w:val="00DD1C12"/>
    <w:rsid w:val="00DD411E"/>
    <w:rsid w:val="00DD5586"/>
    <w:rsid w:val="00DE6277"/>
    <w:rsid w:val="00DF000C"/>
    <w:rsid w:val="00DF07A7"/>
    <w:rsid w:val="00DF1A23"/>
    <w:rsid w:val="00DF3827"/>
    <w:rsid w:val="00DF3E9C"/>
    <w:rsid w:val="00E00C0A"/>
    <w:rsid w:val="00E0161A"/>
    <w:rsid w:val="00E023B2"/>
    <w:rsid w:val="00E02553"/>
    <w:rsid w:val="00E034EF"/>
    <w:rsid w:val="00E03A22"/>
    <w:rsid w:val="00E1107F"/>
    <w:rsid w:val="00E1459E"/>
    <w:rsid w:val="00E2263D"/>
    <w:rsid w:val="00E23333"/>
    <w:rsid w:val="00E239C7"/>
    <w:rsid w:val="00E24135"/>
    <w:rsid w:val="00E2761B"/>
    <w:rsid w:val="00E27950"/>
    <w:rsid w:val="00E3001F"/>
    <w:rsid w:val="00E30389"/>
    <w:rsid w:val="00E3225F"/>
    <w:rsid w:val="00E33DB7"/>
    <w:rsid w:val="00E3493B"/>
    <w:rsid w:val="00E35D4B"/>
    <w:rsid w:val="00E36122"/>
    <w:rsid w:val="00E36905"/>
    <w:rsid w:val="00E40489"/>
    <w:rsid w:val="00E417DC"/>
    <w:rsid w:val="00E41DB4"/>
    <w:rsid w:val="00E44C9F"/>
    <w:rsid w:val="00E47202"/>
    <w:rsid w:val="00E51056"/>
    <w:rsid w:val="00E512F1"/>
    <w:rsid w:val="00E53675"/>
    <w:rsid w:val="00E54716"/>
    <w:rsid w:val="00E55F79"/>
    <w:rsid w:val="00E56133"/>
    <w:rsid w:val="00E57D51"/>
    <w:rsid w:val="00E60AEA"/>
    <w:rsid w:val="00E635FF"/>
    <w:rsid w:val="00E63A08"/>
    <w:rsid w:val="00E66620"/>
    <w:rsid w:val="00E666C7"/>
    <w:rsid w:val="00E72BB8"/>
    <w:rsid w:val="00E73198"/>
    <w:rsid w:val="00E804C3"/>
    <w:rsid w:val="00E8132A"/>
    <w:rsid w:val="00E82B01"/>
    <w:rsid w:val="00E844EF"/>
    <w:rsid w:val="00E90564"/>
    <w:rsid w:val="00E909EA"/>
    <w:rsid w:val="00E95312"/>
    <w:rsid w:val="00E964B1"/>
    <w:rsid w:val="00EA10DF"/>
    <w:rsid w:val="00EA282B"/>
    <w:rsid w:val="00EA3BFA"/>
    <w:rsid w:val="00EA5F2E"/>
    <w:rsid w:val="00EA60DF"/>
    <w:rsid w:val="00EA7689"/>
    <w:rsid w:val="00EB00BA"/>
    <w:rsid w:val="00EB08D8"/>
    <w:rsid w:val="00EB0FB4"/>
    <w:rsid w:val="00EB510C"/>
    <w:rsid w:val="00EB5867"/>
    <w:rsid w:val="00EC063E"/>
    <w:rsid w:val="00EC25C5"/>
    <w:rsid w:val="00EC4946"/>
    <w:rsid w:val="00EC5A22"/>
    <w:rsid w:val="00EC740A"/>
    <w:rsid w:val="00ED076F"/>
    <w:rsid w:val="00ED2032"/>
    <w:rsid w:val="00ED3774"/>
    <w:rsid w:val="00ED4DA0"/>
    <w:rsid w:val="00EE3A78"/>
    <w:rsid w:val="00EE5CA3"/>
    <w:rsid w:val="00EE618B"/>
    <w:rsid w:val="00EE64F7"/>
    <w:rsid w:val="00EE65D5"/>
    <w:rsid w:val="00EE70E1"/>
    <w:rsid w:val="00EF419A"/>
    <w:rsid w:val="00EF6BE5"/>
    <w:rsid w:val="00EF7852"/>
    <w:rsid w:val="00F01645"/>
    <w:rsid w:val="00F04442"/>
    <w:rsid w:val="00F04910"/>
    <w:rsid w:val="00F05C3F"/>
    <w:rsid w:val="00F06E15"/>
    <w:rsid w:val="00F113A5"/>
    <w:rsid w:val="00F1283E"/>
    <w:rsid w:val="00F14B4E"/>
    <w:rsid w:val="00F165E8"/>
    <w:rsid w:val="00F25A57"/>
    <w:rsid w:val="00F26506"/>
    <w:rsid w:val="00F2678E"/>
    <w:rsid w:val="00F26D6E"/>
    <w:rsid w:val="00F302A3"/>
    <w:rsid w:val="00F32EBC"/>
    <w:rsid w:val="00F37AF6"/>
    <w:rsid w:val="00F43A94"/>
    <w:rsid w:val="00F4500F"/>
    <w:rsid w:val="00F46421"/>
    <w:rsid w:val="00F4729E"/>
    <w:rsid w:val="00F54610"/>
    <w:rsid w:val="00F57119"/>
    <w:rsid w:val="00F57355"/>
    <w:rsid w:val="00F709CD"/>
    <w:rsid w:val="00F70F50"/>
    <w:rsid w:val="00F77406"/>
    <w:rsid w:val="00F777E5"/>
    <w:rsid w:val="00F805C7"/>
    <w:rsid w:val="00F824D9"/>
    <w:rsid w:val="00F82C63"/>
    <w:rsid w:val="00F84DF3"/>
    <w:rsid w:val="00F93652"/>
    <w:rsid w:val="00F937D6"/>
    <w:rsid w:val="00F9574F"/>
    <w:rsid w:val="00F9582C"/>
    <w:rsid w:val="00F9653F"/>
    <w:rsid w:val="00F97FAF"/>
    <w:rsid w:val="00FA0A98"/>
    <w:rsid w:val="00FA1E00"/>
    <w:rsid w:val="00FA2D14"/>
    <w:rsid w:val="00FA4779"/>
    <w:rsid w:val="00FA5AA7"/>
    <w:rsid w:val="00FA5C0A"/>
    <w:rsid w:val="00FA6B65"/>
    <w:rsid w:val="00FB00E9"/>
    <w:rsid w:val="00FB0676"/>
    <w:rsid w:val="00FB0BFB"/>
    <w:rsid w:val="00FB12D8"/>
    <w:rsid w:val="00FB3E08"/>
    <w:rsid w:val="00FC24D1"/>
    <w:rsid w:val="00FC3152"/>
    <w:rsid w:val="00FC3BE6"/>
    <w:rsid w:val="00FC5AA2"/>
    <w:rsid w:val="00FD0CC0"/>
    <w:rsid w:val="00FD1FAA"/>
    <w:rsid w:val="00FD310A"/>
    <w:rsid w:val="00FD7522"/>
    <w:rsid w:val="00FE090D"/>
    <w:rsid w:val="00FE535A"/>
    <w:rsid w:val="00FE5611"/>
    <w:rsid w:val="00FE5F32"/>
    <w:rsid w:val="00FE7725"/>
    <w:rsid w:val="00FE7953"/>
    <w:rsid w:val="00FF011A"/>
    <w:rsid w:val="00FF335E"/>
    <w:rsid w:val="00FF54B3"/>
    <w:rsid w:val="00FF7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CD62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2FC"/>
    <w:pPr>
      <w:spacing w:after="0" w:line="240" w:lineRule="auto"/>
    </w:pPr>
    <w:rPr>
      <w:rFonts w:ascii="Century Schoolbook" w:hAnsi="Century Schoolbook" w:cs="Times New Roman (Body CS)"/>
    </w:rPr>
  </w:style>
  <w:style w:type="paragraph" w:styleId="Heading1">
    <w:name w:val="heading 1"/>
    <w:basedOn w:val="Normal"/>
    <w:next w:val="Normal"/>
    <w:link w:val="Heading1Char"/>
    <w:uiPriority w:val="9"/>
    <w:qFormat/>
    <w:rsid w:val="00A54F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54F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4F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4F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4F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4F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4F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4F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4F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4F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54F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4F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4F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4F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4F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4F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4F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4F4A"/>
    <w:rPr>
      <w:rFonts w:eastAsiaTheme="majorEastAsia" w:cstheme="majorBidi"/>
      <w:color w:val="272727" w:themeColor="text1" w:themeTint="D8"/>
    </w:rPr>
  </w:style>
  <w:style w:type="paragraph" w:styleId="Title">
    <w:name w:val="Title"/>
    <w:basedOn w:val="Normal"/>
    <w:next w:val="Normal"/>
    <w:link w:val="TitleChar"/>
    <w:uiPriority w:val="10"/>
    <w:qFormat/>
    <w:rsid w:val="00A54F4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4F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4F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4F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4F4A"/>
    <w:pPr>
      <w:spacing w:before="160"/>
      <w:jc w:val="center"/>
    </w:pPr>
    <w:rPr>
      <w:i/>
      <w:iCs/>
      <w:color w:val="404040" w:themeColor="text1" w:themeTint="BF"/>
    </w:rPr>
  </w:style>
  <w:style w:type="character" w:customStyle="1" w:styleId="QuoteChar">
    <w:name w:val="Quote Char"/>
    <w:basedOn w:val="DefaultParagraphFont"/>
    <w:link w:val="Quote"/>
    <w:uiPriority w:val="29"/>
    <w:rsid w:val="00A54F4A"/>
    <w:rPr>
      <w:i/>
      <w:iCs/>
      <w:color w:val="404040" w:themeColor="text1" w:themeTint="BF"/>
    </w:rPr>
  </w:style>
  <w:style w:type="paragraph" w:styleId="ListParagraph">
    <w:name w:val="List Paragraph"/>
    <w:basedOn w:val="Normal"/>
    <w:uiPriority w:val="34"/>
    <w:qFormat/>
    <w:rsid w:val="00A54F4A"/>
    <w:pPr>
      <w:ind w:left="720"/>
      <w:contextualSpacing/>
    </w:pPr>
  </w:style>
  <w:style w:type="character" w:styleId="IntenseEmphasis">
    <w:name w:val="Intense Emphasis"/>
    <w:basedOn w:val="DefaultParagraphFont"/>
    <w:uiPriority w:val="21"/>
    <w:qFormat/>
    <w:rsid w:val="00A54F4A"/>
    <w:rPr>
      <w:i/>
      <w:iCs/>
      <w:color w:val="0F4761" w:themeColor="accent1" w:themeShade="BF"/>
    </w:rPr>
  </w:style>
  <w:style w:type="paragraph" w:styleId="IntenseQuote">
    <w:name w:val="Intense Quote"/>
    <w:basedOn w:val="Normal"/>
    <w:next w:val="Normal"/>
    <w:link w:val="IntenseQuoteChar"/>
    <w:uiPriority w:val="30"/>
    <w:qFormat/>
    <w:rsid w:val="00A54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4F4A"/>
    <w:rPr>
      <w:i/>
      <w:iCs/>
      <w:color w:val="0F4761" w:themeColor="accent1" w:themeShade="BF"/>
    </w:rPr>
  </w:style>
  <w:style w:type="character" w:styleId="IntenseReference">
    <w:name w:val="Intense Reference"/>
    <w:basedOn w:val="DefaultParagraphFont"/>
    <w:uiPriority w:val="32"/>
    <w:qFormat/>
    <w:rsid w:val="00A54F4A"/>
    <w:rPr>
      <w:b/>
      <w:bCs/>
      <w:smallCaps/>
      <w:color w:val="0F4761" w:themeColor="accent1" w:themeShade="BF"/>
      <w:spacing w:val="5"/>
    </w:rPr>
  </w:style>
  <w:style w:type="character" w:styleId="SubtleReference">
    <w:name w:val="Subtle Reference"/>
    <w:basedOn w:val="DefaultParagraphFont"/>
    <w:uiPriority w:val="31"/>
    <w:qFormat/>
    <w:rsid w:val="00A54F4A"/>
    <w:rPr>
      <w:smallCaps/>
      <w:color w:val="5A5A5A" w:themeColor="text1" w:themeTint="A5"/>
    </w:rPr>
  </w:style>
  <w:style w:type="character" w:styleId="PageNumber">
    <w:name w:val="page number"/>
    <w:basedOn w:val="DefaultParagraphFont"/>
    <w:uiPriority w:val="99"/>
    <w:semiHidden/>
    <w:unhideWhenUsed/>
    <w:rsid w:val="00A54F4A"/>
  </w:style>
  <w:style w:type="paragraph" w:styleId="Footer">
    <w:name w:val="footer"/>
    <w:basedOn w:val="Normal"/>
    <w:link w:val="FooterChar1"/>
    <w:uiPriority w:val="99"/>
    <w:unhideWhenUsed/>
    <w:rsid w:val="00A54F4A"/>
    <w:pPr>
      <w:tabs>
        <w:tab w:val="center" w:pos="4680"/>
        <w:tab w:val="right" w:pos="9360"/>
      </w:tabs>
    </w:pPr>
    <w:rPr>
      <w:rFonts w:cstheme="minorBidi"/>
      <w:kern w:val="0"/>
      <w:szCs w:val="22"/>
      <w14:ligatures w14:val="none"/>
    </w:rPr>
  </w:style>
  <w:style w:type="character" w:customStyle="1" w:styleId="FooterChar">
    <w:name w:val="Footer Char"/>
    <w:basedOn w:val="DefaultParagraphFont"/>
    <w:uiPriority w:val="99"/>
    <w:semiHidden/>
    <w:rsid w:val="00A54F4A"/>
    <w:rPr>
      <w:rFonts w:ascii="Century Schoolbook" w:hAnsi="Century Schoolbook" w:cs="Times New Roman (Body CS)"/>
    </w:rPr>
  </w:style>
  <w:style w:type="character" w:customStyle="1" w:styleId="FooterChar1">
    <w:name w:val="Footer Char1"/>
    <w:basedOn w:val="DefaultParagraphFont"/>
    <w:link w:val="Footer"/>
    <w:uiPriority w:val="99"/>
    <w:rsid w:val="00A54F4A"/>
    <w:rPr>
      <w:rFonts w:ascii="Century Schoolbook" w:hAnsi="Century Schoolbook"/>
      <w:kern w:val="0"/>
      <w:szCs w:val="22"/>
      <w14:ligatures w14:val="none"/>
    </w:rPr>
  </w:style>
  <w:style w:type="paragraph" w:styleId="Header">
    <w:name w:val="header"/>
    <w:basedOn w:val="Normal"/>
    <w:link w:val="HeaderChar"/>
    <w:uiPriority w:val="99"/>
    <w:unhideWhenUsed/>
    <w:rsid w:val="00A54F4A"/>
    <w:pPr>
      <w:tabs>
        <w:tab w:val="center" w:pos="4680"/>
        <w:tab w:val="right" w:pos="9360"/>
      </w:tabs>
    </w:pPr>
  </w:style>
  <w:style w:type="character" w:customStyle="1" w:styleId="HeaderChar">
    <w:name w:val="Header Char"/>
    <w:basedOn w:val="DefaultParagraphFont"/>
    <w:link w:val="Header"/>
    <w:uiPriority w:val="99"/>
    <w:rsid w:val="00A54F4A"/>
    <w:rPr>
      <w:rFonts w:ascii="Century Schoolbook" w:hAnsi="Century Schoolbook" w:cs="Times New Roman (Body CS)"/>
    </w:rPr>
  </w:style>
  <w:style w:type="character" w:styleId="Hyperlink">
    <w:name w:val="Hyperlink"/>
    <w:basedOn w:val="DefaultParagraphFont"/>
    <w:uiPriority w:val="99"/>
    <w:unhideWhenUsed/>
    <w:rsid w:val="0085219F"/>
    <w:rPr>
      <w:color w:val="467886" w:themeColor="hyperlink"/>
      <w:u w:val="single"/>
    </w:rPr>
  </w:style>
  <w:style w:type="character" w:styleId="UnresolvedMention">
    <w:name w:val="Unresolved Mention"/>
    <w:basedOn w:val="DefaultParagraphFont"/>
    <w:uiPriority w:val="99"/>
    <w:semiHidden/>
    <w:unhideWhenUsed/>
    <w:rsid w:val="0085219F"/>
    <w:rPr>
      <w:color w:val="605E5C"/>
      <w:shd w:val="clear" w:color="auto" w:fill="E1DFDD"/>
    </w:rPr>
  </w:style>
  <w:style w:type="paragraph" w:styleId="Revision">
    <w:name w:val="Revision"/>
    <w:hidden/>
    <w:uiPriority w:val="99"/>
    <w:semiHidden/>
    <w:rsid w:val="00BF5B93"/>
    <w:pPr>
      <w:spacing w:after="0" w:line="240" w:lineRule="auto"/>
    </w:pPr>
    <w:rPr>
      <w:rFonts w:ascii="Century Schoolbook" w:hAnsi="Century Schoolbook" w:cs="Times New Roman (Body CS)"/>
    </w:rPr>
  </w:style>
  <w:style w:type="character" w:styleId="CommentReference">
    <w:name w:val="annotation reference"/>
    <w:basedOn w:val="DefaultParagraphFont"/>
    <w:uiPriority w:val="99"/>
    <w:semiHidden/>
    <w:unhideWhenUsed/>
    <w:rsid w:val="00BF5B93"/>
    <w:rPr>
      <w:sz w:val="16"/>
      <w:szCs w:val="16"/>
    </w:rPr>
  </w:style>
  <w:style w:type="paragraph" w:styleId="CommentText">
    <w:name w:val="annotation text"/>
    <w:basedOn w:val="Normal"/>
    <w:link w:val="CommentTextChar"/>
    <w:uiPriority w:val="99"/>
    <w:semiHidden/>
    <w:unhideWhenUsed/>
    <w:rsid w:val="00BF5B93"/>
    <w:rPr>
      <w:sz w:val="20"/>
      <w:szCs w:val="20"/>
    </w:rPr>
  </w:style>
  <w:style w:type="character" w:customStyle="1" w:styleId="CommentTextChar">
    <w:name w:val="Comment Text Char"/>
    <w:basedOn w:val="DefaultParagraphFont"/>
    <w:link w:val="CommentText"/>
    <w:uiPriority w:val="99"/>
    <w:semiHidden/>
    <w:rsid w:val="00BF5B93"/>
    <w:rPr>
      <w:rFonts w:ascii="Century Schoolbook" w:hAnsi="Century Schoolbook" w:cs="Times New Roman (Body CS)"/>
      <w:sz w:val="20"/>
      <w:szCs w:val="20"/>
    </w:rPr>
  </w:style>
  <w:style w:type="paragraph" w:styleId="CommentSubject">
    <w:name w:val="annotation subject"/>
    <w:basedOn w:val="CommentText"/>
    <w:next w:val="CommentText"/>
    <w:link w:val="CommentSubjectChar"/>
    <w:uiPriority w:val="99"/>
    <w:semiHidden/>
    <w:unhideWhenUsed/>
    <w:rsid w:val="00BF5B93"/>
    <w:rPr>
      <w:b/>
      <w:bCs/>
    </w:rPr>
  </w:style>
  <w:style w:type="character" w:customStyle="1" w:styleId="CommentSubjectChar">
    <w:name w:val="Comment Subject Char"/>
    <w:basedOn w:val="CommentTextChar"/>
    <w:link w:val="CommentSubject"/>
    <w:uiPriority w:val="99"/>
    <w:semiHidden/>
    <w:rsid w:val="00BF5B93"/>
    <w:rPr>
      <w:rFonts w:ascii="Century Schoolbook" w:hAnsi="Century Schoolbook" w:cs="Times New Roman (Body CS)"/>
      <w:b/>
      <w:bCs/>
      <w:sz w:val="20"/>
      <w:szCs w:val="20"/>
    </w:rPr>
  </w:style>
  <w:style w:type="paragraph" w:styleId="NormalWeb">
    <w:name w:val="Normal (Web)"/>
    <w:basedOn w:val="Normal"/>
    <w:uiPriority w:val="99"/>
    <w:semiHidden/>
    <w:unhideWhenUsed/>
    <w:rsid w:val="00FB0BFB"/>
    <w:pPr>
      <w:spacing w:before="100" w:beforeAutospacing="1" w:after="100" w:afterAutospacing="1"/>
    </w:pPr>
    <w:rPr>
      <w:rFonts w:ascii="Times New Roman" w:eastAsia="Times New Roman" w:hAnsi="Times New Roman" w:cs="Times New Roman"/>
      <w:kern w:val="0"/>
      <w14:ligatures w14:val="none"/>
    </w:rPr>
  </w:style>
  <w:style w:type="paragraph" w:styleId="FootnoteText">
    <w:name w:val="footnote text"/>
    <w:basedOn w:val="Normal"/>
    <w:link w:val="FootnoteTextChar"/>
    <w:uiPriority w:val="99"/>
    <w:semiHidden/>
    <w:unhideWhenUsed/>
    <w:rsid w:val="008D45B2"/>
    <w:rPr>
      <w:sz w:val="20"/>
      <w:szCs w:val="20"/>
    </w:rPr>
  </w:style>
  <w:style w:type="character" w:customStyle="1" w:styleId="FootnoteTextChar">
    <w:name w:val="Footnote Text Char"/>
    <w:basedOn w:val="DefaultParagraphFont"/>
    <w:link w:val="FootnoteText"/>
    <w:uiPriority w:val="99"/>
    <w:semiHidden/>
    <w:rsid w:val="008D45B2"/>
    <w:rPr>
      <w:rFonts w:ascii="Century Schoolbook" w:hAnsi="Century Schoolbook" w:cs="Times New Roman (Body CS)"/>
      <w:sz w:val="20"/>
      <w:szCs w:val="20"/>
    </w:rPr>
  </w:style>
  <w:style w:type="character" w:styleId="FootnoteReference">
    <w:name w:val="footnote reference"/>
    <w:basedOn w:val="DefaultParagraphFont"/>
    <w:uiPriority w:val="99"/>
    <w:semiHidden/>
    <w:unhideWhenUsed/>
    <w:rsid w:val="008D45B2"/>
    <w:rPr>
      <w:vertAlign w:val="superscript"/>
    </w:rPr>
  </w:style>
  <w:style w:type="character" w:styleId="PlaceholderText">
    <w:name w:val="Placeholder Text"/>
    <w:basedOn w:val="DefaultParagraphFont"/>
    <w:uiPriority w:val="99"/>
    <w:semiHidden/>
    <w:rsid w:val="00910824"/>
    <w:rPr>
      <w:color w:val="666666"/>
    </w:rPr>
  </w:style>
  <w:style w:type="character" w:customStyle="1" w:styleId="apple-converted-space">
    <w:name w:val="apple-converted-space"/>
    <w:basedOn w:val="DefaultParagraphFont"/>
    <w:rsid w:val="009114A2"/>
  </w:style>
  <w:style w:type="character" w:styleId="Emphasis">
    <w:name w:val="Emphasis"/>
    <w:basedOn w:val="DefaultParagraphFont"/>
    <w:uiPriority w:val="20"/>
    <w:qFormat/>
    <w:rsid w:val="009114A2"/>
    <w:rPr>
      <w:i/>
      <w:iCs/>
    </w:rPr>
  </w:style>
  <w:style w:type="paragraph" w:styleId="TableofAuthorities">
    <w:name w:val="table of authorities"/>
    <w:basedOn w:val="Normal"/>
    <w:next w:val="Normal"/>
    <w:uiPriority w:val="99"/>
    <w:unhideWhenUsed/>
    <w:rsid w:val="00DA2DF9"/>
    <w:pPr>
      <w:spacing w:line="480" w:lineRule="auto"/>
      <w:ind w:left="240" w:hanging="240"/>
    </w:pPr>
    <w:rPr>
      <w:rFonts w:ascii="Times New Roman" w:hAnsi="Times New Roman"/>
      <w:sz w:val="20"/>
      <w:szCs w:val="20"/>
    </w:rPr>
  </w:style>
  <w:style w:type="paragraph" w:styleId="TOAHeading">
    <w:name w:val="toa heading"/>
    <w:basedOn w:val="Normal"/>
    <w:next w:val="Normal"/>
    <w:uiPriority w:val="99"/>
    <w:unhideWhenUsed/>
    <w:rsid w:val="00DA2DF9"/>
    <w:pPr>
      <w:spacing w:before="240" w:after="120" w:line="480" w:lineRule="auto"/>
    </w:pPr>
    <w:rPr>
      <w:rFonts w:ascii="Times New Roman" w:hAnsi="Times New Roman" w:cs="Arial"/>
      <w:b/>
      <w:bCs/>
      <w:caps/>
      <w:sz w:val="26"/>
      <w:szCs w:val="20"/>
    </w:rPr>
  </w:style>
  <w:style w:type="paragraph" w:styleId="TOC1">
    <w:name w:val="toc 1"/>
    <w:basedOn w:val="Normal"/>
    <w:next w:val="Normal"/>
    <w:autoRedefine/>
    <w:uiPriority w:val="39"/>
    <w:unhideWhenUsed/>
    <w:rsid w:val="001F0478"/>
    <w:pPr>
      <w:tabs>
        <w:tab w:val="right" w:leader="dot" w:pos="9350"/>
      </w:tabs>
      <w:spacing w:after="100" w:line="480" w:lineRule="auto"/>
      <w:jc w:val="both"/>
    </w:pPr>
    <w:rPr>
      <w:rFonts w:ascii="Times New Roman" w:hAnsi="Times New Roman"/>
      <w:sz w:val="26"/>
    </w:rPr>
  </w:style>
  <w:style w:type="paragraph" w:styleId="TOC2">
    <w:name w:val="toc 2"/>
    <w:basedOn w:val="Normal"/>
    <w:next w:val="Normal"/>
    <w:autoRedefine/>
    <w:uiPriority w:val="39"/>
    <w:unhideWhenUsed/>
    <w:rsid w:val="001F0478"/>
    <w:pPr>
      <w:numPr>
        <w:numId w:val="24"/>
      </w:numPr>
      <w:tabs>
        <w:tab w:val="right" w:leader="dot" w:pos="9350"/>
      </w:tabs>
      <w:spacing w:after="100"/>
      <w:ind w:left="360" w:hanging="360"/>
      <w:jc w:val="both"/>
    </w:pPr>
  </w:style>
  <w:style w:type="paragraph" w:styleId="TOC3">
    <w:name w:val="toc 3"/>
    <w:basedOn w:val="Normal"/>
    <w:next w:val="Normal"/>
    <w:autoRedefine/>
    <w:uiPriority w:val="39"/>
    <w:unhideWhenUsed/>
    <w:rsid w:val="00283F1C"/>
    <w:pPr>
      <w:numPr>
        <w:numId w:val="26"/>
      </w:numPr>
      <w:tabs>
        <w:tab w:val="right" w:leader="dot" w:pos="9350"/>
      </w:tabs>
      <w:spacing w:after="100"/>
    </w:pPr>
  </w:style>
  <w:style w:type="character" w:customStyle="1" w:styleId="normaltextrun">
    <w:name w:val="normaltextrun"/>
    <w:basedOn w:val="DefaultParagraphFont"/>
    <w:rsid w:val="00C67DE2"/>
  </w:style>
  <w:style w:type="character" w:customStyle="1" w:styleId="eop">
    <w:name w:val="eop"/>
    <w:basedOn w:val="DefaultParagraphFont"/>
    <w:rsid w:val="00C67DE2"/>
  </w:style>
  <w:style w:type="character" w:styleId="BookTitle">
    <w:name w:val="Book Title"/>
    <w:basedOn w:val="DefaultParagraphFont"/>
    <w:uiPriority w:val="33"/>
    <w:qFormat/>
    <w:rsid w:val="00C67DE2"/>
    <w:rPr>
      <w:b/>
      <w:bCs/>
      <w:i/>
      <w:iCs/>
      <w:spacing w:val="5"/>
    </w:rPr>
  </w:style>
  <w:style w:type="paragraph" w:styleId="Caption">
    <w:name w:val="caption"/>
    <w:basedOn w:val="Normal"/>
    <w:next w:val="Normal"/>
    <w:uiPriority w:val="35"/>
    <w:semiHidden/>
    <w:unhideWhenUsed/>
    <w:qFormat/>
    <w:rsid w:val="00C67DE2"/>
    <w:pPr>
      <w:spacing w:after="200"/>
    </w:pPr>
    <w:rPr>
      <w:i/>
      <w:iCs/>
      <w:color w:val="0E2841" w:themeColor="text2"/>
      <w:sz w:val="18"/>
      <w:szCs w:val="18"/>
    </w:rPr>
  </w:style>
  <w:style w:type="paragraph" w:styleId="NoSpacing">
    <w:name w:val="No Spacing"/>
    <w:uiPriority w:val="1"/>
    <w:qFormat/>
    <w:rsid w:val="00C67DE2"/>
    <w:pPr>
      <w:spacing w:after="0" w:line="240" w:lineRule="auto"/>
    </w:pPr>
    <w:rPr>
      <w:rFonts w:ascii="Century Schoolbook" w:hAnsi="Century Schoolbook" w:cs="Times New Roman (Body CS)"/>
    </w:rPr>
  </w:style>
  <w:style w:type="character" w:styleId="Strong">
    <w:name w:val="Strong"/>
    <w:basedOn w:val="DefaultParagraphFont"/>
    <w:uiPriority w:val="22"/>
    <w:qFormat/>
    <w:rsid w:val="00C67DE2"/>
    <w:rPr>
      <w:b/>
      <w:bCs/>
    </w:rPr>
  </w:style>
  <w:style w:type="character" w:styleId="SubtleEmphasis">
    <w:name w:val="Subtle Emphasis"/>
    <w:basedOn w:val="DefaultParagraphFont"/>
    <w:uiPriority w:val="19"/>
    <w:qFormat/>
    <w:rsid w:val="00C67DE2"/>
    <w:rPr>
      <w:i/>
      <w:iCs/>
      <w:color w:val="404040" w:themeColor="text1" w:themeTint="BF"/>
    </w:rPr>
  </w:style>
  <w:style w:type="paragraph" w:styleId="TOCHeading">
    <w:name w:val="TOC Heading"/>
    <w:basedOn w:val="Heading1"/>
    <w:next w:val="Normal"/>
    <w:uiPriority w:val="39"/>
    <w:semiHidden/>
    <w:unhideWhenUsed/>
    <w:qFormat/>
    <w:rsid w:val="00C67DE2"/>
    <w:pPr>
      <w:spacing w:before="240" w:after="0"/>
      <w:outlineLvl w:val="9"/>
    </w:pPr>
    <w:rPr>
      <w:sz w:val="32"/>
      <w:szCs w:val="32"/>
    </w:rPr>
  </w:style>
  <w:style w:type="paragraph" w:customStyle="1" w:styleId="paragraph">
    <w:name w:val="paragraph"/>
    <w:basedOn w:val="Normal"/>
    <w:rsid w:val="00C67DE2"/>
    <w:pPr>
      <w:spacing w:before="100" w:beforeAutospacing="1" w:after="100" w:afterAutospacing="1"/>
    </w:pPr>
    <w:rPr>
      <w:rFonts w:ascii="Times New Roman" w:eastAsia="Times New Roman" w:hAnsi="Times New Roman" w:cs="Times New Roman"/>
      <w:kern w:val="0"/>
      <w14:ligatures w14:val="none"/>
    </w:rPr>
  </w:style>
  <w:style w:type="character" w:customStyle="1" w:styleId="tabchar">
    <w:name w:val="tabchar"/>
    <w:basedOn w:val="DefaultParagraphFont"/>
    <w:rsid w:val="00C67D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1059">
      <w:bodyDiv w:val="1"/>
      <w:marLeft w:val="0"/>
      <w:marRight w:val="0"/>
      <w:marTop w:val="0"/>
      <w:marBottom w:val="0"/>
      <w:divBdr>
        <w:top w:val="none" w:sz="0" w:space="0" w:color="auto"/>
        <w:left w:val="none" w:sz="0" w:space="0" w:color="auto"/>
        <w:bottom w:val="none" w:sz="0" w:space="0" w:color="auto"/>
        <w:right w:val="none" w:sz="0" w:space="0" w:color="auto"/>
      </w:divBdr>
    </w:div>
    <w:div w:id="16471095">
      <w:bodyDiv w:val="1"/>
      <w:marLeft w:val="0"/>
      <w:marRight w:val="0"/>
      <w:marTop w:val="0"/>
      <w:marBottom w:val="0"/>
      <w:divBdr>
        <w:top w:val="none" w:sz="0" w:space="0" w:color="auto"/>
        <w:left w:val="none" w:sz="0" w:space="0" w:color="auto"/>
        <w:bottom w:val="none" w:sz="0" w:space="0" w:color="auto"/>
        <w:right w:val="none" w:sz="0" w:space="0" w:color="auto"/>
      </w:divBdr>
      <w:divsChild>
        <w:div w:id="2143421280">
          <w:marLeft w:val="0"/>
          <w:marRight w:val="0"/>
          <w:marTop w:val="0"/>
          <w:marBottom w:val="0"/>
          <w:divBdr>
            <w:top w:val="none" w:sz="0" w:space="0" w:color="auto"/>
            <w:left w:val="none" w:sz="0" w:space="0" w:color="auto"/>
            <w:bottom w:val="none" w:sz="0" w:space="0" w:color="auto"/>
            <w:right w:val="none" w:sz="0" w:space="0" w:color="auto"/>
          </w:divBdr>
          <w:divsChild>
            <w:div w:id="962807379">
              <w:marLeft w:val="0"/>
              <w:marRight w:val="0"/>
              <w:marTop w:val="0"/>
              <w:marBottom w:val="0"/>
              <w:divBdr>
                <w:top w:val="none" w:sz="0" w:space="0" w:color="auto"/>
                <w:left w:val="none" w:sz="0" w:space="0" w:color="auto"/>
                <w:bottom w:val="none" w:sz="0" w:space="0" w:color="auto"/>
                <w:right w:val="none" w:sz="0" w:space="0" w:color="auto"/>
              </w:divBdr>
              <w:divsChild>
                <w:div w:id="37558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59691">
      <w:bodyDiv w:val="1"/>
      <w:marLeft w:val="0"/>
      <w:marRight w:val="0"/>
      <w:marTop w:val="0"/>
      <w:marBottom w:val="0"/>
      <w:divBdr>
        <w:top w:val="none" w:sz="0" w:space="0" w:color="auto"/>
        <w:left w:val="none" w:sz="0" w:space="0" w:color="auto"/>
        <w:bottom w:val="none" w:sz="0" w:space="0" w:color="auto"/>
        <w:right w:val="none" w:sz="0" w:space="0" w:color="auto"/>
      </w:divBdr>
      <w:divsChild>
        <w:div w:id="1477261066">
          <w:marLeft w:val="0"/>
          <w:marRight w:val="0"/>
          <w:marTop w:val="0"/>
          <w:marBottom w:val="0"/>
          <w:divBdr>
            <w:top w:val="none" w:sz="0" w:space="0" w:color="auto"/>
            <w:left w:val="none" w:sz="0" w:space="0" w:color="auto"/>
            <w:bottom w:val="none" w:sz="0" w:space="0" w:color="auto"/>
            <w:right w:val="none" w:sz="0" w:space="0" w:color="auto"/>
          </w:divBdr>
          <w:divsChild>
            <w:div w:id="8728491">
              <w:marLeft w:val="0"/>
              <w:marRight w:val="0"/>
              <w:marTop w:val="0"/>
              <w:marBottom w:val="0"/>
              <w:divBdr>
                <w:top w:val="none" w:sz="0" w:space="0" w:color="auto"/>
                <w:left w:val="none" w:sz="0" w:space="0" w:color="auto"/>
                <w:bottom w:val="none" w:sz="0" w:space="0" w:color="auto"/>
                <w:right w:val="none" w:sz="0" w:space="0" w:color="auto"/>
              </w:divBdr>
              <w:divsChild>
                <w:div w:id="19628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79378">
      <w:bodyDiv w:val="1"/>
      <w:marLeft w:val="0"/>
      <w:marRight w:val="0"/>
      <w:marTop w:val="0"/>
      <w:marBottom w:val="0"/>
      <w:divBdr>
        <w:top w:val="none" w:sz="0" w:space="0" w:color="auto"/>
        <w:left w:val="none" w:sz="0" w:space="0" w:color="auto"/>
        <w:bottom w:val="none" w:sz="0" w:space="0" w:color="auto"/>
        <w:right w:val="none" w:sz="0" w:space="0" w:color="auto"/>
      </w:divBdr>
      <w:divsChild>
        <w:div w:id="937448631">
          <w:marLeft w:val="0"/>
          <w:marRight w:val="0"/>
          <w:marTop w:val="0"/>
          <w:marBottom w:val="0"/>
          <w:divBdr>
            <w:top w:val="none" w:sz="0" w:space="0" w:color="auto"/>
            <w:left w:val="none" w:sz="0" w:space="0" w:color="auto"/>
            <w:bottom w:val="none" w:sz="0" w:space="0" w:color="auto"/>
            <w:right w:val="none" w:sz="0" w:space="0" w:color="auto"/>
          </w:divBdr>
          <w:divsChild>
            <w:div w:id="809589311">
              <w:marLeft w:val="0"/>
              <w:marRight w:val="0"/>
              <w:marTop w:val="0"/>
              <w:marBottom w:val="0"/>
              <w:divBdr>
                <w:top w:val="none" w:sz="0" w:space="0" w:color="auto"/>
                <w:left w:val="none" w:sz="0" w:space="0" w:color="auto"/>
                <w:bottom w:val="none" w:sz="0" w:space="0" w:color="auto"/>
                <w:right w:val="none" w:sz="0" w:space="0" w:color="auto"/>
              </w:divBdr>
              <w:divsChild>
                <w:div w:id="137006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716243">
      <w:bodyDiv w:val="1"/>
      <w:marLeft w:val="0"/>
      <w:marRight w:val="0"/>
      <w:marTop w:val="0"/>
      <w:marBottom w:val="0"/>
      <w:divBdr>
        <w:top w:val="none" w:sz="0" w:space="0" w:color="auto"/>
        <w:left w:val="none" w:sz="0" w:space="0" w:color="auto"/>
        <w:bottom w:val="none" w:sz="0" w:space="0" w:color="auto"/>
        <w:right w:val="none" w:sz="0" w:space="0" w:color="auto"/>
      </w:divBdr>
      <w:divsChild>
        <w:div w:id="1600605373">
          <w:marLeft w:val="0"/>
          <w:marRight w:val="0"/>
          <w:marTop w:val="0"/>
          <w:marBottom w:val="0"/>
          <w:divBdr>
            <w:top w:val="none" w:sz="0" w:space="0" w:color="auto"/>
            <w:left w:val="none" w:sz="0" w:space="0" w:color="auto"/>
            <w:bottom w:val="none" w:sz="0" w:space="0" w:color="auto"/>
            <w:right w:val="none" w:sz="0" w:space="0" w:color="auto"/>
          </w:divBdr>
          <w:divsChild>
            <w:div w:id="516038033">
              <w:marLeft w:val="0"/>
              <w:marRight w:val="0"/>
              <w:marTop w:val="0"/>
              <w:marBottom w:val="0"/>
              <w:divBdr>
                <w:top w:val="none" w:sz="0" w:space="0" w:color="auto"/>
                <w:left w:val="none" w:sz="0" w:space="0" w:color="auto"/>
                <w:bottom w:val="none" w:sz="0" w:space="0" w:color="auto"/>
                <w:right w:val="none" w:sz="0" w:space="0" w:color="auto"/>
              </w:divBdr>
              <w:divsChild>
                <w:div w:id="191169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566321">
      <w:bodyDiv w:val="1"/>
      <w:marLeft w:val="0"/>
      <w:marRight w:val="0"/>
      <w:marTop w:val="0"/>
      <w:marBottom w:val="0"/>
      <w:divBdr>
        <w:top w:val="none" w:sz="0" w:space="0" w:color="auto"/>
        <w:left w:val="none" w:sz="0" w:space="0" w:color="auto"/>
        <w:bottom w:val="none" w:sz="0" w:space="0" w:color="auto"/>
        <w:right w:val="none" w:sz="0" w:space="0" w:color="auto"/>
      </w:divBdr>
      <w:divsChild>
        <w:div w:id="501749565">
          <w:marLeft w:val="0"/>
          <w:marRight w:val="0"/>
          <w:marTop w:val="0"/>
          <w:marBottom w:val="0"/>
          <w:divBdr>
            <w:top w:val="none" w:sz="0" w:space="0" w:color="auto"/>
            <w:left w:val="none" w:sz="0" w:space="0" w:color="auto"/>
            <w:bottom w:val="none" w:sz="0" w:space="0" w:color="auto"/>
            <w:right w:val="none" w:sz="0" w:space="0" w:color="auto"/>
          </w:divBdr>
          <w:divsChild>
            <w:div w:id="14353205">
              <w:marLeft w:val="0"/>
              <w:marRight w:val="0"/>
              <w:marTop w:val="0"/>
              <w:marBottom w:val="0"/>
              <w:divBdr>
                <w:top w:val="none" w:sz="0" w:space="0" w:color="auto"/>
                <w:left w:val="none" w:sz="0" w:space="0" w:color="auto"/>
                <w:bottom w:val="none" w:sz="0" w:space="0" w:color="auto"/>
                <w:right w:val="none" w:sz="0" w:space="0" w:color="auto"/>
              </w:divBdr>
              <w:divsChild>
                <w:div w:id="143250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602862">
      <w:bodyDiv w:val="1"/>
      <w:marLeft w:val="0"/>
      <w:marRight w:val="0"/>
      <w:marTop w:val="0"/>
      <w:marBottom w:val="0"/>
      <w:divBdr>
        <w:top w:val="none" w:sz="0" w:space="0" w:color="auto"/>
        <w:left w:val="none" w:sz="0" w:space="0" w:color="auto"/>
        <w:bottom w:val="none" w:sz="0" w:space="0" w:color="auto"/>
        <w:right w:val="none" w:sz="0" w:space="0" w:color="auto"/>
      </w:divBdr>
      <w:divsChild>
        <w:div w:id="79765860">
          <w:marLeft w:val="0"/>
          <w:marRight w:val="0"/>
          <w:marTop w:val="0"/>
          <w:marBottom w:val="0"/>
          <w:divBdr>
            <w:top w:val="none" w:sz="0" w:space="0" w:color="auto"/>
            <w:left w:val="none" w:sz="0" w:space="0" w:color="auto"/>
            <w:bottom w:val="none" w:sz="0" w:space="0" w:color="auto"/>
            <w:right w:val="none" w:sz="0" w:space="0" w:color="auto"/>
          </w:divBdr>
          <w:divsChild>
            <w:div w:id="2001884616">
              <w:marLeft w:val="0"/>
              <w:marRight w:val="0"/>
              <w:marTop w:val="0"/>
              <w:marBottom w:val="0"/>
              <w:divBdr>
                <w:top w:val="none" w:sz="0" w:space="0" w:color="auto"/>
                <w:left w:val="none" w:sz="0" w:space="0" w:color="auto"/>
                <w:bottom w:val="none" w:sz="0" w:space="0" w:color="auto"/>
                <w:right w:val="none" w:sz="0" w:space="0" w:color="auto"/>
              </w:divBdr>
              <w:divsChild>
                <w:div w:id="195705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759723">
      <w:bodyDiv w:val="1"/>
      <w:marLeft w:val="0"/>
      <w:marRight w:val="0"/>
      <w:marTop w:val="0"/>
      <w:marBottom w:val="0"/>
      <w:divBdr>
        <w:top w:val="none" w:sz="0" w:space="0" w:color="auto"/>
        <w:left w:val="none" w:sz="0" w:space="0" w:color="auto"/>
        <w:bottom w:val="none" w:sz="0" w:space="0" w:color="auto"/>
        <w:right w:val="none" w:sz="0" w:space="0" w:color="auto"/>
      </w:divBdr>
      <w:divsChild>
        <w:div w:id="104933863">
          <w:marLeft w:val="0"/>
          <w:marRight w:val="0"/>
          <w:marTop w:val="0"/>
          <w:marBottom w:val="0"/>
          <w:divBdr>
            <w:top w:val="none" w:sz="0" w:space="0" w:color="auto"/>
            <w:left w:val="none" w:sz="0" w:space="0" w:color="auto"/>
            <w:bottom w:val="none" w:sz="0" w:space="0" w:color="auto"/>
            <w:right w:val="none" w:sz="0" w:space="0" w:color="auto"/>
          </w:divBdr>
          <w:divsChild>
            <w:div w:id="725762293">
              <w:marLeft w:val="0"/>
              <w:marRight w:val="0"/>
              <w:marTop w:val="0"/>
              <w:marBottom w:val="0"/>
              <w:divBdr>
                <w:top w:val="none" w:sz="0" w:space="0" w:color="auto"/>
                <w:left w:val="none" w:sz="0" w:space="0" w:color="auto"/>
                <w:bottom w:val="none" w:sz="0" w:space="0" w:color="auto"/>
                <w:right w:val="none" w:sz="0" w:space="0" w:color="auto"/>
              </w:divBdr>
              <w:divsChild>
                <w:div w:id="96057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963760">
      <w:bodyDiv w:val="1"/>
      <w:marLeft w:val="0"/>
      <w:marRight w:val="0"/>
      <w:marTop w:val="0"/>
      <w:marBottom w:val="0"/>
      <w:divBdr>
        <w:top w:val="none" w:sz="0" w:space="0" w:color="auto"/>
        <w:left w:val="none" w:sz="0" w:space="0" w:color="auto"/>
        <w:bottom w:val="none" w:sz="0" w:space="0" w:color="auto"/>
        <w:right w:val="none" w:sz="0" w:space="0" w:color="auto"/>
      </w:divBdr>
      <w:divsChild>
        <w:div w:id="985474361">
          <w:marLeft w:val="0"/>
          <w:marRight w:val="0"/>
          <w:marTop w:val="0"/>
          <w:marBottom w:val="0"/>
          <w:divBdr>
            <w:top w:val="none" w:sz="0" w:space="0" w:color="auto"/>
            <w:left w:val="none" w:sz="0" w:space="0" w:color="auto"/>
            <w:bottom w:val="none" w:sz="0" w:space="0" w:color="auto"/>
            <w:right w:val="none" w:sz="0" w:space="0" w:color="auto"/>
          </w:divBdr>
          <w:divsChild>
            <w:div w:id="1875531090">
              <w:marLeft w:val="0"/>
              <w:marRight w:val="0"/>
              <w:marTop w:val="0"/>
              <w:marBottom w:val="0"/>
              <w:divBdr>
                <w:top w:val="none" w:sz="0" w:space="0" w:color="auto"/>
                <w:left w:val="none" w:sz="0" w:space="0" w:color="auto"/>
                <w:bottom w:val="none" w:sz="0" w:space="0" w:color="auto"/>
                <w:right w:val="none" w:sz="0" w:space="0" w:color="auto"/>
              </w:divBdr>
              <w:divsChild>
                <w:div w:id="14354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538515">
      <w:bodyDiv w:val="1"/>
      <w:marLeft w:val="0"/>
      <w:marRight w:val="0"/>
      <w:marTop w:val="0"/>
      <w:marBottom w:val="0"/>
      <w:divBdr>
        <w:top w:val="none" w:sz="0" w:space="0" w:color="auto"/>
        <w:left w:val="none" w:sz="0" w:space="0" w:color="auto"/>
        <w:bottom w:val="none" w:sz="0" w:space="0" w:color="auto"/>
        <w:right w:val="none" w:sz="0" w:space="0" w:color="auto"/>
      </w:divBdr>
      <w:divsChild>
        <w:div w:id="1557931628">
          <w:marLeft w:val="0"/>
          <w:marRight w:val="0"/>
          <w:marTop w:val="0"/>
          <w:marBottom w:val="0"/>
          <w:divBdr>
            <w:top w:val="none" w:sz="0" w:space="0" w:color="auto"/>
            <w:left w:val="none" w:sz="0" w:space="0" w:color="auto"/>
            <w:bottom w:val="none" w:sz="0" w:space="0" w:color="auto"/>
            <w:right w:val="none" w:sz="0" w:space="0" w:color="auto"/>
          </w:divBdr>
          <w:divsChild>
            <w:div w:id="946084414">
              <w:marLeft w:val="0"/>
              <w:marRight w:val="0"/>
              <w:marTop w:val="0"/>
              <w:marBottom w:val="0"/>
              <w:divBdr>
                <w:top w:val="none" w:sz="0" w:space="0" w:color="auto"/>
                <w:left w:val="none" w:sz="0" w:space="0" w:color="auto"/>
                <w:bottom w:val="none" w:sz="0" w:space="0" w:color="auto"/>
                <w:right w:val="none" w:sz="0" w:space="0" w:color="auto"/>
              </w:divBdr>
              <w:divsChild>
                <w:div w:id="199514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394687">
      <w:bodyDiv w:val="1"/>
      <w:marLeft w:val="0"/>
      <w:marRight w:val="0"/>
      <w:marTop w:val="0"/>
      <w:marBottom w:val="0"/>
      <w:divBdr>
        <w:top w:val="none" w:sz="0" w:space="0" w:color="auto"/>
        <w:left w:val="none" w:sz="0" w:space="0" w:color="auto"/>
        <w:bottom w:val="none" w:sz="0" w:space="0" w:color="auto"/>
        <w:right w:val="none" w:sz="0" w:space="0" w:color="auto"/>
      </w:divBdr>
      <w:divsChild>
        <w:div w:id="245238048">
          <w:marLeft w:val="0"/>
          <w:marRight w:val="0"/>
          <w:marTop w:val="0"/>
          <w:marBottom w:val="0"/>
          <w:divBdr>
            <w:top w:val="none" w:sz="0" w:space="0" w:color="auto"/>
            <w:left w:val="none" w:sz="0" w:space="0" w:color="auto"/>
            <w:bottom w:val="none" w:sz="0" w:space="0" w:color="auto"/>
            <w:right w:val="none" w:sz="0" w:space="0" w:color="auto"/>
          </w:divBdr>
          <w:divsChild>
            <w:div w:id="232543872">
              <w:marLeft w:val="0"/>
              <w:marRight w:val="0"/>
              <w:marTop w:val="0"/>
              <w:marBottom w:val="0"/>
              <w:divBdr>
                <w:top w:val="none" w:sz="0" w:space="0" w:color="auto"/>
                <w:left w:val="none" w:sz="0" w:space="0" w:color="auto"/>
                <w:bottom w:val="none" w:sz="0" w:space="0" w:color="auto"/>
                <w:right w:val="none" w:sz="0" w:space="0" w:color="auto"/>
              </w:divBdr>
              <w:divsChild>
                <w:div w:id="70930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746123">
      <w:bodyDiv w:val="1"/>
      <w:marLeft w:val="0"/>
      <w:marRight w:val="0"/>
      <w:marTop w:val="0"/>
      <w:marBottom w:val="0"/>
      <w:divBdr>
        <w:top w:val="none" w:sz="0" w:space="0" w:color="auto"/>
        <w:left w:val="none" w:sz="0" w:space="0" w:color="auto"/>
        <w:bottom w:val="none" w:sz="0" w:space="0" w:color="auto"/>
        <w:right w:val="none" w:sz="0" w:space="0" w:color="auto"/>
      </w:divBdr>
      <w:divsChild>
        <w:div w:id="565727146">
          <w:marLeft w:val="0"/>
          <w:marRight w:val="0"/>
          <w:marTop w:val="0"/>
          <w:marBottom w:val="0"/>
          <w:divBdr>
            <w:top w:val="none" w:sz="0" w:space="0" w:color="auto"/>
            <w:left w:val="none" w:sz="0" w:space="0" w:color="auto"/>
            <w:bottom w:val="none" w:sz="0" w:space="0" w:color="auto"/>
            <w:right w:val="none" w:sz="0" w:space="0" w:color="auto"/>
          </w:divBdr>
          <w:divsChild>
            <w:div w:id="1124495295">
              <w:marLeft w:val="0"/>
              <w:marRight w:val="0"/>
              <w:marTop w:val="0"/>
              <w:marBottom w:val="0"/>
              <w:divBdr>
                <w:top w:val="none" w:sz="0" w:space="0" w:color="auto"/>
                <w:left w:val="none" w:sz="0" w:space="0" w:color="auto"/>
                <w:bottom w:val="none" w:sz="0" w:space="0" w:color="auto"/>
                <w:right w:val="none" w:sz="0" w:space="0" w:color="auto"/>
              </w:divBdr>
              <w:divsChild>
                <w:div w:id="105751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673641">
      <w:bodyDiv w:val="1"/>
      <w:marLeft w:val="0"/>
      <w:marRight w:val="0"/>
      <w:marTop w:val="0"/>
      <w:marBottom w:val="0"/>
      <w:divBdr>
        <w:top w:val="none" w:sz="0" w:space="0" w:color="auto"/>
        <w:left w:val="none" w:sz="0" w:space="0" w:color="auto"/>
        <w:bottom w:val="none" w:sz="0" w:space="0" w:color="auto"/>
        <w:right w:val="none" w:sz="0" w:space="0" w:color="auto"/>
      </w:divBdr>
      <w:divsChild>
        <w:div w:id="1555194262">
          <w:marLeft w:val="0"/>
          <w:marRight w:val="0"/>
          <w:marTop w:val="0"/>
          <w:marBottom w:val="0"/>
          <w:divBdr>
            <w:top w:val="none" w:sz="0" w:space="0" w:color="auto"/>
            <w:left w:val="none" w:sz="0" w:space="0" w:color="auto"/>
            <w:bottom w:val="none" w:sz="0" w:space="0" w:color="auto"/>
            <w:right w:val="none" w:sz="0" w:space="0" w:color="auto"/>
          </w:divBdr>
          <w:divsChild>
            <w:div w:id="1026177677">
              <w:marLeft w:val="0"/>
              <w:marRight w:val="0"/>
              <w:marTop w:val="0"/>
              <w:marBottom w:val="0"/>
              <w:divBdr>
                <w:top w:val="none" w:sz="0" w:space="0" w:color="auto"/>
                <w:left w:val="none" w:sz="0" w:space="0" w:color="auto"/>
                <w:bottom w:val="none" w:sz="0" w:space="0" w:color="auto"/>
                <w:right w:val="none" w:sz="0" w:space="0" w:color="auto"/>
              </w:divBdr>
              <w:divsChild>
                <w:div w:id="64477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733640">
      <w:bodyDiv w:val="1"/>
      <w:marLeft w:val="0"/>
      <w:marRight w:val="0"/>
      <w:marTop w:val="0"/>
      <w:marBottom w:val="0"/>
      <w:divBdr>
        <w:top w:val="none" w:sz="0" w:space="0" w:color="auto"/>
        <w:left w:val="none" w:sz="0" w:space="0" w:color="auto"/>
        <w:bottom w:val="none" w:sz="0" w:space="0" w:color="auto"/>
        <w:right w:val="none" w:sz="0" w:space="0" w:color="auto"/>
      </w:divBdr>
      <w:divsChild>
        <w:div w:id="691490697">
          <w:marLeft w:val="0"/>
          <w:marRight w:val="0"/>
          <w:marTop w:val="0"/>
          <w:marBottom w:val="0"/>
          <w:divBdr>
            <w:top w:val="none" w:sz="0" w:space="0" w:color="auto"/>
            <w:left w:val="none" w:sz="0" w:space="0" w:color="auto"/>
            <w:bottom w:val="none" w:sz="0" w:space="0" w:color="auto"/>
            <w:right w:val="none" w:sz="0" w:space="0" w:color="auto"/>
          </w:divBdr>
          <w:divsChild>
            <w:div w:id="1086880264">
              <w:marLeft w:val="0"/>
              <w:marRight w:val="0"/>
              <w:marTop w:val="0"/>
              <w:marBottom w:val="0"/>
              <w:divBdr>
                <w:top w:val="none" w:sz="0" w:space="0" w:color="auto"/>
                <w:left w:val="none" w:sz="0" w:space="0" w:color="auto"/>
                <w:bottom w:val="none" w:sz="0" w:space="0" w:color="auto"/>
                <w:right w:val="none" w:sz="0" w:space="0" w:color="auto"/>
              </w:divBdr>
              <w:divsChild>
                <w:div w:id="116073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003637">
      <w:bodyDiv w:val="1"/>
      <w:marLeft w:val="0"/>
      <w:marRight w:val="0"/>
      <w:marTop w:val="0"/>
      <w:marBottom w:val="0"/>
      <w:divBdr>
        <w:top w:val="none" w:sz="0" w:space="0" w:color="auto"/>
        <w:left w:val="none" w:sz="0" w:space="0" w:color="auto"/>
        <w:bottom w:val="none" w:sz="0" w:space="0" w:color="auto"/>
        <w:right w:val="none" w:sz="0" w:space="0" w:color="auto"/>
      </w:divBdr>
    </w:div>
    <w:div w:id="1431512358">
      <w:bodyDiv w:val="1"/>
      <w:marLeft w:val="0"/>
      <w:marRight w:val="0"/>
      <w:marTop w:val="0"/>
      <w:marBottom w:val="0"/>
      <w:divBdr>
        <w:top w:val="none" w:sz="0" w:space="0" w:color="auto"/>
        <w:left w:val="none" w:sz="0" w:space="0" w:color="auto"/>
        <w:bottom w:val="none" w:sz="0" w:space="0" w:color="auto"/>
        <w:right w:val="none" w:sz="0" w:space="0" w:color="auto"/>
      </w:divBdr>
      <w:divsChild>
        <w:div w:id="1290555767">
          <w:marLeft w:val="0"/>
          <w:marRight w:val="0"/>
          <w:marTop w:val="0"/>
          <w:marBottom w:val="0"/>
          <w:divBdr>
            <w:top w:val="none" w:sz="0" w:space="0" w:color="auto"/>
            <w:left w:val="none" w:sz="0" w:space="0" w:color="auto"/>
            <w:bottom w:val="none" w:sz="0" w:space="0" w:color="auto"/>
            <w:right w:val="none" w:sz="0" w:space="0" w:color="auto"/>
          </w:divBdr>
          <w:divsChild>
            <w:div w:id="1935363473">
              <w:marLeft w:val="0"/>
              <w:marRight w:val="0"/>
              <w:marTop w:val="0"/>
              <w:marBottom w:val="0"/>
              <w:divBdr>
                <w:top w:val="none" w:sz="0" w:space="0" w:color="auto"/>
                <w:left w:val="none" w:sz="0" w:space="0" w:color="auto"/>
                <w:bottom w:val="none" w:sz="0" w:space="0" w:color="auto"/>
                <w:right w:val="none" w:sz="0" w:space="0" w:color="auto"/>
              </w:divBdr>
              <w:divsChild>
                <w:div w:id="180022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225704">
      <w:bodyDiv w:val="1"/>
      <w:marLeft w:val="0"/>
      <w:marRight w:val="0"/>
      <w:marTop w:val="0"/>
      <w:marBottom w:val="0"/>
      <w:divBdr>
        <w:top w:val="none" w:sz="0" w:space="0" w:color="auto"/>
        <w:left w:val="none" w:sz="0" w:space="0" w:color="auto"/>
        <w:bottom w:val="none" w:sz="0" w:space="0" w:color="auto"/>
        <w:right w:val="none" w:sz="0" w:space="0" w:color="auto"/>
      </w:divBdr>
    </w:div>
    <w:div w:id="1657489177">
      <w:bodyDiv w:val="1"/>
      <w:marLeft w:val="0"/>
      <w:marRight w:val="0"/>
      <w:marTop w:val="0"/>
      <w:marBottom w:val="0"/>
      <w:divBdr>
        <w:top w:val="none" w:sz="0" w:space="0" w:color="auto"/>
        <w:left w:val="none" w:sz="0" w:space="0" w:color="auto"/>
        <w:bottom w:val="none" w:sz="0" w:space="0" w:color="auto"/>
        <w:right w:val="none" w:sz="0" w:space="0" w:color="auto"/>
      </w:divBdr>
      <w:divsChild>
        <w:div w:id="1488742520">
          <w:marLeft w:val="0"/>
          <w:marRight w:val="0"/>
          <w:marTop w:val="0"/>
          <w:marBottom w:val="0"/>
          <w:divBdr>
            <w:top w:val="none" w:sz="0" w:space="0" w:color="auto"/>
            <w:left w:val="none" w:sz="0" w:space="0" w:color="auto"/>
            <w:bottom w:val="none" w:sz="0" w:space="0" w:color="auto"/>
            <w:right w:val="none" w:sz="0" w:space="0" w:color="auto"/>
          </w:divBdr>
          <w:divsChild>
            <w:div w:id="537353555">
              <w:marLeft w:val="0"/>
              <w:marRight w:val="0"/>
              <w:marTop w:val="0"/>
              <w:marBottom w:val="0"/>
              <w:divBdr>
                <w:top w:val="none" w:sz="0" w:space="0" w:color="auto"/>
                <w:left w:val="none" w:sz="0" w:space="0" w:color="auto"/>
                <w:bottom w:val="none" w:sz="0" w:space="0" w:color="auto"/>
                <w:right w:val="none" w:sz="0" w:space="0" w:color="auto"/>
              </w:divBdr>
              <w:divsChild>
                <w:div w:id="86167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325297">
      <w:bodyDiv w:val="1"/>
      <w:marLeft w:val="0"/>
      <w:marRight w:val="0"/>
      <w:marTop w:val="0"/>
      <w:marBottom w:val="0"/>
      <w:divBdr>
        <w:top w:val="none" w:sz="0" w:space="0" w:color="auto"/>
        <w:left w:val="none" w:sz="0" w:space="0" w:color="auto"/>
        <w:bottom w:val="none" w:sz="0" w:space="0" w:color="auto"/>
        <w:right w:val="none" w:sz="0" w:space="0" w:color="auto"/>
      </w:divBdr>
      <w:divsChild>
        <w:div w:id="1554805667">
          <w:marLeft w:val="0"/>
          <w:marRight w:val="0"/>
          <w:marTop w:val="0"/>
          <w:marBottom w:val="0"/>
          <w:divBdr>
            <w:top w:val="none" w:sz="0" w:space="0" w:color="auto"/>
            <w:left w:val="none" w:sz="0" w:space="0" w:color="auto"/>
            <w:bottom w:val="none" w:sz="0" w:space="0" w:color="auto"/>
            <w:right w:val="none" w:sz="0" w:space="0" w:color="auto"/>
          </w:divBdr>
          <w:divsChild>
            <w:div w:id="1961647573">
              <w:marLeft w:val="0"/>
              <w:marRight w:val="0"/>
              <w:marTop w:val="0"/>
              <w:marBottom w:val="0"/>
              <w:divBdr>
                <w:top w:val="none" w:sz="0" w:space="0" w:color="auto"/>
                <w:left w:val="none" w:sz="0" w:space="0" w:color="auto"/>
                <w:bottom w:val="none" w:sz="0" w:space="0" w:color="auto"/>
                <w:right w:val="none" w:sz="0" w:space="0" w:color="auto"/>
              </w:divBdr>
              <w:divsChild>
                <w:div w:id="18586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011538">
      <w:bodyDiv w:val="1"/>
      <w:marLeft w:val="0"/>
      <w:marRight w:val="0"/>
      <w:marTop w:val="0"/>
      <w:marBottom w:val="0"/>
      <w:divBdr>
        <w:top w:val="none" w:sz="0" w:space="0" w:color="auto"/>
        <w:left w:val="none" w:sz="0" w:space="0" w:color="auto"/>
        <w:bottom w:val="none" w:sz="0" w:space="0" w:color="auto"/>
        <w:right w:val="none" w:sz="0" w:space="0" w:color="auto"/>
      </w:divBdr>
      <w:divsChild>
        <w:div w:id="183178237">
          <w:marLeft w:val="0"/>
          <w:marRight w:val="0"/>
          <w:marTop w:val="0"/>
          <w:marBottom w:val="0"/>
          <w:divBdr>
            <w:top w:val="none" w:sz="0" w:space="0" w:color="auto"/>
            <w:left w:val="none" w:sz="0" w:space="0" w:color="auto"/>
            <w:bottom w:val="none" w:sz="0" w:space="0" w:color="auto"/>
            <w:right w:val="none" w:sz="0" w:space="0" w:color="auto"/>
          </w:divBdr>
        </w:div>
        <w:div w:id="998537110">
          <w:marLeft w:val="0"/>
          <w:marRight w:val="0"/>
          <w:marTop w:val="0"/>
          <w:marBottom w:val="0"/>
          <w:divBdr>
            <w:top w:val="none" w:sz="0" w:space="0" w:color="auto"/>
            <w:left w:val="none" w:sz="0" w:space="0" w:color="auto"/>
            <w:bottom w:val="none" w:sz="0" w:space="0" w:color="auto"/>
            <w:right w:val="none" w:sz="0" w:space="0" w:color="auto"/>
          </w:divBdr>
          <w:divsChild>
            <w:div w:id="1895895109">
              <w:marLeft w:val="0"/>
              <w:marRight w:val="0"/>
              <w:marTop w:val="0"/>
              <w:marBottom w:val="0"/>
              <w:divBdr>
                <w:top w:val="none" w:sz="0" w:space="0" w:color="auto"/>
                <w:left w:val="none" w:sz="0" w:space="0" w:color="auto"/>
                <w:bottom w:val="none" w:sz="0" w:space="0" w:color="auto"/>
                <w:right w:val="none" w:sz="0" w:space="0" w:color="auto"/>
              </w:divBdr>
              <w:divsChild>
                <w:div w:id="17762436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837433">
      <w:bodyDiv w:val="1"/>
      <w:marLeft w:val="0"/>
      <w:marRight w:val="0"/>
      <w:marTop w:val="0"/>
      <w:marBottom w:val="0"/>
      <w:divBdr>
        <w:top w:val="none" w:sz="0" w:space="0" w:color="auto"/>
        <w:left w:val="none" w:sz="0" w:space="0" w:color="auto"/>
        <w:bottom w:val="none" w:sz="0" w:space="0" w:color="auto"/>
        <w:right w:val="none" w:sz="0" w:space="0" w:color="auto"/>
      </w:divBdr>
      <w:divsChild>
        <w:div w:id="977802187">
          <w:marLeft w:val="0"/>
          <w:marRight w:val="0"/>
          <w:marTop w:val="0"/>
          <w:marBottom w:val="0"/>
          <w:divBdr>
            <w:top w:val="none" w:sz="0" w:space="0" w:color="auto"/>
            <w:left w:val="none" w:sz="0" w:space="0" w:color="auto"/>
            <w:bottom w:val="none" w:sz="0" w:space="0" w:color="auto"/>
            <w:right w:val="none" w:sz="0" w:space="0" w:color="auto"/>
          </w:divBdr>
          <w:divsChild>
            <w:div w:id="353654404">
              <w:marLeft w:val="0"/>
              <w:marRight w:val="0"/>
              <w:marTop w:val="0"/>
              <w:marBottom w:val="0"/>
              <w:divBdr>
                <w:top w:val="none" w:sz="0" w:space="0" w:color="auto"/>
                <w:left w:val="none" w:sz="0" w:space="0" w:color="auto"/>
                <w:bottom w:val="none" w:sz="0" w:space="0" w:color="auto"/>
                <w:right w:val="none" w:sz="0" w:space="0" w:color="auto"/>
              </w:divBdr>
              <w:divsChild>
                <w:div w:id="1249533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326535">
      <w:bodyDiv w:val="1"/>
      <w:marLeft w:val="0"/>
      <w:marRight w:val="0"/>
      <w:marTop w:val="0"/>
      <w:marBottom w:val="0"/>
      <w:divBdr>
        <w:top w:val="none" w:sz="0" w:space="0" w:color="auto"/>
        <w:left w:val="none" w:sz="0" w:space="0" w:color="auto"/>
        <w:bottom w:val="none" w:sz="0" w:space="0" w:color="auto"/>
        <w:right w:val="none" w:sz="0" w:space="0" w:color="auto"/>
      </w:divBdr>
      <w:divsChild>
        <w:div w:id="24327761">
          <w:marLeft w:val="0"/>
          <w:marRight w:val="0"/>
          <w:marTop w:val="0"/>
          <w:marBottom w:val="0"/>
          <w:divBdr>
            <w:top w:val="none" w:sz="0" w:space="0" w:color="auto"/>
            <w:left w:val="none" w:sz="0" w:space="0" w:color="auto"/>
            <w:bottom w:val="none" w:sz="0" w:space="0" w:color="auto"/>
            <w:right w:val="none" w:sz="0" w:space="0" w:color="auto"/>
          </w:divBdr>
          <w:divsChild>
            <w:div w:id="517237477">
              <w:marLeft w:val="0"/>
              <w:marRight w:val="0"/>
              <w:marTop w:val="0"/>
              <w:marBottom w:val="0"/>
              <w:divBdr>
                <w:top w:val="none" w:sz="0" w:space="0" w:color="auto"/>
                <w:left w:val="none" w:sz="0" w:space="0" w:color="auto"/>
                <w:bottom w:val="none" w:sz="0" w:space="0" w:color="auto"/>
                <w:right w:val="none" w:sz="0" w:space="0" w:color="auto"/>
              </w:divBdr>
              <w:divsChild>
                <w:div w:id="89438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216395">
      <w:bodyDiv w:val="1"/>
      <w:marLeft w:val="0"/>
      <w:marRight w:val="0"/>
      <w:marTop w:val="0"/>
      <w:marBottom w:val="0"/>
      <w:divBdr>
        <w:top w:val="none" w:sz="0" w:space="0" w:color="auto"/>
        <w:left w:val="none" w:sz="0" w:space="0" w:color="auto"/>
        <w:bottom w:val="none" w:sz="0" w:space="0" w:color="auto"/>
        <w:right w:val="none" w:sz="0" w:space="0" w:color="auto"/>
      </w:divBdr>
      <w:divsChild>
        <w:div w:id="504328099">
          <w:marLeft w:val="0"/>
          <w:marRight w:val="0"/>
          <w:marTop w:val="0"/>
          <w:marBottom w:val="0"/>
          <w:divBdr>
            <w:top w:val="none" w:sz="0" w:space="0" w:color="auto"/>
            <w:left w:val="none" w:sz="0" w:space="0" w:color="auto"/>
            <w:bottom w:val="none" w:sz="0" w:space="0" w:color="auto"/>
            <w:right w:val="none" w:sz="0" w:space="0" w:color="auto"/>
          </w:divBdr>
          <w:divsChild>
            <w:div w:id="1835683776">
              <w:marLeft w:val="0"/>
              <w:marRight w:val="0"/>
              <w:marTop w:val="0"/>
              <w:marBottom w:val="0"/>
              <w:divBdr>
                <w:top w:val="none" w:sz="0" w:space="0" w:color="auto"/>
                <w:left w:val="none" w:sz="0" w:space="0" w:color="auto"/>
                <w:bottom w:val="none" w:sz="0" w:space="0" w:color="auto"/>
                <w:right w:val="none" w:sz="0" w:space="0" w:color="auto"/>
              </w:divBdr>
              <w:divsChild>
                <w:div w:id="140490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832005">
      <w:bodyDiv w:val="1"/>
      <w:marLeft w:val="0"/>
      <w:marRight w:val="0"/>
      <w:marTop w:val="0"/>
      <w:marBottom w:val="0"/>
      <w:divBdr>
        <w:top w:val="none" w:sz="0" w:space="0" w:color="auto"/>
        <w:left w:val="none" w:sz="0" w:space="0" w:color="auto"/>
        <w:bottom w:val="none" w:sz="0" w:space="0" w:color="auto"/>
        <w:right w:val="none" w:sz="0" w:space="0" w:color="auto"/>
      </w:divBdr>
      <w:divsChild>
        <w:div w:id="2133088465">
          <w:marLeft w:val="0"/>
          <w:marRight w:val="0"/>
          <w:marTop w:val="0"/>
          <w:marBottom w:val="0"/>
          <w:divBdr>
            <w:top w:val="none" w:sz="0" w:space="0" w:color="auto"/>
            <w:left w:val="none" w:sz="0" w:space="0" w:color="auto"/>
            <w:bottom w:val="none" w:sz="0" w:space="0" w:color="auto"/>
            <w:right w:val="none" w:sz="0" w:space="0" w:color="auto"/>
          </w:divBdr>
          <w:divsChild>
            <w:div w:id="1821850087">
              <w:marLeft w:val="0"/>
              <w:marRight w:val="0"/>
              <w:marTop w:val="0"/>
              <w:marBottom w:val="0"/>
              <w:divBdr>
                <w:top w:val="none" w:sz="0" w:space="0" w:color="auto"/>
                <w:left w:val="none" w:sz="0" w:space="0" w:color="auto"/>
                <w:bottom w:val="none" w:sz="0" w:space="0" w:color="auto"/>
                <w:right w:val="none" w:sz="0" w:space="0" w:color="auto"/>
              </w:divBdr>
              <w:divsChild>
                <w:div w:id="84143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785672">
      <w:bodyDiv w:val="1"/>
      <w:marLeft w:val="0"/>
      <w:marRight w:val="0"/>
      <w:marTop w:val="0"/>
      <w:marBottom w:val="0"/>
      <w:divBdr>
        <w:top w:val="none" w:sz="0" w:space="0" w:color="auto"/>
        <w:left w:val="none" w:sz="0" w:space="0" w:color="auto"/>
        <w:bottom w:val="none" w:sz="0" w:space="0" w:color="auto"/>
        <w:right w:val="none" w:sz="0" w:space="0" w:color="auto"/>
      </w:divBdr>
      <w:divsChild>
        <w:div w:id="1584293488">
          <w:marLeft w:val="0"/>
          <w:marRight w:val="0"/>
          <w:marTop w:val="0"/>
          <w:marBottom w:val="0"/>
          <w:divBdr>
            <w:top w:val="none" w:sz="0" w:space="0" w:color="auto"/>
            <w:left w:val="none" w:sz="0" w:space="0" w:color="auto"/>
            <w:bottom w:val="none" w:sz="0" w:space="0" w:color="auto"/>
            <w:right w:val="none" w:sz="0" w:space="0" w:color="auto"/>
          </w:divBdr>
        </w:div>
        <w:div w:id="1174608737">
          <w:marLeft w:val="0"/>
          <w:marRight w:val="0"/>
          <w:marTop w:val="0"/>
          <w:marBottom w:val="0"/>
          <w:divBdr>
            <w:top w:val="none" w:sz="0" w:space="0" w:color="auto"/>
            <w:left w:val="none" w:sz="0" w:space="0" w:color="auto"/>
            <w:bottom w:val="none" w:sz="0" w:space="0" w:color="auto"/>
            <w:right w:val="none" w:sz="0" w:space="0" w:color="auto"/>
          </w:divBdr>
          <w:divsChild>
            <w:div w:id="706292857">
              <w:marLeft w:val="0"/>
              <w:marRight w:val="0"/>
              <w:marTop w:val="0"/>
              <w:marBottom w:val="0"/>
              <w:divBdr>
                <w:top w:val="none" w:sz="0" w:space="0" w:color="auto"/>
                <w:left w:val="none" w:sz="0" w:space="0" w:color="auto"/>
                <w:bottom w:val="none" w:sz="0" w:space="0" w:color="auto"/>
                <w:right w:val="none" w:sz="0" w:space="0" w:color="auto"/>
              </w:divBdr>
              <w:divsChild>
                <w:div w:id="18670592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902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63101584-04B6-4F49-BF4F-CA8F9EE3D328}"/>
</file>

<file path=customXml/itemProps2.xml><?xml version="1.0" encoding="utf-8"?>
<ds:datastoreItem xmlns:ds="http://schemas.openxmlformats.org/officeDocument/2006/customXml" ds:itemID="{83DC4695-4FF0-46D3-9E95-2CDD4F062D5C}"/>
</file>

<file path=customXml/itemProps3.xml><?xml version="1.0" encoding="utf-8"?>
<ds:datastoreItem xmlns:ds="http://schemas.openxmlformats.org/officeDocument/2006/customXml" ds:itemID="{78964A63-AF1E-4287-B183-3A83E278276A}"/>
</file>

<file path=docMetadata/LabelInfo.xml><?xml version="1.0" encoding="utf-8"?>
<clbl:labelList xmlns:clbl="http://schemas.microsoft.com/office/2020/mipLabelMetadata">
  <clbl:label id="{7d854659-4213-48c1-80ca-df7831c02e6d}" enabled="0" method="" siteId="{7d854659-4213-48c1-80ca-df7831c02e6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23</Pages>
  <Words>4953</Words>
  <Characters>28234</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33121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2026-09-09T00:40:00Z</dcterms:created>
  <dcterms:modified xsi:type="dcterms:W3CDTF">2026-09-09T00:40:00Z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EmailSubject">
    <vt:lpwstr>2025 NPTC Team Memorandums</vt:lpwstr>
  </property>
  <property fmtid="{D5CDD505-2E9C-101B-9397-08002B2CF9AE}" pid="3" name="ContentTypeId">
    <vt:lpwstr>0x010100E5A01D7EFA89344A8F856027092B5075</vt:lpwstr>
  </property>
  <property fmtid="{D5CDD505-2E9C-101B-9397-08002B2CF9AE}" pid="4" name="_AuthorEmail">
    <vt:lpwstr>csadro@law.stetson.edu</vt:lpwstr>
  </property>
  <property fmtid="{D5CDD505-2E9C-101B-9397-08002B2CF9AE}" pid="5" name="_NewReviewCycle">
    <vt:lpwstr/>
  </property>
  <property fmtid="{D5CDD505-2E9C-101B-9397-08002B2CF9AE}" pid="6" name="_AuthorEmailDisplayName">
    <vt:lpwstr>Carson Sadro</vt:lpwstr>
  </property>
  <property fmtid="{D5CDD505-2E9C-101B-9397-08002B2CF9AE}" pid="7" name="_AdHocReviewCycleID">
    <vt:i4>-1968204675</vt:i4>
  </property>
</Properties>
</file>