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7FAB" w14:textId="77777777" w:rsidR="003D37FA" w:rsidRPr="0034322A" w:rsidRDefault="00AF4064" w:rsidP="003D37FA">
      <w:pPr>
        <w:pStyle w:val="BodyText"/>
        <w:ind w:left="0"/>
        <w:jc w:val="right"/>
      </w:pPr>
      <w:bookmarkStart w:id="0" w:name="dabmch_1"/>
      <w:r w:rsidRPr="0034322A">
        <w:t>Team No. 311</w:t>
      </w:r>
      <w:bookmarkEnd w:id="0"/>
    </w:p>
    <w:p w14:paraId="27C19E89" w14:textId="77777777" w:rsidR="003D37FA" w:rsidRPr="0034322A" w:rsidRDefault="003D37FA" w:rsidP="003D37FA">
      <w:pPr>
        <w:pStyle w:val="BodyText"/>
        <w:ind w:left="0"/>
        <w:jc w:val="center"/>
      </w:pPr>
    </w:p>
    <w:p w14:paraId="49EBB853" w14:textId="77777777" w:rsidR="003D37FA" w:rsidRPr="0034322A" w:rsidRDefault="00AF4064" w:rsidP="003D37FA">
      <w:pPr>
        <w:pStyle w:val="BodyText"/>
        <w:ind w:left="0"/>
        <w:jc w:val="center"/>
      </w:pPr>
      <w:bookmarkStart w:id="1" w:name="dabmch_2"/>
      <w:r w:rsidRPr="0034322A">
        <w:t>Case</w:t>
      </w:r>
      <w:r w:rsidRPr="0034322A">
        <w:rPr>
          <w:spacing w:val="-7"/>
        </w:rPr>
        <w:t xml:space="preserve"> </w:t>
      </w:r>
      <w:r w:rsidRPr="0034322A">
        <w:t>No.</w:t>
      </w:r>
      <w:r w:rsidRPr="0034322A">
        <w:rPr>
          <w:spacing w:val="-6"/>
        </w:rPr>
        <w:t xml:space="preserve"> </w:t>
      </w:r>
      <w:r w:rsidRPr="0034322A">
        <w:t>2025-CF-00417</w:t>
      </w:r>
      <w:bookmarkEnd w:id="1"/>
    </w:p>
    <w:bookmarkStart w:id="2" w:name="dabmch_3"/>
    <w:bookmarkEnd w:id="2"/>
    <w:p w14:paraId="730B17B9" w14:textId="77777777" w:rsidR="003D37FA" w:rsidRPr="0034322A" w:rsidRDefault="00AF4064" w:rsidP="003D37FA">
      <w:pPr>
        <w:pStyle w:val="BodyText"/>
        <w:ind w:left="0"/>
      </w:pPr>
      <w:r w:rsidRPr="0034322A">
        <w:rPr>
          <w:rFonts w:eastAsia="Century Schoolbook"/>
          <w:b/>
          <w:bCs/>
          <w:noProof/>
        </w:rPr>
        <mc:AlternateContent>
          <mc:Choice Requires="wps">
            <w:drawing>
              <wp:anchor distT="0" distB="0" distL="114300" distR="114300" simplePos="0" relativeHeight="251658240" behindDoc="0" locked="0" layoutInCell="1" allowOverlap="1" wp14:anchorId="38414332" wp14:editId="3ABBADA8">
                <wp:simplePos x="0" y="0"/>
                <wp:positionH relativeFrom="column">
                  <wp:posOffset>838835</wp:posOffset>
                </wp:positionH>
                <wp:positionV relativeFrom="paragraph">
                  <wp:posOffset>162560</wp:posOffset>
                </wp:positionV>
                <wp:extent cx="4329430" cy="0"/>
                <wp:effectExtent l="0" t="38100" r="26670" b="38100"/>
                <wp:wrapNone/>
                <wp:docPr id="1688832231" name="Straight Connector 1688832231"/>
                <wp:cNvGraphicFramePr/>
                <a:graphic xmlns:a="http://schemas.openxmlformats.org/drawingml/2006/main">
                  <a:graphicData uri="http://schemas.microsoft.com/office/word/2010/wordprocessingShape">
                    <wps:wsp>
                      <wps:cNvCnPr/>
                      <wps:spPr>
                        <a:xfrm>
                          <a:off x="0" y="0"/>
                          <a:ext cx="4329430" cy="0"/>
                        </a:xfrm>
                        <a:prstGeom prst="line">
                          <a:avLst/>
                        </a:prstGeom>
                        <a:noFill/>
                        <a:ln w="69850" cmpd="thickThin">
                          <a:solidFill>
                            <a:sysClr val="windowText" lastClr="000000"/>
                          </a:solidFill>
                          <a:prstDash val="solid"/>
                          <a:miter lim="800000"/>
                        </a:ln>
                        <a:effectLst/>
                      </wps:spPr>
                      <wps:bodyPr/>
                    </wps:wsp>
                  </a:graphicData>
                </a:graphic>
                <wp14:sizeRelH relativeFrom="margin">
                  <wp14:pctWidth>0</wp14:pctWidth>
                </wp14:sizeRelH>
              </wp:anchor>
            </w:drawing>
          </mc:Choice>
          <mc:Fallback xmlns:arto="http://schemas.microsoft.com/office/word/2006/arto" xmlns:a="http://schemas.openxmlformats.org/drawingml/2006/main">
            <w:pict w14:anchorId="263458CC">
              <v:line id="Straight Connector 1688832231" style="mso-width-percent:0;mso-width-relative:margin;mso-wrap-distance-bottom:0;mso-wrap-distance-left:9pt;mso-wrap-distance-right:9pt;mso-wrap-distance-top:0;mso-wrap-style:square;position:absolute;visibility:visible;z-index:251659264" o:spid="_x0000_s1025" strokecolor="black" strokeweight="5.5pt" from="66.05pt,12.8pt" to="406.95pt,12.8pt">
                <v:stroke linestyle="thickThin" joinstyle="miter"/>
              </v:line>
            </w:pict>
          </mc:Fallback>
        </mc:AlternateContent>
      </w:r>
    </w:p>
    <w:p w14:paraId="0B9A10AB" w14:textId="77777777" w:rsidR="003D37FA" w:rsidRPr="0034322A" w:rsidRDefault="003D37FA" w:rsidP="003D37FA">
      <w:pPr>
        <w:pStyle w:val="BodyText"/>
        <w:ind w:left="0" w:right="10"/>
      </w:pPr>
    </w:p>
    <w:p w14:paraId="307E185C" w14:textId="77777777" w:rsidR="003D37FA" w:rsidRPr="0034322A" w:rsidRDefault="00AF4064" w:rsidP="003D37FA">
      <w:pPr>
        <w:pStyle w:val="BodyText"/>
        <w:spacing w:line="480" w:lineRule="auto"/>
        <w:jc w:val="center"/>
        <w:rPr>
          <w:b/>
          <w:spacing w:val="-7"/>
        </w:rPr>
      </w:pPr>
      <w:bookmarkStart w:id="3" w:name="_Toc174900481"/>
      <w:bookmarkStart w:id="4" w:name="dabmch_5"/>
      <w:r w:rsidRPr="0034322A">
        <w:rPr>
          <w:b/>
        </w:rPr>
        <w:t>IN</w:t>
      </w:r>
      <w:r w:rsidRPr="0034322A">
        <w:rPr>
          <w:b/>
          <w:spacing w:val="-6"/>
        </w:rPr>
        <w:t xml:space="preserve"> </w:t>
      </w:r>
      <w:r w:rsidRPr="0034322A">
        <w:rPr>
          <w:b/>
        </w:rPr>
        <w:t>THE</w:t>
      </w:r>
      <w:bookmarkEnd w:id="3"/>
      <w:bookmarkEnd w:id="4"/>
    </w:p>
    <w:p w14:paraId="707949A6" w14:textId="77777777" w:rsidR="003D37FA" w:rsidRPr="0034322A" w:rsidRDefault="00AF4064" w:rsidP="003D37FA">
      <w:pPr>
        <w:pStyle w:val="BodyText"/>
        <w:spacing w:line="480" w:lineRule="auto"/>
        <w:jc w:val="center"/>
        <w:rPr>
          <w:b/>
        </w:rPr>
      </w:pPr>
      <w:bookmarkStart w:id="5" w:name="dabmch_6"/>
      <w:r w:rsidRPr="0034322A">
        <w:rPr>
          <w:b/>
        </w:rPr>
        <w:t>UNITED STATES DISTRICT COURT</w:t>
      </w:r>
      <w:bookmarkEnd w:id="5"/>
    </w:p>
    <w:p w14:paraId="780B6966" w14:textId="77777777" w:rsidR="003D37FA" w:rsidRPr="0034322A" w:rsidRDefault="00AF4064" w:rsidP="003D37FA">
      <w:pPr>
        <w:pStyle w:val="BodyText"/>
        <w:spacing w:line="480" w:lineRule="auto"/>
        <w:jc w:val="center"/>
        <w:rPr>
          <w:b/>
          <w:spacing w:val="-2"/>
        </w:rPr>
      </w:pPr>
      <w:bookmarkStart w:id="6" w:name="dabmch_7"/>
      <w:r w:rsidRPr="0034322A">
        <w:rPr>
          <w:b/>
        </w:rPr>
        <w:t>FOR THE FOURTEENTH JUDICIAL DISTRICT</w:t>
      </w:r>
      <w:bookmarkEnd w:id="6"/>
    </w:p>
    <w:bookmarkStart w:id="7" w:name="dabmch_8"/>
    <w:bookmarkStart w:id="8" w:name="_Toc174900484"/>
    <w:bookmarkEnd w:id="7"/>
    <w:p w14:paraId="68D7773F" w14:textId="77777777" w:rsidR="003D37FA" w:rsidRPr="0034322A" w:rsidRDefault="00AF4064" w:rsidP="003D37FA">
      <w:pPr>
        <w:pStyle w:val="BodyText"/>
      </w:pPr>
      <w:r w:rsidRPr="0034322A">
        <w:rPr>
          <w:noProof/>
        </w:rPr>
        <mc:AlternateContent>
          <mc:Choice Requires="wps">
            <w:drawing>
              <wp:anchor distT="0" distB="0" distL="114300" distR="114300" simplePos="0" relativeHeight="251658241" behindDoc="0" locked="0" layoutInCell="1" allowOverlap="1" wp14:anchorId="4D01CD5D" wp14:editId="59303FA0">
                <wp:simplePos x="0" y="0"/>
                <wp:positionH relativeFrom="column">
                  <wp:posOffset>1957892</wp:posOffset>
                </wp:positionH>
                <wp:positionV relativeFrom="paragraph">
                  <wp:posOffset>159385</wp:posOffset>
                </wp:positionV>
                <wp:extent cx="2093408" cy="0"/>
                <wp:effectExtent l="0" t="0" r="15240" b="12700"/>
                <wp:wrapNone/>
                <wp:docPr id="258557859" name="Straight Connector 258557859"/>
                <wp:cNvGraphicFramePr/>
                <a:graphic xmlns:a="http://schemas.openxmlformats.org/drawingml/2006/main">
                  <a:graphicData uri="http://schemas.microsoft.com/office/word/2010/wordprocessingShape">
                    <wps:wsp>
                      <wps:cNvCnPr/>
                      <wps:spPr>
                        <a:xfrm>
                          <a:off x="0" y="0"/>
                          <a:ext cx="2093408"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1F26BCB2">
              <v:line id="Straight Connector 258557859" style="mso-height-percent:0;mso-height-relative:margin;mso-width-percent:0;mso-width-relative:margin;mso-wrap-distance-bottom:0;mso-wrap-distance-left:9pt;mso-wrap-distance-right:9pt;mso-wrap-distance-top:0;mso-wrap-style:square;position:absolute;visibility:visible;z-index:251661312" o:spid="_x0000_s1026" strokecolor="black" strokeweight="1pt" from="154.15pt,12.55pt" to="319pt,12.55pt">
                <v:stroke joinstyle="miter"/>
              </v:line>
            </w:pict>
          </mc:Fallback>
        </mc:AlternateContent>
      </w:r>
      <w:bookmarkStart w:id="9" w:name="dabmch_9"/>
      <w:bookmarkEnd w:id="8"/>
      <w:bookmarkEnd w:id="9"/>
    </w:p>
    <w:p w14:paraId="2D069C35" w14:textId="77777777" w:rsidR="003D37FA" w:rsidRPr="0034322A" w:rsidRDefault="003D37FA" w:rsidP="00494183">
      <w:pPr>
        <w:pStyle w:val="Heading3"/>
        <w:numPr>
          <w:ilvl w:val="0"/>
          <w:numId w:val="0"/>
        </w:numPr>
        <w:ind w:left="1080" w:hanging="360"/>
      </w:pPr>
    </w:p>
    <w:p w14:paraId="71A35B71" w14:textId="77777777" w:rsidR="003D37FA" w:rsidRPr="0034322A" w:rsidRDefault="00AF4064" w:rsidP="003D37FA">
      <w:pPr>
        <w:pStyle w:val="BodyText"/>
        <w:jc w:val="center"/>
      </w:pPr>
      <w:bookmarkStart w:id="10" w:name="dabmch_10"/>
      <w:r w:rsidRPr="0034322A">
        <w:t xml:space="preserve">UNITED STATES OF AMERICA </w:t>
      </w:r>
      <w:bookmarkEnd w:id="10"/>
    </w:p>
    <w:p w14:paraId="22F7F51D" w14:textId="77777777" w:rsidR="003D37FA" w:rsidRPr="0034322A" w:rsidRDefault="003D37FA" w:rsidP="003D37FA">
      <w:pPr>
        <w:pStyle w:val="BodyText"/>
        <w:jc w:val="center"/>
      </w:pPr>
    </w:p>
    <w:p w14:paraId="1D832524" w14:textId="77777777" w:rsidR="003D37FA" w:rsidRPr="0034322A" w:rsidRDefault="003D37FA" w:rsidP="003D37FA">
      <w:pPr>
        <w:pStyle w:val="BodyText"/>
        <w:jc w:val="center"/>
      </w:pPr>
    </w:p>
    <w:p w14:paraId="4B34941E" w14:textId="77777777" w:rsidR="003D37FA" w:rsidRPr="0034322A" w:rsidRDefault="00AF4064" w:rsidP="003D37FA">
      <w:pPr>
        <w:pStyle w:val="BodyText"/>
        <w:jc w:val="center"/>
      </w:pPr>
      <w:bookmarkStart w:id="11" w:name="dabmch_11"/>
      <w:r w:rsidRPr="0034322A">
        <w:t>v.</w:t>
      </w:r>
      <w:bookmarkEnd w:id="11"/>
    </w:p>
    <w:p w14:paraId="3B232C06" w14:textId="77777777" w:rsidR="003D37FA" w:rsidRPr="0034322A" w:rsidRDefault="003D37FA" w:rsidP="003D37FA">
      <w:pPr>
        <w:pStyle w:val="BodyText"/>
        <w:jc w:val="center"/>
      </w:pPr>
    </w:p>
    <w:p w14:paraId="4F5CB5F3" w14:textId="77777777" w:rsidR="003D37FA" w:rsidRPr="0034322A" w:rsidRDefault="003D37FA" w:rsidP="003D37FA">
      <w:pPr>
        <w:pStyle w:val="BodyText"/>
        <w:jc w:val="center"/>
      </w:pPr>
    </w:p>
    <w:p w14:paraId="32BD07F7" w14:textId="77777777" w:rsidR="003D37FA" w:rsidRPr="0034322A" w:rsidRDefault="00AF4064" w:rsidP="003D37FA">
      <w:pPr>
        <w:pStyle w:val="BodyText"/>
        <w:jc w:val="center"/>
      </w:pPr>
      <w:bookmarkStart w:id="12" w:name="_Toc174900486"/>
      <w:bookmarkStart w:id="13" w:name="dabmch_12"/>
      <w:r w:rsidRPr="0034322A">
        <w:t>EMILY CALLOWAY,</w:t>
      </w:r>
      <w:bookmarkEnd w:id="12"/>
      <w:bookmarkEnd w:id="13"/>
    </w:p>
    <w:p w14:paraId="18E75CA9" w14:textId="77777777" w:rsidR="003D37FA" w:rsidRPr="0034322A" w:rsidRDefault="003D37FA" w:rsidP="003D37FA">
      <w:pPr>
        <w:pStyle w:val="BodyText"/>
        <w:jc w:val="center"/>
      </w:pPr>
    </w:p>
    <w:p w14:paraId="7EDA6F45" w14:textId="77777777" w:rsidR="003D37FA" w:rsidRPr="0034322A" w:rsidRDefault="00AF4064" w:rsidP="003D37FA">
      <w:pPr>
        <w:pStyle w:val="BodyText"/>
        <w:ind w:left="1540" w:firstLine="620"/>
        <w:jc w:val="center"/>
        <w:rPr>
          <w:i/>
        </w:rPr>
      </w:pPr>
      <w:bookmarkStart w:id="14" w:name="dabmch_13"/>
      <w:r w:rsidRPr="0034322A">
        <w:rPr>
          <w:i/>
          <w:spacing w:val="-2"/>
        </w:rPr>
        <w:t>Defendant.</w:t>
      </w:r>
      <w:bookmarkEnd w:id="14"/>
    </w:p>
    <w:p w14:paraId="1CEBACE5" w14:textId="77777777" w:rsidR="003D37FA" w:rsidRPr="0034322A" w:rsidRDefault="003D37FA" w:rsidP="003D37FA">
      <w:pPr>
        <w:pStyle w:val="BodyText"/>
        <w:spacing w:line="480" w:lineRule="auto"/>
        <w:ind w:left="0"/>
        <w:rPr>
          <w:i/>
        </w:rPr>
      </w:pPr>
    </w:p>
    <w:bookmarkStart w:id="15" w:name="dabmch_14"/>
    <w:bookmarkEnd w:id="15"/>
    <w:p w14:paraId="1854865D" w14:textId="77777777" w:rsidR="003D37FA" w:rsidRPr="0034322A" w:rsidRDefault="00AF4064" w:rsidP="003D37FA">
      <w:pPr>
        <w:pStyle w:val="BodyText"/>
        <w:spacing w:line="480" w:lineRule="auto"/>
        <w:ind w:left="0"/>
        <w:rPr>
          <w:i/>
        </w:rPr>
      </w:pPr>
      <w:r w:rsidRPr="0034322A">
        <w:rPr>
          <w:b/>
          <w:bCs/>
          <w:noProof/>
        </w:rPr>
        <mc:AlternateContent>
          <mc:Choice Requires="wps">
            <w:drawing>
              <wp:anchor distT="0" distB="0" distL="114300" distR="114300" simplePos="0" relativeHeight="251658242" behindDoc="0" locked="0" layoutInCell="1" allowOverlap="1" wp14:anchorId="2B05CAF9" wp14:editId="184870E0">
                <wp:simplePos x="0" y="0"/>
                <wp:positionH relativeFrom="column">
                  <wp:posOffset>1957892</wp:posOffset>
                </wp:positionH>
                <wp:positionV relativeFrom="paragraph">
                  <wp:posOffset>65106</wp:posOffset>
                </wp:positionV>
                <wp:extent cx="2092960" cy="0"/>
                <wp:effectExtent l="0" t="0" r="15240" b="12700"/>
                <wp:wrapNone/>
                <wp:docPr id="405052728" name="Straight Connector 405052728"/>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w14:anchorId="53717381">
              <v:line id="Straight Connector 405052728" style="mso-width-percent:0;mso-width-relative:margin;mso-wrap-distance-bottom:0;mso-wrap-distance-left:9pt;mso-wrap-distance-right:9pt;mso-wrap-distance-top:0;mso-wrap-style:square;position:absolute;visibility:visible;z-index:251663360" o:spid="_x0000_s1027" strokecolor="black" strokeweight="1pt" from="154.15pt,5.15pt" to="318.95pt,5.15pt">
                <v:stroke joinstyle="miter"/>
              </v:line>
            </w:pict>
          </mc:Fallback>
        </mc:AlternateContent>
      </w:r>
    </w:p>
    <w:p w14:paraId="7DB367F6" w14:textId="77777777" w:rsidR="003D37FA" w:rsidRPr="0034322A" w:rsidRDefault="00AF4064" w:rsidP="003D37FA">
      <w:pPr>
        <w:pStyle w:val="BodyText"/>
        <w:jc w:val="center"/>
        <w:rPr>
          <w:b/>
        </w:rPr>
      </w:pPr>
      <w:bookmarkStart w:id="16" w:name="dabmch_16"/>
      <w:r w:rsidRPr="0034322A">
        <w:rPr>
          <w:b/>
        </w:rPr>
        <w:t>DEFENDANT’S MEMORANDUM OF LAW IN SUPPORT OF</w:t>
      </w:r>
      <w:bookmarkEnd w:id="16"/>
    </w:p>
    <w:p w14:paraId="66A841D3" w14:textId="77777777" w:rsidR="003D37FA" w:rsidRPr="0034322A" w:rsidRDefault="00AF4064" w:rsidP="003D37FA">
      <w:pPr>
        <w:pStyle w:val="BodyText"/>
        <w:jc w:val="center"/>
        <w:rPr>
          <w:b/>
        </w:rPr>
      </w:pPr>
      <w:bookmarkStart w:id="17" w:name="dabmch_17"/>
      <w:r w:rsidRPr="0034322A">
        <w:rPr>
          <w:b/>
        </w:rPr>
        <w:t>HER MOTION TO SUPPRESS EVIDENCE AND</w:t>
      </w:r>
      <w:bookmarkEnd w:id="17"/>
    </w:p>
    <w:p w14:paraId="5FF2266C" w14:textId="77777777" w:rsidR="003D37FA" w:rsidRPr="0034322A" w:rsidRDefault="00AF4064" w:rsidP="003D37FA">
      <w:pPr>
        <w:pStyle w:val="BodyText"/>
        <w:jc w:val="center"/>
        <w:rPr>
          <w:b/>
        </w:rPr>
      </w:pPr>
      <w:bookmarkStart w:id="18" w:name="dabmch_18"/>
      <w:r w:rsidRPr="0034322A">
        <w:rPr>
          <w:b/>
        </w:rPr>
        <w:t>MOTION TO QUASH SUBPOENA</w:t>
      </w:r>
      <w:bookmarkEnd w:id="18"/>
    </w:p>
    <w:p w14:paraId="67B8F737" w14:textId="77777777" w:rsidR="003D37FA" w:rsidRPr="0034322A" w:rsidRDefault="003D37FA" w:rsidP="003D37FA">
      <w:pPr>
        <w:pStyle w:val="BodyText"/>
        <w:jc w:val="center"/>
        <w:rPr>
          <w:b/>
          <w:bCs/>
          <w:spacing w:val="-5"/>
        </w:rPr>
      </w:pPr>
    </w:p>
    <w:bookmarkStart w:id="19" w:name="dabmch_19"/>
    <w:bookmarkEnd w:id="19"/>
    <w:p w14:paraId="3DF0EE18" w14:textId="77777777" w:rsidR="003D37FA" w:rsidRPr="0034322A" w:rsidRDefault="00AF4064" w:rsidP="003D37FA">
      <w:pPr>
        <w:pStyle w:val="BodyText"/>
        <w:ind w:left="0"/>
        <w:rPr>
          <w:b/>
        </w:rPr>
      </w:pPr>
      <w:r w:rsidRPr="0034322A">
        <w:rPr>
          <w:b/>
          <w:bCs/>
          <w:noProof/>
        </w:rPr>
        <mc:AlternateContent>
          <mc:Choice Requires="wps">
            <w:drawing>
              <wp:anchor distT="0" distB="0" distL="114300" distR="114300" simplePos="0" relativeHeight="251658243" behindDoc="0" locked="0" layoutInCell="1" allowOverlap="1" wp14:anchorId="2E1F009E" wp14:editId="76676C8F">
                <wp:simplePos x="0" y="0"/>
                <wp:positionH relativeFrom="column">
                  <wp:posOffset>1957892</wp:posOffset>
                </wp:positionH>
                <wp:positionV relativeFrom="paragraph">
                  <wp:posOffset>61894</wp:posOffset>
                </wp:positionV>
                <wp:extent cx="2092960" cy="0"/>
                <wp:effectExtent l="0" t="0" r="15240" b="12700"/>
                <wp:wrapNone/>
                <wp:docPr id="1955515242" name="Straight Connector 1955515242"/>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xmlns:a="http://schemas.openxmlformats.org/drawingml/2006/main">
            <w:pict w14:anchorId="531F415A">
              <v:line id="Straight Connector 1955515242" style="mso-width-percent:0;mso-width-relative:margin;mso-wrap-distance-bottom:0;mso-wrap-distance-left:9pt;mso-wrap-distance-right:9pt;mso-wrap-distance-top:0;mso-wrap-style:square;position:absolute;visibility:visible;z-index:251665408" o:spid="_x0000_s1028" strokecolor="black" strokeweight="1pt" from="154.15pt,4.85pt" to="318.95pt,4.85pt">
                <v:stroke joinstyle="miter"/>
              </v:line>
            </w:pict>
          </mc:Fallback>
        </mc:AlternateContent>
      </w:r>
    </w:p>
    <w:p w14:paraId="5EEAE4E2" w14:textId="77777777" w:rsidR="003D37FA" w:rsidRPr="0034322A" w:rsidRDefault="003D37FA" w:rsidP="003D37FA">
      <w:pPr>
        <w:pStyle w:val="BodyText"/>
        <w:ind w:left="0"/>
        <w:rPr>
          <w:b/>
        </w:rPr>
      </w:pPr>
    </w:p>
    <w:p w14:paraId="745BADF5" w14:textId="77777777" w:rsidR="003D37FA" w:rsidRPr="0034322A" w:rsidRDefault="003D37FA" w:rsidP="003D37FA">
      <w:pPr>
        <w:pStyle w:val="BodyText"/>
        <w:ind w:left="0"/>
        <w:rPr>
          <w:b/>
        </w:rPr>
      </w:pPr>
    </w:p>
    <w:p w14:paraId="7C2D7381" w14:textId="77777777" w:rsidR="003D37FA" w:rsidRPr="0034322A" w:rsidRDefault="003D37FA" w:rsidP="003D37FA">
      <w:pPr>
        <w:pStyle w:val="BodyText"/>
        <w:spacing w:before="62"/>
        <w:ind w:left="0"/>
        <w:rPr>
          <w:b/>
        </w:rPr>
      </w:pPr>
    </w:p>
    <w:p w14:paraId="76B52474" w14:textId="77777777" w:rsidR="003D37FA" w:rsidRPr="0034322A" w:rsidRDefault="00AF4064" w:rsidP="00440923">
      <w:pPr>
        <w:pStyle w:val="BodyText"/>
        <w:tabs>
          <w:tab w:val="left" w:pos="6999"/>
          <w:tab w:val="left" w:pos="7200"/>
          <w:tab w:val="left" w:pos="8664"/>
        </w:tabs>
        <w:spacing w:before="1" w:line="480" w:lineRule="auto"/>
        <w:ind w:left="0"/>
        <w:jc w:val="right"/>
        <w:rPr>
          <w:spacing w:val="-5"/>
          <w:u w:val="single"/>
        </w:rPr>
      </w:pPr>
      <w:bookmarkStart w:id="20" w:name="dabmch_21"/>
      <w:r w:rsidRPr="0034322A">
        <w:t xml:space="preserve">   </w:t>
      </w:r>
      <w:r w:rsidRPr="0034322A">
        <w:tab/>
      </w:r>
      <w:r w:rsidRPr="0034322A">
        <w:rPr>
          <w:u w:val="single"/>
        </w:rPr>
        <w:t xml:space="preserve">      </w:t>
      </w:r>
      <w:r w:rsidRPr="0034322A">
        <w:rPr>
          <w:spacing w:val="-5"/>
          <w:u w:val="single"/>
        </w:rPr>
        <w:t>/s/</w:t>
      </w:r>
      <w:r w:rsidRPr="0034322A">
        <w:rPr>
          <w:u w:val="single"/>
        </w:rPr>
        <w:tab/>
      </w:r>
      <w:r w:rsidRPr="0034322A">
        <w:rPr>
          <w:spacing w:val="-5"/>
          <w:u w:val="single"/>
        </w:rPr>
        <w:t>311</w:t>
      </w:r>
      <w:bookmarkEnd w:id="20"/>
    </w:p>
    <w:p w14:paraId="1E447B71" w14:textId="77777777" w:rsidR="003D37FA" w:rsidRPr="0034322A" w:rsidRDefault="00AF4064" w:rsidP="00440923">
      <w:pPr>
        <w:pStyle w:val="BodyText"/>
        <w:tabs>
          <w:tab w:val="left" w:pos="6999"/>
          <w:tab w:val="left" w:pos="7200"/>
          <w:tab w:val="left" w:pos="8664"/>
        </w:tabs>
        <w:spacing w:before="1" w:line="480" w:lineRule="auto"/>
        <w:ind w:left="0"/>
        <w:jc w:val="right"/>
        <w:rPr>
          <w:i/>
        </w:rPr>
        <w:sectPr w:rsidR="003D37FA" w:rsidRPr="0034322A" w:rsidSect="003D37FA">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08" w:footer="708" w:gutter="0"/>
          <w:pgNumType w:fmt="lowerRoman" w:start="1"/>
          <w:cols w:space="720"/>
          <w:titlePg/>
        </w:sectPr>
      </w:pPr>
      <w:bookmarkStart w:id="22" w:name="dabmch_22"/>
      <w:r w:rsidRPr="0034322A">
        <w:rPr>
          <w:i/>
        </w:rPr>
        <w:t>Attorneys</w:t>
      </w:r>
      <w:r w:rsidRPr="0034322A">
        <w:rPr>
          <w:i/>
          <w:spacing w:val="-3"/>
        </w:rPr>
        <w:t xml:space="preserve"> </w:t>
      </w:r>
      <w:r w:rsidRPr="0034322A">
        <w:rPr>
          <w:i/>
        </w:rPr>
        <w:t>for</w:t>
      </w:r>
      <w:r w:rsidRPr="0034322A">
        <w:rPr>
          <w:i/>
          <w:spacing w:val="-2"/>
        </w:rPr>
        <w:t xml:space="preserve"> </w:t>
      </w:r>
      <w:r w:rsidRPr="0034322A">
        <w:rPr>
          <w:i/>
        </w:rPr>
        <w:t>the</w:t>
      </w:r>
      <w:r w:rsidRPr="0034322A">
        <w:rPr>
          <w:i/>
          <w:spacing w:val="-1"/>
        </w:rPr>
        <w:t xml:space="preserve"> </w:t>
      </w:r>
      <w:r w:rsidRPr="0034322A">
        <w:rPr>
          <w:i/>
        </w:rPr>
        <w:t>Defendant</w:t>
      </w:r>
      <w:bookmarkEnd w:id="22"/>
    </w:p>
    <w:sdt>
      <w:sdtPr>
        <w:rPr>
          <w:b w:val="0"/>
          <w:bCs w:val="0"/>
          <w:color w:val="auto"/>
          <w:sz w:val="26"/>
          <w:szCs w:val="26"/>
        </w:rPr>
        <w:id w:val="256718642"/>
        <w:docPartObj>
          <w:docPartGallery w:val="Table of Contents"/>
          <w:docPartUnique/>
        </w:docPartObj>
      </w:sdtPr>
      <w:sdtEndPr/>
      <w:sdtContent>
        <w:p w14:paraId="2D386169" w14:textId="53FCE428" w:rsidR="00494183" w:rsidRPr="00881AA8" w:rsidRDefault="00881AA8" w:rsidP="002E624A">
          <w:pPr>
            <w:pStyle w:val="TOCHeading"/>
            <w:spacing w:before="0" w:after="240" w:line="240" w:lineRule="auto"/>
            <w:jc w:val="center"/>
            <w:rPr>
              <w:sz w:val="26"/>
              <w:szCs w:val="26"/>
            </w:rPr>
          </w:pPr>
          <w:r w:rsidRPr="00881AA8">
            <w:rPr>
              <w:sz w:val="26"/>
              <w:szCs w:val="26"/>
            </w:rPr>
            <w:t>TABLE OF CONTENTS</w:t>
          </w:r>
        </w:p>
        <w:p w14:paraId="75D5375A" w14:textId="2B15469C" w:rsidR="008B306D" w:rsidRPr="00EA45CD" w:rsidRDefault="001266C4" w:rsidP="00635F6B">
          <w:pPr>
            <w:pStyle w:val="TOC1"/>
            <w:rPr>
              <w:rFonts w:eastAsiaTheme="minorEastAsia"/>
              <w:i/>
              <w:kern w:val="2"/>
              <w:lang w:val="en-US" w:eastAsia="en-US"/>
              <w14:ligatures w14:val="standardContextual"/>
            </w:rPr>
          </w:pPr>
          <w:r w:rsidRPr="00881AA8">
            <w:rPr>
              <w:b/>
              <w:i/>
            </w:rPr>
            <w:fldChar w:fldCharType="begin"/>
          </w:r>
          <w:r w:rsidRPr="00881AA8">
            <w:instrText xml:space="preserve"> TOC \o "1-4" \h \z \u </w:instrText>
          </w:r>
          <w:r w:rsidRPr="00881AA8">
            <w:rPr>
              <w:b/>
              <w:i/>
            </w:rPr>
            <w:fldChar w:fldCharType="separate"/>
          </w:r>
          <w:hyperlink w:anchor="_Toc239155039" w:history="1">
            <w:r w:rsidR="008B306D" w:rsidRPr="00635F6B">
              <w:rPr>
                <w:rStyle w:val="Hyperlink"/>
                <w:b/>
              </w:rPr>
              <w:t>INTRODUCTION</w:t>
            </w:r>
            <w:r w:rsidR="008B306D" w:rsidRPr="00EA45CD">
              <w:rPr>
                <w:webHidden/>
              </w:rPr>
              <w:tab/>
            </w:r>
            <w:r w:rsidR="008B306D" w:rsidRPr="001F4CF7">
              <w:rPr>
                <w:b/>
                <w:bCs/>
                <w:i/>
                <w:webHidden/>
              </w:rPr>
              <w:fldChar w:fldCharType="begin"/>
            </w:r>
            <w:r w:rsidR="008B306D" w:rsidRPr="001F4CF7">
              <w:rPr>
                <w:b/>
                <w:bCs/>
                <w:webHidden/>
              </w:rPr>
              <w:instrText xml:space="preserve"> PAGEREF _Toc239155039 \h </w:instrText>
            </w:r>
            <w:r w:rsidR="008B306D" w:rsidRPr="001F4CF7">
              <w:rPr>
                <w:b/>
                <w:bCs/>
                <w:i/>
                <w:webHidden/>
              </w:rPr>
            </w:r>
            <w:r w:rsidR="008B306D" w:rsidRPr="001F4CF7">
              <w:rPr>
                <w:b/>
                <w:bCs/>
                <w:i/>
                <w:webHidden/>
              </w:rPr>
              <w:fldChar w:fldCharType="separate"/>
            </w:r>
            <w:r w:rsidR="006C38FE">
              <w:rPr>
                <w:b/>
                <w:bCs/>
                <w:webHidden/>
              </w:rPr>
              <w:t>1</w:t>
            </w:r>
            <w:r w:rsidR="008B306D" w:rsidRPr="001F4CF7">
              <w:rPr>
                <w:b/>
                <w:bCs/>
                <w:i/>
                <w:webHidden/>
              </w:rPr>
              <w:fldChar w:fldCharType="end"/>
            </w:r>
          </w:hyperlink>
        </w:p>
        <w:p w14:paraId="0FB96684" w14:textId="6C0EC4EA" w:rsidR="008B306D" w:rsidRPr="00635F6B" w:rsidRDefault="008B306D" w:rsidP="00635F6B">
          <w:pPr>
            <w:pStyle w:val="TOC1"/>
            <w:rPr>
              <w:rFonts w:eastAsiaTheme="minorEastAsia"/>
              <w:i/>
              <w:kern w:val="2"/>
              <w:lang w:val="en-US" w:eastAsia="en-US"/>
              <w14:ligatures w14:val="standardContextual"/>
            </w:rPr>
          </w:pPr>
          <w:hyperlink w:anchor="_Toc239155040" w:history="1">
            <w:r w:rsidRPr="00635F6B">
              <w:rPr>
                <w:rStyle w:val="Hyperlink"/>
                <w:b/>
              </w:rPr>
              <w:t>STATEMENT OF FACTS</w:t>
            </w:r>
            <w:r w:rsidRPr="00635F6B">
              <w:rPr>
                <w:webHidden/>
              </w:rPr>
              <w:tab/>
            </w:r>
            <w:r w:rsidRPr="001F4CF7">
              <w:rPr>
                <w:b/>
                <w:bCs/>
                <w:i/>
                <w:webHidden/>
              </w:rPr>
              <w:fldChar w:fldCharType="begin"/>
            </w:r>
            <w:r w:rsidRPr="001F4CF7">
              <w:rPr>
                <w:b/>
                <w:bCs/>
                <w:webHidden/>
              </w:rPr>
              <w:instrText xml:space="preserve"> PAGEREF _Toc239155040 \h </w:instrText>
            </w:r>
            <w:r w:rsidRPr="001F4CF7">
              <w:rPr>
                <w:b/>
                <w:bCs/>
                <w:i/>
                <w:webHidden/>
              </w:rPr>
            </w:r>
            <w:r w:rsidRPr="001F4CF7">
              <w:rPr>
                <w:b/>
                <w:bCs/>
                <w:i/>
                <w:webHidden/>
              </w:rPr>
              <w:fldChar w:fldCharType="separate"/>
            </w:r>
            <w:r w:rsidR="006C38FE">
              <w:rPr>
                <w:b/>
                <w:bCs/>
                <w:webHidden/>
              </w:rPr>
              <w:t>2</w:t>
            </w:r>
            <w:r w:rsidRPr="001F4CF7">
              <w:rPr>
                <w:b/>
                <w:bCs/>
                <w:i/>
                <w:webHidden/>
              </w:rPr>
              <w:fldChar w:fldCharType="end"/>
            </w:r>
          </w:hyperlink>
        </w:p>
        <w:p w14:paraId="569EA24E" w14:textId="1796A337" w:rsidR="008B306D" w:rsidRPr="00635F6B" w:rsidRDefault="008B306D" w:rsidP="00635F6B">
          <w:pPr>
            <w:pStyle w:val="TOC1"/>
            <w:rPr>
              <w:rFonts w:eastAsiaTheme="minorEastAsia"/>
              <w:i/>
              <w:kern w:val="2"/>
              <w:lang w:val="en-US" w:eastAsia="en-US"/>
              <w14:ligatures w14:val="standardContextual"/>
            </w:rPr>
          </w:pPr>
          <w:hyperlink w:anchor="_Toc239155041" w:history="1">
            <w:r w:rsidRPr="00635F6B">
              <w:rPr>
                <w:rStyle w:val="Hyperlink"/>
                <w:b/>
              </w:rPr>
              <w:t>ARGUMENT</w:t>
            </w:r>
            <w:r w:rsidRPr="00635F6B">
              <w:rPr>
                <w:webHidden/>
              </w:rPr>
              <w:tab/>
            </w:r>
            <w:r w:rsidRPr="001F4CF7">
              <w:rPr>
                <w:b/>
                <w:bCs/>
                <w:i/>
                <w:webHidden/>
              </w:rPr>
              <w:fldChar w:fldCharType="begin"/>
            </w:r>
            <w:r w:rsidRPr="001F4CF7">
              <w:rPr>
                <w:b/>
                <w:bCs/>
                <w:webHidden/>
              </w:rPr>
              <w:instrText xml:space="preserve"> PAGEREF _Toc239155041 \h </w:instrText>
            </w:r>
            <w:r w:rsidRPr="001F4CF7">
              <w:rPr>
                <w:b/>
                <w:bCs/>
                <w:i/>
                <w:webHidden/>
              </w:rPr>
            </w:r>
            <w:r w:rsidRPr="001F4CF7">
              <w:rPr>
                <w:b/>
                <w:bCs/>
                <w:i/>
                <w:webHidden/>
              </w:rPr>
              <w:fldChar w:fldCharType="separate"/>
            </w:r>
            <w:r w:rsidR="006C38FE">
              <w:rPr>
                <w:b/>
                <w:bCs/>
                <w:webHidden/>
              </w:rPr>
              <w:t>4</w:t>
            </w:r>
            <w:r w:rsidRPr="001F4CF7">
              <w:rPr>
                <w:b/>
                <w:bCs/>
                <w:i/>
                <w:webHidden/>
              </w:rPr>
              <w:fldChar w:fldCharType="end"/>
            </w:r>
          </w:hyperlink>
        </w:p>
        <w:p w14:paraId="1EC567B3" w14:textId="686A27A9" w:rsidR="008B306D" w:rsidRPr="00EA45CD" w:rsidRDefault="008B306D" w:rsidP="001F4CF7">
          <w:pPr>
            <w:pStyle w:val="TOC2"/>
            <w:rPr>
              <w:rFonts w:eastAsiaTheme="minorEastAsia"/>
              <w:kern w:val="2"/>
              <w:lang w:val="en-US" w:eastAsia="en-US"/>
              <w14:ligatures w14:val="standardContextual"/>
            </w:rPr>
          </w:pPr>
          <w:hyperlink w:anchor="_Toc239155042" w:history="1">
            <w:r w:rsidRPr="00635F6B">
              <w:rPr>
                <w:rStyle w:val="Hyperlink"/>
                <w:b/>
              </w:rPr>
              <w:t>I.</w:t>
            </w:r>
            <w:r w:rsidRPr="00EA45CD">
              <w:rPr>
                <w:rFonts w:eastAsiaTheme="minorEastAsia"/>
                <w:kern w:val="2"/>
                <w:lang w:val="en-US" w:eastAsia="en-US"/>
                <w14:ligatures w14:val="standardContextual"/>
              </w:rPr>
              <w:tab/>
            </w:r>
            <w:r w:rsidRPr="00635F6B">
              <w:rPr>
                <w:rStyle w:val="Hyperlink"/>
                <w:b/>
              </w:rPr>
              <w:t>PARKER’S TESTIMONY AND EXHIBIT 19 WERE DERIVED FROM CALLOWAY’S COMPELLED TESTIMONY; THEREFORE, THIS COURT SHOULD SUPPRESS THEM.</w:t>
            </w:r>
            <w:r w:rsidRPr="00EA45CD">
              <w:rPr>
                <w:webHidden/>
              </w:rPr>
              <w:tab/>
            </w:r>
            <w:r w:rsidRPr="001F4CF7">
              <w:rPr>
                <w:b/>
                <w:bCs/>
                <w:webHidden/>
              </w:rPr>
              <w:fldChar w:fldCharType="begin"/>
            </w:r>
            <w:r w:rsidRPr="001F4CF7">
              <w:rPr>
                <w:b/>
                <w:bCs/>
                <w:webHidden/>
              </w:rPr>
              <w:instrText xml:space="preserve"> PAGEREF _Toc239155042 \h </w:instrText>
            </w:r>
            <w:r w:rsidRPr="001F4CF7">
              <w:rPr>
                <w:b/>
                <w:bCs/>
                <w:webHidden/>
              </w:rPr>
            </w:r>
            <w:r w:rsidRPr="001F4CF7">
              <w:rPr>
                <w:b/>
                <w:bCs/>
                <w:webHidden/>
              </w:rPr>
              <w:fldChar w:fldCharType="separate"/>
            </w:r>
            <w:r w:rsidR="006C38FE">
              <w:rPr>
                <w:b/>
                <w:bCs/>
                <w:webHidden/>
              </w:rPr>
              <w:t>4</w:t>
            </w:r>
            <w:r w:rsidRPr="001F4CF7">
              <w:rPr>
                <w:b/>
                <w:bCs/>
                <w:webHidden/>
              </w:rPr>
              <w:fldChar w:fldCharType="end"/>
            </w:r>
          </w:hyperlink>
        </w:p>
        <w:p w14:paraId="1627FDF2" w14:textId="1B54A774" w:rsidR="008B306D" w:rsidRPr="00EA45CD" w:rsidRDefault="008B306D" w:rsidP="00E04A59">
          <w:pPr>
            <w:pStyle w:val="TOC3"/>
            <w:jc w:val="both"/>
            <w:rPr>
              <w:rFonts w:eastAsiaTheme="minorEastAsia"/>
              <w:kern w:val="2"/>
              <w:lang w:val="en-US" w:eastAsia="en-US"/>
              <w14:ligatures w14:val="standardContextual"/>
            </w:rPr>
          </w:pPr>
          <w:hyperlink w:anchor="_Toc239155043" w:history="1">
            <w:r w:rsidRPr="00EA45CD">
              <w:rPr>
                <w:rStyle w:val="Hyperlink"/>
              </w:rPr>
              <w:t>A.</w:t>
            </w:r>
            <w:r w:rsidRPr="00EA45CD">
              <w:rPr>
                <w:rFonts w:eastAsiaTheme="minorEastAsia"/>
                <w:kern w:val="2"/>
                <w:lang w:val="en-US" w:eastAsia="en-US"/>
                <w14:ligatures w14:val="standardContextual"/>
              </w:rPr>
              <w:tab/>
            </w:r>
            <w:r w:rsidRPr="00F03E10">
              <w:rPr>
                <w:rFonts w:eastAsiaTheme="majorEastAsia"/>
                <w:lang w:val="en-US"/>
              </w:rPr>
              <w:t>This Court should require the Government to prove independent derivation witness-by-witness and line-by-line because the immunized testimony was heavily covered by the media</w:t>
            </w:r>
            <w:r w:rsidRPr="00EA45CD">
              <w:rPr>
                <w:rStyle w:val="Hyperlink"/>
              </w:rPr>
              <w:t>.</w:t>
            </w:r>
            <w:r w:rsidRPr="00EA45CD">
              <w:rPr>
                <w:webHidden/>
              </w:rPr>
              <w:tab/>
            </w:r>
            <w:r w:rsidRPr="00EA45CD">
              <w:rPr>
                <w:webHidden/>
              </w:rPr>
              <w:fldChar w:fldCharType="begin"/>
            </w:r>
            <w:r w:rsidRPr="00EA45CD">
              <w:rPr>
                <w:webHidden/>
              </w:rPr>
              <w:instrText xml:space="preserve"> PAGEREF _Toc239155043 \h </w:instrText>
            </w:r>
            <w:r w:rsidRPr="00EA45CD">
              <w:rPr>
                <w:webHidden/>
              </w:rPr>
            </w:r>
            <w:r w:rsidRPr="00EA45CD">
              <w:rPr>
                <w:webHidden/>
              </w:rPr>
              <w:fldChar w:fldCharType="separate"/>
            </w:r>
            <w:r w:rsidR="006C38FE">
              <w:rPr>
                <w:webHidden/>
              </w:rPr>
              <w:t>6</w:t>
            </w:r>
            <w:r w:rsidRPr="00EA45CD">
              <w:rPr>
                <w:webHidden/>
              </w:rPr>
              <w:fldChar w:fldCharType="end"/>
            </w:r>
          </w:hyperlink>
        </w:p>
        <w:p w14:paraId="1745DE12" w14:textId="7EA0E923" w:rsidR="008B306D" w:rsidRPr="00EA45CD" w:rsidRDefault="008B306D" w:rsidP="00E04A59">
          <w:pPr>
            <w:pStyle w:val="TOC3"/>
            <w:jc w:val="both"/>
            <w:rPr>
              <w:rFonts w:eastAsiaTheme="minorEastAsia"/>
              <w:kern w:val="2"/>
              <w:lang w:val="en-US" w:eastAsia="en-US"/>
              <w14:ligatures w14:val="standardContextual"/>
            </w:rPr>
          </w:pPr>
          <w:hyperlink w:anchor="_Toc239155044" w:history="1">
            <w:r w:rsidRPr="00EA45CD">
              <w:rPr>
                <w:rStyle w:val="Hyperlink"/>
              </w:rPr>
              <w:t>B.</w:t>
            </w:r>
            <w:r w:rsidRPr="00EA45CD">
              <w:rPr>
                <w:rFonts w:eastAsiaTheme="minorEastAsia"/>
                <w:kern w:val="2"/>
                <w:lang w:val="en-US" w:eastAsia="en-US"/>
                <w14:ligatures w14:val="standardContextual"/>
              </w:rPr>
              <w:tab/>
            </w:r>
            <w:r w:rsidRPr="00EA45CD">
              <w:rPr>
                <w:rStyle w:val="Hyperlink"/>
              </w:rPr>
              <w:t>The Government cannot establish an independent path to Parker because its own evidence shows that path was neither followed nor inevitable.</w:t>
            </w:r>
            <w:r w:rsidRPr="00EA45CD">
              <w:rPr>
                <w:webHidden/>
              </w:rPr>
              <w:tab/>
            </w:r>
            <w:r w:rsidRPr="00EA45CD">
              <w:rPr>
                <w:webHidden/>
              </w:rPr>
              <w:fldChar w:fldCharType="begin"/>
            </w:r>
            <w:r w:rsidRPr="00EA45CD">
              <w:rPr>
                <w:webHidden/>
              </w:rPr>
              <w:instrText xml:space="preserve"> PAGEREF _Toc239155044 \h </w:instrText>
            </w:r>
            <w:r w:rsidRPr="00EA45CD">
              <w:rPr>
                <w:webHidden/>
              </w:rPr>
            </w:r>
            <w:r w:rsidRPr="00EA45CD">
              <w:rPr>
                <w:webHidden/>
              </w:rPr>
              <w:fldChar w:fldCharType="separate"/>
            </w:r>
            <w:r w:rsidR="006C38FE">
              <w:rPr>
                <w:webHidden/>
              </w:rPr>
              <w:t>8</w:t>
            </w:r>
            <w:r w:rsidRPr="00EA45CD">
              <w:rPr>
                <w:webHidden/>
              </w:rPr>
              <w:fldChar w:fldCharType="end"/>
            </w:r>
          </w:hyperlink>
        </w:p>
        <w:p w14:paraId="6E651202" w14:textId="367D133E" w:rsidR="008B306D" w:rsidRPr="002A5A86" w:rsidRDefault="008B306D" w:rsidP="00E04A59">
          <w:pPr>
            <w:pStyle w:val="TOC4"/>
            <w:jc w:val="both"/>
            <w:rPr>
              <w:rStyle w:val="Hyperlink"/>
            </w:rPr>
          </w:pPr>
          <w:hyperlink w:anchor="_Toc239155045" w:history="1">
            <w:r w:rsidRPr="002A5A86">
              <w:rPr>
                <w:rStyle w:val="Hyperlink"/>
              </w:rPr>
              <w:t>i.</w:t>
            </w:r>
            <w:r w:rsidRPr="002A5A86">
              <w:rPr>
                <w:rStyle w:val="Hyperlink"/>
              </w:rPr>
              <w:tab/>
            </w:r>
            <w:r w:rsidRPr="00635F6B">
              <w:rPr>
                <w:rStyle w:val="Heading4Char"/>
              </w:rPr>
              <w:t>Parker’s omission from the Government’s witness selection undermines its claim of independent discovery.</w:t>
            </w:r>
            <w:r w:rsidRPr="002A5A86">
              <w:rPr>
                <w:rStyle w:val="Hyperlink"/>
                <w:webHidden/>
              </w:rPr>
              <w:tab/>
            </w:r>
            <w:r w:rsidRPr="002A5A86">
              <w:rPr>
                <w:rStyle w:val="Hyperlink"/>
                <w:webHidden/>
              </w:rPr>
              <w:fldChar w:fldCharType="begin"/>
            </w:r>
            <w:r w:rsidRPr="002A5A86">
              <w:rPr>
                <w:rStyle w:val="Hyperlink"/>
                <w:webHidden/>
              </w:rPr>
              <w:instrText xml:space="preserve"> PAGEREF _Toc239155045 \h </w:instrText>
            </w:r>
            <w:r w:rsidRPr="002A5A86">
              <w:rPr>
                <w:rStyle w:val="Hyperlink"/>
                <w:webHidden/>
              </w:rPr>
            </w:r>
            <w:r w:rsidRPr="002A5A86">
              <w:rPr>
                <w:rStyle w:val="Hyperlink"/>
                <w:webHidden/>
              </w:rPr>
              <w:fldChar w:fldCharType="separate"/>
            </w:r>
            <w:r w:rsidR="006C38FE">
              <w:rPr>
                <w:rStyle w:val="Hyperlink"/>
                <w:webHidden/>
              </w:rPr>
              <w:t>8</w:t>
            </w:r>
            <w:r w:rsidRPr="002A5A86">
              <w:rPr>
                <w:rStyle w:val="Hyperlink"/>
                <w:webHidden/>
              </w:rPr>
              <w:fldChar w:fldCharType="end"/>
            </w:r>
          </w:hyperlink>
        </w:p>
        <w:p w14:paraId="3670BCC8" w14:textId="04042B23" w:rsidR="008B306D" w:rsidRPr="00881AA8" w:rsidRDefault="008B306D" w:rsidP="00E04A59">
          <w:pPr>
            <w:pStyle w:val="TOC4"/>
            <w:jc w:val="both"/>
            <w:rPr>
              <w:rFonts w:eastAsiaTheme="minorEastAsia"/>
              <w:kern w:val="2"/>
              <w:lang w:val="en-US" w:eastAsia="en-US"/>
              <w14:ligatures w14:val="standardContextual"/>
            </w:rPr>
          </w:pPr>
          <w:hyperlink w:anchor="_Toc239155046" w:history="1">
            <w:r w:rsidRPr="00881AA8">
              <w:rPr>
                <w:rStyle w:val="Hyperlink"/>
              </w:rPr>
              <w:t>ii.</w:t>
            </w:r>
            <w:r w:rsidRPr="00881AA8">
              <w:rPr>
                <w:rFonts w:eastAsiaTheme="minorEastAsia"/>
                <w:kern w:val="2"/>
                <w:lang w:val="en-US" w:eastAsia="en-US"/>
                <w14:ligatures w14:val="standardContextual"/>
              </w:rPr>
              <w:tab/>
            </w:r>
            <w:r w:rsidRPr="00635F6B">
              <w:rPr>
                <w:rStyle w:val="Heading4Char"/>
              </w:rPr>
              <w:t>The Government’s documents do not establish that Parker was targeted before it learned Calloway’s testimony.</w:t>
            </w:r>
            <w:r w:rsidRPr="00881AA8">
              <w:rPr>
                <w:webHidden/>
              </w:rPr>
              <w:tab/>
            </w:r>
            <w:r w:rsidRPr="00881AA8">
              <w:rPr>
                <w:webHidden/>
              </w:rPr>
              <w:fldChar w:fldCharType="begin"/>
            </w:r>
            <w:r w:rsidRPr="00881AA8">
              <w:rPr>
                <w:webHidden/>
              </w:rPr>
              <w:instrText xml:space="preserve"> PAGEREF _Toc239155046 \h </w:instrText>
            </w:r>
            <w:r w:rsidRPr="00881AA8">
              <w:rPr>
                <w:webHidden/>
              </w:rPr>
            </w:r>
            <w:r w:rsidRPr="00881AA8">
              <w:rPr>
                <w:webHidden/>
              </w:rPr>
              <w:fldChar w:fldCharType="separate"/>
            </w:r>
            <w:r w:rsidR="006C38FE">
              <w:rPr>
                <w:webHidden/>
              </w:rPr>
              <w:t>9</w:t>
            </w:r>
            <w:r w:rsidRPr="00881AA8">
              <w:rPr>
                <w:webHidden/>
              </w:rPr>
              <w:fldChar w:fldCharType="end"/>
            </w:r>
          </w:hyperlink>
        </w:p>
        <w:p w14:paraId="1E070745" w14:textId="6D0DB980" w:rsidR="008B306D" w:rsidRPr="00881AA8" w:rsidRDefault="008B306D" w:rsidP="00E04A59">
          <w:pPr>
            <w:pStyle w:val="TOC4"/>
            <w:jc w:val="both"/>
            <w:rPr>
              <w:rFonts w:eastAsiaTheme="minorEastAsia"/>
              <w:kern w:val="2"/>
              <w:lang w:val="en-US" w:eastAsia="en-US"/>
              <w14:ligatures w14:val="standardContextual"/>
            </w:rPr>
          </w:pPr>
          <w:hyperlink w:anchor="_Toc239155047" w:history="1">
            <w:r w:rsidRPr="00881AA8">
              <w:rPr>
                <w:rStyle w:val="Hyperlink"/>
              </w:rPr>
              <w:t>iii.</w:t>
            </w:r>
            <w:r w:rsidRPr="00881AA8">
              <w:rPr>
                <w:rFonts w:eastAsiaTheme="minorEastAsia"/>
                <w:kern w:val="2"/>
                <w:lang w:val="en-US" w:eastAsia="en-US"/>
                <w14:ligatures w14:val="standardContextual"/>
              </w:rPr>
              <w:tab/>
            </w:r>
            <w:r w:rsidRPr="00635F6B">
              <w:rPr>
                <w:rStyle w:val="Heading4Char"/>
              </w:rPr>
              <w:t>The Government cannot independently explain the topics it elicited from Parker.</w:t>
            </w:r>
            <w:r w:rsidRPr="00881AA8">
              <w:rPr>
                <w:webHidden/>
              </w:rPr>
              <w:tab/>
            </w:r>
            <w:r w:rsidRPr="00881AA8">
              <w:rPr>
                <w:webHidden/>
              </w:rPr>
              <w:fldChar w:fldCharType="begin"/>
            </w:r>
            <w:r w:rsidRPr="00881AA8">
              <w:rPr>
                <w:webHidden/>
              </w:rPr>
              <w:instrText xml:space="preserve"> PAGEREF _Toc239155047 \h </w:instrText>
            </w:r>
            <w:r w:rsidRPr="00881AA8">
              <w:rPr>
                <w:webHidden/>
              </w:rPr>
            </w:r>
            <w:r w:rsidRPr="00881AA8">
              <w:rPr>
                <w:webHidden/>
              </w:rPr>
              <w:fldChar w:fldCharType="separate"/>
            </w:r>
            <w:r w:rsidR="006C38FE">
              <w:rPr>
                <w:webHidden/>
              </w:rPr>
              <w:t>10</w:t>
            </w:r>
            <w:r w:rsidRPr="00881AA8">
              <w:rPr>
                <w:webHidden/>
              </w:rPr>
              <w:fldChar w:fldCharType="end"/>
            </w:r>
          </w:hyperlink>
        </w:p>
        <w:p w14:paraId="0EAEA7E7" w14:textId="049A870E" w:rsidR="008B306D" w:rsidRPr="00186744" w:rsidRDefault="008B306D" w:rsidP="00E04A59">
          <w:pPr>
            <w:pStyle w:val="TOC3"/>
            <w:jc w:val="both"/>
            <w:rPr>
              <w:rStyle w:val="Hyperlink"/>
            </w:rPr>
          </w:pPr>
          <w:hyperlink w:anchor="_Toc239155048" w:history="1">
            <w:r w:rsidRPr="00186744">
              <w:rPr>
                <w:rStyle w:val="Hyperlink"/>
              </w:rPr>
              <w:t>C.</w:t>
            </w:r>
            <w:r w:rsidRPr="00186744">
              <w:rPr>
                <w:rStyle w:val="Hyperlink"/>
              </w:rPr>
              <w:tab/>
              <w:t>Regardless of the sources that led the Government to Parker, it cannot prove her testimony was not affected by compelled testimony.</w:t>
            </w:r>
            <w:r w:rsidRPr="00186744">
              <w:rPr>
                <w:rStyle w:val="Hyperlink"/>
                <w:webHidden/>
              </w:rPr>
              <w:tab/>
            </w:r>
            <w:r w:rsidRPr="00186744">
              <w:rPr>
                <w:rStyle w:val="Hyperlink"/>
                <w:webHidden/>
              </w:rPr>
              <w:fldChar w:fldCharType="begin"/>
            </w:r>
            <w:r w:rsidRPr="00186744">
              <w:rPr>
                <w:rStyle w:val="Hyperlink"/>
                <w:webHidden/>
              </w:rPr>
              <w:instrText xml:space="preserve"> PAGEREF _Toc239155048 \h </w:instrText>
            </w:r>
            <w:r w:rsidRPr="00186744">
              <w:rPr>
                <w:rStyle w:val="Hyperlink"/>
                <w:webHidden/>
              </w:rPr>
            </w:r>
            <w:r w:rsidRPr="00186744">
              <w:rPr>
                <w:rStyle w:val="Hyperlink"/>
                <w:webHidden/>
              </w:rPr>
              <w:fldChar w:fldCharType="separate"/>
            </w:r>
            <w:r w:rsidR="006C38FE">
              <w:rPr>
                <w:rStyle w:val="Hyperlink"/>
                <w:webHidden/>
              </w:rPr>
              <w:t>11</w:t>
            </w:r>
            <w:r w:rsidRPr="00186744">
              <w:rPr>
                <w:rStyle w:val="Hyperlink"/>
                <w:webHidden/>
              </w:rPr>
              <w:fldChar w:fldCharType="end"/>
            </w:r>
          </w:hyperlink>
        </w:p>
        <w:p w14:paraId="5D6C077B" w14:textId="0F3C504E" w:rsidR="008B306D" w:rsidRPr="00EF2FDF" w:rsidRDefault="008B306D" w:rsidP="00E04A59">
          <w:pPr>
            <w:pStyle w:val="TOC3"/>
            <w:jc w:val="both"/>
            <w:rPr>
              <w:rStyle w:val="Hyperlink"/>
            </w:rPr>
          </w:pPr>
          <w:hyperlink w:anchor="_Toc239155049" w:history="1">
            <w:r w:rsidRPr="00EF2FDF">
              <w:rPr>
                <w:rStyle w:val="Hyperlink"/>
              </w:rPr>
              <w:t>D.</w:t>
            </w:r>
            <w:r w:rsidRPr="00EF2FDF">
              <w:rPr>
                <w:rStyle w:val="Hyperlink"/>
              </w:rPr>
              <w:tab/>
              <w:t>Exhibit 19 should also be suppressed because the Government derived it from Parker’s testimony.</w:t>
            </w:r>
            <w:r w:rsidRPr="00EF2FDF">
              <w:rPr>
                <w:rStyle w:val="Hyperlink"/>
                <w:webHidden/>
              </w:rPr>
              <w:tab/>
            </w:r>
            <w:r w:rsidRPr="00EF2FDF">
              <w:rPr>
                <w:rStyle w:val="Hyperlink"/>
                <w:webHidden/>
              </w:rPr>
              <w:fldChar w:fldCharType="begin"/>
            </w:r>
            <w:r w:rsidRPr="00EF2FDF">
              <w:rPr>
                <w:rStyle w:val="Hyperlink"/>
                <w:webHidden/>
              </w:rPr>
              <w:instrText xml:space="preserve"> PAGEREF _Toc239155049 \h </w:instrText>
            </w:r>
            <w:r w:rsidRPr="00EF2FDF">
              <w:rPr>
                <w:rStyle w:val="Hyperlink"/>
                <w:webHidden/>
              </w:rPr>
            </w:r>
            <w:r w:rsidRPr="00EF2FDF">
              <w:rPr>
                <w:rStyle w:val="Hyperlink"/>
                <w:webHidden/>
              </w:rPr>
              <w:fldChar w:fldCharType="separate"/>
            </w:r>
            <w:r w:rsidR="006C38FE">
              <w:rPr>
                <w:rStyle w:val="Hyperlink"/>
                <w:webHidden/>
              </w:rPr>
              <w:t>12</w:t>
            </w:r>
            <w:r w:rsidRPr="00EF2FDF">
              <w:rPr>
                <w:rStyle w:val="Hyperlink"/>
                <w:webHidden/>
              </w:rPr>
              <w:fldChar w:fldCharType="end"/>
            </w:r>
          </w:hyperlink>
        </w:p>
        <w:p w14:paraId="1467ED3A" w14:textId="3FE55B92" w:rsidR="008B306D" w:rsidRPr="001F4CF7" w:rsidRDefault="008B306D" w:rsidP="001F4CF7">
          <w:pPr>
            <w:pStyle w:val="TOC2"/>
            <w:rPr>
              <w:rFonts w:eastAsiaTheme="minorEastAsia"/>
              <w:kern w:val="2"/>
              <w:lang w:val="en-US" w:eastAsia="en-US"/>
              <w14:ligatures w14:val="standardContextual"/>
            </w:rPr>
          </w:pPr>
          <w:hyperlink w:anchor="_Toc239155050" w:history="1">
            <w:r w:rsidRPr="001F4CF7">
              <w:rPr>
                <w:rStyle w:val="Hyperlink"/>
                <w:b/>
                <w:bCs/>
              </w:rPr>
              <w:t>II.</w:t>
            </w:r>
            <w:r w:rsidRPr="001F4CF7">
              <w:rPr>
                <w:rFonts w:eastAsiaTheme="minorEastAsia"/>
                <w:kern w:val="2"/>
                <w:lang w:val="en-US" w:eastAsia="en-US"/>
                <w14:ligatures w14:val="standardContextual"/>
              </w:rPr>
              <w:tab/>
            </w:r>
            <w:r w:rsidRPr="001F4CF7">
              <w:rPr>
                <w:rStyle w:val="Hyperlink"/>
                <w:b/>
                <w:bCs/>
              </w:rPr>
              <w:t>RECORDS OF ARMANA’S INTERVIEW OF SIERRA SETON ARE PROTECTED BY WORK-PRODUCT PRIVILEGE; THEREFORE, THIS COURT SHOULD QUASH THE SUBPOENA.</w:t>
            </w:r>
            <w:r w:rsidRPr="001F4CF7">
              <w:rPr>
                <w:webHidden/>
              </w:rPr>
              <w:tab/>
            </w:r>
            <w:r w:rsidRPr="001F4CF7">
              <w:rPr>
                <w:b/>
                <w:bCs/>
                <w:webHidden/>
              </w:rPr>
              <w:fldChar w:fldCharType="begin"/>
            </w:r>
            <w:r w:rsidRPr="001F4CF7">
              <w:rPr>
                <w:b/>
                <w:bCs/>
                <w:webHidden/>
              </w:rPr>
              <w:instrText xml:space="preserve"> PAGEREF _Toc239155050 \h </w:instrText>
            </w:r>
            <w:r w:rsidRPr="001F4CF7">
              <w:rPr>
                <w:b/>
                <w:bCs/>
                <w:webHidden/>
              </w:rPr>
            </w:r>
            <w:r w:rsidRPr="001F4CF7">
              <w:rPr>
                <w:b/>
                <w:bCs/>
                <w:webHidden/>
              </w:rPr>
              <w:fldChar w:fldCharType="separate"/>
            </w:r>
            <w:r w:rsidR="006C38FE">
              <w:rPr>
                <w:b/>
                <w:bCs/>
                <w:webHidden/>
              </w:rPr>
              <w:t>13</w:t>
            </w:r>
            <w:r w:rsidRPr="001F4CF7">
              <w:rPr>
                <w:b/>
                <w:bCs/>
                <w:webHidden/>
              </w:rPr>
              <w:fldChar w:fldCharType="end"/>
            </w:r>
          </w:hyperlink>
        </w:p>
        <w:p w14:paraId="720480FD" w14:textId="0177FC41" w:rsidR="008B306D" w:rsidRPr="00881AA8" w:rsidRDefault="008B306D" w:rsidP="00E04A59">
          <w:pPr>
            <w:pStyle w:val="TOC3"/>
            <w:jc w:val="both"/>
            <w:rPr>
              <w:rFonts w:eastAsiaTheme="minorEastAsia"/>
              <w:kern w:val="2"/>
              <w:lang w:val="en-US" w:eastAsia="en-US"/>
              <w14:ligatures w14:val="standardContextual"/>
            </w:rPr>
          </w:pPr>
          <w:hyperlink w:anchor="_Toc239155051" w:history="1">
            <w:r w:rsidRPr="00635F6B">
              <w:rPr>
                <w:rStyle w:val="Hyperlink"/>
              </w:rPr>
              <w:t>A.</w:t>
            </w:r>
            <w:r w:rsidRPr="00881AA8">
              <w:rPr>
                <w:rFonts w:eastAsiaTheme="minorEastAsia"/>
                <w:kern w:val="2"/>
                <w:lang w:val="en-US" w:eastAsia="en-US"/>
                <w14:ligatures w14:val="standardContextual"/>
              </w:rPr>
              <w:tab/>
            </w:r>
            <w:r w:rsidRPr="00635F6B">
              <w:rPr>
                <w:rStyle w:val="Hyperlink"/>
              </w:rPr>
              <w:t xml:space="preserve">The Government cannot back-door </w:t>
            </w:r>
            <w:r w:rsidR="00EC631C">
              <w:rPr>
                <w:rStyle w:val="Hyperlink"/>
              </w:rPr>
              <w:t xml:space="preserve">the use of </w:t>
            </w:r>
            <w:r w:rsidRPr="00635F6B">
              <w:rPr>
                <w:rStyle w:val="Hyperlink"/>
              </w:rPr>
              <w:t>protected work-product</w:t>
            </w:r>
            <w:r w:rsidR="00450AEA">
              <w:rPr>
                <w:rStyle w:val="Hyperlink"/>
              </w:rPr>
              <w:t>, and</w:t>
            </w:r>
            <w:r w:rsidRPr="00635F6B">
              <w:rPr>
                <w:rStyle w:val="Hyperlink"/>
              </w:rPr>
              <w:t xml:space="preserve"> this Court should apply Rule 16 and recognize the privilege.</w:t>
            </w:r>
            <w:r w:rsidRPr="00881AA8">
              <w:rPr>
                <w:webHidden/>
              </w:rPr>
              <w:tab/>
            </w:r>
            <w:r w:rsidRPr="00881AA8">
              <w:rPr>
                <w:webHidden/>
              </w:rPr>
              <w:fldChar w:fldCharType="begin"/>
            </w:r>
            <w:r w:rsidRPr="00881AA8">
              <w:rPr>
                <w:webHidden/>
              </w:rPr>
              <w:instrText xml:space="preserve"> PAGEREF _Toc239155051 \h </w:instrText>
            </w:r>
            <w:r w:rsidRPr="00881AA8">
              <w:rPr>
                <w:webHidden/>
              </w:rPr>
            </w:r>
            <w:r w:rsidRPr="00881AA8">
              <w:rPr>
                <w:webHidden/>
              </w:rPr>
              <w:fldChar w:fldCharType="separate"/>
            </w:r>
            <w:r w:rsidR="006C38FE">
              <w:rPr>
                <w:webHidden/>
              </w:rPr>
              <w:t>14</w:t>
            </w:r>
            <w:r w:rsidRPr="00881AA8">
              <w:rPr>
                <w:webHidden/>
              </w:rPr>
              <w:fldChar w:fldCharType="end"/>
            </w:r>
          </w:hyperlink>
        </w:p>
        <w:p w14:paraId="31D56F95" w14:textId="04446F4E" w:rsidR="008B306D" w:rsidRPr="00881AA8" w:rsidRDefault="008B306D" w:rsidP="00E04A59">
          <w:pPr>
            <w:pStyle w:val="TOC3"/>
            <w:jc w:val="both"/>
            <w:rPr>
              <w:rFonts w:eastAsiaTheme="minorEastAsia"/>
              <w:kern w:val="2"/>
              <w:lang w:val="en-US" w:eastAsia="en-US"/>
              <w14:ligatures w14:val="standardContextual"/>
            </w:rPr>
          </w:pPr>
          <w:hyperlink w:anchor="_Toc239155052" w:history="1">
            <w:r w:rsidRPr="00635F6B">
              <w:rPr>
                <w:rStyle w:val="Hyperlink"/>
              </w:rPr>
              <w:t>B.</w:t>
            </w:r>
            <w:r w:rsidRPr="00881AA8">
              <w:rPr>
                <w:rFonts w:eastAsiaTheme="minorEastAsia"/>
                <w:kern w:val="2"/>
                <w:lang w:val="en-US" w:eastAsia="en-US"/>
                <w14:ligatures w14:val="standardContextual"/>
              </w:rPr>
              <w:tab/>
            </w:r>
            <w:r w:rsidRPr="00635F6B">
              <w:rPr>
                <w:rStyle w:val="Hyperlink"/>
              </w:rPr>
              <w:t>Calloway meets her burden of establishing that Exhibit 21 is protected work-product, whether this Court considers it as opinion or fact.</w:t>
            </w:r>
            <w:r w:rsidRPr="00881AA8">
              <w:rPr>
                <w:webHidden/>
              </w:rPr>
              <w:tab/>
            </w:r>
            <w:r w:rsidRPr="00881AA8">
              <w:rPr>
                <w:webHidden/>
              </w:rPr>
              <w:fldChar w:fldCharType="begin"/>
            </w:r>
            <w:r w:rsidRPr="00881AA8">
              <w:rPr>
                <w:webHidden/>
              </w:rPr>
              <w:instrText xml:space="preserve"> PAGEREF _Toc239155052 \h </w:instrText>
            </w:r>
            <w:r w:rsidRPr="00881AA8">
              <w:rPr>
                <w:webHidden/>
              </w:rPr>
            </w:r>
            <w:r w:rsidRPr="00881AA8">
              <w:rPr>
                <w:webHidden/>
              </w:rPr>
              <w:fldChar w:fldCharType="separate"/>
            </w:r>
            <w:r w:rsidR="006C38FE">
              <w:rPr>
                <w:webHidden/>
              </w:rPr>
              <w:t>16</w:t>
            </w:r>
            <w:r w:rsidRPr="00881AA8">
              <w:rPr>
                <w:webHidden/>
              </w:rPr>
              <w:fldChar w:fldCharType="end"/>
            </w:r>
          </w:hyperlink>
        </w:p>
        <w:p w14:paraId="642682C4" w14:textId="40FDEB88" w:rsidR="008B306D" w:rsidRPr="00881AA8" w:rsidRDefault="008B306D" w:rsidP="00E04A59">
          <w:pPr>
            <w:pStyle w:val="TOC4"/>
            <w:jc w:val="both"/>
            <w:rPr>
              <w:rFonts w:eastAsiaTheme="minorEastAsia"/>
              <w:kern w:val="2"/>
              <w:lang w:val="en-US" w:eastAsia="en-US"/>
              <w14:ligatures w14:val="standardContextual"/>
            </w:rPr>
          </w:pPr>
          <w:hyperlink w:anchor="_Toc239155053" w:history="1">
            <w:r w:rsidRPr="00881AA8">
              <w:rPr>
                <w:rStyle w:val="Hyperlink"/>
              </w:rPr>
              <w:t>i.</w:t>
            </w:r>
            <w:r w:rsidRPr="00881AA8">
              <w:rPr>
                <w:rFonts w:eastAsiaTheme="minorEastAsia"/>
                <w:kern w:val="2"/>
                <w:lang w:val="en-US" w:eastAsia="en-US"/>
                <w14:ligatures w14:val="standardContextual"/>
              </w:rPr>
              <w:tab/>
            </w:r>
            <w:r w:rsidRPr="00635F6B">
              <w:rPr>
                <w:rStyle w:val="Heading4Char"/>
              </w:rPr>
              <w:t>Exhibit 21</w:t>
            </w:r>
            <w:r w:rsidR="00120AFD">
              <w:rPr>
                <w:rStyle w:val="Heading4Char"/>
              </w:rPr>
              <w:t xml:space="preserve"> is entitled to nearly absolute protection because </w:t>
            </w:r>
            <w:r w:rsidR="00EF05D7">
              <w:rPr>
                <w:rStyle w:val="Heading4Char"/>
              </w:rPr>
              <w:t xml:space="preserve">it </w:t>
            </w:r>
            <w:r w:rsidRPr="00635F6B">
              <w:rPr>
                <w:rStyle w:val="Heading4Char"/>
              </w:rPr>
              <w:t>reveals Armana’s mental impressions.</w:t>
            </w:r>
            <w:r w:rsidRPr="00881AA8">
              <w:rPr>
                <w:webHidden/>
              </w:rPr>
              <w:tab/>
            </w:r>
            <w:r w:rsidRPr="00881AA8">
              <w:rPr>
                <w:webHidden/>
              </w:rPr>
              <w:fldChar w:fldCharType="begin"/>
            </w:r>
            <w:r w:rsidRPr="00881AA8">
              <w:rPr>
                <w:webHidden/>
              </w:rPr>
              <w:instrText xml:space="preserve"> PAGEREF _Toc239155053 \h </w:instrText>
            </w:r>
            <w:r w:rsidRPr="00881AA8">
              <w:rPr>
                <w:webHidden/>
              </w:rPr>
            </w:r>
            <w:r w:rsidRPr="00881AA8">
              <w:rPr>
                <w:webHidden/>
              </w:rPr>
              <w:fldChar w:fldCharType="separate"/>
            </w:r>
            <w:r w:rsidR="006C38FE">
              <w:rPr>
                <w:webHidden/>
              </w:rPr>
              <w:t>16</w:t>
            </w:r>
            <w:r w:rsidRPr="00881AA8">
              <w:rPr>
                <w:webHidden/>
              </w:rPr>
              <w:fldChar w:fldCharType="end"/>
            </w:r>
          </w:hyperlink>
        </w:p>
        <w:p w14:paraId="347378AA" w14:textId="3509D41D" w:rsidR="008B306D" w:rsidRPr="00881AA8" w:rsidRDefault="008B306D" w:rsidP="00E04A59">
          <w:pPr>
            <w:pStyle w:val="TOC4"/>
            <w:jc w:val="both"/>
            <w:rPr>
              <w:rFonts w:eastAsiaTheme="minorEastAsia"/>
              <w:kern w:val="2"/>
              <w:lang w:val="en-US" w:eastAsia="en-US"/>
              <w14:ligatures w14:val="standardContextual"/>
            </w:rPr>
          </w:pPr>
          <w:hyperlink w:anchor="_Toc239155054" w:history="1">
            <w:r w:rsidRPr="00881AA8">
              <w:rPr>
                <w:rStyle w:val="Hyperlink"/>
              </w:rPr>
              <w:t>ii.</w:t>
            </w:r>
            <w:r w:rsidRPr="00881AA8">
              <w:rPr>
                <w:rFonts w:eastAsiaTheme="minorEastAsia"/>
                <w:kern w:val="2"/>
                <w:lang w:val="en-US" w:eastAsia="en-US"/>
                <w14:ligatures w14:val="standardContextual"/>
              </w:rPr>
              <w:tab/>
            </w:r>
            <w:r w:rsidRPr="00635F6B">
              <w:rPr>
                <w:rStyle w:val="Heading4Char"/>
              </w:rPr>
              <w:t>Even if any portion is treated as ordinary fact work</w:t>
            </w:r>
            <w:r w:rsidR="00225CE1">
              <w:rPr>
                <w:rStyle w:val="Heading4Char"/>
              </w:rPr>
              <w:t>-</w:t>
            </w:r>
            <w:r w:rsidRPr="00635F6B">
              <w:rPr>
                <w:rStyle w:val="Heading4Char"/>
              </w:rPr>
              <w:t>product, the Government cannot overcome the privilege.</w:t>
            </w:r>
            <w:r w:rsidRPr="00881AA8">
              <w:rPr>
                <w:webHidden/>
              </w:rPr>
              <w:tab/>
            </w:r>
            <w:r w:rsidRPr="00881AA8">
              <w:rPr>
                <w:webHidden/>
              </w:rPr>
              <w:fldChar w:fldCharType="begin"/>
            </w:r>
            <w:r w:rsidRPr="00881AA8">
              <w:rPr>
                <w:webHidden/>
              </w:rPr>
              <w:instrText xml:space="preserve"> PAGEREF _Toc239155054 \h </w:instrText>
            </w:r>
            <w:r w:rsidRPr="00881AA8">
              <w:rPr>
                <w:webHidden/>
              </w:rPr>
            </w:r>
            <w:r w:rsidRPr="00881AA8">
              <w:rPr>
                <w:webHidden/>
              </w:rPr>
              <w:fldChar w:fldCharType="separate"/>
            </w:r>
            <w:r w:rsidR="006C38FE">
              <w:rPr>
                <w:webHidden/>
              </w:rPr>
              <w:t>17</w:t>
            </w:r>
            <w:r w:rsidRPr="00881AA8">
              <w:rPr>
                <w:webHidden/>
              </w:rPr>
              <w:fldChar w:fldCharType="end"/>
            </w:r>
          </w:hyperlink>
        </w:p>
        <w:p w14:paraId="4CE8D4F8" w14:textId="1127055C" w:rsidR="008B306D" w:rsidRPr="00635F6B" w:rsidRDefault="008B306D" w:rsidP="00E04A59">
          <w:pPr>
            <w:pStyle w:val="TOC1"/>
            <w:jc w:val="both"/>
            <w:rPr>
              <w:rFonts w:eastAsiaTheme="minorEastAsia"/>
              <w:i/>
              <w:kern w:val="2"/>
              <w:lang w:val="en-US" w:eastAsia="en-US"/>
              <w14:ligatures w14:val="standardContextual"/>
            </w:rPr>
          </w:pPr>
          <w:hyperlink w:anchor="_Toc239155055" w:history="1">
            <w:r w:rsidRPr="00635F6B">
              <w:rPr>
                <w:rStyle w:val="Hyperlink"/>
                <w:b/>
              </w:rPr>
              <w:t>CONCLUSION</w:t>
            </w:r>
            <w:r w:rsidRPr="00635F6B">
              <w:rPr>
                <w:webHidden/>
              </w:rPr>
              <w:tab/>
            </w:r>
            <w:r w:rsidRPr="001F4CF7">
              <w:rPr>
                <w:b/>
                <w:bCs/>
                <w:i/>
                <w:webHidden/>
              </w:rPr>
              <w:fldChar w:fldCharType="begin"/>
            </w:r>
            <w:r w:rsidRPr="001F4CF7">
              <w:rPr>
                <w:b/>
                <w:bCs/>
                <w:webHidden/>
              </w:rPr>
              <w:instrText xml:space="preserve"> PAGEREF _Toc239155055 \h </w:instrText>
            </w:r>
            <w:r w:rsidRPr="001F4CF7">
              <w:rPr>
                <w:b/>
                <w:bCs/>
                <w:i/>
                <w:webHidden/>
              </w:rPr>
            </w:r>
            <w:r w:rsidRPr="001F4CF7">
              <w:rPr>
                <w:b/>
                <w:bCs/>
                <w:i/>
                <w:webHidden/>
              </w:rPr>
              <w:fldChar w:fldCharType="separate"/>
            </w:r>
            <w:r w:rsidR="006C38FE">
              <w:rPr>
                <w:b/>
                <w:bCs/>
                <w:webHidden/>
              </w:rPr>
              <w:t>18</w:t>
            </w:r>
            <w:r w:rsidRPr="001F4CF7">
              <w:rPr>
                <w:b/>
                <w:bCs/>
                <w:i/>
                <w:webHidden/>
              </w:rPr>
              <w:fldChar w:fldCharType="end"/>
            </w:r>
          </w:hyperlink>
        </w:p>
        <w:p w14:paraId="018E75F2" w14:textId="1B3F0550" w:rsidR="003D37FA" w:rsidRPr="00C11696" w:rsidRDefault="001266C4" w:rsidP="002E624A">
          <w:pPr>
            <w:spacing w:after="240" w:line="240" w:lineRule="auto"/>
          </w:pPr>
          <w:r w:rsidRPr="00881AA8">
            <w:fldChar w:fldCharType="end"/>
          </w:r>
        </w:p>
      </w:sdtContent>
    </w:sdt>
    <w:p w14:paraId="514F7E3C" w14:textId="77777777" w:rsidR="003D37FA" w:rsidRPr="0034322A" w:rsidRDefault="003D37FA" w:rsidP="002E624A">
      <w:pPr>
        <w:spacing w:after="240" w:line="240" w:lineRule="auto"/>
        <w:jc w:val="both"/>
      </w:pPr>
    </w:p>
    <w:p w14:paraId="71AA9BE9" w14:textId="77777777" w:rsidR="003D37FA" w:rsidRPr="0034322A" w:rsidRDefault="00AF4064" w:rsidP="003D37FA">
      <w:pPr>
        <w:jc w:val="both"/>
      </w:pPr>
      <w:bookmarkStart w:id="23" w:name="dabmch_35"/>
      <w:r w:rsidRPr="0034322A">
        <w:br w:type="page"/>
      </w:r>
      <w:bookmarkEnd w:id="23"/>
    </w:p>
    <w:p w14:paraId="392C3653" w14:textId="77777777" w:rsidR="003D37FA" w:rsidRPr="0034322A" w:rsidRDefault="00AF4064" w:rsidP="00212AD6">
      <w:pPr>
        <w:pBdr>
          <w:top w:val="nil"/>
          <w:left w:val="nil"/>
          <w:bottom w:val="nil"/>
          <w:right w:val="nil"/>
          <w:between w:val="nil"/>
        </w:pBdr>
        <w:tabs>
          <w:tab w:val="right" w:pos="9350"/>
        </w:tabs>
        <w:spacing w:after="240" w:line="240" w:lineRule="auto"/>
        <w:jc w:val="center"/>
        <w:rPr>
          <w:b/>
          <w:bCs/>
        </w:rPr>
      </w:pPr>
      <w:bookmarkStart w:id="24" w:name="dabmch_36"/>
      <w:r w:rsidRPr="0034322A">
        <w:rPr>
          <w:b/>
          <w:bCs/>
        </w:rPr>
        <w:lastRenderedPageBreak/>
        <w:t>TABLE OF AUTHORITIES</w:t>
      </w:r>
    </w:p>
    <w:p w14:paraId="40142B75" w14:textId="163235E7" w:rsidR="009652C8" w:rsidRPr="00786500" w:rsidRDefault="00340519" w:rsidP="00616A69">
      <w:pPr>
        <w:pBdr>
          <w:top w:val="nil"/>
          <w:left w:val="nil"/>
          <w:bottom w:val="nil"/>
          <w:right w:val="nil"/>
          <w:between w:val="nil"/>
        </w:pBdr>
        <w:tabs>
          <w:tab w:val="right" w:pos="9350"/>
        </w:tabs>
        <w:spacing w:after="240" w:line="240" w:lineRule="auto"/>
        <w:contextualSpacing/>
        <w:jc w:val="right"/>
        <w:rPr>
          <w:u w:val="single"/>
        </w:rPr>
      </w:pPr>
      <w:bookmarkStart w:id="25" w:name="dabmtoa_"/>
      <w:r w:rsidRPr="00786500">
        <w:rPr>
          <w:u w:val="single"/>
        </w:rPr>
        <w:t>Cases</w:t>
      </w:r>
      <w:r w:rsidR="00C93254">
        <w:rPr>
          <w:sz w:val="24"/>
        </w:rPr>
        <w:tab/>
      </w:r>
      <w:r w:rsidR="00951AA3" w:rsidRPr="00DF045B">
        <w:t xml:space="preserve"> </w:t>
      </w:r>
      <w:r w:rsidR="00951AA3" w:rsidRPr="00786500">
        <w:rPr>
          <w:u w:val="single"/>
        </w:rPr>
        <w:t>Page(s)</w:t>
      </w:r>
    </w:p>
    <w:p w14:paraId="1922DFA9" w14:textId="77777777" w:rsidR="00D60317" w:rsidRPr="003563DE" w:rsidRDefault="00D60317" w:rsidP="00616A69">
      <w:pPr>
        <w:pBdr>
          <w:top w:val="nil"/>
          <w:left w:val="nil"/>
          <w:bottom w:val="nil"/>
          <w:right w:val="nil"/>
          <w:between w:val="nil"/>
        </w:pBdr>
        <w:tabs>
          <w:tab w:val="right" w:pos="9350"/>
        </w:tabs>
        <w:spacing w:after="240" w:line="240" w:lineRule="auto"/>
        <w:contextualSpacing/>
        <w:jc w:val="right"/>
        <w:rPr>
          <w:sz w:val="12"/>
          <w:szCs w:val="12"/>
          <w:u w:val="single"/>
        </w:rPr>
      </w:pPr>
    </w:p>
    <w:p w14:paraId="60D40D41"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Bowman Dairy Co. v. United States</w:t>
      </w:r>
      <w:r w:rsidRPr="120AE2AE">
        <w:rPr>
          <w:lang w:val="en-US"/>
        </w:rPr>
        <w:t>,</w:t>
      </w:r>
      <w:r>
        <w:br/>
      </w:r>
      <w:r w:rsidRPr="120AE2AE">
        <w:rPr>
          <w:lang w:val="en-US"/>
        </w:rPr>
        <w:t>341 U.S. 214 (1951)</w:t>
      </w:r>
      <w:r>
        <w:tab/>
      </w:r>
      <w:r w:rsidRPr="120AE2AE">
        <w:rPr>
          <w:lang w:val="en-US"/>
        </w:rPr>
        <w:t>15</w:t>
      </w:r>
    </w:p>
    <w:p w14:paraId="420D6A14"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Hickman v. Taylor</w:t>
      </w:r>
      <w:r w:rsidRPr="120AE2AE">
        <w:rPr>
          <w:lang w:val="en-US"/>
        </w:rPr>
        <w:t>,</w:t>
      </w:r>
      <w:r>
        <w:br/>
      </w:r>
      <w:r w:rsidRPr="120AE2AE">
        <w:rPr>
          <w:lang w:val="en-US"/>
        </w:rPr>
        <w:t>329 U.S. 495 (1947)</w:t>
      </w:r>
      <w:r>
        <w:tab/>
      </w:r>
      <w:r w:rsidRPr="120AE2AE">
        <w:rPr>
          <w:lang w:val="en-US"/>
        </w:rPr>
        <w:t>14, 15, 17, 18</w:t>
      </w:r>
    </w:p>
    <w:p w14:paraId="17AB5796"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In re Allen</w:t>
      </w:r>
      <w:r w:rsidRPr="120AE2AE">
        <w:rPr>
          <w:lang w:val="en-US"/>
        </w:rPr>
        <w:t>,</w:t>
      </w:r>
      <w:r>
        <w:br/>
      </w:r>
      <w:r w:rsidRPr="120AE2AE">
        <w:rPr>
          <w:lang w:val="en-US"/>
        </w:rPr>
        <w:t>106 F.3d 582 (4th Cir. 1997)</w:t>
      </w:r>
      <w:r>
        <w:tab/>
      </w:r>
      <w:r w:rsidRPr="120AE2AE">
        <w:rPr>
          <w:lang w:val="en-US"/>
        </w:rPr>
        <w:t>17, 18</w:t>
      </w:r>
    </w:p>
    <w:p w14:paraId="234BD290"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In re Grand Jury Proceedings</w:t>
      </w:r>
      <w:r w:rsidRPr="120AE2AE">
        <w:rPr>
          <w:lang w:val="en-US"/>
        </w:rPr>
        <w:t>,</w:t>
      </w:r>
      <w:r>
        <w:br/>
      </w:r>
      <w:r w:rsidRPr="120AE2AE">
        <w:rPr>
          <w:lang w:val="en-US"/>
        </w:rPr>
        <w:t>219 F.3d 175 (2d Cir. 2000)</w:t>
      </w:r>
      <w:r>
        <w:tab/>
      </w:r>
      <w:r w:rsidRPr="120AE2AE">
        <w:rPr>
          <w:lang w:val="en-US"/>
        </w:rPr>
        <w:t>17, 18, 19</w:t>
      </w:r>
    </w:p>
    <w:p w14:paraId="2ED99337"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0034322A">
        <w:rPr>
          <w:i/>
        </w:rPr>
        <w:t>In re Grand Jury Subpoena Dated July 6, 2005</w:t>
      </w:r>
      <w:r w:rsidRPr="0034322A">
        <w:t>,</w:t>
      </w:r>
      <w:r w:rsidRPr="0034322A">
        <w:br/>
        <w:t>510 F.3d 180</w:t>
      </w:r>
      <w:r w:rsidRPr="0034322A">
        <w:tab/>
        <w:t>15</w:t>
      </w:r>
    </w:p>
    <w:p w14:paraId="6BF16198"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In re Murphy</w:t>
      </w:r>
      <w:r w:rsidRPr="120AE2AE">
        <w:rPr>
          <w:lang w:val="en-US"/>
        </w:rPr>
        <w:t>,</w:t>
      </w:r>
      <w:r>
        <w:br/>
      </w:r>
      <w:r w:rsidRPr="120AE2AE">
        <w:rPr>
          <w:lang w:val="en-US"/>
        </w:rPr>
        <w:t>560 F.2d 326 (8th Cir. 1977)</w:t>
      </w:r>
      <w:r>
        <w:tab/>
      </w:r>
      <w:r w:rsidRPr="120AE2AE">
        <w:rPr>
          <w:lang w:val="en-US"/>
        </w:rPr>
        <w:t>17, 19</w:t>
      </w:r>
    </w:p>
    <w:p w14:paraId="263A0266"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Kastigar v. United States</w:t>
      </w:r>
      <w:r w:rsidRPr="120AE2AE">
        <w:rPr>
          <w:lang w:val="en-US"/>
        </w:rPr>
        <w:t>,</w:t>
      </w:r>
      <w:r>
        <w:br/>
      </w:r>
      <w:r w:rsidRPr="120AE2AE">
        <w:rPr>
          <w:lang w:val="en-US"/>
        </w:rPr>
        <w:t>406 U.S. 441 (1972)</w:t>
      </w:r>
      <w:r>
        <w:tab/>
      </w:r>
      <w:r w:rsidRPr="120AE2AE">
        <w:rPr>
          <w:lang w:val="en-US"/>
        </w:rPr>
        <w:t>5, 6, 13</w:t>
      </w:r>
    </w:p>
    <w:p w14:paraId="1A7AD867"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Beery</w:t>
      </w:r>
      <w:r w:rsidRPr="120AE2AE">
        <w:rPr>
          <w:lang w:val="en-US"/>
        </w:rPr>
        <w:t>,</w:t>
      </w:r>
      <w:r>
        <w:br/>
      </w:r>
      <w:r w:rsidRPr="120AE2AE">
        <w:rPr>
          <w:lang w:val="en-US"/>
        </w:rPr>
        <w:t>678 F.2d 856 (10th Cir. 1982)</w:t>
      </w:r>
      <w:r>
        <w:tab/>
      </w:r>
      <w:r w:rsidRPr="120AE2AE">
        <w:rPr>
          <w:lang w:val="en-US"/>
        </w:rPr>
        <w:t>7</w:t>
      </w:r>
    </w:p>
    <w:p w14:paraId="75CC969F"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Byrd</w:t>
      </w:r>
      <w:r w:rsidRPr="120AE2AE">
        <w:rPr>
          <w:lang w:val="en-US"/>
        </w:rPr>
        <w:t>,</w:t>
      </w:r>
      <w:r>
        <w:br/>
      </w:r>
      <w:r w:rsidRPr="120AE2AE">
        <w:rPr>
          <w:lang w:val="en-US"/>
        </w:rPr>
        <w:t>765 F.2d 1524 (11th Cir. 1985)</w:t>
      </w:r>
      <w:r>
        <w:tab/>
      </w:r>
      <w:r w:rsidRPr="120AE2AE">
        <w:rPr>
          <w:lang w:val="en-US"/>
        </w:rPr>
        <w:t>7</w:t>
      </w:r>
    </w:p>
    <w:p w14:paraId="44BB3C3C"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Cantu</w:t>
      </w:r>
      <w:r w:rsidRPr="120AE2AE">
        <w:rPr>
          <w:lang w:val="en-US"/>
        </w:rPr>
        <w:t>,</w:t>
      </w:r>
      <w:r>
        <w:br/>
      </w:r>
      <w:r w:rsidRPr="120AE2AE">
        <w:rPr>
          <w:lang w:val="en-US"/>
        </w:rPr>
        <w:t>185 F.3d 298 (5th Cir. 1999)</w:t>
      </w:r>
      <w:r>
        <w:tab/>
      </w:r>
      <w:r w:rsidRPr="120AE2AE">
        <w:rPr>
          <w:lang w:val="en-US"/>
        </w:rPr>
        <w:t>7, 9</w:t>
      </w:r>
    </w:p>
    <w:p w14:paraId="5E02A7FB"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Garrett</w:t>
      </w:r>
      <w:r w:rsidRPr="120AE2AE">
        <w:rPr>
          <w:lang w:val="en-US"/>
        </w:rPr>
        <w:t>,</w:t>
      </w:r>
      <w:r>
        <w:br/>
      </w:r>
      <w:r w:rsidRPr="120AE2AE">
        <w:rPr>
          <w:lang w:val="en-US"/>
        </w:rPr>
        <w:t>797 F.2d 656 (8th Cir. 1986)</w:t>
      </w:r>
      <w:r>
        <w:tab/>
      </w:r>
      <w:r w:rsidRPr="120AE2AE">
        <w:rPr>
          <w:lang w:val="en-US"/>
        </w:rPr>
        <w:t>7</w:t>
      </w:r>
    </w:p>
    <w:p w14:paraId="26F32E63"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Kilroy</w:t>
      </w:r>
      <w:r w:rsidRPr="120AE2AE">
        <w:rPr>
          <w:lang w:val="en-US"/>
        </w:rPr>
        <w:t>,</w:t>
      </w:r>
      <w:r>
        <w:br/>
      </w:r>
      <w:r w:rsidRPr="120AE2AE">
        <w:rPr>
          <w:lang w:val="en-US"/>
        </w:rPr>
        <w:t>27 F.3d 679 (D.C. Cir. 1994)</w:t>
      </w:r>
      <w:r>
        <w:tab/>
      </w:r>
      <w:r w:rsidRPr="120AE2AE">
        <w:rPr>
          <w:lang w:val="en-US"/>
        </w:rPr>
        <w:t>7</w:t>
      </w:r>
    </w:p>
    <w:p w14:paraId="5A475C83"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Kovel</w:t>
      </w:r>
      <w:r w:rsidRPr="120AE2AE">
        <w:rPr>
          <w:lang w:val="en-US"/>
        </w:rPr>
        <w:t>,</w:t>
      </w:r>
      <w:r>
        <w:br/>
      </w:r>
      <w:r w:rsidRPr="120AE2AE">
        <w:rPr>
          <w:lang w:val="en-US"/>
        </w:rPr>
        <w:t>296 F.2d 918 (2d Cir. 1961)</w:t>
      </w:r>
      <w:r>
        <w:tab/>
      </w:r>
      <w:r w:rsidRPr="120AE2AE">
        <w:rPr>
          <w:lang w:val="en-US"/>
        </w:rPr>
        <w:t>15</w:t>
      </w:r>
    </w:p>
    <w:p w14:paraId="7EB4F18A"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Nixon</w:t>
      </w:r>
      <w:r w:rsidRPr="120AE2AE">
        <w:rPr>
          <w:lang w:val="en-US"/>
        </w:rPr>
        <w:t>,</w:t>
      </w:r>
      <w:r>
        <w:br/>
      </w:r>
      <w:r w:rsidRPr="120AE2AE">
        <w:rPr>
          <w:lang w:val="en-US"/>
        </w:rPr>
        <w:t>418 U.S. 683 (1974)</w:t>
      </w:r>
      <w:r>
        <w:tab/>
      </w:r>
      <w:r w:rsidRPr="120AE2AE">
        <w:rPr>
          <w:lang w:val="en-US"/>
        </w:rPr>
        <w:t>15, 16</w:t>
      </w:r>
    </w:p>
    <w:p w14:paraId="7EA3472C"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Nobles</w:t>
      </w:r>
      <w:r w:rsidRPr="120AE2AE">
        <w:rPr>
          <w:lang w:val="en-US"/>
        </w:rPr>
        <w:t>,</w:t>
      </w:r>
      <w:r>
        <w:br/>
      </w:r>
      <w:r w:rsidRPr="120AE2AE">
        <w:rPr>
          <w:lang w:val="en-US"/>
        </w:rPr>
        <w:t>422 U.S. 225 (1975)</w:t>
      </w:r>
      <w:r>
        <w:tab/>
      </w:r>
      <w:r w:rsidRPr="120AE2AE">
        <w:rPr>
          <w:lang w:val="en-US"/>
        </w:rPr>
        <w:t>14, 15, 16</w:t>
      </w:r>
    </w:p>
    <w:p w14:paraId="58EE4F8E"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North</w:t>
      </w:r>
      <w:r w:rsidRPr="120AE2AE">
        <w:rPr>
          <w:lang w:val="en-US"/>
        </w:rPr>
        <w:t>,</w:t>
      </w:r>
      <w:r>
        <w:br/>
      </w:r>
      <w:r w:rsidRPr="120AE2AE">
        <w:rPr>
          <w:lang w:val="en-US"/>
        </w:rPr>
        <w:t>910 F.2d 843 (D.C. Cir. 1990)</w:t>
      </w:r>
      <w:r>
        <w:tab/>
      </w:r>
      <w:r w:rsidRPr="120AE2AE">
        <w:rPr>
          <w:lang w:val="en-US"/>
        </w:rPr>
        <w:t>Passim</w:t>
      </w:r>
    </w:p>
    <w:p w14:paraId="496EDC11"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North</w:t>
      </w:r>
      <w:r w:rsidRPr="120AE2AE">
        <w:rPr>
          <w:lang w:val="en-US"/>
        </w:rPr>
        <w:t>,</w:t>
      </w:r>
      <w:r>
        <w:br/>
      </w:r>
      <w:r w:rsidRPr="120AE2AE">
        <w:rPr>
          <w:lang w:val="en-US"/>
        </w:rPr>
        <w:t>920 F.2d 940 (D.C. Cir. 1990)</w:t>
      </w:r>
      <w:r>
        <w:tab/>
      </w:r>
      <w:r w:rsidRPr="120AE2AE">
        <w:rPr>
          <w:lang w:val="en-US"/>
        </w:rPr>
        <w:t>6, 8, 12</w:t>
      </w:r>
    </w:p>
    <w:p w14:paraId="3CFD5E14"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Rinaldi</w:t>
      </w:r>
      <w:r w:rsidRPr="120AE2AE">
        <w:rPr>
          <w:lang w:val="en-US"/>
        </w:rPr>
        <w:t>,</w:t>
      </w:r>
      <w:r>
        <w:br/>
      </w:r>
      <w:r w:rsidRPr="120AE2AE">
        <w:rPr>
          <w:lang w:val="en-US"/>
        </w:rPr>
        <w:t>808 F.2d 1579 (D.C. Cir. 1987)</w:t>
      </w:r>
      <w:r>
        <w:tab/>
      </w:r>
      <w:r w:rsidRPr="120AE2AE">
        <w:rPr>
          <w:lang w:val="en-US"/>
        </w:rPr>
        <w:t>7, 9</w:t>
      </w:r>
    </w:p>
    <w:p w14:paraId="332CAF85" w14:textId="5BC2D041" w:rsidR="00B17867" w:rsidRPr="006675C1" w:rsidRDefault="00AF4064" w:rsidP="006675C1">
      <w:pPr>
        <w:pBdr>
          <w:top w:val="nil"/>
          <w:left w:val="nil"/>
          <w:bottom w:val="nil"/>
          <w:right w:val="nil"/>
          <w:between w:val="nil"/>
        </w:pBdr>
        <w:tabs>
          <w:tab w:val="right" w:leader="dot" w:pos="9340"/>
        </w:tabs>
        <w:spacing w:line="240" w:lineRule="auto"/>
        <w:ind w:left="200" w:hanging="200"/>
        <w:contextualSpacing/>
      </w:pPr>
      <w:r w:rsidRPr="120AE2AE">
        <w:rPr>
          <w:i/>
          <w:iCs/>
          <w:lang w:val="en-US"/>
        </w:rPr>
        <w:t>United States v. Zielezinski</w:t>
      </w:r>
      <w:r w:rsidRPr="120AE2AE">
        <w:rPr>
          <w:lang w:val="en-US"/>
        </w:rPr>
        <w:t>,</w:t>
      </w:r>
      <w:r>
        <w:br/>
      </w:r>
      <w:r w:rsidRPr="120AE2AE">
        <w:rPr>
          <w:lang w:val="en-US"/>
        </w:rPr>
        <w:t>740 F.2d 727 (9th Cir. 1984)</w:t>
      </w:r>
      <w:r>
        <w:tab/>
      </w:r>
      <w:r w:rsidRPr="120AE2AE">
        <w:rPr>
          <w:lang w:val="en-US"/>
        </w:rPr>
        <w:t>7</w:t>
      </w:r>
    </w:p>
    <w:p w14:paraId="0E3F3C5C" w14:textId="77777777" w:rsidR="00786500" w:rsidRDefault="00786500" w:rsidP="00276553">
      <w:pPr>
        <w:pBdr>
          <w:top w:val="nil"/>
          <w:left w:val="nil"/>
          <w:bottom w:val="nil"/>
          <w:right w:val="nil"/>
          <w:between w:val="nil"/>
        </w:pBdr>
        <w:tabs>
          <w:tab w:val="right" w:leader="dot" w:pos="9340"/>
        </w:tabs>
        <w:spacing w:before="240" w:line="240" w:lineRule="auto"/>
        <w:contextualSpacing/>
        <w:rPr>
          <w:sz w:val="24"/>
          <w:u w:val="single"/>
        </w:rPr>
      </w:pPr>
    </w:p>
    <w:p w14:paraId="7A8FEE8A" w14:textId="282FA64C" w:rsidR="00D60317" w:rsidRPr="006B18C3" w:rsidRDefault="00AF4064" w:rsidP="00276553">
      <w:pPr>
        <w:pBdr>
          <w:top w:val="nil"/>
          <w:left w:val="nil"/>
          <w:bottom w:val="nil"/>
          <w:right w:val="nil"/>
          <w:between w:val="nil"/>
        </w:pBdr>
        <w:tabs>
          <w:tab w:val="right" w:leader="dot" w:pos="9340"/>
        </w:tabs>
        <w:spacing w:before="240" w:line="240" w:lineRule="auto"/>
        <w:contextualSpacing/>
        <w:rPr>
          <w:u w:val="single"/>
        </w:rPr>
      </w:pPr>
      <w:r w:rsidRPr="006B18C3">
        <w:rPr>
          <w:u w:val="single"/>
        </w:rPr>
        <w:lastRenderedPageBreak/>
        <w:t>Statutes</w:t>
      </w:r>
    </w:p>
    <w:p w14:paraId="1C0C44D6" w14:textId="77777777" w:rsidR="007E1621" w:rsidRPr="007E1621" w:rsidRDefault="007E1621" w:rsidP="007E1621">
      <w:pPr>
        <w:pBdr>
          <w:top w:val="nil"/>
          <w:left w:val="nil"/>
          <w:bottom w:val="nil"/>
          <w:right w:val="nil"/>
          <w:between w:val="nil"/>
        </w:pBdr>
        <w:tabs>
          <w:tab w:val="right" w:leader="dot" w:pos="9340"/>
        </w:tabs>
        <w:spacing w:before="240" w:line="240" w:lineRule="auto"/>
        <w:contextualSpacing/>
        <w:rPr>
          <w:sz w:val="12"/>
          <w:szCs w:val="12"/>
          <w:u w:val="single"/>
        </w:rPr>
      </w:pPr>
    </w:p>
    <w:p w14:paraId="2723E6A6"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0034322A">
        <w:t>18 U.S.C.A. § 6003</w:t>
      </w:r>
      <w:r w:rsidRPr="0034322A">
        <w:tab/>
        <w:t>5</w:t>
      </w:r>
    </w:p>
    <w:p w14:paraId="27542381" w14:textId="77777777"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lang w:val="en-US"/>
        </w:rPr>
        <w:t>U.S. Const. amend. V</w:t>
      </w:r>
      <w:r>
        <w:tab/>
      </w:r>
      <w:r w:rsidRPr="120AE2AE">
        <w:rPr>
          <w:lang w:val="en-US"/>
        </w:rPr>
        <w:t>5</w:t>
      </w:r>
    </w:p>
    <w:p w14:paraId="585F3E64" w14:textId="695638E4"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lang w:val="en-US"/>
        </w:rPr>
        <w:t>U.S. Const. amend. VI</w:t>
      </w:r>
      <w:r>
        <w:tab/>
      </w:r>
      <w:r w:rsidRPr="120AE2AE">
        <w:rPr>
          <w:lang w:val="en-US"/>
        </w:rPr>
        <w:t>14, 19</w:t>
      </w:r>
    </w:p>
    <w:p w14:paraId="33BF9F4C" w14:textId="77777777" w:rsidR="00786500" w:rsidRDefault="00786500" w:rsidP="00B66303">
      <w:pPr>
        <w:pBdr>
          <w:top w:val="nil"/>
          <w:left w:val="nil"/>
          <w:bottom w:val="nil"/>
          <w:right w:val="nil"/>
          <w:between w:val="nil"/>
        </w:pBdr>
        <w:tabs>
          <w:tab w:val="right" w:leader="dot" w:pos="9340"/>
        </w:tabs>
        <w:spacing w:line="240" w:lineRule="auto"/>
        <w:contextualSpacing/>
        <w:rPr>
          <w:sz w:val="24"/>
          <w:u w:val="single"/>
        </w:rPr>
      </w:pPr>
    </w:p>
    <w:p w14:paraId="0B0EB478" w14:textId="56C404CC" w:rsidR="009652C8" w:rsidRPr="006B18C3" w:rsidRDefault="00AF4064" w:rsidP="00B66303">
      <w:pPr>
        <w:pBdr>
          <w:top w:val="nil"/>
          <w:left w:val="nil"/>
          <w:bottom w:val="nil"/>
          <w:right w:val="nil"/>
          <w:between w:val="nil"/>
        </w:pBdr>
        <w:tabs>
          <w:tab w:val="right" w:leader="dot" w:pos="9340"/>
        </w:tabs>
        <w:spacing w:line="240" w:lineRule="auto"/>
        <w:contextualSpacing/>
        <w:rPr>
          <w:u w:val="single"/>
        </w:rPr>
      </w:pPr>
      <w:r w:rsidRPr="006B18C3">
        <w:rPr>
          <w:u w:val="single"/>
        </w:rPr>
        <w:t>Rules</w:t>
      </w:r>
    </w:p>
    <w:p w14:paraId="0666030B" w14:textId="77777777" w:rsidR="00D60317" w:rsidRPr="007E1621" w:rsidRDefault="00D60317" w:rsidP="00B66303">
      <w:pPr>
        <w:pBdr>
          <w:top w:val="nil"/>
          <w:left w:val="nil"/>
          <w:bottom w:val="nil"/>
          <w:right w:val="nil"/>
          <w:between w:val="nil"/>
        </w:pBdr>
        <w:tabs>
          <w:tab w:val="right" w:leader="dot" w:pos="9340"/>
        </w:tabs>
        <w:spacing w:line="240" w:lineRule="auto"/>
        <w:contextualSpacing/>
        <w:rPr>
          <w:sz w:val="12"/>
          <w:szCs w:val="12"/>
          <w:u w:val="single"/>
        </w:rPr>
      </w:pPr>
    </w:p>
    <w:p w14:paraId="5A421854" w14:textId="4DB4583F"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lang w:val="en-US"/>
        </w:rPr>
        <w:t>Fed. R. Crim. P. 16(b)(2)</w:t>
      </w:r>
      <w:r>
        <w:tab/>
      </w:r>
      <w:r w:rsidRPr="120AE2AE">
        <w:rPr>
          <w:lang w:val="en-US"/>
        </w:rPr>
        <w:t xml:space="preserve">14, </w:t>
      </w:r>
      <w:r w:rsidR="0034322A" w:rsidRPr="120AE2AE">
        <w:rPr>
          <w:lang w:val="en-US"/>
        </w:rPr>
        <w:t xml:space="preserve">15, </w:t>
      </w:r>
      <w:r w:rsidRPr="120AE2AE">
        <w:rPr>
          <w:lang w:val="en-US"/>
        </w:rPr>
        <w:t>16</w:t>
      </w:r>
    </w:p>
    <w:p w14:paraId="6098F244" w14:textId="39939A88" w:rsidR="009652C8" w:rsidRPr="0034322A" w:rsidRDefault="00AF4064" w:rsidP="00B66303">
      <w:pPr>
        <w:pBdr>
          <w:top w:val="nil"/>
          <w:left w:val="nil"/>
          <w:bottom w:val="nil"/>
          <w:right w:val="nil"/>
          <w:between w:val="nil"/>
        </w:pBdr>
        <w:tabs>
          <w:tab w:val="right" w:leader="dot" w:pos="9340"/>
        </w:tabs>
        <w:spacing w:line="240" w:lineRule="auto"/>
        <w:ind w:left="200" w:hanging="200"/>
        <w:contextualSpacing/>
      </w:pPr>
      <w:r w:rsidRPr="120AE2AE">
        <w:rPr>
          <w:lang w:val="en-US"/>
        </w:rPr>
        <w:t>Fed. R. Crim. P. 17(c)(2)</w:t>
      </w:r>
      <w:r>
        <w:tab/>
      </w:r>
      <w:r w:rsidRPr="120AE2AE">
        <w:rPr>
          <w:lang w:val="en-US"/>
        </w:rPr>
        <w:t>15, 16, 19</w:t>
      </w:r>
    </w:p>
    <w:bookmarkEnd w:id="24"/>
    <w:bookmarkEnd w:id="25"/>
    <w:p w14:paraId="4D7181F1" w14:textId="77777777" w:rsidR="003D37FA" w:rsidRPr="0034322A" w:rsidRDefault="003D37FA" w:rsidP="003D37FA">
      <w:pPr>
        <w:pStyle w:val="Heading1"/>
        <w:rPr>
          <w:b/>
          <w:bCs/>
          <w:color w:val="auto"/>
        </w:rPr>
        <w:sectPr w:rsidR="003D37FA" w:rsidRPr="0034322A" w:rsidSect="003D37FA">
          <w:pgSz w:w="12240" w:h="15840"/>
          <w:pgMar w:top="1440" w:right="1440" w:bottom="1440" w:left="1440" w:header="708" w:footer="708" w:gutter="0"/>
          <w:pgNumType w:fmt="lowerRoman" w:start="1"/>
          <w:cols w:space="720"/>
          <w:docGrid w:linePitch="354"/>
        </w:sectPr>
      </w:pPr>
    </w:p>
    <w:p w14:paraId="1692CD80" w14:textId="77777777" w:rsidR="003D37FA" w:rsidRPr="0034322A" w:rsidRDefault="00AF4064" w:rsidP="0034322A">
      <w:pPr>
        <w:pStyle w:val="Heading1"/>
        <w:jc w:val="center"/>
        <w:rPr>
          <w:rFonts w:ascii="Times New Roman" w:hAnsi="Times New Roman" w:cs="Times New Roman"/>
          <w:b/>
          <w:color w:val="auto"/>
          <w:sz w:val="26"/>
          <w:szCs w:val="26"/>
        </w:rPr>
      </w:pPr>
      <w:bookmarkStart w:id="26" w:name="_Toc239132874"/>
      <w:bookmarkStart w:id="27" w:name="dabmch_65"/>
      <w:bookmarkStart w:id="28" w:name="_Toc239153926"/>
      <w:bookmarkStart w:id="29" w:name="_Toc239155039"/>
      <w:r w:rsidRPr="0034322A">
        <w:rPr>
          <w:rFonts w:ascii="Times New Roman" w:hAnsi="Times New Roman" w:cs="Times New Roman"/>
          <w:b/>
          <w:bCs/>
          <w:color w:val="auto"/>
          <w:sz w:val="26"/>
          <w:szCs w:val="26"/>
        </w:rPr>
        <w:lastRenderedPageBreak/>
        <w:t>INTRODUCTION</w:t>
      </w:r>
      <w:bookmarkEnd w:id="26"/>
      <w:bookmarkEnd w:id="27"/>
      <w:bookmarkEnd w:id="28"/>
      <w:bookmarkEnd w:id="29"/>
    </w:p>
    <w:p w14:paraId="18E25DE7" w14:textId="77777777" w:rsidR="003D37FA" w:rsidRPr="0034322A" w:rsidRDefault="00AF4064" w:rsidP="003D37FA">
      <w:pPr>
        <w:ind w:firstLine="720"/>
        <w:jc w:val="both"/>
      </w:pPr>
      <w:bookmarkStart w:id="30" w:name="dabmch_66"/>
      <w:r w:rsidRPr="0034322A">
        <w:rPr>
          <w:lang w:val="en-US"/>
        </w:rPr>
        <w:t>Emily Calloway asks this Court to protect two constitutional guarantees: her Fifth Amendment privilege against self-incrimination, and her Sixth Amendment right to the assistance of counsel.</w:t>
      </w:r>
      <w:bookmarkEnd w:id="30"/>
    </w:p>
    <w:p w14:paraId="3F391573" w14:textId="32A85ED5" w:rsidR="003D37FA" w:rsidRPr="0034322A" w:rsidRDefault="00200B7F" w:rsidP="003D37FA">
      <w:pPr>
        <w:ind w:firstLine="720"/>
        <w:jc w:val="both"/>
      </w:pPr>
      <w:bookmarkStart w:id="31" w:name="dabmch_67"/>
      <w:r w:rsidRPr="0034322A">
        <w:rPr>
          <w:lang w:val="en-US"/>
        </w:rPr>
        <w:t xml:space="preserve">The </w:t>
      </w:r>
      <w:r w:rsidR="00365430">
        <w:rPr>
          <w:lang w:val="en-US"/>
        </w:rPr>
        <w:t>c</w:t>
      </w:r>
      <w:r w:rsidR="00405939">
        <w:rPr>
          <w:lang w:val="en-US"/>
        </w:rPr>
        <w:t>onstitutional</w:t>
      </w:r>
      <w:r w:rsidR="00AF4064" w:rsidRPr="0034322A">
        <w:rPr>
          <w:lang w:val="en-US"/>
        </w:rPr>
        <w:t xml:space="preserve"> right to remain silent is a right that protects us all. The Government may take away that privilege only if the Government guarantees neither the testimony nor any information derived from it will be used against the witness. Once a witness shows she testified under immunity, the Supreme Court requires the Government to prove its proposed evidence comes from independent sources.</w:t>
      </w:r>
      <w:bookmarkEnd w:id="31"/>
    </w:p>
    <w:p w14:paraId="0BF8AEE7" w14:textId="365D946A" w:rsidR="003D37FA" w:rsidRPr="0034322A" w:rsidRDefault="00200B7F" w:rsidP="003D37FA">
      <w:pPr>
        <w:ind w:firstLine="720"/>
        <w:jc w:val="both"/>
      </w:pPr>
      <w:bookmarkStart w:id="32" w:name="dabmch_68"/>
      <w:r w:rsidRPr="0034322A">
        <w:rPr>
          <w:lang w:val="en-US"/>
        </w:rPr>
        <w:t xml:space="preserve">The </w:t>
      </w:r>
      <w:r w:rsidR="00365430">
        <w:rPr>
          <w:lang w:val="en-US"/>
        </w:rPr>
        <w:t>c</w:t>
      </w:r>
      <w:r w:rsidR="00405939">
        <w:rPr>
          <w:lang w:val="en-US"/>
        </w:rPr>
        <w:t>onstitutional</w:t>
      </w:r>
      <w:r w:rsidR="00AF4064" w:rsidRPr="0034322A">
        <w:rPr>
          <w:lang w:val="en-US"/>
        </w:rPr>
        <w:t xml:space="preserve"> right to the assistance of counsel is equally encompassing. Counsel for Defense can investigate freely without their work</w:t>
      </w:r>
      <w:r w:rsidR="00225CE1">
        <w:rPr>
          <w:lang w:val="en-US"/>
        </w:rPr>
        <w:t>-</w:t>
      </w:r>
      <w:r w:rsidR="00AF4064" w:rsidRPr="0034322A">
        <w:rPr>
          <w:lang w:val="en-US"/>
        </w:rPr>
        <w:t>product landing in the Government’s hands. Just as the Fifth Amendment requires the Government to keep compelled testimony walled off, the work-product doctrine requires this Court to keep the defense’s own investigation walled off. The Government has subpoenaed Maddox Armana, an agent of Calloway’s defense counsel, for all records of Armana’s interview of Sierra Seton. That subpoena is unreasonable and oppressive because it demands protected work</w:t>
      </w:r>
      <w:r w:rsidR="00225CE1">
        <w:rPr>
          <w:lang w:val="en-US"/>
        </w:rPr>
        <w:t>-</w:t>
      </w:r>
      <w:r w:rsidR="00AF4064" w:rsidRPr="0034322A">
        <w:rPr>
          <w:lang w:val="en-US"/>
        </w:rPr>
        <w:t>product.</w:t>
      </w:r>
      <w:bookmarkEnd w:id="32"/>
    </w:p>
    <w:p w14:paraId="5E5A8A64" w14:textId="77777777" w:rsidR="003D37FA" w:rsidRPr="0034322A" w:rsidRDefault="00AF4064" w:rsidP="003D37FA">
      <w:pPr>
        <w:ind w:firstLine="720"/>
        <w:jc w:val="both"/>
        <w:rPr>
          <w:lang w:val="en-US"/>
        </w:rPr>
      </w:pPr>
      <w:bookmarkStart w:id="33" w:name="dabmch_69"/>
      <w:r w:rsidRPr="0034322A">
        <w:rPr>
          <w:lang w:val="en-US"/>
        </w:rPr>
        <w:t xml:space="preserve">Calloway accordingly asks this Court to grant two forms of relief. First, she asks this Court to suppress the testimony of Kennedy Parker and Exhibit 19. Second, she asks this Court to quash the subpoena duces tecum served on Armana. </w:t>
      </w:r>
      <w:bookmarkEnd w:id="33"/>
    </w:p>
    <w:p w14:paraId="527BFA30" w14:textId="77777777" w:rsidR="003D37FA" w:rsidRPr="0034322A" w:rsidRDefault="00AF4064" w:rsidP="003D37FA">
      <w:pPr>
        <w:rPr>
          <w:lang w:val="en-US"/>
        </w:rPr>
      </w:pPr>
      <w:bookmarkStart w:id="34" w:name="dabmch_70"/>
      <w:r w:rsidRPr="0034322A">
        <w:rPr>
          <w:lang w:val="en-US"/>
        </w:rPr>
        <w:br w:type="page"/>
      </w:r>
      <w:bookmarkEnd w:id="34"/>
    </w:p>
    <w:p w14:paraId="7939F7CC" w14:textId="77777777" w:rsidR="003D37FA" w:rsidRPr="0034322A" w:rsidRDefault="00AF4064" w:rsidP="0034322A">
      <w:pPr>
        <w:pStyle w:val="Heading1"/>
        <w:jc w:val="center"/>
        <w:rPr>
          <w:rFonts w:ascii="Times New Roman" w:hAnsi="Times New Roman" w:cs="Times New Roman"/>
          <w:b/>
          <w:bCs/>
          <w:color w:val="auto"/>
          <w:sz w:val="26"/>
          <w:szCs w:val="26"/>
        </w:rPr>
      </w:pPr>
      <w:bookmarkStart w:id="35" w:name="_Toc239132875"/>
      <w:bookmarkStart w:id="36" w:name="dabmch_71"/>
      <w:bookmarkStart w:id="37" w:name="_Toc239153927"/>
      <w:bookmarkStart w:id="38" w:name="_Toc239155040"/>
      <w:r w:rsidRPr="0034322A">
        <w:rPr>
          <w:rFonts w:ascii="Times New Roman" w:hAnsi="Times New Roman" w:cs="Times New Roman"/>
          <w:b/>
          <w:bCs/>
          <w:color w:val="auto"/>
          <w:sz w:val="26"/>
          <w:szCs w:val="26"/>
        </w:rPr>
        <w:lastRenderedPageBreak/>
        <w:t>STATEMENT OF FACTS</w:t>
      </w:r>
      <w:bookmarkEnd w:id="35"/>
      <w:bookmarkEnd w:id="36"/>
      <w:bookmarkEnd w:id="37"/>
      <w:bookmarkEnd w:id="38"/>
    </w:p>
    <w:p w14:paraId="3FE450AF" w14:textId="39FF7AEA" w:rsidR="003D37FA" w:rsidRPr="0034322A" w:rsidRDefault="00AF4064" w:rsidP="003D37FA">
      <w:pPr>
        <w:ind w:firstLine="720"/>
        <w:jc w:val="both"/>
        <w:rPr>
          <w:lang w:val="en-US"/>
        </w:rPr>
      </w:pPr>
      <w:bookmarkStart w:id="39" w:name="dabmch_72"/>
      <w:r w:rsidRPr="0034322A">
        <w:rPr>
          <w:b/>
          <w:bCs/>
          <w:lang w:val="en-US"/>
        </w:rPr>
        <w:t>The resort</w:t>
      </w:r>
      <w:r w:rsidRPr="0034322A">
        <w:rPr>
          <w:lang w:val="en-US"/>
        </w:rPr>
        <w:t xml:space="preserve">. The Calloway family owned and operated Silver Palms Hospitality in Gulf Haven. Sinclair Dep. 9:38–40. Gulf Haven is a small town where everyone knows everyone. </w:t>
      </w:r>
      <w:r w:rsidRPr="0034322A">
        <w:rPr>
          <w:i/>
          <w:lang w:val="en-US"/>
        </w:rPr>
        <w:t xml:space="preserve">Id. </w:t>
      </w:r>
      <w:r w:rsidRPr="0034322A">
        <w:rPr>
          <w:lang w:val="en-US"/>
        </w:rPr>
        <w:t xml:space="preserve">at 8:24–26. </w:t>
      </w:r>
      <w:r w:rsidR="003A66D8">
        <w:rPr>
          <w:lang w:val="en-US"/>
        </w:rPr>
        <w:t xml:space="preserve">Emily </w:t>
      </w:r>
      <w:r w:rsidRPr="0034322A">
        <w:rPr>
          <w:lang w:val="en-US"/>
        </w:rPr>
        <w:t xml:space="preserve">Calloway inherited the resort in 2013. </w:t>
      </w:r>
      <w:r w:rsidRPr="0034322A">
        <w:rPr>
          <w:i/>
          <w:lang w:val="en-US"/>
        </w:rPr>
        <w:t xml:space="preserve">Id. </w:t>
      </w:r>
      <w:r w:rsidRPr="0034322A">
        <w:rPr>
          <w:lang w:val="en-US"/>
        </w:rPr>
        <w:t>at 9:53–54; Parker Dep. 35:63–70. In 2018, Saint Donovan became co-owner and took over the finances. Sinclair Dep. 9:64–67; Parker Dep. 35:72–74.</w:t>
      </w:r>
      <w:bookmarkEnd w:id="39"/>
    </w:p>
    <w:p w14:paraId="34F821EA" w14:textId="5F1E7ECF" w:rsidR="003D37FA" w:rsidRPr="0034322A" w:rsidRDefault="00AF4064" w:rsidP="003D37FA">
      <w:pPr>
        <w:ind w:firstLine="720"/>
        <w:jc w:val="both"/>
        <w:rPr>
          <w:lang w:val="en-US"/>
        </w:rPr>
      </w:pPr>
      <w:bookmarkStart w:id="40" w:name="dabmch_73"/>
      <w:r w:rsidRPr="0034322A">
        <w:rPr>
          <w:b/>
          <w:bCs/>
          <w:lang w:val="en-US"/>
        </w:rPr>
        <w:t>The murder</w:t>
      </w:r>
      <w:r w:rsidRPr="0034322A">
        <w:rPr>
          <w:lang w:val="en-US"/>
        </w:rPr>
        <w:t xml:space="preserve">. In 2023, the resort’s accountant, Daniel Blake, came to believe outside vendors overbilled the resort, and he brought his concerns to AUSA Tatum Sinclair. </w:t>
      </w:r>
      <w:r w:rsidRPr="0034322A">
        <w:t>Sinclair Dep. 11:128–33, 11:149–53.</w:t>
      </w:r>
      <w:r w:rsidRPr="0034322A">
        <w:rPr>
          <w:lang w:val="en-US"/>
        </w:rPr>
        <w:t xml:space="preserve"> On December 9, 2023, he told Sinclair he found something that tied the scheme together. </w:t>
      </w:r>
      <w:r w:rsidRPr="0034322A">
        <w:rPr>
          <w:i/>
        </w:rPr>
        <w:t>Id.</w:t>
      </w:r>
      <w:r w:rsidRPr="0034322A">
        <w:t xml:space="preserve"> at 13:200</w:t>
      </w:r>
      <w:r w:rsidR="007F67EE">
        <w:t>–</w:t>
      </w:r>
      <w:r w:rsidRPr="0034322A">
        <w:t>11</w:t>
      </w:r>
      <w:r w:rsidRPr="0034322A">
        <w:rPr>
          <w:lang w:val="en-US"/>
        </w:rPr>
        <w:t xml:space="preserve">. The next night, at the staff Christmas party, Blake pulled Calloway aside and told her there was “a problem with the payments.” Parker Dep. 38:186–89. A banquet server, Parker, walked into the middle of the argument and returned minutes later to check on Calloway. </w:t>
      </w:r>
      <w:r w:rsidRPr="0034322A">
        <w:rPr>
          <w:i/>
          <w:iCs/>
        </w:rPr>
        <w:t>Id.</w:t>
      </w:r>
      <w:r w:rsidRPr="0034322A">
        <w:t xml:space="preserve"> at 38:180</w:t>
      </w:r>
      <w:r w:rsidR="007F67EE">
        <w:t>–</w:t>
      </w:r>
      <w:r w:rsidRPr="0034322A">
        <w:t>85, 39:204</w:t>
      </w:r>
      <w:r w:rsidR="007F67EE">
        <w:t>–</w:t>
      </w:r>
      <w:r w:rsidRPr="0034322A">
        <w:t>08</w:t>
      </w:r>
      <w:r w:rsidRPr="0034322A">
        <w:rPr>
          <w:lang w:val="en-US"/>
        </w:rPr>
        <w:t>. Two nights later, Blake was shot in his office, and the files he assembled were gone. Sinclair Dep. 13:216–17, 14:243–50.</w:t>
      </w:r>
      <w:bookmarkEnd w:id="40"/>
    </w:p>
    <w:p w14:paraId="2E39EDC5" w14:textId="2F3B0DB8" w:rsidR="003D37FA" w:rsidRPr="0034322A" w:rsidRDefault="00AF4064" w:rsidP="003D37FA">
      <w:pPr>
        <w:ind w:firstLine="720"/>
        <w:jc w:val="both"/>
      </w:pPr>
      <w:bookmarkStart w:id="41" w:name="dabmch_74"/>
      <w:r w:rsidRPr="0034322A">
        <w:rPr>
          <w:b/>
          <w:bCs/>
          <w:lang w:val="en-US"/>
        </w:rPr>
        <w:t>The compulsion</w:t>
      </w:r>
      <w:r w:rsidRPr="0034322A">
        <w:rPr>
          <w:lang w:val="en-US"/>
        </w:rPr>
        <w:t xml:space="preserve">. Donovan was arrested for the murder in January 2024. Nolan Dep. 25:56–57. The financial investigation followed the money offshore and stopped there. </w:t>
      </w:r>
      <w:r w:rsidRPr="0034322A">
        <w:rPr>
          <w:i/>
          <w:iCs/>
        </w:rPr>
        <w:t>Id.</w:t>
      </w:r>
      <w:r w:rsidRPr="0034322A">
        <w:t xml:space="preserve"> at 26:116</w:t>
      </w:r>
      <w:r w:rsidR="007F67EE">
        <w:t>–</w:t>
      </w:r>
      <w:r w:rsidRPr="0034322A">
        <w:t>27:125</w:t>
      </w:r>
      <w:r w:rsidRPr="0034322A">
        <w:rPr>
          <w:lang w:val="en-US"/>
        </w:rPr>
        <w:t xml:space="preserve">. In February 2024, agents subpoenaed the resort’s employee roster of roughly one hundred names, Parker’s among them, and began interviewing staff. Sinclair Dep. 18:400–17; Ex. 10. They never called Parker. Stip. 7. By that summer, the Government still had no witness who could explain the finances to a jury, and Calloway </w:t>
      </w:r>
      <w:r w:rsidRPr="0034322A">
        <w:rPr>
          <w:lang w:val="en-US"/>
        </w:rPr>
        <w:lastRenderedPageBreak/>
        <w:t xml:space="preserve">declined to speak voluntarily. Sinclair Dep. 21:513–32. The Government moved to compel her anyway, knowing the price: immunity would “restrict, permanently, what we could ever use against her.” </w:t>
      </w:r>
      <w:r w:rsidRPr="0034322A">
        <w:rPr>
          <w:i/>
          <w:iCs/>
        </w:rPr>
        <w:t>Id.</w:t>
      </w:r>
      <w:r w:rsidRPr="0034322A">
        <w:t xml:space="preserve"> at 21:536</w:t>
      </w:r>
      <w:r w:rsidR="007F67EE">
        <w:t>–</w:t>
      </w:r>
      <w:r w:rsidRPr="0034322A">
        <w:t>38</w:t>
      </w:r>
      <w:r w:rsidRPr="0034322A">
        <w:rPr>
          <w:lang w:val="en-US"/>
        </w:rPr>
        <w:t xml:space="preserve">. The Government divided itself into two teams on August 22, 2024, with Agent Nolan leading “Team Calloway,” and the court entered the </w:t>
      </w:r>
      <w:r w:rsidR="00F52F0E">
        <w:rPr>
          <w:lang w:val="en-US"/>
        </w:rPr>
        <w:t>O</w:t>
      </w:r>
      <w:r w:rsidR="004F295D" w:rsidRPr="0034322A">
        <w:rPr>
          <w:lang w:val="en-US"/>
        </w:rPr>
        <w:t xml:space="preserve">rder </w:t>
      </w:r>
      <w:r w:rsidR="00F52F0E">
        <w:rPr>
          <w:lang w:val="en-US"/>
        </w:rPr>
        <w:t>Granting Immunity</w:t>
      </w:r>
      <w:r w:rsidRPr="0034322A">
        <w:rPr>
          <w:lang w:val="en-US"/>
        </w:rPr>
        <w:t xml:space="preserve"> the next day. Nolan Dep. 29:203–13; Exs. 12, 15.</w:t>
      </w:r>
      <w:bookmarkEnd w:id="41"/>
    </w:p>
    <w:p w14:paraId="7F635749" w14:textId="0226ED59" w:rsidR="003D37FA" w:rsidRPr="0034322A" w:rsidRDefault="00AF4064" w:rsidP="003D37FA">
      <w:pPr>
        <w:ind w:firstLine="720"/>
        <w:jc w:val="both"/>
        <w:rPr>
          <w:lang w:val="en-US"/>
        </w:rPr>
      </w:pPr>
      <w:bookmarkStart w:id="42" w:name="dabmch_75"/>
      <w:r w:rsidRPr="0034322A">
        <w:rPr>
          <w:b/>
          <w:bCs/>
          <w:lang w:val="en-US"/>
        </w:rPr>
        <w:t>The interview</w:t>
      </w:r>
      <w:r w:rsidRPr="0034322A">
        <w:rPr>
          <w:lang w:val="en-US"/>
        </w:rPr>
        <w:t>. Following Donovan’s indictment, defense counsel retained Armana to investigate the case and interview Sierra Seton. Armana Dep. 140–43. No audio recording of the interview exists. Armana Dep. 112–13. Instead, what survives is Exhibit 21, a typed account Armana created in real time, blended with Seton’s account. Armana Dep. 120–24, 140–43. Seton has since left the country. Sinclair Dep. 18:393–94. However, the Government’s witnesses testified only that Seton was believed to be off the coast of Spain, with no confirmed location from any investigative effort of their own. Sinclair Dep. 18:394–96; Nolan Dep. 103–04. Armana, by contrast, searched extensively, without success. Armana Dep. 151–59. The Government has since served a subpoena duces tecum on Armana demanding Exhibit 21.</w:t>
      </w:r>
      <w:bookmarkEnd w:id="42"/>
    </w:p>
    <w:p w14:paraId="2118789E" w14:textId="77777777" w:rsidR="003D37FA" w:rsidRPr="0034322A" w:rsidRDefault="00AF4064" w:rsidP="003D37FA">
      <w:pPr>
        <w:ind w:firstLine="720"/>
        <w:jc w:val="both"/>
        <w:rPr>
          <w:lang w:val="en-US"/>
        </w:rPr>
      </w:pPr>
      <w:bookmarkStart w:id="43" w:name="dabmch_76"/>
      <w:r w:rsidRPr="0034322A">
        <w:rPr>
          <w:b/>
          <w:bCs/>
          <w:lang w:val="en-US"/>
        </w:rPr>
        <w:t>The testimony</w:t>
      </w:r>
      <w:r w:rsidRPr="0034322A">
        <w:rPr>
          <w:lang w:val="en-US"/>
        </w:rPr>
        <w:t xml:space="preserve">. Calloway took the stand at Donovan’s trial on October 10, 2024. Stip. 6. Under compulsion, she testified Parker saw her Christmas party argument with Blake. Ex. 13. She also testified Parker ran errands for her. </w:t>
      </w:r>
      <w:r w:rsidRPr="0034322A">
        <w:rPr>
          <w:i/>
          <w:iCs/>
          <w:lang w:val="en-US"/>
        </w:rPr>
        <w:t>Id.</w:t>
      </w:r>
      <w:r w:rsidRPr="0034322A">
        <w:rPr>
          <w:lang w:val="en-US"/>
        </w:rPr>
        <w:t xml:space="preserve">  The testimony was broadcast live, and the trial held the front page of the </w:t>
      </w:r>
      <w:r w:rsidRPr="0034322A">
        <w:rPr>
          <w:i/>
          <w:lang w:val="en-US"/>
        </w:rPr>
        <w:t>Gulf Haven Tribune</w:t>
      </w:r>
      <w:r w:rsidRPr="0034322A">
        <w:rPr>
          <w:lang w:val="en-US"/>
        </w:rPr>
        <w:t>. Sinclair Dep. 23:592–99; Ex. 14. Four days later, that front page identified Parker by name as the only other person who saw the Christmas party argument. Ex. 14.</w:t>
      </w:r>
      <w:bookmarkEnd w:id="43"/>
    </w:p>
    <w:p w14:paraId="42D80ADB" w14:textId="77777777" w:rsidR="003D37FA" w:rsidRPr="0034322A" w:rsidRDefault="00AF4064" w:rsidP="003D37FA">
      <w:pPr>
        <w:ind w:firstLine="720"/>
        <w:jc w:val="both"/>
        <w:rPr>
          <w:lang w:val="en-US"/>
        </w:rPr>
      </w:pPr>
      <w:bookmarkStart w:id="44" w:name="dabmch_77"/>
      <w:r w:rsidRPr="0034322A">
        <w:rPr>
          <w:b/>
          <w:bCs/>
          <w:lang w:val="en-US"/>
        </w:rPr>
        <w:lastRenderedPageBreak/>
        <w:t>The call</w:t>
      </w:r>
      <w:r w:rsidRPr="0034322A">
        <w:rPr>
          <w:lang w:val="en-US"/>
        </w:rPr>
        <w:t>. On October 31, 2024, twenty-one days after the testimony, and nine months after her name first appeared on the roster, the Government questioned Parker. Stip. 7; Parker Dep. 42:315–17. She discussed a file box she took to a storage unit in December 2023, a unit the Government had never heard of before then. Nolan Dep. 32:334–33:349; Ex. 18. Nolan searched the unit and recovered Exhibit 19. Nolan Dep. 33:352–64; Ex. 19.</w:t>
      </w:r>
      <w:bookmarkEnd w:id="44"/>
    </w:p>
    <w:p w14:paraId="75255C01" w14:textId="4F46F1A4" w:rsidR="003D37FA" w:rsidRPr="0034322A" w:rsidRDefault="00AF4064" w:rsidP="00FC71D9">
      <w:pPr>
        <w:ind w:firstLine="720"/>
        <w:jc w:val="both"/>
        <w:rPr>
          <w:lang w:val="en-US"/>
        </w:rPr>
      </w:pPr>
      <w:bookmarkStart w:id="45" w:name="dabmch_78"/>
      <w:r w:rsidRPr="0034322A">
        <w:rPr>
          <w:b/>
          <w:bCs/>
          <w:lang w:val="en-US"/>
        </w:rPr>
        <w:t>The charges</w:t>
      </w:r>
      <w:r w:rsidRPr="0034322A">
        <w:rPr>
          <w:lang w:val="en-US"/>
        </w:rPr>
        <w:t xml:space="preserve">. Calloway was indicted on September 23, 2025. Indictment. </w:t>
      </w:r>
      <w:r w:rsidR="00044E1D">
        <w:rPr>
          <w:lang w:val="en-US"/>
        </w:rPr>
        <w:t>Calloway</w:t>
      </w:r>
      <w:r w:rsidR="0097360C" w:rsidRPr="0034322A">
        <w:rPr>
          <w:lang w:val="en-US"/>
        </w:rPr>
        <w:t xml:space="preserve"> </w:t>
      </w:r>
      <w:r w:rsidRPr="0034322A">
        <w:rPr>
          <w:lang w:val="en-US"/>
        </w:rPr>
        <w:t xml:space="preserve"> now seeks an order: (1) suppressing the testimony of Parker and Exhibit 19; and (2) quashing the Government’s subpoena on Armana.</w:t>
      </w:r>
      <w:bookmarkEnd w:id="45"/>
    </w:p>
    <w:p w14:paraId="35479A82" w14:textId="77777777" w:rsidR="003D37FA" w:rsidRPr="0034322A" w:rsidRDefault="00AF4064" w:rsidP="00FC71D9">
      <w:pPr>
        <w:pStyle w:val="Heading1"/>
        <w:spacing w:before="0" w:after="0"/>
        <w:jc w:val="center"/>
        <w:rPr>
          <w:rFonts w:ascii="Times New Roman" w:hAnsi="Times New Roman" w:cs="Times New Roman"/>
          <w:b/>
          <w:bCs/>
          <w:color w:val="auto"/>
          <w:sz w:val="26"/>
          <w:szCs w:val="26"/>
        </w:rPr>
      </w:pPr>
      <w:bookmarkStart w:id="46" w:name="_Toc239132876"/>
      <w:bookmarkStart w:id="47" w:name="dabmch_79"/>
      <w:bookmarkStart w:id="48" w:name="_Toc239153928"/>
      <w:bookmarkStart w:id="49" w:name="_Toc239155041"/>
      <w:r w:rsidRPr="0034322A">
        <w:rPr>
          <w:rFonts w:ascii="Times New Roman" w:hAnsi="Times New Roman" w:cs="Times New Roman"/>
          <w:b/>
          <w:bCs/>
          <w:color w:val="auto"/>
          <w:sz w:val="26"/>
          <w:szCs w:val="26"/>
        </w:rPr>
        <w:t>ARGUMENT</w:t>
      </w:r>
      <w:bookmarkEnd w:id="46"/>
      <w:bookmarkEnd w:id="47"/>
      <w:bookmarkEnd w:id="48"/>
      <w:bookmarkEnd w:id="49"/>
    </w:p>
    <w:p w14:paraId="16FF48B8" w14:textId="42AC8C7C" w:rsidR="003D37FA" w:rsidRPr="0034322A" w:rsidRDefault="00AF4064" w:rsidP="003D37FA">
      <w:pPr>
        <w:ind w:firstLine="720"/>
        <w:jc w:val="both"/>
        <w:rPr>
          <w:lang w:val="en-US"/>
        </w:rPr>
      </w:pPr>
      <w:bookmarkStart w:id="50" w:name="dabmch_80"/>
      <w:r w:rsidRPr="0034322A">
        <w:rPr>
          <w:lang w:val="en-US"/>
        </w:rPr>
        <w:t>This Court should grant both of Calloway’s Motion requests for relief. First, the Government cannot meet their burden to show that Parker’s testimony and Exhibit 19 were derived independently of Calloway’s testimony. The evidence shows Calloway’s testimony influenced Parker’s statement</w:t>
      </w:r>
      <w:r w:rsidR="0027319D" w:rsidRPr="0034322A">
        <w:rPr>
          <w:lang w:val="en-US"/>
        </w:rPr>
        <w:t>.</w:t>
      </w:r>
      <w:r w:rsidRPr="0034322A">
        <w:rPr>
          <w:lang w:val="en-US"/>
        </w:rPr>
        <w:t xml:space="preserve"> Second, the evidence shows Calloway has met her burden to prove that Armana’s interview notes are protected work-product. The Government is attempting to violate Calloway’s rights, and we ask this Court to use its authority and preserve them. </w:t>
      </w:r>
      <w:bookmarkEnd w:id="50"/>
    </w:p>
    <w:p w14:paraId="5A956600" w14:textId="76A93557" w:rsidR="003D37FA" w:rsidRPr="0034322A" w:rsidRDefault="00AF4064" w:rsidP="0068706D">
      <w:pPr>
        <w:pStyle w:val="Heading2"/>
        <w:spacing w:before="0"/>
        <w:ind w:left="720"/>
        <w:jc w:val="both"/>
      </w:pPr>
      <w:bookmarkStart w:id="51" w:name="_Toc239132877"/>
      <w:bookmarkStart w:id="52" w:name="dabmch_81"/>
      <w:bookmarkStart w:id="53" w:name="_Toc239153929"/>
      <w:bookmarkStart w:id="54" w:name="_Toc239155042"/>
      <w:r w:rsidRPr="002C7CFC">
        <w:t>PARKER’S TESTIMONY AND EXHIBIT 19 WERE DERIVED FROM CALLOWAY’S COMPELLED TESTIMONY; THEREFORE, THIS COURT SHOULD</w:t>
      </w:r>
      <w:r w:rsidRPr="0034322A">
        <w:t xml:space="preserve"> SUPPRESS THEM.</w:t>
      </w:r>
      <w:bookmarkEnd w:id="51"/>
      <w:bookmarkEnd w:id="52"/>
      <w:bookmarkEnd w:id="53"/>
      <w:bookmarkEnd w:id="54"/>
    </w:p>
    <w:p w14:paraId="3076FFD1" w14:textId="77777777" w:rsidR="003D37FA" w:rsidRPr="0034322A" w:rsidRDefault="00AF4064" w:rsidP="003D37FA">
      <w:pPr>
        <w:ind w:firstLine="720"/>
        <w:jc w:val="both"/>
        <w:rPr>
          <w:lang w:val="en-US"/>
        </w:rPr>
      </w:pPr>
      <w:bookmarkStart w:id="55" w:name="dabmch_82"/>
      <w:r w:rsidRPr="0034322A">
        <w:rPr>
          <w:lang w:val="en-US"/>
        </w:rPr>
        <w:t xml:space="preserve">Calloway requests that this Court grant her Motion to Suppress Parker’s testimony and Exhibit 19. Suppression is required because anything less reduces the immunity Calloway was compelled to accept, and the privilege it replaced, to a formality. </w:t>
      </w:r>
      <w:bookmarkEnd w:id="55"/>
    </w:p>
    <w:p w14:paraId="6040CB64" w14:textId="34553316" w:rsidR="003D37FA" w:rsidRPr="0034322A" w:rsidRDefault="00AF4064" w:rsidP="003D37FA">
      <w:pPr>
        <w:ind w:firstLine="720"/>
        <w:jc w:val="both"/>
      </w:pPr>
      <w:bookmarkStart w:id="56" w:name="dabmch_83"/>
      <w:r w:rsidRPr="0034322A">
        <w:lastRenderedPageBreak/>
        <w:t xml:space="preserve">Calloway asserted a privilege that the Constitution </w:t>
      </w:r>
      <w:r w:rsidR="0001681B" w:rsidRPr="0034322A">
        <w:t>guarantee</w:t>
      </w:r>
      <w:r w:rsidR="00932D31">
        <w:t>s</w:t>
      </w:r>
      <w:r w:rsidR="0001681B" w:rsidRPr="0034322A">
        <w:t>.</w:t>
      </w:r>
      <w:r w:rsidRPr="0034322A">
        <w:t xml:space="preserve"> </w:t>
      </w:r>
      <w:r w:rsidRPr="0034322A">
        <w:rPr>
          <w:i/>
          <w:lang w:val="en-US"/>
        </w:rPr>
        <w:t>See</w:t>
      </w:r>
      <w:r w:rsidRPr="0034322A">
        <w:rPr>
          <w:lang w:val="en-US"/>
        </w:rPr>
        <w:t xml:space="preserve"> </w:t>
      </w:r>
      <w:bookmarkStart w:id="57" w:name="dabmci_cb8eb996baab439db639a21bde1a55ea"/>
      <w:r w:rsidRPr="0034322A">
        <w:rPr>
          <w:lang w:val="en-US"/>
        </w:rPr>
        <w:t>U.S. Const. amend. V</w:t>
      </w:r>
      <w:bookmarkStart w:id="58" w:name="dabmen_cb8eb996baab439db639a21bde1a55ea"/>
      <w:bookmarkEnd w:id="57"/>
      <w:bookmarkEnd w:id="58"/>
      <w:r w:rsidRPr="0034322A">
        <w:rPr>
          <w:lang w:val="en-US"/>
        </w:rPr>
        <w:t xml:space="preserve">, </w:t>
      </w:r>
      <w:r w:rsidRPr="0034322A">
        <w:rPr>
          <w:i/>
        </w:rPr>
        <w:t xml:space="preserve">see also </w:t>
      </w:r>
      <w:bookmarkStart w:id="59" w:name="dabmci_17fec041a107492896e3522774ac0206"/>
      <w:r w:rsidRPr="0034322A">
        <w:rPr>
          <w:i/>
        </w:rPr>
        <w:t>United States v. North</w:t>
      </w:r>
      <w:r w:rsidRPr="0034322A">
        <w:t>, 910 F.2d 843, 853 (D.C. Cir. 1990)</w:t>
      </w:r>
      <w:bookmarkStart w:id="60" w:name="dabmen_17fec041a107492896e3522774ac0206"/>
      <w:bookmarkEnd w:id="59"/>
      <w:bookmarkEnd w:id="60"/>
      <w:r w:rsidRPr="0034322A">
        <w:t xml:space="preserve"> (“</w:t>
      </w:r>
      <w:r w:rsidRPr="0034322A">
        <w:rPr>
          <w:i/>
        </w:rPr>
        <w:t>North I</w:t>
      </w:r>
      <w:r w:rsidRPr="0034322A">
        <w:t xml:space="preserve">”). When she </w:t>
      </w:r>
      <w:r w:rsidR="00A45EAE">
        <w:t>attempted</w:t>
      </w:r>
      <w:r w:rsidRPr="0034322A">
        <w:t xml:space="preserve"> to rely on her Fifth Amendment </w:t>
      </w:r>
      <w:r w:rsidR="009A2E82">
        <w:t>privilege</w:t>
      </w:r>
      <w:r w:rsidRPr="0034322A">
        <w:t xml:space="preserve">, the court stripped it from her in exchange for immunity. </w:t>
      </w:r>
      <w:bookmarkStart w:id="61" w:name="dabmci_529f257eb5ec4db9a49440a2be64a747"/>
      <w:r w:rsidRPr="0034322A">
        <w:rPr>
          <w:lang w:val="en-US"/>
        </w:rPr>
        <w:t>18 U.S.C.A. § 6003</w:t>
      </w:r>
      <w:bookmarkStart w:id="62" w:name="dabmen_529f257eb5ec4db9a49440a2be64a747"/>
      <w:bookmarkEnd w:id="61"/>
      <w:bookmarkEnd w:id="62"/>
      <w:r w:rsidRPr="0034322A">
        <w:rPr>
          <w:lang w:val="en-US"/>
        </w:rPr>
        <w:t xml:space="preserve">. Calloway was granted immunity from direct or indirect use of the testimony against herself in a criminal case. </w:t>
      </w:r>
      <w:bookmarkStart w:id="63" w:name="dabmci_b9722791d93f451eae9b26c9b5186c9f"/>
      <w:r w:rsidRPr="0034322A">
        <w:rPr>
          <w:i/>
          <w:iCs/>
          <w:lang w:val="en-US"/>
        </w:rPr>
        <w:t>Id.</w:t>
      </w:r>
      <w:r w:rsidRPr="0034322A">
        <w:rPr>
          <w:lang w:val="en-US"/>
        </w:rPr>
        <w:t xml:space="preserve"> § 6002</w:t>
      </w:r>
      <w:bookmarkStart w:id="64" w:name="dabmen_b9722791d93f451eae9b26c9b5186c9f"/>
      <w:bookmarkEnd w:id="63"/>
      <w:bookmarkEnd w:id="64"/>
      <w:r w:rsidRPr="0034322A">
        <w:rPr>
          <w:lang w:val="en-US"/>
        </w:rPr>
        <w:t xml:space="preserve">. </w:t>
      </w:r>
      <w:r w:rsidRPr="0034322A">
        <w:t xml:space="preserve">Now, the Government </w:t>
      </w:r>
      <w:r w:rsidR="006F3157">
        <w:t>attempts</w:t>
      </w:r>
      <w:r w:rsidRPr="0034322A">
        <w:t xml:space="preserve"> to accept the benefit of Calloway’s compelled testimony while evading the burden of the compulsion. </w:t>
      </w:r>
      <w:r w:rsidRPr="0034322A">
        <w:rPr>
          <w:lang w:val="en-US"/>
        </w:rPr>
        <w:t xml:space="preserve">The order the Government obtained is broad, with immunity “arising out of any testimony or other information which she may be compelled to give,” subject only to exceptions for perjury, false statements, and noncompliance. Ex. 12. </w:t>
      </w:r>
      <w:bookmarkEnd w:id="56"/>
    </w:p>
    <w:p w14:paraId="30C7ACB2" w14:textId="577E9725" w:rsidR="003D37FA" w:rsidRPr="0034322A" w:rsidRDefault="00AF4064" w:rsidP="003D37FA">
      <w:pPr>
        <w:ind w:firstLine="720"/>
        <w:jc w:val="both"/>
        <w:rPr>
          <w:lang w:val="en-US"/>
        </w:rPr>
      </w:pPr>
      <w:bookmarkStart w:id="65" w:name="dabmch_84"/>
      <w:r w:rsidRPr="0034322A">
        <w:rPr>
          <w:lang w:val="en-US"/>
        </w:rPr>
        <w:t xml:space="preserve">Under </w:t>
      </w:r>
      <w:r w:rsidRPr="0034322A">
        <w:rPr>
          <w:i/>
          <w:lang w:val="en-US"/>
        </w:rPr>
        <w:t>Kastigar</w:t>
      </w:r>
      <w:r w:rsidRPr="0034322A">
        <w:rPr>
          <w:lang w:val="en-US"/>
        </w:rPr>
        <w:t xml:space="preserve">, the Government has the burden to prove that its decision to interview Parker, its questioning of her, and the resulting evidence, Exhibit 19, were genuinely independent of Calloway’s compelled testimony. </w:t>
      </w:r>
      <w:bookmarkStart w:id="66" w:name="dabmci_cd17adfe25ad4752b0b6810ac121f63a"/>
      <w:r w:rsidRPr="0034322A">
        <w:rPr>
          <w:i/>
          <w:iCs/>
          <w:lang w:val="en-US"/>
        </w:rPr>
        <w:t xml:space="preserve">Kastigar v. United States, </w:t>
      </w:r>
      <w:r w:rsidRPr="0034322A">
        <w:rPr>
          <w:lang w:val="en-US"/>
        </w:rPr>
        <w:t>406 U.S. 441, 461</w:t>
      </w:r>
      <w:r w:rsidR="007F67EE">
        <w:rPr>
          <w:lang w:val="en-US"/>
        </w:rPr>
        <w:t>–</w:t>
      </w:r>
      <w:r w:rsidRPr="0034322A">
        <w:rPr>
          <w:lang w:val="en-US"/>
        </w:rPr>
        <w:t>62 (1972)</w:t>
      </w:r>
      <w:bookmarkStart w:id="67" w:name="dabmen_cd17adfe25ad4752b0b6810ac121f63a"/>
      <w:bookmarkEnd w:id="66"/>
      <w:bookmarkEnd w:id="67"/>
      <w:r w:rsidRPr="0034322A">
        <w:rPr>
          <w:lang w:val="en-US"/>
        </w:rPr>
        <w:t xml:space="preserve">. While several Circuit Court standards are merely persuasive here, the most appropriate standard that aligns with this case is in </w:t>
      </w:r>
      <w:r w:rsidRPr="0034322A">
        <w:rPr>
          <w:i/>
          <w:iCs/>
          <w:lang w:val="en-US"/>
        </w:rPr>
        <w:t>North</w:t>
      </w:r>
      <w:r w:rsidRPr="0034322A">
        <w:rPr>
          <w:lang w:val="en-US"/>
        </w:rPr>
        <w:t xml:space="preserve">. </w:t>
      </w:r>
      <w:bookmarkStart w:id="68" w:name="dabmci_145e8486ab6b4aa29e2847582296e741"/>
      <w:r w:rsidRPr="0034322A">
        <w:rPr>
          <w:rStyle w:val="Emphasis"/>
        </w:rPr>
        <w:t>North I</w:t>
      </w:r>
      <w:r w:rsidRPr="0034322A">
        <w:t>, 910 F.2d at 863, 872</w:t>
      </w:r>
      <w:bookmarkStart w:id="69" w:name="dabmen_145e8486ab6b4aa29e2847582296e741"/>
      <w:bookmarkEnd w:id="68"/>
      <w:bookmarkEnd w:id="69"/>
      <w:r w:rsidRPr="0034322A">
        <w:t xml:space="preserve">; </w:t>
      </w:r>
      <w:bookmarkStart w:id="70" w:name="dabmci_154c198b8ae64dc9b3fd98dd8bb44c1b"/>
      <w:r w:rsidRPr="0034322A">
        <w:rPr>
          <w:rStyle w:val="Emphasis"/>
        </w:rPr>
        <w:t>United States v. North</w:t>
      </w:r>
      <w:r w:rsidRPr="0034322A">
        <w:t>, 920 F.2d 940, 942 (D.C. Cir. 1990)</w:t>
      </w:r>
      <w:bookmarkStart w:id="71" w:name="dabmen_154c198b8ae64dc9b3fd98dd8bb44c1b"/>
      <w:bookmarkEnd w:id="70"/>
      <w:bookmarkEnd w:id="71"/>
      <w:r w:rsidRPr="0034322A">
        <w:t xml:space="preserve"> (“</w:t>
      </w:r>
      <w:r w:rsidRPr="0034322A">
        <w:rPr>
          <w:rStyle w:val="Emphasis"/>
        </w:rPr>
        <w:t>North II</w:t>
      </w:r>
      <w:r w:rsidRPr="0034322A">
        <w:t xml:space="preserve">”). </w:t>
      </w:r>
      <w:r w:rsidRPr="0034322A">
        <w:rPr>
          <w:lang w:val="en-US"/>
        </w:rPr>
        <w:t xml:space="preserve">Under </w:t>
      </w:r>
      <w:r w:rsidRPr="0034322A">
        <w:rPr>
          <w:i/>
          <w:iCs/>
          <w:lang w:val="en-US"/>
        </w:rPr>
        <w:t>North</w:t>
      </w:r>
      <w:r w:rsidRPr="0034322A">
        <w:rPr>
          <w:lang w:val="en-US"/>
        </w:rPr>
        <w:t xml:space="preserve">, the Government must establish: (1) that Nolan and his team located Parker without using Calloway’s immunized testimony, either directly or indirectly; (2) that Calloway’s testimony did not influence Parker’s statement; and (3) that the Government independently located Exhibit 19. </w:t>
      </w:r>
      <w:r w:rsidRPr="0034322A">
        <w:rPr>
          <w:i/>
          <w:iCs/>
          <w:lang w:val="en-US"/>
        </w:rPr>
        <w:t xml:space="preserve">See </w:t>
      </w:r>
      <w:r w:rsidRPr="0034322A">
        <w:rPr>
          <w:i/>
          <w:iCs/>
        </w:rPr>
        <w:t xml:space="preserve">also </w:t>
      </w:r>
      <w:bookmarkStart w:id="72" w:name="dabmci_9027807e05554d598a4198843487656e"/>
      <w:r w:rsidRPr="0034322A">
        <w:rPr>
          <w:i/>
          <w:iCs/>
        </w:rPr>
        <w:t>Kastigar</w:t>
      </w:r>
      <w:r w:rsidRPr="0034322A">
        <w:t>, 406 U.S. at 460</w:t>
      </w:r>
      <w:bookmarkStart w:id="73" w:name="dabmen_9027807e05554d598a4198843487656e"/>
      <w:bookmarkEnd w:id="72"/>
      <w:bookmarkEnd w:id="73"/>
      <w:r w:rsidRPr="0034322A">
        <w:t>.</w:t>
      </w:r>
      <w:bookmarkEnd w:id="65"/>
    </w:p>
    <w:p w14:paraId="7738FBAE" w14:textId="18CE9FDE" w:rsidR="003D37FA" w:rsidRPr="0034322A" w:rsidRDefault="00AF4064" w:rsidP="003D37FA">
      <w:pPr>
        <w:ind w:firstLine="720"/>
        <w:jc w:val="both"/>
        <w:rPr>
          <w:lang w:val="en-US"/>
        </w:rPr>
      </w:pPr>
      <w:bookmarkStart w:id="74" w:name="dabmch_85"/>
      <w:r w:rsidRPr="0034322A">
        <w:rPr>
          <w:lang w:val="en-US"/>
        </w:rPr>
        <w:lastRenderedPageBreak/>
        <w:t xml:space="preserve">Here, just twenty-one days after Calloway was forced to identify Parker, the Government used her testimony for its investigation, </w:t>
      </w:r>
      <w:r w:rsidR="000D20C8" w:rsidRPr="0034322A">
        <w:rPr>
          <w:lang w:val="en-US"/>
        </w:rPr>
        <w:t>locat</w:t>
      </w:r>
      <w:r w:rsidR="00353879">
        <w:rPr>
          <w:lang w:val="en-US"/>
        </w:rPr>
        <w:t>ed</w:t>
      </w:r>
      <w:r w:rsidRPr="0034322A">
        <w:rPr>
          <w:lang w:val="en-US"/>
        </w:rPr>
        <w:t xml:space="preserve"> Parker and </w:t>
      </w:r>
      <w:r w:rsidR="000D20C8" w:rsidRPr="0034322A">
        <w:rPr>
          <w:lang w:val="en-US"/>
        </w:rPr>
        <w:t>obtai</w:t>
      </w:r>
      <w:r w:rsidR="00353879">
        <w:rPr>
          <w:lang w:val="en-US"/>
        </w:rPr>
        <w:t>ned</w:t>
      </w:r>
      <w:r w:rsidRPr="0034322A">
        <w:rPr>
          <w:lang w:val="en-US"/>
        </w:rPr>
        <w:t xml:space="preserve"> a statement addressing the very subjects Calloway’s compelled testimony supplied. Stip. 7; Parker Dep. 42:315–17. The Government promised </w:t>
      </w:r>
      <w:r w:rsidR="00353879">
        <w:rPr>
          <w:lang w:val="en-US"/>
        </w:rPr>
        <w:t>it</w:t>
      </w:r>
      <w:r w:rsidRPr="0034322A">
        <w:rPr>
          <w:lang w:val="en-US"/>
        </w:rPr>
        <w:t xml:space="preserve"> would not use Calloway’s testimony against her, then broke that promise less than a month later. </w:t>
      </w:r>
      <w:bookmarkEnd w:id="74"/>
    </w:p>
    <w:p w14:paraId="601C4C4D" w14:textId="77777777" w:rsidR="003D37FA" w:rsidRPr="0034322A" w:rsidRDefault="00AF4064" w:rsidP="0068706D">
      <w:pPr>
        <w:pStyle w:val="Heading3"/>
        <w:numPr>
          <w:ilvl w:val="0"/>
          <w:numId w:val="6"/>
        </w:numPr>
        <w:spacing w:after="260"/>
        <w:ind w:hanging="720"/>
        <w:jc w:val="both"/>
      </w:pPr>
      <w:bookmarkStart w:id="75" w:name="_Toc239132878"/>
      <w:bookmarkStart w:id="76" w:name="dabmch_86"/>
      <w:bookmarkStart w:id="77" w:name="_Toc239153930"/>
      <w:bookmarkStart w:id="78" w:name="_Toc239155043"/>
      <w:r w:rsidRPr="00B265D5">
        <w:rPr>
          <w:rFonts w:eastAsiaTheme="majorEastAsia"/>
          <w:bCs w:val="0"/>
        </w:rPr>
        <w:t>This</w:t>
      </w:r>
      <w:r w:rsidRPr="120AE2AE">
        <w:t xml:space="preserve"> </w:t>
      </w:r>
      <w:r w:rsidRPr="00C13317">
        <w:t>Court should require the Government to prove independent derivation witness-by-witness and line-by-line because the immunized testimony was</w:t>
      </w:r>
      <w:r w:rsidRPr="120AE2AE">
        <w:t xml:space="preserve"> heavily covered by the media.</w:t>
      </w:r>
      <w:bookmarkEnd w:id="75"/>
      <w:bookmarkEnd w:id="76"/>
      <w:bookmarkEnd w:id="77"/>
      <w:bookmarkEnd w:id="78"/>
    </w:p>
    <w:p w14:paraId="38A81D2F" w14:textId="77777777" w:rsidR="003D37FA" w:rsidRPr="0034322A" w:rsidRDefault="00AF4064" w:rsidP="003D37FA">
      <w:pPr>
        <w:ind w:firstLine="720"/>
        <w:jc w:val="both"/>
      </w:pPr>
      <w:bookmarkStart w:id="79" w:name="dabmch_87"/>
      <w:r w:rsidRPr="0034322A">
        <w:t xml:space="preserve">By adopting </w:t>
      </w:r>
      <w:r w:rsidRPr="0034322A">
        <w:rPr>
          <w:i/>
          <w:iCs/>
        </w:rPr>
        <w:t>North</w:t>
      </w:r>
      <w:r w:rsidRPr="0034322A">
        <w:t>, this Court would ensure that no evidence derived from Calloway’s compelled testimony is used against her.</w:t>
      </w:r>
      <w:bookmarkEnd w:id="79"/>
    </w:p>
    <w:p w14:paraId="24746D8A" w14:textId="470D6449" w:rsidR="003D37FA" w:rsidRPr="0034322A" w:rsidRDefault="00AF4064" w:rsidP="003D37FA">
      <w:pPr>
        <w:ind w:firstLine="720"/>
        <w:jc w:val="both"/>
        <w:rPr>
          <w:lang w:val="en-US"/>
        </w:rPr>
      </w:pPr>
      <w:bookmarkStart w:id="80" w:name="dabmch_88"/>
      <w:r w:rsidRPr="0034322A">
        <w:t xml:space="preserve">The stricter </w:t>
      </w:r>
      <w:r w:rsidRPr="0034322A">
        <w:rPr>
          <w:i/>
          <w:iCs/>
        </w:rPr>
        <w:t>North</w:t>
      </w:r>
      <w:r w:rsidRPr="0034322A">
        <w:t xml:space="preserve"> approach</w:t>
      </w:r>
      <w:r w:rsidRPr="0034322A">
        <w:rPr>
          <w:lang w:val="en-US"/>
        </w:rPr>
        <w:t xml:space="preserve"> requires that a </w:t>
      </w:r>
      <w:r w:rsidRPr="0034322A">
        <w:rPr>
          <w:i/>
          <w:lang w:val="en-US"/>
        </w:rPr>
        <w:t>Kastigar</w:t>
      </w:r>
      <w:r w:rsidRPr="0034322A">
        <w:rPr>
          <w:lang w:val="en-US"/>
        </w:rPr>
        <w:t xml:space="preserve"> inquiry proceeds witness-by-witness and line-by-line, </w:t>
      </w:r>
      <w:r w:rsidR="00FD3DE5">
        <w:rPr>
          <w:lang w:val="en-US"/>
        </w:rPr>
        <w:t>to ensure</w:t>
      </w:r>
      <w:r w:rsidRPr="0034322A">
        <w:rPr>
          <w:lang w:val="en-US"/>
        </w:rPr>
        <w:t xml:space="preserve"> no piece of evidence </w:t>
      </w:r>
      <w:r w:rsidR="00161E36">
        <w:rPr>
          <w:lang w:val="en-US"/>
        </w:rPr>
        <w:t>derives</w:t>
      </w:r>
      <w:r w:rsidRPr="0034322A">
        <w:rPr>
          <w:lang w:val="en-US"/>
        </w:rPr>
        <w:t xml:space="preserve"> from immunized testimony. </w:t>
      </w:r>
      <w:bookmarkStart w:id="81" w:name="dabmci_8b9ac68bd06a4c6ea4e3fe8f442bbe91"/>
      <w:r w:rsidRPr="0034322A">
        <w:rPr>
          <w:i/>
          <w:lang w:val="en-US"/>
        </w:rPr>
        <w:t>North I</w:t>
      </w:r>
      <w:r w:rsidRPr="0034322A">
        <w:rPr>
          <w:lang w:val="en-US"/>
        </w:rPr>
        <w:t>, 910 F.2d at 872</w:t>
      </w:r>
      <w:bookmarkStart w:id="82" w:name="dabmen_8b9ac68bd06a4c6ea4e3fe8f442bbe91"/>
      <w:bookmarkEnd w:id="81"/>
      <w:bookmarkEnd w:id="82"/>
      <w:r w:rsidRPr="0034322A">
        <w:rPr>
          <w:lang w:val="en-US"/>
        </w:rPr>
        <w:t xml:space="preserve">. Further, </w:t>
      </w:r>
      <w:r w:rsidRPr="0034322A">
        <w:t>the court may not infer findings in the Government’s favor</w:t>
      </w:r>
      <w:r w:rsidRPr="0034322A">
        <w:rPr>
          <w:lang w:val="en-US"/>
        </w:rPr>
        <w:t xml:space="preserve">. </w:t>
      </w:r>
      <w:bookmarkStart w:id="83" w:name="dabmci_3857f84d99884fdfbe158d572e0ce72a"/>
      <w:r w:rsidRPr="0034322A">
        <w:rPr>
          <w:i/>
          <w:lang w:val="en-US"/>
        </w:rPr>
        <w:t>United States v. Rinaldi</w:t>
      </w:r>
      <w:r w:rsidRPr="0034322A">
        <w:rPr>
          <w:lang w:val="en-US"/>
        </w:rPr>
        <w:t>, 808 F.2d 1579, 1583–84 (D.C. Cir. 1987)</w:t>
      </w:r>
      <w:bookmarkStart w:id="84" w:name="dabmen_3857f84d99884fdfbe158d572e0ce72a"/>
      <w:bookmarkEnd w:id="83"/>
      <w:bookmarkEnd w:id="84"/>
      <w:r w:rsidRPr="0034322A">
        <w:rPr>
          <w:lang w:val="en-US"/>
        </w:rPr>
        <w:t xml:space="preserve">. This stricter approach is needed when the immunized testimony is highly publicized and spread through the news. </w:t>
      </w:r>
      <w:r w:rsidRPr="0034322A">
        <w:rPr>
          <w:i/>
          <w:lang w:val="en-US"/>
        </w:rPr>
        <w:t xml:space="preserve">See </w:t>
      </w:r>
      <w:bookmarkStart w:id="85" w:name="dabmci_c42cc601ca494e179348a7e456539fb4"/>
      <w:r w:rsidRPr="0034322A">
        <w:rPr>
          <w:i/>
          <w:lang w:val="en-US"/>
        </w:rPr>
        <w:t>United States v. Kilroy</w:t>
      </w:r>
      <w:r w:rsidRPr="0034322A">
        <w:rPr>
          <w:lang w:val="en-US"/>
        </w:rPr>
        <w:t>, 27 F.3d 679, 686 (D.C. Cir. 1994)</w:t>
      </w:r>
      <w:bookmarkStart w:id="86" w:name="dabmen_c42cc601ca494e179348a7e456539fb4"/>
      <w:bookmarkEnd w:id="85"/>
      <w:bookmarkEnd w:id="86"/>
      <w:r w:rsidRPr="0034322A">
        <w:rPr>
          <w:lang w:val="en-US"/>
        </w:rPr>
        <w:t xml:space="preserve"> (finding that the item-by-item inquiry from </w:t>
      </w:r>
      <w:r w:rsidRPr="0034322A">
        <w:rPr>
          <w:i/>
          <w:lang w:val="en-US"/>
        </w:rPr>
        <w:t>North</w:t>
      </w:r>
      <w:r w:rsidRPr="0034322A">
        <w:rPr>
          <w:lang w:val="en-US"/>
        </w:rPr>
        <w:t xml:space="preserve"> is necessary where the immunized testimony is highly publicized and spread through the media). </w:t>
      </w:r>
      <w:bookmarkEnd w:id="80"/>
    </w:p>
    <w:p w14:paraId="219B1C54" w14:textId="7E8C85D7" w:rsidR="003D37FA" w:rsidRPr="0034322A" w:rsidRDefault="00AF4064" w:rsidP="003D37FA">
      <w:pPr>
        <w:ind w:firstLine="720"/>
        <w:jc w:val="both"/>
        <w:rPr>
          <w:lang w:val="en-US"/>
        </w:rPr>
      </w:pPr>
      <w:bookmarkStart w:id="87" w:name="dabmch_89"/>
      <w:r w:rsidRPr="0034322A">
        <w:rPr>
          <w:lang w:val="en-US"/>
        </w:rPr>
        <w:t>The more lenient approach rejects</w:t>
      </w:r>
      <w:r w:rsidRPr="0034322A">
        <w:t xml:space="preserve"> </w:t>
      </w:r>
      <w:r w:rsidRPr="0034322A">
        <w:rPr>
          <w:i/>
        </w:rPr>
        <w:t>North</w:t>
      </w:r>
      <w:r w:rsidRPr="0034322A">
        <w:t xml:space="preserve">’s procedure but maintains the high bar of proof that </w:t>
      </w:r>
      <w:r w:rsidRPr="0034322A">
        <w:rPr>
          <w:i/>
        </w:rPr>
        <w:t>Kastigar</w:t>
      </w:r>
      <w:r w:rsidRPr="0034322A">
        <w:t xml:space="preserve"> demands. </w:t>
      </w:r>
      <w:r w:rsidRPr="0034322A">
        <w:rPr>
          <w:i/>
        </w:rPr>
        <w:t xml:space="preserve">See </w:t>
      </w:r>
      <w:bookmarkStart w:id="88" w:name="dabmci_924c18ba7f8145a597f3b5231e460069"/>
      <w:r w:rsidRPr="0034322A">
        <w:rPr>
          <w:i/>
          <w:lang w:val="en-US"/>
        </w:rPr>
        <w:t>United States v. Cantu</w:t>
      </w:r>
      <w:r w:rsidRPr="0034322A">
        <w:rPr>
          <w:lang w:val="en-US"/>
        </w:rPr>
        <w:t>, 185 F.3d 298, 304 (5th Cir. 1999)</w:t>
      </w:r>
      <w:bookmarkStart w:id="89" w:name="dabmen_924c18ba7f8145a597f3b5231e460069"/>
      <w:bookmarkEnd w:id="88"/>
      <w:bookmarkEnd w:id="89"/>
      <w:r w:rsidRPr="0034322A">
        <w:rPr>
          <w:lang w:val="en-US"/>
        </w:rPr>
        <w:t xml:space="preserve"> </w:t>
      </w:r>
      <w:r w:rsidRPr="0034322A">
        <w:t xml:space="preserve">(requiring documentation detailing sources for the matters a witness will testify to that are wholly independent of immunized testimony); </w:t>
      </w:r>
      <w:bookmarkStart w:id="90" w:name="dabmci_6eb437e2068049309139ad51993679f7"/>
      <w:r w:rsidRPr="0034322A">
        <w:rPr>
          <w:i/>
        </w:rPr>
        <w:t>United States v. Byrd</w:t>
      </w:r>
      <w:r w:rsidRPr="0034322A">
        <w:t>,</w:t>
      </w:r>
      <w:r w:rsidRPr="0034322A">
        <w:rPr>
          <w:i/>
        </w:rPr>
        <w:t xml:space="preserve"> </w:t>
      </w:r>
      <w:r w:rsidRPr="0034322A">
        <w:t xml:space="preserve">765 F.2d 1524, 1528, </w:t>
      </w:r>
      <w:r w:rsidRPr="0034322A">
        <w:lastRenderedPageBreak/>
        <w:t>1531 (11th Cir. 1985)</w:t>
      </w:r>
      <w:bookmarkStart w:id="91" w:name="dabmen_6eb437e2068049309139ad51993679f7"/>
      <w:bookmarkEnd w:id="90"/>
      <w:bookmarkEnd w:id="91"/>
      <w:r w:rsidRPr="0034322A">
        <w:rPr>
          <w:i/>
        </w:rPr>
        <w:t xml:space="preserve"> </w:t>
      </w:r>
      <w:r w:rsidRPr="0034322A">
        <w:t xml:space="preserve">(requiring a factual determination based upon the record to show that either the </w:t>
      </w:r>
      <w:r w:rsidRPr="0034322A">
        <w:rPr>
          <w:lang w:val="en-US"/>
        </w:rPr>
        <w:t>Government</w:t>
      </w:r>
      <w:r w:rsidRPr="0034322A">
        <w:t xml:space="preserve"> had no direct or indirect access to the immunized testimony, or that the evidence adduced was derived from independent sources). Well before </w:t>
      </w:r>
      <w:r w:rsidRPr="0034322A">
        <w:rPr>
          <w:i/>
        </w:rPr>
        <w:t>North</w:t>
      </w:r>
      <w:r w:rsidRPr="0034322A">
        <w:t xml:space="preserve">, several circuits demanded the same adversarial proof, rejecting vague assurances of independence. </w:t>
      </w:r>
      <w:r w:rsidRPr="0034322A">
        <w:rPr>
          <w:i/>
        </w:rPr>
        <w:t xml:space="preserve">See </w:t>
      </w:r>
      <w:bookmarkStart w:id="92" w:name="dabmci_1fe833d26d5c4ae3b698f77456c9b4bb"/>
      <w:r w:rsidRPr="0034322A">
        <w:rPr>
          <w:i/>
        </w:rPr>
        <w:t>United States v. Garrett</w:t>
      </w:r>
      <w:r w:rsidRPr="0034322A">
        <w:t>, 797 F.2d 656, 664</w:t>
      </w:r>
      <w:r w:rsidR="007F67EE">
        <w:t>–</w:t>
      </w:r>
      <w:r w:rsidRPr="0034322A">
        <w:t>65 (8th Cir. 1986)</w:t>
      </w:r>
      <w:bookmarkStart w:id="93" w:name="dabmen_1fe833d26d5c4ae3b698f77456c9b4bb"/>
      <w:bookmarkEnd w:id="92"/>
      <w:bookmarkEnd w:id="93"/>
      <w:r w:rsidRPr="0034322A">
        <w:t xml:space="preserve">; </w:t>
      </w:r>
      <w:bookmarkStart w:id="94" w:name="dabmci_190ed09d7478454094b3a90b308c6d50"/>
      <w:r w:rsidRPr="0034322A">
        <w:rPr>
          <w:i/>
        </w:rPr>
        <w:t>United States v. Zielezinski</w:t>
      </w:r>
      <w:r w:rsidRPr="0034322A">
        <w:t>, 740 F.2d 727, 733–34 (9th Cir. 1984)</w:t>
      </w:r>
      <w:bookmarkStart w:id="95" w:name="dabmen_190ed09d7478454094b3a90b308c6d50"/>
      <w:bookmarkEnd w:id="94"/>
      <w:bookmarkEnd w:id="95"/>
      <w:r w:rsidRPr="0034322A">
        <w:t xml:space="preserve">; </w:t>
      </w:r>
      <w:bookmarkStart w:id="96" w:name="dabmci_58ab865352c344e8a804c1f0734bfc8e"/>
      <w:r w:rsidRPr="0034322A">
        <w:rPr>
          <w:i/>
        </w:rPr>
        <w:t>United States v. Beery</w:t>
      </w:r>
      <w:r w:rsidRPr="0034322A">
        <w:t>, 678 F.2d 856, 863 (10th Cir. 1982)</w:t>
      </w:r>
      <w:bookmarkStart w:id="97" w:name="dabmen_58ab865352c344e8a804c1f0734bfc8e"/>
      <w:bookmarkEnd w:id="96"/>
      <w:bookmarkEnd w:id="97"/>
      <w:r w:rsidRPr="0034322A">
        <w:t>.</w:t>
      </w:r>
      <w:bookmarkEnd w:id="87"/>
    </w:p>
    <w:p w14:paraId="569A8A25" w14:textId="1E8A3DFE" w:rsidR="003D37FA" w:rsidRPr="0034322A" w:rsidRDefault="00AF4064" w:rsidP="003D37FA">
      <w:pPr>
        <w:ind w:firstLine="720"/>
        <w:jc w:val="both"/>
      </w:pPr>
      <w:bookmarkStart w:id="98" w:name="dabmch_90"/>
      <w:r w:rsidRPr="0034322A">
        <w:rPr>
          <w:lang w:val="en-US"/>
        </w:rPr>
        <w:t>Here,</w:t>
      </w:r>
      <w:r w:rsidRPr="0034322A">
        <w:t xml:space="preserve"> the stricter </w:t>
      </w:r>
      <w:r w:rsidRPr="0034322A">
        <w:rPr>
          <w:i/>
          <w:iCs/>
        </w:rPr>
        <w:t xml:space="preserve">North </w:t>
      </w:r>
      <w:r w:rsidRPr="0034322A">
        <w:t xml:space="preserve">standard should be applied. </w:t>
      </w:r>
      <w:r w:rsidRPr="0034322A">
        <w:rPr>
          <w:lang w:val="en-US"/>
        </w:rPr>
        <w:t>Calloway’s compelled testimony was broadcast live, her testimony led the evening newscasts on at least three area stations, and it held the front page for weeks. Sinclair Dep. 23:592–99; Ex. 14.</w:t>
      </w:r>
      <w:r w:rsidRPr="0034322A">
        <w:t xml:space="preserve"> Similarly, </w:t>
      </w:r>
      <w:r w:rsidRPr="0034322A">
        <w:rPr>
          <w:i/>
          <w:lang w:val="en-US"/>
        </w:rPr>
        <w:t>North I</w:t>
      </w:r>
      <w:r w:rsidRPr="0034322A">
        <w:rPr>
          <w:lang w:val="en-US"/>
        </w:rPr>
        <w:t xml:space="preserve"> involved witnesses who were exposed to the immunized testimony, and the immunized testimony was widely disseminated through the news media. </w:t>
      </w:r>
      <w:bookmarkStart w:id="99" w:name="dabmci_864c8aa44efd49ea923bfcadf1331f5d"/>
      <w:r w:rsidRPr="0034322A">
        <w:rPr>
          <w:i/>
          <w:lang w:val="en-US"/>
        </w:rPr>
        <w:t>Kilroy</w:t>
      </w:r>
      <w:r w:rsidRPr="0034322A">
        <w:rPr>
          <w:lang w:val="en-US"/>
        </w:rPr>
        <w:t>, 27 F.3d at 686</w:t>
      </w:r>
      <w:bookmarkStart w:id="100" w:name="dabmen_864c8aa44efd49ea923bfcadf1331f5d"/>
      <w:bookmarkEnd w:id="99"/>
      <w:bookmarkEnd w:id="100"/>
      <w:r w:rsidRPr="0034322A">
        <w:rPr>
          <w:lang w:val="en-US"/>
        </w:rPr>
        <w:t xml:space="preserve">. In applying </w:t>
      </w:r>
      <w:r w:rsidRPr="0034322A">
        <w:rPr>
          <w:i/>
          <w:iCs/>
          <w:lang w:val="en-US"/>
        </w:rPr>
        <w:t>North</w:t>
      </w:r>
      <w:r w:rsidRPr="0034322A">
        <w:rPr>
          <w:lang w:val="en-US"/>
        </w:rPr>
        <w:t xml:space="preserve">, the Government must </w:t>
      </w:r>
      <w:r w:rsidRPr="0034322A">
        <w:t>prove that: (1) Nolan and his team did not use immunized testimony to find Parker; and (2) Parker’s statement was not affected by immunized testimony</w:t>
      </w:r>
      <w:r w:rsidRPr="0034322A">
        <w:rPr>
          <w:lang w:val="en-US"/>
        </w:rPr>
        <w:t xml:space="preserve">. The Government </w:t>
      </w:r>
      <w:r w:rsidR="00D64499">
        <w:rPr>
          <w:lang w:val="en-US"/>
        </w:rPr>
        <w:t>can</w:t>
      </w:r>
      <w:r w:rsidR="00A23DBE" w:rsidRPr="0034322A">
        <w:rPr>
          <w:lang w:val="en-US"/>
        </w:rPr>
        <w:t xml:space="preserve">not </w:t>
      </w:r>
      <w:r w:rsidR="00D64499" w:rsidRPr="0034322A">
        <w:rPr>
          <w:lang w:val="en-US"/>
        </w:rPr>
        <w:t>meet</w:t>
      </w:r>
      <w:r w:rsidR="00A23DBE" w:rsidRPr="0034322A">
        <w:rPr>
          <w:lang w:val="en-US"/>
        </w:rPr>
        <w:t xml:space="preserve"> </w:t>
      </w:r>
      <w:r w:rsidR="00D64499">
        <w:rPr>
          <w:lang w:val="en-US"/>
        </w:rPr>
        <w:t>its</w:t>
      </w:r>
      <w:r w:rsidRPr="0034322A">
        <w:rPr>
          <w:lang w:val="en-US"/>
        </w:rPr>
        <w:t xml:space="preserve"> burden.</w:t>
      </w:r>
      <w:bookmarkEnd w:id="98"/>
    </w:p>
    <w:p w14:paraId="01B2A029" w14:textId="77777777" w:rsidR="003D37FA" w:rsidRPr="0034322A" w:rsidRDefault="00AF4064" w:rsidP="003D37FA">
      <w:pPr>
        <w:ind w:firstLine="720"/>
        <w:jc w:val="both"/>
      </w:pPr>
      <w:bookmarkStart w:id="101" w:name="dabmch_91"/>
      <w:r w:rsidRPr="0034322A">
        <w:t xml:space="preserve">Even under the more lenient approach, the Government still fails. </w:t>
      </w:r>
      <w:r w:rsidRPr="0034322A">
        <w:rPr>
          <w:lang w:val="en-US"/>
        </w:rPr>
        <w:t xml:space="preserve">The Government did not speak to Parker or offer any evidence that they planned to speak to her before the testimony. The Government offers undated notes, an unfollowed methodology and ranking, Nolan’s own belief he would have inevitably found Parker, and Parker’s assertion she did not watch or read Calloway’s testimony. Exs. 16, 17; Nolan Dep. 33:349–50; Parker Dep. 42:311–13. The Government conceded it had no prior source for the four </w:t>
      </w:r>
      <w:r w:rsidRPr="0034322A">
        <w:rPr>
          <w:lang w:val="en-US"/>
        </w:rPr>
        <w:lastRenderedPageBreak/>
        <w:t>matters Parker would testify to: the argument, her approach to Calloway, the errand, and the storage unit. Sinclair Dep. 22:561–65; Nolan Dep. 32:346–33:350.</w:t>
      </w:r>
      <w:bookmarkEnd w:id="101"/>
    </w:p>
    <w:p w14:paraId="3CB6FBE4" w14:textId="06437679" w:rsidR="003D37FA" w:rsidRPr="0034322A" w:rsidRDefault="00AF4064" w:rsidP="003D37FA">
      <w:pPr>
        <w:ind w:firstLine="720"/>
        <w:jc w:val="both"/>
        <w:rPr>
          <w:lang w:val="en-US"/>
        </w:rPr>
      </w:pPr>
      <w:bookmarkStart w:id="102" w:name="dabmch_92"/>
      <w:r w:rsidRPr="0034322A">
        <w:rPr>
          <w:lang w:val="en-US"/>
        </w:rPr>
        <w:t xml:space="preserve">This Court should apply the stricter </w:t>
      </w:r>
      <w:r w:rsidRPr="0034322A">
        <w:rPr>
          <w:i/>
          <w:iCs/>
          <w:lang w:val="en-US"/>
        </w:rPr>
        <w:t xml:space="preserve">North </w:t>
      </w:r>
      <w:r w:rsidRPr="0034322A">
        <w:rPr>
          <w:lang w:val="en-US"/>
        </w:rPr>
        <w:t xml:space="preserve">approach to ensure protection of the constitutional right to remain silent, and to keep the integrity of immunity. </w:t>
      </w:r>
      <w:r w:rsidR="00896E6F">
        <w:rPr>
          <w:lang w:val="en-US"/>
        </w:rPr>
        <w:t>However, under any</w:t>
      </w:r>
      <w:r w:rsidRPr="0034322A">
        <w:rPr>
          <w:lang w:val="en-US"/>
        </w:rPr>
        <w:t xml:space="preserve"> approach, the Government </w:t>
      </w:r>
      <w:r w:rsidR="00896E6F">
        <w:rPr>
          <w:lang w:val="en-US"/>
        </w:rPr>
        <w:t>cannot</w:t>
      </w:r>
      <w:r w:rsidRPr="0034322A">
        <w:rPr>
          <w:lang w:val="en-US"/>
        </w:rPr>
        <w:t xml:space="preserve"> meet its burden.</w:t>
      </w:r>
      <w:bookmarkEnd w:id="102"/>
    </w:p>
    <w:p w14:paraId="52EA401B" w14:textId="77777777" w:rsidR="003D37FA" w:rsidRPr="0034322A" w:rsidRDefault="00AF4064" w:rsidP="009055EE">
      <w:pPr>
        <w:pStyle w:val="Heading3"/>
        <w:numPr>
          <w:ilvl w:val="0"/>
          <w:numId w:val="6"/>
        </w:numPr>
        <w:spacing w:after="260"/>
        <w:ind w:hanging="720"/>
        <w:jc w:val="both"/>
      </w:pPr>
      <w:bookmarkStart w:id="103" w:name="_Toc239132879"/>
      <w:bookmarkStart w:id="104" w:name="_Toc239153931"/>
      <w:bookmarkStart w:id="105" w:name="_Toc239155044"/>
      <w:bookmarkStart w:id="106" w:name="dabmch_93"/>
      <w:r w:rsidRPr="120AE2AE">
        <w:t xml:space="preserve">The </w:t>
      </w:r>
      <w:r w:rsidRPr="006E51E9">
        <w:t>Government</w:t>
      </w:r>
      <w:r w:rsidRPr="120AE2AE">
        <w:t xml:space="preserve"> cannot establish an independent path to Parker because its own evidence shows that path was neither followed nor inevitable.</w:t>
      </w:r>
      <w:bookmarkEnd w:id="103"/>
      <w:bookmarkEnd w:id="104"/>
      <w:bookmarkEnd w:id="105"/>
      <w:r w:rsidRPr="120AE2AE">
        <w:t xml:space="preserve"> </w:t>
      </w:r>
      <w:bookmarkEnd w:id="106"/>
    </w:p>
    <w:p w14:paraId="7FAA3A53" w14:textId="430EB23A" w:rsidR="003D37FA" w:rsidRPr="0034322A" w:rsidRDefault="00AF4064" w:rsidP="003D37FA">
      <w:pPr>
        <w:ind w:firstLine="720"/>
        <w:jc w:val="both"/>
        <w:rPr>
          <w:lang w:val="en-US"/>
        </w:rPr>
      </w:pPr>
      <w:bookmarkStart w:id="107" w:name="dabmch_94"/>
      <w:r w:rsidRPr="0034322A">
        <w:rPr>
          <w:lang w:val="en-US"/>
        </w:rPr>
        <w:t xml:space="preserve">The Government cannot use compelled testimony as an investigatory lead or to identify witnesses. </w:t>
      </w:r>
      <w:bookmarkStart w:id="108" w:name="dabmci_13bc4702b1c243979d399f8bae0f38f9"/>
      <w:r w:rsidRPr="0034322A">
        <w:rPr>
          <w:i/>
          <w:lang w:val="en-US"/>
        </w:rPr>
        <w:t>North I</w:t>
      </w:r>
      <w:r w:rsidRPr="0034322A">
        <w:rPr>
          <w:lang w:val="en-US"/>
        </w:rPr>
        <w:t>, 910 F.2d at 858, 865</w:t>
      </w:r>
      <w:bookmarkStart w:id="109" w:name="dabmen_13bc4702b1c243979d399f8bae0f38f9"/>
      <w:bookmarkEnd w:id="108"/>
      <w:bookmarkEnd w:id="109"/>
      <w:r w:rsidRPr="0034322A">
        <w:rPr>
          <w:lang w:val="en-US"/>
        </w:rPr>
        <w:t xml:space="preserve">. </w:t>
      </w:r>
      <w:r w:rsidRPr="0034322A">
        <w:t xml:space="preserve">The Government must prove an independent source for everything the witness testifies to. </w:t>
      </w:r>
      <w:bookmarkStart w:id="110" w:name="dabmci_bacbade1ca5348c5bbf8c395005c33ef"/>
      <w:r w:rsidRPr="0034322A">
        <w:rPr>
          <w:i/>
          <w:iCs/>
        </w:rPr>
        <w:t>North II</w:t>
      </w:r>
      <w:r w:rsidRPr="0034322A">
        <w:t>, 920 F.2d at 942</w:t>
      </w:r>
      <w:bookmarkStart w:id="111" w:name="dabmen_bacbade1ca5348c5bbf8c395005c33ef"/>
      <w:bookmarkEnd w:id="110"/>
      <w:bookmarkEnd w:id="111"/>
      <w:r w:rsidRPr="0034322A">
        <w:t xml:space="preserve">. The Government’s </w:t>
      </w:r>
      <w:r w:rsidR="003C5490">
        <w:t>belief</w:t>
      </w:r>
      <w:r w:rsidRPr="0034322A">
        <w:t xml:space="preserve"> that it might have identified a witness without immunized testimony does not </w:t>
      </w:r>
      <w:r w:rsidR="00111BFE">
        <w:t>prove</w:t>
      </w:r>
      <w:r w:rsidRPr="0034322A">
        <w:t xml:space="preserve"> eventual discovery was inevitable</w:t>
      </w:r>
      <w:r w:rsidRPr="0034322A">
        <w:rPr>
          <w:lang w:val="en-US"/>
        </w:rPr>
        <w:t xml:space="preserve">. </w:t>
      </w:r>
      <w:bookmarkStart w:id="112" w:name="dabmci_bb00cf491f7744fda8df27c8280cf431"/>
      <w:r w:rsidRPr="0034322A">
        <w:rPr>
          <w:i/>
          <w:lang w:val="en-US"/>
        </w:rPr>
        <w:t>Rinaldi</w:t>
      </w:r>
      <w:r w:rsidRPr="0034322A">
        <w:rPr>
          <w:lang w:val="en-US"/>
        </w:rPr>
        <w:t>, 808 F.2d at 1584</w:t>
      </w:r>
      <w:bookmarkStart w:id="113" w:name="dabmen_bb00cf491f7744fda8df27c8280cf431"/>
      <w:bookmarkEnd w:id="112"/>
      <w:bookmarkEnd w:id="113"/>
      <w:r w:rsidRPr="0034322A">
        <w:rPr>
          <w:lang w:val="en-US"/>
        </w:rPr>
        <w:t xml:space="preserve">. </w:t>
      </w:r>
      <w:r w:rsidRPr="0034322A">
        <w:t xml:space="preserve">For each witness, the Government must show that it never used immunized testimony to question that witness. </w:t>
      </w:r>
      <w:bookmarkStart w:id="114" w:name="dabmci_754244c0d4aa4b7bbae1e57193c48eda"/>
      <w:r w:rsidRPr="0034322A">
        <w:rPr>
          <w:i/>
          <w:iCs/>
        </w:rPr>
        <w:t>North I</w:t>
      </w:r>
      <w:r w:rsidRPr="0034322A">
        <w:t>, 910 F.2d at 872</w:t>
      </w:r>
      <w:bookmarkStart w:id="115" w:name="dabmen_754244c0d4aa4b7bbae1e57193c48eda"/>
      <w:bookmarkEnd w:id="114"/>
      <w:bookmarkEnd w:id="115"/>
      <w:r w:rsidRPr="0034322A">
        <w:t>.</w:t>
      </w:r>
      <w:r w:rsidRPr="0034322A">
        <w:rPr>
          <w:i/>
          <w:iCs/>
        </w:rPr>
        <w:t xml:space="preserve"> </w:t>
      </w:r>
      <w:r w:rsidRPr="0034322A">
        <w:t xml:space="preserve">The Government can do so by proving that the witness’s testimony contained only evidence already known to the Government before exposure. </w:t>
      </w:r>
      <w:bookmarkStart w:id="116" w:name="dabmci_1d5ac80393f548a7b3724061832d44c3"/>
      <w:r w:rsidRPr="0034322A">
        <w:rPr>
          <w:i/>
          <w:iCs/>
        </w:rPr>
        <w:t xml:space="preserve">Id. </w:t>
      </w:r>
      <w:r w:rsidRPr="0034322A">
        <w:t>at 872–73</w:t>
      </w:r>
      <w:bookmarkStart w:id="117" w:name="dabmen_1d5ac80393f548a7b3724061832d44c3"/>
      <w:bookmarkEnd w:id="116"/>
      <w:bookmarkEnd w:id="117"/>
      <w:r w:rsidRPr="0034322A">
        <w:t xml:space="preserve">. </w:t>
      </w:r>
      <w:r w:rsidRPr="0034322A">
        <w:rPr>
          <w:lang w:val="en-US"/>
        </w:rPr>
        <w:t xml:space="preserve">Courts decline to let a government agent’s uncorroborated denial carry this burden. </w:t>
      </w:r>
      <w:bookmarkStart w:id="118" w:name="dabmci_7b9b4b3fe64e4cc298d9f7b39c5979da"/>
      <w:r w:rsidRPr="0034322A">
        <w:rPr>
          <w:i/>
          <w:lang w:val="en-US"/>
        </w:rPr>
        <w:t>Cantu</w:t>
      </w:r>
      <w:r w:rsidRPr="0034322A">
        <w:rPr>
          <w:lang w:val="en-US"/>
        </w:rPr>
        <w:t>, 185 F.3d at 304 n.10</w:t>
      </w:r>
      <w:bookmarkStart w:id="119" w:name="dabmen_7b9b4b3fe64e4cc298d9f7b39c5979da"/>
      <w:bookmarkEnd w:id="118"/>
      <w:bookmarkEnd w:id="119"/>
      <w:r w:rsidRPr="0034322A">
        <w:rPr>
          <w:lang w:val="en-US"/>
        </w:rPr>
        <w:t xml:space="preserve"> (</w:t>
      </w:r>
      <w:r w:rsidR="00077B2D">
        <w:rPr>
          <w:lang w:val="en-US"/>
        </w:rPr>
        <w:t xml:space="preserve">stating </w:t>
      </w:r>
      <w:r w:rsidRPr="0034322A">
        <w:rPr>
          <w:lang w:val="en-US"/>
        </w:rPr>
        <w:t>an agent’s denials “standing alone, are generally insufficient . . . even if made in good faith”).</w:t>
      </w:r>
      <w:bookmarkEnd w:id="107"/>
    </w:p>
    <w:p w14:paraId="408C7F48" w14:textId="4AF91569" w:rsidR="003D37FA" w:rsidRPr="0034322A" w:rsidRDefault="00AF4064" w:rsidP="009055EE">
      <w:pPr>
        <w:pStyle w:val="Heading4"/>
        <w:numPr>
          <w:ilvl w:val="0"/>
          <w:numId w:val="20"/>
        </w:numPr>
        <w:spacing w:after="260"/>
        <w:ind w:left="2160" w:hanging="720"/>
        <w:rPr>
          <w:i/>
          <w:iCs/>
        </w:rPr>
      </w:pPr>
      <w:bookmarkStart w:id="120" w:name="dabmch_95"/>
      <w:bookmarkStart w:id="121" w:name="_Toc239155045"/>
      <w:r w:rsidRPr="0034322A">
        <w:t>Parker’s omission from the Government’s witness selection undermines its claim of independent discovery.</w:t>
      </w:r>
      <w:bookmarkEnd w:id="120"/>
      <w:bookmarkEnd w:id="121"/>
    </w:p>
    <w:p w14:paraId="68FBD42E" w14:textId="313B674A" w:rsidR="003D37FA" w:rsidRPr="0034322A" w:rsidRDefault="00AF4064" w:rsidP="003D37FA">
      <w:pPr>
        <w:spacing w:before="240"/>
        <w:ind w:firstLine="720"/>
        <w:jc w:val="both"/>
        <w:rPr>
          <w:lang w:val="en-US"/>
        </w:rPr>
      </w:pPr>
      <w:bookmarkStart w:id="122" w:name="dabmch_96"/>
      <w:r w:rsidRPr="0034322A">
        <w:rPr>
          <w:lang w:val="en-US"/>
        </w:rPr>
        <w:t xml:space="preserve">Here, the Government would not have found Parker without using immunized testimony. The Government’s only connection to Parker </w:t>
      </w:r>
      <w:r w:rsidR="00866AB0">
        <w:rPr>
          <w:lang w:val="en-US"/>
        </w:rPr>
        <w:t>was</w:t>
      </w:r>
      <w:r w:rsidRPr="0034322A">
        <w:rPr>
          <w:lang w:val="en-US"/>
        </w:rPr>
        <w:t xml:space="preserve"> a list of one hundred </w:t>
      </w:r>
      <w:r w:rsidRPr="0034322A">
        <w:rPr>
          <w:lang w:val="en-US"/>
        </w:rPr>
        <w:lastRenderedPageBreak/>
        <w:t xml:space="preserve">employees. Sinclair Dep. 18:400–10; Ex. 10. Originally, the Government </w:t>
      </w:r>
      <w:r w:rsidRPr="0034322A">
        <w:t>chose witnesses “way before the Calloway testimony” by prioritizing long tenure and “how often somebody worked the floor,” on the theory that those employees could confirm whether the billed work happened. Sinclair Dep.</w:t>
      </w:r>
      <w:r w:rsidRPr="0034322A">
        <w:rPr>
          <w:lang w:val="en-US"/>
        </w:rPr>
        <w:t xml:space="preserve"> 18:411–17. By that methodology, the agents should have chosen Parker first. She worked events and banquets since 2019, worked 176 shifts in 2023, and appeared on the staffing sign-in for an event Emerald billed on Coastal’s behalf. Exs. 1D, 10. Yet the Government did not interview Parker for nine months and instead interviewed a dock attendant with “limited knowledge of event staffing or vendor billing.” Ex. 11; Sinclair Dep. 19:449–53. </w:t>
      </w:r>
      <w:bookmarkEnd w:id="122"/>
    </w:p>
    <w:p w14:paraId="2007DF8D" w14:textId="77777777" w:rsidR="003D37FA" w:rsidRPr="0034322A" w:rsidRDefault="00AF4064" w:rsidP="003D37FA">
      <w:pPr>
        <w:ind w:firstLine="720"/>
        <w:jc w:val="both"/>
        <w:rPr>
          <w:lang w:val="en-US"/>
        </w:rPr>
      </w:pPr>
      <w:bookmarkStart w:id="123" w:name="dabmch_97"/>
      <w:r w:rsidRPr="0034322A">
        <w:rPr>
          <w:lang w:val="en-US"/>
        </w:rPr>
        <w:t>Both agents repeatedly confirmed Parker never appeared relevant. Nolan called her “one of a large number of Silver Palms employees” and admitted, “I did not know if Parker would have any relevant information to add until I spoke to Parker.” Sinclair Dep. 22:572–75; Nolan Dep. 31:295–97, 33:366–72. All that remains is his belief that he “would’ve found it one way or another.” Nolan Dep. 33:349–50. The Government’s own testimony defeats any claim that it would have found Parker independently.</w:t>
      </w:r>
      <w:bookmarkEnd w:id="123"/>
    </w:p>
    <w:p w14:paraId="6917DAD8" w14:textId="4D1CE910" w:rsidR="003D37FA" w:rsidRPr="005F0C8C" w:rsidRDefault="00AF4064" w:rsidP="009055EE">
      <w:pPr>
        <w:pStyle w:val="Heading4"/>
        <w:numPr>
          <w:ilvl w:val="0"/>
          <w:numId w:val="20"/>
        </w:numPr>
        <w:spacing w:after="260"/>
        <w:ind w:left="2160" w:hanging="720"/>
        <w:rPr>
          <w:i/>
          <w:iCs/>
        </w:rPr>
      </w:pPr>
      <w:bookmarkStart w:id="124" w:name="dabmch_98"/>
      <w:bookmarkStart w:id="125" w:name="_Toc239155046"/>
      <w:r w:rsidRPr="120AE2AE">
        <w:t xml:space="preserve">The Government’s documents do not establish that Parker was </w:t>
      </w:r>
      <w:r w:rsidRPr="008B0359">
        <w:t>targeted</w:t>
      </w:r>
      <w:r w:rsidRPr="120AE2AE">
        <w:t xml:space="preserve"> before it learned Calloway’s testimony.</w:t>
      </w:r>
      <w:bookmarkEnd w:id="124"/>
      <w:bookmarkEnd w:id="125"/>
    </w:p>
    <w:p w14:paraId="53337A44" w14:textId="77777777" w:rsidR="003D37FA" w:rsidRPr="0034322A" w:rsidRDefault="00AF4064" w:rsidP="003D37FA">
      <w:pPr>
        <w:spacing w:before="240"/>
        <w:ind w:firstLine="720"/>
        <w:jc w:val="both"/>
        <w:rPr>
          <w:lang w:val="en-US"/>
        </w:rPr>
      </w:pPr>
      <w:bookmarkStart w:id="126" w:name="dabmch_99"/>
      <w:r w:rsidRPr="0034322A">
        <w:rPr>
          <w:lang w:val="en-US"/>
        </w:rPr>
        <w:t xml:space="preserve">The Government relies on two undated documents to establish when it decided to interview Parker. Nolan created Exhibit 16, a to-do list for “Team Calloway,” which contained Parker’s name as a potential witness. Ex. 16. The only timestamp on Exhibit 16 is “wk of 8/25,” with no specific day. On August 28, Sinclair met Calloway and her counsel to understand her testimony. Sinclair Dep. 22:553–55. The Government offered no </w:t>
      </w:r>
      <w:r w:rsidRPr="0034322A">
        <w:rPr>
          <w:lang w:val="en-US"/>
        </w:rPr>
        <w:lastRenderedPageBreak/>
        <w:t>evidence to show that Exhibit 16 was created prior to August 28. Nolan attempted to narrow the window to “[b]etween August 23 and August 27” in his deposition, but his word alone is not enough to satisfy the Government’s burden. Nolan Dep. 29:233–34. When asked how he knew it was “that week and not later,” his answer was that the note is marked “Team Calloway[.]” Nolan Dep. 29:235–30:241. However, this marking only proves the note came after August 23, not before August 28.</w:t>
      </w:r>
      <w:bookmarkEnd w:id="126"/>
    </w:p>
    <w:p w14:paraId="78E66ED2" w14:textId="77777777" w:rsidR="003D37FA" w:rsidRPr="0034322A" w:rsidRDefault="00AF4064" w:rsidP="003D37FA">
      <w:pPr>
        <w:ind w:firstLine="720"/>
        <w:jc w:val="both"/>
        <w:rPr>
          <w:lang w:val="en-US"/>
        </w:rPr>
      </w:pPr>
      <w:bookmarkStart w:id="127" w:name="dabmch_100"/>
      <w:r w:rsidRPr="0034322A">
        <w:rPr>
          <w:lang w:val="en-US"/>
        </w:rPr>
        <w:t xml:space="preserve">Exhibit 17 bears no date at all. It is a “priority list” Nolan later built, ranking employees by “frequency” of work. Nolan Dep. 30:268–73; Ex. 17. Parker ranked seventh. When asked whether the document was dated, Nolan conceded “I guess it isn’t,” and offered only that “I’m sure I wrote it before Calloway’s testimony.” Nolan Dep. 30:274–31:276. Nolan interviewed the first, second, third, and fifth names, none of whom “had anything new to add,” then skipped two names to reach Parker. </w:t>
      </w:r>
      <w:r w:rsidRPr="0034322A">
        <w:rPr>
          <w:i/>
          <w:lang w:val="en-US"/>
        </w:rPr>
        <w:t xml:space="preserve">Id. </w:t>
      </w:r>
      <w:r w:rsidRPr="0034322A">
        <w:rPr>
          <w:lang w:val="en-US"/>
        </w:rPr>
        <w:t>at 31:303–32:313. Neither document explains why Parker was interviewed on October 31, 2024.</w:t>
      </w:r>
      <w:bookmarkEnd w:id="127"/>
    </w:p>
    <w:p w14:paraId="3B36729D" w14:textId="5218B38D" w:rsidR="003D37FA" w:rsidRPr="0034322A" w:rsidRDefault="00AF4064" w:rsidP="009055EE">
      <w:pPr>
        <w:pStyle w:val="Heading4"/>
        <w:numPr>
          <w:ilvl w:val="0"/>
          <w:numId w:val="20"/>
        </w:numPr>
        <w:spacing w:after="260"/>
        <w:ind w:left="2160" w:hanging="720"/>
        <w:rPr>
          <w:i/>
          <w:iCs/>
        </w:rPr>
      </w:pPr>
      <w:bookmarkStart w:id="128" w:name="dabmch_101"/>
      <w:bookmarkStart w:id="129" w:name="_Toc239155047"/>
      <w:r w:rsidRPr="120AE2AE">
        <w:t>The Government cannot independently explain the topics it elicited from Parker.</w:t>
      </w:r>
      <w:bookmarkEnd w:id="128"/>
      <w:bookmarkEnd w:id="129"/>
    </w:p>
    <w:p w14:paraId="32D7C27C" w14:textId="77777777" w:rsidR="003D37FA" w:rsidRPr="0034322A" w:rsidRDefault="00AF4064" w:rsidP="003D37FA">
      <w:pPr>
        <w:spacing w:before="240"/>
        <w:ind w:firstLine="720"/>
        <w:jc w:val="both"/>
        <w:rPr>
          <w:lang w:val="en-US"/>
        </w:rPr>
      </w:pPr>
      <w:bookmarkStart w:id="130" w:name="dabmch_102"/>
      <w:r w:rsidRPr="0034322A">
        <w:rPr>
          <w:lang w:val="en-US"/>
        </w:rPr>
        <w:t xml:space="preserve">The Government elicited the exact topics from Parker that Calloway’s testimony provided. Before Calloway’s testimony, the Government did not know what the Christmas-party argument was about “from any source,” and had never heard of the errand or the storage unit. Nolan Dep. 32:346–33:349; Sinclair Dep. 22:561–65. The compelled testimony, broadcast live, named Parker, placed her beside Calloway after the argument, and described Parker as one of the staff she would have “help me with things all the time. Run an errand. Drop something off.” Sinclair Dep. 23:592–99; Ex. 13. Four days later, the </w:t>
      </w:r>
      <w:r w:rsidRPr="0034322A">
        <w:rPr>
          <w:lang w:val="en-US"/>
        </w:rPr>
        <w:lastRenderedPageBreak/>
        <w:t xml:space="preserve">front page reported both facts. Ex. 14. When questioning Parker, the Government elicited these same details, offering no explanation as to how. Nolan Dep. 32:334–42; Ex. 18. </w:t>
      </w:r>
      <w:bookmarkEnd w:id="130"/>
    </w:p>
    <w:p w14:paraId="1A4CD389" w14:textId="77777777" w:rsidR="003D37FA" w:rsidRPr="0034322A" w:rsidRDefault="00AF4064" w:rsidP="003D37FA">
      <w:pPr>
        <w:ind w:firstLine="720"/>
        <w:jc w:val="both"/>
        <w:rPr>
          <w:lang w:val="en-US"/>
        </w:rPr>
      </w:pPr>
      <w:bookmarkStart w:id="131" w:name="dabmch_103"/>
      <w:r w:rsidRPr="0034322A">
        <w:rPr>
          <w:lang w:val="en-US"/>
        </w:rPr>
        <w:t>T</w:t>
      </w:r>
      <w:r w:rsidRPr="0034322A">
        <w:t>he Government cannot show it found Parker independently, and her testimony must be suppressed. The Government (1) omitted Parker from witness selection, (2) omitted reliable dates on documents, and (3) offered no explanation for how the exact topics of compelled testimony from Calloway were the topics of discussion with Parker</w:t>
      </w:r>
      <w:r w:rsidRPr="0034322A">
        <w:rPr>
          <w:lang w:val="en-US"/>
        </w:rPr>
        <w:t xml:space="preserve">. On this record, the Government has not met its burden to establish an independent path to Parker’s testimony. </w:t>
      </w:r>
      <w:bookmarkEnd w:id="131"/>
    </w:p>
    <w:p w14:paraId="105BE2FF" w14:textId="4051E991" w:rsidR="003D37FA" w:rsidRPr="0034322A" w:rsidRDefault="00AF4064" w:rsidP="009055EE">
      <w:pPr>
        <w:pStyle w:val="Heading3"/>
        <w:numPr>
          <w:ilvl w:val="0"/>
          <w:numId w:val="6"/>
        </w:numPr>
        <w:spacing w:after="260"/>
        <w:ind w:hanging="720"/>
        <w:jc w:val="both"/>
      </w:pPr>
      <w:bookmarkStart w:id="132" w:name="_Toc239132880"/>
      <w:bookmarkStart w:id="133" w:name="dabmch_104"/>
      <w:bookmarkStart w:id="134" w:name="_Toc239153932"/>
      <w:bookmarkStart w:id="135" w:name="_Toc239155048"/>
      <w:r w:rsidRPr="0034322A">
        <w:t xml:space="preserve">Regardless of the </w:t>
      </w:r>
      <w:r w:rsidRPr="004D1EBF">
        <w:t>sources</w:t>
      </w:r>
      <w:r w:rsidRPr="0034322A">
        <w:t xml:space="preserve"> that led the Government to Parker, </w:t>
      </w:r>
      <w:r w:rsidR="003E29DD">
        <w:t>the</w:t>
      </w:r>
      <w:r w:rsidRPr="0034322A">
        <w:t xml:space="preserve"> compelled testimony</w:t>
      </w:r>
      <w:r w:rsidR="003E29DD">
        <w:t xml:space="preserve"> affected Parker’s statement</w:t>
      </w:r>
      <w:r w:rsidRPr="0034322A">
        <w:t>.</w:t>
      </w:r>
      <w:bookmarkEnd w:id="132"/>
      <w:bookmarkEnd w:id="133"/>
      <w:bookmarkEnd w:id="134"/>
      <w:bookmarkEnd w:id="135"/>
    </w:p>
    <w:p w14:paraId="30201B44" w14:textId="610F2214" w:rsidR="003D37FA" w:rsidRPr="0034322A" w:rsidRDefault="0043304E" w:rsidP="003D37FA">
      <w:pPr>
        <w:ind w:firstLine="720"/>
        <w:jc w:val="both"/>
      </w:pPr>
      <w:bookmarkStart w:id="136" w:name="dabmch_105"/>
      <w:r>
        <w:rPr>
          <w:lang w:val="en-US"/>
        </w:rPr>
        <w:t xml:space="preserve">Calloway’s testimony </w:t>
      </w:r>
      <w:r w:rsidR="00172D7E">
        <w:rPr>
          <w:lang w:val="en-US"/>
        </w:rPr>
        <w:t xml:space="preserve">affected Parker’s </w:t>
      </w:r>
      <w:r w:rsidR="004B01FF">
        <w:rPr>
          <w:lang w:val="en-US"/>
        </w:rPr>
        <w:t>statement.</w:t>
      </w:r>
      <w:r>
        <w:rPr>
          <w:lang w:val="en-US"/>
        </w:rPr>
        <w:t xml:space="preserve"> </w:t>
      </w:r>
      <w:r w:rsidR="00AF4064" w:rsidRPr="120AE2AE">
        <w:rPr>
          <w:lang w:val="en-US"/>
        </w:rPr>
        <w:t xml:space="preserve">The Government violates the protections afforded by </w:t>
      </w:r>
      <w:r w:rsidR="00AF4064" w:rsidRPr="120AE2AE">
        <w:rPr>
          <w:i/>
          <w:iCs/>
          <w:lang w:val="en-US"/>
        </w:rPr>
        <w:t xml:space="preserve">Kastigar </w:t>
      </w:r>
      <w:r w:rsidR="00AF4064" w:rsidRPr="120AE2AE">
        <w:rPr>
          <w:lang w:val="en-US"/>
        </w:rPr>
        <w:t>when it</w:t>
      </w:r>
      <w:r w:rsidR="00AF4064" w:rsidRPr="120AE2AE">
        <w:rPr>
          <w:i/>
          <w:iCs/>
          <w:lang w:val="en-US"/>
        </w:rPr>
        <w:t xml:space="preserve"> </w:t>
      </w:r>
      <w:r w:rsidR="00AF4064" w:rsidRPr="120AE2AE">
        <w:rPr>
          <w:lang w:val="en-US"/>
        </w:rPr>
        <w:t xml:space="preserve">puts on a witness whose testimony is shaped, directly or indirectly, by compelled testimony, no matter how she was exposed. </w:t>
      </w:r>
      <w:bookmarkStart w:id="137" w:name="dabmci_cdbe1c739d204ad6a448598c6a741379"/>
      <w:r w:rsidR="00AF4064" w:rsidRPr="120AE2AE">
        <w:rPr>
          <w:i/>
          <w:iCs/>
          <w:lang w:val="en-US"/>
        </w:rPr>
        <w:t>North II</w:t>
      </w:r>
      <w:r w:rsidR="00AF4064" w:rsidRPr="120AE2AE">
        <w:rPr>
          <w:lang w:val="en-US"/>
        </w:rPr>
        <w:t>, 920 F.2d at 942</w:t>
      </w:r>
      <w:bookmarkStart w:id="138" w:name="dabmen_cdbe1c739d204ad6a448598c6a741379"/>
      <w:bookmarkEnd w:id="137"/>
      <w:bookmarkEnd w:id="138"/>
      <w:r w:rsidR="00AF4064" w:rsidRPr="120AE2AE">
        <w:rPr>
          <w:i/>
          <w:iCs/>
          <w:lang w:val="en-US"/>
        </w:rPr>
        <w:t>.</w:t>
      </w:r>
      <w:r w:rsidR="00AF4064" w:rsidRPr="120AE2AE">
        <w:rPr>
          <w:lang w:val="en-US"/>
        </w:rPr>
        <w:t xml:space="preserve"> The Government can prove either </w:t>
      </w:r>
      <w:r w:rsidR="00661C7D">
        <w:rPr>
          <w:lang w:val="en-US"/>
        </w:rPr>
        <w:t>(</w:t>
      </w:r>
      <w:r w:rsidR="00AF4064" w:rsidRPr="120AE2AE">
        <w:rPr>
          <w:lang w:val="en-US"/>
        </w:rPr>
        <w:t xml:space="preserve">1) that exposure did not shape the witness’s account by showing that the witness was never exposed, or </w:t>
      </w:r>
      <w:r w:rsidR="00661C7D">
        <w:rPr>
          <w:lang w:val="en-US"/>
        </w:rPr>
        <w:t>(</w:t>
      </w:r>
      <w:r w:rsidR="00AF4064" w:rsidRPr="120AE2AE">
        <w:rPr>
          <w:lang w:val="en-US"/>
        </w:rPr>
        <w:t xml:space="preserve">2) that her account was recorded before any exposure. </w:t>
      </w:r>
      <w:bookmarkStart w:id="139" w:name="dabmci_af421ef3ae2f4ddbb59db0a04a911fcb"/>
      <w:r w:rsidR="00AF4064" w:rsidRPr="120AE2AE">
        <w:rPr>
          <w:i/>
          <w:iCs/>
          <w:lang w:val="en-US"/>
        </w:rPr>
        <w:t>North I</w:t>
      </w:r>
      <w:r w:rsidR="00AF4064" w:rsidRPr="120AE2AE">
        <w:rPr>
          <w:lang w:val="en-US"/>
        </w:rPr>
        <w:t>, 910 F.2d at 872–73</w:t>
      </w:r>
      <w:bookmarkStart w:id="140" w:name="dabmen_af421ef3ae2f4ddbb59db0a04a911fcb"/>
      <w:bookmarkEnd w:id="139"/>
      <w:bookmarkEnd w:id="140"/>
      <w:r w:rsidR="00AF4064" w:rsidRPr="120AE2AE">
        <w:rPr>
          <w:lang w:val="en-US"/>
        </w:rPr>
        <w:t>.</w:t>
      </w:r>
      <w:bookmarkEnd w:id="136"/>
    </w:p>
    <w:p w14:paraId="5AC2D63E" w14:textId="77777777" w:rsidR="003D37FA" w:rsidRPr="0034322A" w:rsidRDefault="00AF4064" w:rsidP="003D37FA">
      <w:pPr>
        <w:ind w:firstLine="720"/>
        <w:jc w:val="both"/>
        <w:rPr>
          <w:lang w:val="en-US"/>
        </w:rPr>
      </w:pPr>
      <w:bookmarkStart w:id="141" w:name="dabmch_106"/>
      <w:r w:rsidRPr="0034322A">
        <w:rPr>
          <w:lang w:val="en-US"/>
        </w:rPr>
        <w:t>Here, the Government has proven neither. B</w:t>
      </w:r>
      <w:r w:rsidRPr="0034322A">
        <w:t xml:space="preserve">y its own admission, the Government first contacted Parker on October 31, 2024, twenty-one days after the immunized testimony. Stip. 7. </w:t>
      </w:r>
      <w:r w:rsidRPr="0034322A">
        <w:rPr>
          <w:lang w:val="en-US"/>
        </w:rPr>
        <w:t xml:space="preserve">Parker works in the small town where this trial ran. Parker Dep. 34:9–12. </w:t>
      </w:r>
      <w:r w:rsidRPr="0034322A">
        <w:t>Calloway testified in open court. Sinclair Dep. 23:592–93. It was widely publicized</w:t>
      </w:r>
      <w:r w:rsidRPr="0034322A">
        <w:rPr>
          <w:lang w:val="en-US"/>
        </w:rPr>
        <w:t xml:space="preserve">. </w:t>
      </w:r>
      <w:r w:rsidRPr="0034322A">
        <w:rPr>
          <w:i/>
          <w:iCs/>
          <w:lang w:val="en-US"/>
        </w:rPr>
        <w:t xml:space="preserve">Id. </w:t>
      </w:r>
      <w:r w:rsidRPr="0034322A">
        <w:rPr>
          <w:lang w:val="en-US"/>
        </w:rPr>
        <w:t xml:space="preserve">at 23:592–99. On October 14, four days after Calloway gave her testimony, the front page named Parker as the person Calloway mentioned at trial. Ex. 14. A reporter looked </w:t>
      </w:r>
      <w:r w:rsidRPr="0034322A">
        <w:rPr>
          <w:lang w:val="en-US"/>
        </w:rPr>
        <w:lastRenderedPageBreak/>
        <w:t xml:space="preserve">for Parker to discuss the compelled testimony seventeen days before the Government did. </w:t>
      </w:r>
      <w:r w:rsidRPr="0034322A">
        <w:rPr>
          <w:i/>
          <w:iCs/>
          <w:lang w:val="en-US"/>
        </w:rPr>
        <w:t>Id.</w:t>
      </w:r>
      <w:r w:rsidRPr="0034322A">
        <w:rPr>
          <w:lang w:val="en-US"/>
        </w:rPr>
        <w:t xml:space="preserve"> </w:t>
      </w:r>
      <w:bookmarkEnd w:id="141"/>
    </w:p>
    <w:p w14:paraId="7FA200DB" w14:textId="77777777" w:rsidR="003D37FA" w:rsidRPr="0034322A" w:rsidRDefault="00AF4064" w:rsidP="003D37FA">
      <w:pPr>
        <w:ind w:firstLine="720"/>
        <w:jc w:val="both"/>
        <w:rPr>
          <w:lang w:val="en-US"/>
        </w:rPr>
      </w:pPr>
      <w:bookmarkStart w:id="142" w:name="dabmch_107"/>
      <w:r w:rsidRPr="0034322A">
        <w:rPr>
          <w:lang w:val="en-US"/>
        </w:rPr>
        <w:t xml:space="preserve">Several pieces of evidence indicate Parker heard about Calloway’s testimony. When Donovan was arrested, it “went through the staff like wildfire… and then it was on the local news.” Parker Dep. 41:293–96. She testified that she is paid, outside the resort, to walk into a room and “read the room,” and that she has “great social and spatial awareness.” </w:t>
      </w:r>
      <w:r w:rsidRPr="0034322A">
        <w:rPr>
          <w:i/>
          <w:lang w:val="en-US"/>
        </w:rPr>
        <w:t xml:space="preserve">Id. </w:t>
      </w:r>
      <w:r w:rsidRPr="0034322A">
        <w:rPr>
          <w:lang w:val="en-US"/>
        </w:rPr>
        <w:t>at 34:12–21, 35:52–54. Calloway described her the same way under compulsion: Parker is “one of those people who’s just always around a party, working it, keeping an eye on everything.” Ex. 13.</w:t>
      </w:r>
      <w:bookmarkEnd w:id="142"/>
    </w:p>
    <w:p w14:paraId="0507C6D3" w14:textId="77777777" w:rsidR="003D37FA" w:rsidRPr="0034322A" w:rsidRDefault="00AF4064" w:rsidP="003D37FA">
      <w:pPr>
        <w:ind w:firstLine="720"/>
        <w:jc w:val="both"/>
      </w:pPr>
      <w:bookmarkStart w:id="143" w:name="dabmch_108"/>
      <w:r w:rsidRPr="0034322A">
        <w:rPr>
          <w:lang w:val="en-US"/>
        </w:rPr>
        <w:t xml:space="preserve">Against that record, the Government offers two words from Parker: “No. Never.” Parker Dep. 42:311–13. Parker said she stayed away because the trial was “sad and it was stressful…” </w:t>
      </w:r>
      <w:r w:rsidRPr="0034322A">
        <w:rPr>
          <w:i/>
          <w:lang w:val="en-US"/>
        </w:rPr>
        <w:t xml:space="preserve">Id. </w:t>
      </w:r>
      <w:r w:rsidRPr="0034322A">
        <w:rPr>
          <w:lang w:val="en-US"/>
        </w:rPr>
        <w:t xml:space="preserve">at 42:307–10. </w:t>
      </w:r>
      <w:r w:rsidRPr="0034322A">
        <w:rPr>
          <w:i/>
          <w:lang w:val="en-US"/>
        </w:rPr>
        <w:t>Kastigar</w:t>
      </w:r>
      <w:r w:rsidRPr="0034322A">
        <w:rPr>
          <w:lang w:val="en-US"/>
        </w:rPr>
        <w:t xml:space="preserve"> is not satisfied by a witness’s sincerity; it requires proof. </w:t>
      </w:r>
      <w:bookmarkStart w:id="144" w:name="dabmci_af9de8dfd8e44c74b23bffbbd4f214f1"/>
      <w:r w:rsidRPr="0034322A">
        <w:rPr>
          <w:i/>
          <w:iCs/>
        </w:rPr>
        <w:t>Kastigar</w:t>
      </w:r>
      <w:r w:rsidRPr="0034322A">
        <w:t>, 406 U.S. at 460</w:t>
      </w:r>
      <w:bookmarkStart w:id="145" w:name="dabmen_af9de8dfd8e44c74b23bffbbd4f214f1"/>
      <w:bookmarkEnd w:id="144"/>
      <w:bookmarkEnd w:id="145"/>
      <w:r w:rsidRPr="0034322A">
        <w:t xml:space="preserve">. The Government asks this Court to believe that the one Silver Palms employee whose stated gift is noticing everything is, in a town where this story spread across the community, the one person in Gulf Haven who noticed none of it. Parker’s testimony must be suppressed. </w:t>
      </w:r>
      <w:bookmarkEnd w:id="143"/>
    </w:p>
    <w:p w14:paraId="16634A79" w14:textId="77777777" w:rsidR="003D37FA" w:rsidRPr="0034322A" w:rsidRDefault="00AF4064" w:rsidP="00B03C32">
      <w:pPr>
        <w:pStyle w:val="Heading3"/>
        <w:numPr>
          <w:ilvl w:val="0"/>
          <w:numId w:val="6"/>
        </w:numPr>
        <w:spacing w:after="260"/>
        <w:ind w:hanging="720"/>
        <w:jc w:val="both"/>
      </w:pPr>
      <w:bookmarkStart w:id="146" w:name="_Toc239132881"/>
      <w:bookmarkStart w:id="147" w:name="dabmch_109"/>
      <w:bookmarkStart w:id="148" w:name="_Toc239153933"/>
      <w:bookmarkStart w:id="149" w:name="_Toc239155049"/>
      <w:r w:rsidRPr="0034322A">
        <w:t xml:space="preserve">Exhibit 19 </w:t>
      </w:r>
      <w:r w:rsidRPr="00A10033">
        <w:t>should also be suppressed because the Government derived it from Parker’s testimony</w:t>
      </w:r>
      <w:r w:rsidRPr="0034322A">
        <w:t>.</w:t>
      </w:r>
      <w:bookmarkEnd w:id="146"/>
      <w:bookmarkEnd w:id="147"/>
      <w:bookmarkEnd w:id="148"/>
      <w:bookmarkEnd w:id="149"/>
    </w:p>
    <w:p w14:paraId="7A2CB1CF" w14:textId="77777777" w:rsidR="003D37FA" w:rsidRPr="0034322A" w:rsidRDefault="00AF4064" w:rsidP="003D37FA">
      <w:pPr>
        <w:ind w:firstLine="720"/>
        <w:jc w:val="both"/>
        <w:rPr>
          <w:lang w:val="en-US"/>
        </w:rPr>
      </w:pPr>
      <w:bookmarkStart w:id="150" w:name="dabmch_110"/>
      <w:r w:rsidRPr="0034322A">
        <w:rPr>
          <w:lang w:val="en-US"/>
        </w:rPr>
        <w:t xml:space="preserve">Exhibit 19 should also be suppressed because evidence obtained through a tainted investigative lead is itself derived from the compelled testimony. </w:t>
      </w:r>
      <w:bookmarkStart w:id="151" w:name="dabmci_f71f156888f44751b65050033e93385c"/>
      <w:r w:rsidRPr="0034322A">
        <w:rPr>
          <w:i/>
          <w:lang w:val="en-US"/>
        </w:rPr>
        <w:t>Kastigar</w:t>
      </w:r>
      <w:r w:rsidRPr="0034322A">
        <w:rPr>
          <w:lang w:val="en-US"/>
        </w:rPr>
        <w:t>,</w:t>
      </w:r>
      <w:r w:rsidRPr="0034322A">
        <w:rPr>
          <w:i/>
          <w:lang w:val="en-US"/>
        </w:rPr>
        <w:t xml:space="preserve"> </w:t>
      </w:r>
      <w:r w:rsidRPr="0034322A">
        <w:rPr>
          <w:lang w:val="en-US"/>
        </w:rPr>
        <w:t>406 U.S. at 460</w:t>
      </w:r>
      <w:bookmarkStart w:id="152" w:name="dabmen_f71f156888f44751b65050033e93385c"/>
      <w:bookmarkEnd w:id="151"/>
      <w:bookmarkEnd w:id="152"/>
      <w:r w:rsidRPr="0034322A">
        <w:rPr>
          <w:lang w:val="en-US"/>
        </w:rPr>
        <w:t xml:space="preserve">. </w:t>
      </w:r>
      <w:bookmarkEnd w:id="150"/>
    </w:p>
    <w:p w14:paraId="1FAE58B3" w14:textId="04C8FF8E" w:rsidR="003D37FA" w:rsidRPr="0034322A" w:rsidRDefault="00AF4064" w:rsidP="003D37FA">
      <w:pPr>
        <w:ind w:firstLine="720"/>
        <w:jc w:val="both"/>
        <w:rPr>
          <w:lang w:val="en-US"/>
        </w:rPr>
      </w:pPr>
      <w:bookmarkStart w:id="153" w:name="dabmch_111"/>
      <w:r w:rsidRPr="0034322A">
        <w:lastRenderedPageBreak/>
        <w:t>Here, Exhibit 19 is a document naming Calloway as the beneficial owner of the Cayman account. Ex. 19; Nolan Dep. 33:356</w:t>
      </w:r>
      <w:r w:rsidR="007F67EE">
        <w:t>–</w:t>
      </w:r>
      <w:r w:rsidRPr="0034322A">
        <w:t>60.</w:t>
      </w:r>
      <w:r w:rsidRPr="0034322A">
        <w:rPr>
          <w:lang w:val="en-US"/>
        </w:rPr>
        <w:t xml:space="preserve"> The chain from compelled testimony to Exhibit 19 is direct. First, Calloway’s testimony identified Parker and described her errands. Ex. 13. Next, the Government found Parker, who disclosed for the first time that Calloway had asked her to move a “Coastal” file box to a storage unit. Nolan Dep. 32:346–33:354. Finally, the Government located the unit and found Exhibit 19. </w:t>
      </w:r>
      <w:r w:rsidRPr="0034322A">
        <w:rPr>
          <w:i/>
          <w:iCs/>
        </w:rPr>
        <w:t>Id.</w:t>
      </w:r>
      <w:r w:rsidRPr="0034322A">
        <w:t xml:space="preserve"> at 33:351-54</w:t>
      </w:r>
      <w:r w:rsidRPr="0034322A">
        <w:rPr>
          <w:lang w:val="en-US"/>
        </w:rPr>
        <w:t>.</w:t>
      </w:r>
      <w:bookmarkEnd w:id="153"/>
    </w:p>
    <w:p w14:paraId="7E8D804C" w14:textId="77777777" w:rsidR="003D37FA" w:rsidRPr="0034322A" w:rsidRDefault="00AF4064" w:rsidP="003D37FA">
      <w:pPr>
        <w:ind w:firstLine="720"/>
        <w:jc w:val="both"/>
        <w:rPr>
          <w:lang w:val="en-US"/>
        </w:rPr>
      </w:pPr>
      <w:bookmarkStart w:id="154" w:name="dabmch_112"/>
      <w:r w:rsidRPr="0034322A">
        <w:rPr>
          <w:lang w:val="en-US"/>
        </w:rPr>
        <w:t xml:space="preserve">Every other route to Exhibit 19 was unsuccessful. Blake’s “Coastal” folder was never recovered, the treaty request was “a dead end,” the toll records were insufficient, the bank records stopped at the Cayman border, and the only Coastal insider had left the country. Sinclair Dep. 18:392–96; Nolan Dep. 25:60–68, 26:116–27:125, 27:133–46; Exs. 5, 9. The only path to Exhibit 19 ran through Parker, and the Government reached Parker through Calloway’s compelled words. </w:t>
      </w:r>
      <w:bookmarkEnd w:id="154"/>
    </w:p>
    <w:p w14:paraId="157FE96F" w14:textId="77C38EB0" w:rsidR="003D37FA" w:rsidRPr="0034322A" w:rsidRDefault="00AF4064" w:rsidP="003D37FA">
      <w:pPr>
        <w:ind w:firstLine="720"/>
        <w:jc w:val="both"/>
        <w:rPr>
          <w:lang w:val="en-US"/>
        </w:rPr>
      </w:pPr>
      <w:bookmarkStart w:id="155" w:name="dabmch_113"/>
      <w:r w:rsidRPr="0034322A">
        <w:rPr>
          <w:lang w:val="en-US"/>
        </w:rPr>
        <w:t xml:space="preserve">The Government has not met their burden. Calloway was stripped of her Fifth Amendment privilege, her testimony was compelled, and the Government is attempting to use it against her. They did not use any independent sources to allow the admissibility of this evidence. For the integrity of immunity, so witnesses continue to trust that their immunized words are off limits, we ask the court to grant this motion to suppress. </w:t>
      </w:r>
      <w:bookmarkEnd w:id="155"/>
    </w:p>
    <w:p w14:paraId="672B0AAF" w14:textId="05B7EA70" w:rsidR="003D37FA" w:rsidRPr="0034322A" w:rsidRDefault="00AF4064" w:rsidP="0010518B">
      <w:pPr>
        <w:pStyle w:val="Heading2"/>
        <w:spacing w:before="0"/>
        <w:ind w:left="720"/>
        <w:jc w:val="both"/>
      </w:pPr>
      <w:bookmarkStart w:id="156" w:name="_Toc239132882"/>
      <w:bookmarkStart w:id="157" w:name="_Toc239153934"/>
      <w:bookmarkStart w:id="158" w:name="_Toc239155050"/>
      <w:bookmarkStart w:id="159" w:name="dabmch_114"/>
      <w:r w:rsidRPr="0034322A">
        <w:t xml:space="preserve">RECORDS OF ARMANA’S INTERVIEW OF SIERRA SETON ARE PROTECTED </w:t>
      </w:r>
      <w:r w:rsidRPr="003213E6">
        <w:t>BY</w:t>
      </w:r>
      <w:r w:rsidRPr="0034322A">
        <w:t xml:space="preserve"> WORK-PRODUCT PRIVILEGE; THEREFORE, THIS COURT SHOULD QUASH THE SUBPOENA.</w:t>
      </w:r>
      <w:bookmarkEnd w:id="156"/>
      <w:bookmarkEnd w:id="157"/>
      <w:bookmarkEnd w:id="158"/>
      <w:r w:rsidRPr="0034322A">
        <w:t xml:space="preserve"> </w:t>
      </w:r>
      <w:bookmarkEnd w:id="159"/>
    </w:p>
    <w:p w14:paraId="7945C0B9" w14:textId="77023C68" w:rsidR="003D37FA" w:rsidRPr="0034322A" w:rsidRDefault="00AF4064" w:rsidP="003D37FA">
      <w:pPr>
        <w:spacing w:before="240"/>
        <w:ind w:firstLine="720"/>
        <w:jc w:val="both"/>
        <w:rPr>
          <w:lang w:val="en-US"/>
        </w:rPr>
      </w:pPr>
      <w:bookmarkStart w:id="160" w:name="dabmch_115"/>
      <w:r w:rsidRPr="0034322A">
        <w:rPr>
          <w:lang w:val="en-US"/>
        </w:rPr>
        <w:t xml:space="preserve">The Sixth Amendment guarantees Calloway the right to the assistance of counsel. </w:t>
      </w:r>
      <w:bookmarkStart w:id="161" w:name="dabmci_5c687417834b4d18a3aaf018e8b5304c"/>
      <w:r w:rsidRPr="0034322A">
        <w:rPr>
          <w:lang w:val="en-US"/>
        </w:rPr>
        <w:t>U.S. Const. amend. VI</w:t>
      </w:r>
      <w:bookmarkStart w:id="162" w:name="dabmen_5c687417834b4d18a3aaf018e8b5304c"/>
      <w:bookmarkEnd w:id="161"/>
      <w:bookmarkEnd w:id="162"/>
      <w:r w:rsidRPr="0034322A">
        <w:rPr>
          <w:lang w:val="en-US"/>
        </w:rPr>
        <w:t xml:space="preserve">. This right requires counsel to prepare for trial without exposing </w:t>
      </w:r>
      <w:r w:rsidRPr="0034322A">
        <w:rPr>
          <w:lang w:val="en-US"/>
        </w:rPr>
        <w:lastRenderedPageBreak/>
        <w:t>their work</w:t>
      </w:r>
      <w:r w:rsidR="00225CE1">
        <w:rPr>
          <w:lang w:val="en-US"/>
        </w:rPr>
        <w:t>-</w:t>
      </w:r>
      <w:r w:rsidRPr="0034322A">
        <w:rPr>
          <w:lang w:val="en-US"/>
        </w:rPr>
        <w:t xml:space="preserve">product to the opposition. </w:t>
      </w:r>
      <w:bookmarkStart w:id="163" w:name="dabmci_fbeab6d2906e4329b633f91b5a9afb69"/>
      <w:r w:rsidRPr="0034322A">
        <w:rPr>
          <w:lang w:val="en-US"/>
        </w:rPr>
        <w:t>Fed. R. Crim. P. 16(b)(2)</w:t>
      </w:r>
      <w:bookmarkStart w:id="164" w:name="dabmen_fbeab6d2906e4329b633f91b5a9afb69"/>
      <w:bookmarkEnd w:id="163"/>
      <w:bookmarkEnd w:id="164"/>
      <w:r w:rsidRPr="0034322A">
        <w:rPr>
          <w:lang w:val="en-US"/>
        </w:rPr>
        <w:t xml:space="preserve">; </w:t>
      </w:r>
      <w:r w:rsidRPr="0034322A">
        <w:rPr>
          <w:i/>
          <w:iCs/>
          <w:lang w:val="en-US"/>
        </w:rPr>
        <w:t>see</w:t>
      </w:r>
      <w:r w:rsidRPr="0034322A">
        <w:rPr>
          <w:lang w:val="en-US"/>
        </w:rPr>
        <w:t xml:space="preserve"> </w:t>
      </w:r>
      <w:r w:rsidRPr="0034322A">
        <w:rPr>
          <w:i/>
          <w:iCs/>
          <w:lang w:val="en-US"/>
        </w:rPr>
        <w:t xml:space="preserve">also </w:t>
      </w:r>
      <w:bookmarkStart w:id="165" w:name="dabmci_1a278f347d60487296f19d4c5c934e0c"/>
      <w:r w:rsidRPr="0034322A">
        <w:rPr>
          <w:i/>
          <w:iCs/>
          <w:lang w:val="en-US"/>
        </w:rPr>
        <w:t>Hickman v. Taylor</w:t>
      </w:r>
      <w:r w:rsidRPr="0034322A">
        <w:rPr>
          <w:lang w:val="en-US"/>
        </w:rPr>
        <w:t>, 329 U.S. 495, 511 (1947)</w:t>
      </w:r>
      <w:bookmarkStart w:id="166" w:name="dabmen_1a278f347d60487296f19d4c5c934e0c"/>
      <w:bookmarkEnd w:id="165"/>
      <w:bookmarkEnd w:id="166"/>
      <w:r w:rsidRPr="0034322A">
        <w:rPr>
          <w:lang w:val="en-US"/>
        </w:rPr>
        <w:t xml:space="preserve">; </w:t>
      </w:r>
      <w:bookmarkStart w:id="167" w:name="dabmci_b1874bf1ca834cfc9f5a13dc7c291bd9"/>
      <w:r w:rsidRPr="0034322A">
        <w:rPr>
          <w:i/>
          <w:iCs/>
          <w:lang w:val="en-US"/>
        </w:rPr>
        <w:t>United States v. Nobles</w:t>
      </w:r>
      <w:r w:rsidRPr="0034322A">
        <w:rPr>
          <w:lang w:val="en-US"/>
        </w:rPr>
        <w:t>, 422 U.S. 225, 238–39 (1975)</w:t>
      </w:r>
      <w:bookmarkStart w:id="168" w:name="dabmen_b1874bf1ca834cfc9f5a13dc7c291bd9"/>
      <w:bookmarkEnd w:id="167"/>
      <w:bookmarkEnd w:id="168"/>
      <w:r w:rsidRPr="0034322A">
        <w:rPr>
          <w:lang w:val="en-US"/>
        </w:rPr>
        <w:t xml:space="preserve">. Work-product protection extends to criminal cases, and to the material created by investigators working with counsel. </w:t>
      </w:r>
      <w:bookmarkStart w:id="169" w:name="dabmci_7d6359ac5aba4488a0a2d0b4d3e6444b"/>
      <w:r w:rsidRPr="0034322A">
        <w:rPr>
          <w:i/>
          <w:iCs/>
          <w:lang w:val="en-US"/>
        </w:rPr>
        <w:t>Nobles</w:t>
      </w:r>
      <w:r w:rsidRPr="0034322A">
        <w:rPr>
          <w:lang w:val="en-US"/>
        </w:rPr>
        <w:t>, 422 U.S. at 238–39</w:t>
      </w:r>
      <w:bookmarkStart w:id="170" w:name="dabmen_7d6359ac5aba4488a0a2d0b4d3e6444b"/>
      <w:bookmarkEnd w:id="169"/>
      <w:bookmarkEnd w:id="170"/>
      <w:r w:rsidRPr="0034322A">
        <w:rPr>
          <w:lang w:val="en-US"/>
        </w:rPr>
        <w:t xml:space="preserve">; </w:t>
      </w:r>
      <w:bookmarkStart w:id="171" w:name="dabmci_9ff323004e9c4474939afd3140c8143c"/>
      <w:r w:rsidRPr="0034322A">
        <w:rPr>
          <w:i/>
          <w:iCs/>
          <w:lang w:val="en-US"/>
        </w:rPr>
        <w:t>United States v. Kovel</w:t>
      </w:r>
      <w:r w:rsidRPr="0034322A">
        <w:rPr>
          <w:lang w:val="en-US"/>
        </w:rPr>
        <w:t>, 296 F.2d 918, 921–22 (2d Cir. 1961)</w:t>
      </w:r>
      <w:bookmarkStart w:id="172" w:name="dabmen_9ff323004e9c4474939afd3140c8143c"/>
      <w:bookmarkEnd w:id="171"/>
      <w:bookmarkEnd w:id="172"/>
      <w:r w:rsidRPr="0034322A">
        <w:rPr>
          <w:lang w:val="en-US"/>
        </w:rPr>
        <w:t xml:space="preserve">. This Court should quash subpoenas that seek protected work-product. </w:t>
      </w:r>
      <w:bookmarkStart w:id="173" w:name="dabmci_e9946621334a4e93a16e4a1b2e15a0ab"/>
      <w:r w:rsidRPr="0034322A">
        <w:rPr>
          <w:lang w:val="en-US"/>
        </w:rPr>
        <w:t>Fed. R. Crim. P. 17(c)(2)</w:t>
      </w:r>
      <w:bookmarkStart w:id="174" w:name="dabmen_e9946621334a4e93a16e4a1b2e15a0ab"/>
      <w:bookmarkEnd w:id="173"/>
      <w:bookmarkEnd w:id="174"/>
      <w:r w:rsidRPr="0034322A">
        <w:rPr>
          <w:lang w:val="en-US"/>
        </w:rPr>
        <w:t xml:space="preserve">; </w:t>
      </w:r>
      <w:bookmarkStart w:id="175" w:name="dabmci_068e3bb5b8bc4801b3c566d8494ee300"/>
      <w:r w:rsidRPr="0034322A">
        <w:rPr>
          <w:i/>
          <w:iCs/>
          <w:lang w:val="en-US"/>
        </w:rPr>
        <w:t>Bowman Dairy Co. v. United States</w:t>
      </w:r>
      <w:r w:rsidRPr="0034322A">
        <w:rPr>
          <w:lang w:val="en-US"/>
        </w:rPr>
        <w:t>, 341 U.S. 214, 220 (1951)</w:t>
      </w:r>
      <w:bookmarkStart w:id="176" w:name="dabmen_068e3bb5b8bc4801b3c566d8494ee300"/>
      <w:bookmarkEnd w:id="175"/>
      <w:bookmarkEnd w:id="176"/>
      <w:r w:rsidRPr="0034322A">
        <w:rPr>
          <w:lang w:val="en-US"/>
        </w:rPr>
        <w:t xml:space="preserve">; </w:t>
      </w:r>
      <w:bookmarkStart w:id="177" w:name="dabmci_f4883b76cd734e8c9ee14fae4affbb3d"/>
      <w:r w:rsidRPr="0034322A">
        <w:rPr>
          <w:i/>
          <w:iCs/>
          <w:lang w:val="en-US"/>
        </w:rPr>
        <w:t>United States v. Nixon</w:t>
      </w:r>
      <w:r w:rsidRPr="0034322A">
        <w:rPr>
          <w:lang w:val="en-US"/>
        </w:rPr>
        <w:t>, 418 U.S. 683, 698–700 (1974)</w:t>
      </w:r>
      <w:bookmarkStart w:id="178" w:name="dabmen_f4883b76cd734e8c9ee14fae4affbb3d"/>
      <w:bookmarkEnd w:id="177"/>
      <w:bookmarkEnd w:id="178"/>
      <w:r w:rsidRPr="0034322A">
        <w:rPr>
          <w:lang w:val="en-US"/>
        </w:rPr>
        <w:t>.</w:t>
      </w:r>
      <w:bookmarkEnd w:id="160"/>
    </w:p>
    <w:p w14:paraId="69478C47" w14:textId="08560592" w:rsidR="0034322A" w:rsidRDefault="0003445D" w:rsidP="0034322A">
      <w:pPr>
        <w:ind w:firstLine="720"/>
        <w:jc w:val="both"/>
        <w:rPr>
          <w:lang w:val="en-US"/>
        </w:rPr>
      </w:pPr>
      <w:bookmarkStart w:id="179" w:name="dabmch_116"/>
      <w:r>
        <w:rPr>
          <w:lang w:val="en-US"/>
        </w:rPr>
        <w:t>The work</w:t>
      </w:r>
      <w:r w:rsidR="00AF4064" w:rsidRPr="0034322A">
        <w:rPr>
          <w:lang w:val="en-US"/>
        </w:rPr>
        <w:t xml:space="preserve">-product doctrine and </w:t>
      </w:r>
      <w:bookmarkStart w:id="180" w:name="dabmci_2f2322b6741b41e798dde7ccc01e9224"/>
      <w:r w:rsidR="00AF4064" w:rsidRPr="0034322A">
        <w:rPr>
          <w:lang w:val="en-US"/>
        </w:rPr>
        <w:t>Rule 16</w:t>
      </w:r>
      <w:bookmarkStart w:id="181" w:name="dabmen_2f2322b6741b41e798dde7ccc01e9224"/>
      <w:bookmarkEnd w:id="180"/>
      <w:bookmarkEnd w:id="181"/>
      <w:r w:rsidR="00AF4064" w:rsidRPr="0034322A">
        <w:rPr>
          <w:lang w:val="en-US"/>
        </w:rPr>
        <w:t xml:space="preserve"> </w:t>
      </w:r>
      <w:r w:rsidR="001F6391" w:rsidRPr="0034322A">
        <w:rPr>
          <w:lang w:val="en-US"/>
        </w:rPr>
        <w:t>apply</w:t>
      </w:r>
      <w:r w:rsidR="00AF4064" w:rsidRPr="0034322A">
        <w:rPr>
          <w:lang w:val="en-US"/>
        </w:rPr>
        <w:t xml:space="preserve"> to this proceeding</w:t>
      </w:r>
      <w:r>
        <w:rPr>
          <w:lang w:val="en-US"/>
        </w:rPr>
        <w:t xml:space="preserve"> </w:t>
      </w:r>
      <w:r w:rsidR="001A3B13">
        <w:rPr>
          <w:lang w:val="en-US"/>
        </w:rPr>
        <w:t xml:space="preserve">because </w:t>
      </w:r>
      <w:r w:rsidR="00D36124">
        <w:rPr>
          <w:lang w:val="en-US"/>
        </w:rPr>
        <w:t xml:space="preserve">this is a criminal trial and </w:t>
      </w:r>
      <w:r w:rsidR="00A87B68">
        <w:rPr>
          <w:lang w:val="en-US"/>
        </w:rPr>
        <w:t>Armana is an agent of Calloway’s counsel</w:t>
      </w:r>
      <w:r w:rsidR="00AF4064" w:rsidRPr="0034322A">
        <w:rPr>
          <w:lang w:val="en-US"/>
        </w:rPr>
        <w:t>. Calloway meets her burden of establishing that Exhibit 21 is protected work</w:t>
      </w:r>
      <w:r w:rsidR="005F2AE7">
        <w:rPr>
          <w:lang w:val="en-US"/>
        </w:rPr>
        <w:t>-</w:t>
      </w:r>
      <w:r w:rsidR="00AF4064" w:rsidRPr="0034322A">
        <w:rPr>
          <w:lang w:val="en-US"/>
        </w:rPr>
        <w:t xml:space="preserve">product, whether analyzed as opinion or fact. </w:t>
      </w:r>
      <w:bookmarkStart w:id="182" w:name="dabmci_4d8124697d1c47a88b11c053f9bd798c"/>
      <w:r w:rsidR="00AF4064" w:rsidRPr="0034322A">
        <w:rPr>
          <w:i/>
          <w:iCs/>
          <w:lang w:val="en-US"/>
        </w:rPr>
        <w:t>Hickman</w:t>
      </w:r>
      <w:r w:rsidR="00AF4064" w:rsidRPr="0034322A">
        <w:rPr>
          <w:lang w:val="en-US"/>
        </w:rPr>
        <w:t>, 329 U.S. at 511–12</w:t>
      </w:r>
      <w:bookmarkStart w:id="183" w:name="dabmen_4d8124697d1c47a88b11c053f9bd798c"/>
      <w:bookmarkEnd w:id="182"/>
      <w:bookmarkEnd w:id="183"/>
      <w:r w:rsidR="00AF4064" w:rsidRPr="0034322A">
        <w:rPr>
          <w:lang w:val="en-US"/>
        </w:rPr>
        <w:t xml:space="preserve">; </w:t>
      </w:r>
      <w:bookmarkStart w:id="184" w:name="dabmci_bbe1a867599c443ca3eec59cfe15e134"/>
      <w:r w:rsidR="00AF4064" w:rsidRPr="0034322A">
        <w:rPr>
          <w:i/>
          <w:iCs/>
          <w:lang w:val="en-US"/>
        </w:rPr>
        <w:t>In re Grand Jury Subpoena Dated July 6, 2005</w:t>
      </w:r>
      <w:r w:rsidR="00AF4064" w:rsidRPr="0034322A">
        <w:rPr>
          <w:lang w:val="en-US"/>
        </w:rPr>
        <w:t>, 510 F.3d 180, 183–84</w:t>
      </w:r>
      <w:bookmarkStart w:id="185" w:name="dabmen_bbe1a867599c443ca3eec59cfe15e134"/>
      <w:bookmarkEnd w:id="184"/>
      <w:bookmarkEnd w:id="185"/>
      <w:r w:rsidR="0058430D">
        <w:rPr>
          <w:lang w:val="en-US"/>
        </w:rPr>
        <w:t xml:space="preserve"> (</w:t>
      </w:r>
      <w:r w:rsidR="00C03622">
        <w:rPr>
          <w:lang w:val="en-US"/>
        </w:rPr>
        <w:t xml:space="preserve">2d Cir. </w:t>
      </w:r>
      <w:r w:rsidR="0058430D">
        <w:rPr>
          <w:lang w:val="en-US"/>
        </w:rPr>
        <w:t>200</w:t>
      </w:r>
      <w:r w:rsidR="00C03622">
        <w:rPr>
          <w:lang w:val="en-US"/>
        </w:rPr>
        <w:t>7)</w:t>
      </w:r>
      <w:r w:rsidR="00AF4064" w:rsidRPr="0034322A">
        <w:rPr>
          <w:lang w:val="en-US"/>
        </w:rPr>
        <w:t xml:space="preserve">. </w:t>
      </w:r>
      <w:bookmarkStart w:id="186" w:name="_Toc239132883"/>
      <w:bookmarkStart w:id="187" w:name="dabmch_117"/>
      <w:bookmarkEnd w:id="179"/>
    </w:p>
    <w:p w14:paraId="1AA8C529" w14:textId="1E9AEE33" w:rsidR="003D37FA" w:rsidRPr="00B03C32" w:rsidRDefault="00AF4064" w:rsidP="00B03C32">
      <w:pPr>
        <w:pStyle w:val="Heading3"/>
        <w:numPr>
          <w:ilvl w:val="0"/>
          <w:numId w:val="22"/>
        </w:numPr>
        <w:spacing w:after="260"/>
        <w:ind w:left="1440" w:hanging="720"/>
        <w:jc w:val="both"/>
      </w:pPr>
      <w:bookmarkStart w:id="188" w:name="_Toc239153935"/>
      <w:bookmarkStart w:id="189" w:name="_Toc239155051"/>
      <w:r w:rsidRPr="0034322A">
        <w:t xml:space="preserve">The Government cannot back-door </w:t>
      </w:r>
      <w:r w:rsidR="00225CE1">
        <w:t xml:space="preserve">the use of </w:t>
      </w:r>
      <w:r w:rsidRPr="0034322A">
        <w:t>protected work-product</w:t>
      </w:r>
      <w:r w:rsidR="00225CE1">
        <w:t>,</w:t>
      </w:r>
      <w:r w:rsidRPr="0034322A">
        <w:t xml:space="preserve"> and </w:t>
      </w:r>
      <w:r w:rsidRPr="003213E6">
        <w:t>this</w:t>
      </w:r>
      <w:r w:rsidRPr="0034322A">
        <w:t xml:space="preserve"> Court should apply </w:t>
      </w:r>
      <w:bookmarkStart w:id="190" w:name="dabmci_f3b29d5dc71e4f5faed7cef4a3ad6326"/>
      <w:r w:rsidRPr="0034322A">
        <w:t>Rule 16</w:t>
      </w:r>
      <w:bookmarkStart w:id="191" w:name="dabmen_f3b29d5dc71e4f5faed7cef4a3ad6326"/>
      <w:bookmarkEnd w:id="190"/>
      <w:bookmarkEnd w:id="191"/>
      <w:r w:rsidRPr="0034322A">
        <w:t xml:space="preserve"> and recognize the privilege.</w:t>
      </w:r>
      <w:bookmarkEnd w:id="186"/>
      <w:bookmarkEnd w:id="187"/>
      <w:bookmarkEnd w:id="188"/>
      <w:bookmarkEnd w:id="189"/>
    </w:p>
    <w:p w14:paraId="57A082D8" w14:textId="04A813D9" w:rsidR="003D37FA" w:rsidRPr="0034322A" w:rsidRDefault="00AF4064" w:rsidP="003D37FA">
      <w:pPr>
        <w:ind w:firstLine="720"/>
        <w:jc w:val="both"/>
        <w:rPr>
          <w:lang w:val="en-US"/>
        </w:rPr>
      </w:pPr>
      <w:bookmarkStart w:id="192" w:name="dabmch_118"/>
      <w:r w:rsidRPr="0034322A">
        <w:rPr>
          <w:lang w:val="en-US"/>
        </w:rPr>
        <w:t xml:space="preserve">Protected work-product is shielded, </w:t>
      </w:r>
      <w:r w:rsidR="00B93E21">
        <w:rPr>
          <w:lang w:val="en-US"/>
        </w:rPr>
        <w:t>which includes</w:t>
      </w:r>
      <w:r w:rsidRPr="0034322A">
        <w:rPr>
          <w:lang w:val="en-US"/>
        </w:rPr>
        <w:t xml:space="preserve"> documents created by defense counsel or counsel’s agent, and witness statements made to them. </w:t>
      </w:r>
      <w:bookmarkStart w:id="193" w:name="dabmci_8c3b1d2a412542d5b1332509c4af42cf"/>
      <w:r w:rsidRPr="0034322A">
        <w:rPr>
          <w:lang w:val="en-US"/>
        </w:rPr>
        <w:t>Fed. R. Crim. P. 16(b)(2)(A)–(B)</w:t>
      </w:r>
      <w:bookmarkStart w:id="194" w:name="dabmen_8c3b1d2a412542d5b1332509c4af42cf"/>
      <w:bookmarkEnd w:id="193"/>
      <w:bookmarkEnd w:id="194"/>
      <w:r w:rsidRPr="0034322A">
        <w:rPr>
          <w:lang w:val="en-US"/>
        </w:rPr>
        <w:t xml:space="preserve">. This protection applies with full force in criminal cases and extends to attorney’s agents and investigators. </w:t>
      </w:r>
      <w:bookmarkStart w:id="195" w:name="dabmci_26ad2908e5114c39a0a38061f3ba811b"/>
      <w:r w:rsidRPr="0034322A">
        <w:rPr>
          <w:i/>
          <w:iCs/>
          <w:lang w:val="en-US"/>
        </w:rPr>
        <w:t>Nobles</w:t>
      </w:r>
      <w:r w:rsidRPr="0034322A">
        <w:rPr>
          <w:lang w:val="en-US"/>
        </w:rPr>
        <w:t>, 422 U.S. at 238–39</w:t>
      </w:r>
      <w:bookmarkStart w:id="196" w:name="dabmen_26ad2908e5114c39a0a38061f3ba811b"/>
      <w:bookmarkEnd w:id="195"/>
      <w:bookmarkEnd w:id="196"/>
      <w:r w:rsidRPr="0034322A">
        <w:rPr>
          <w:lang w:val="en-US"/>
        </w:rPr>
        <w:t xml:space="preserve">; </w:t>
      </w:r>
      <w:bookmarkStart w:id="197" w:name="dabmci_7c13817586864579b253cf547947c738"/>
      <w:r w:rsidRPr="0034322A">
        <w:rPr>
          <w:i/>
          <w:iCs/>
          <w:lang w:val="en-US"/>
        </w:rPr>
        <w:t>Kovel</w:t>
      </w:r>
      <w:r w:rsidRPr="0034322A">
        <w:rPr>
          <w:lang w:val="en-US"/>
        </w:rPr>
        <w:t>, 296 F.2d at 921–22</w:t>
      </w:r>
      <w:bookmarkStart w:id="198" w:name="dabmen_7c13817586864579b253cf547947c738"/>
      <w:bookmarkEnd w:id="197"/>
      <w:bookmarkEnd w:id="198"/>
      <w:r w:rsidRPr="0034322A">
        <w:rPr>
          <w:lang w:val="en-US"/>
        </w:rPr>
        <w:t xml:space="preserve">. A </w:t>
      </w:r>
      <w:bookmarkStart w:id="199" w:name="dabmci_0bd7ea1faf1d4a84859009f09dd58d18"/>
      <w:r w:rsidRPr="0034322A">
        <w:rPr>
          <w:lang w:val="en-US"/>
        </w:rPr>
        <w:t>Rule 17(c)</w:t>
      </w:r>
      <w:bookmarkStart w:id="200" w:name="dabmen_0bd7ea1faf1d4a84859009f09dd58d18"/>
      <w:bookmarkEnd w:id="199"/>
      <w:bookmarkEnd w:id="200"/>
      <w:r w:rsidRPr="0034322A">
        <w:rPr>
          <w:lang w:val="en-US"/>
        </w:rPr>
        <w:t xml:space="preserve"> subpoena must satisfy relevancy, admissibility, and specificity, and courts will not allow it to serve as a broader means of discovery than </w:t>
      </w:r>
      <w:bookmarkStart w:id="201" w:name="dabmci_8f0849dfc48f4f4db8135b9f5c15b9a4"/>
      <w:r w:rsidRPr="0034322A">
        <w:rPr>
          <w:lang w:val="en-US"/>
        </w:rPr>
        <w:t>Rule 16</w:t>
      </w:r>
      <w:bookmarkStart w:id="202" w:name="dabmen_8f0849dfc48f4f4db8135b9f5c15b9a4"/>
      <w:bookmarkEnd w:id="201"/>
      <w:bookmarkEnd w:id="202"/>
      <w:r w:rsidRPr="0034322A">
        <w:rPr>
          <w:lang w:val="en-US"/>
        </w:rPr>
        <w:t xml:space="preserve"> permits. </w:t>
      </w:r>
      <w:bookmarkStart w:id="203" w:name="dabmci_1d8d421beb844a0194bcd8a366ecb562"/>
      <w:r w:rsidRPr="0034322A">
        <w:rPr>
          <w:i/>
          <w:iCs/>
          <w:lang w:val="en-US"/>
        </w:rPr>
        <w:t>Nixon</w:t>
      </w:r>
      <w:r w:rsidRPr="0034322A">
        <w:rPr>
          <w:lang w:val="en-US"/>
        </w:rPr>
        <w:t>, 418 U.S. at 698–700</w:t>
      </w:r>
      <w:bookmarkStart w:id="204" w:name="dabmen_1d8d421beb844a0194bcd8a366ecb562"/>
      <w:bookmarkEnd w:id="203"/>
      <w:bookmarkEnd w:id="204"/>
      <w:r w:rsidRPr="0034322A">
        <w:rPr>
          <w:lang w:val="en-US"/>
        </w:rPr>
        <w:t xml:space="preserve">; </w:t>
      </w:r>
      <w:bookmarkStart w:id="205" w:name="dabmci_4fe768c673a04d5880936d7d8f978364"/>
      <w:r w:rsidRPr="0034322A">
        <w:rPr>
          <w:i/>
          <w:iCs/>
          <w:lang w:val="en-US"/>
        </w:rPr>
        <w:t>Bowman</w:t>
      </w:r>
      <w:r w:rsidRPr="0034322A">
        <w:rPr>
          <w:lang w:val="en-US"/>
        </w:rPr>
        <w:t>, 341 U.S. at 220</w:t>
      </w:r>
      <w:bookmarkStart w:id="206" w:name="dabmen_4fe768c673a04d5880936d7d8f978364"/>
      <w:bookmarkEnd w:id="205"/>
      <w:bookmarkEnd w:id="206"/>
      <w:r w:rsidRPr="0034322A">
        <w:rPr>
          <w:lang w:val="en-US"/>
        </w:rPr>
        <w:t xml:space="preserve">. Because Exhibit 21 is protected work-product </w:t>
      </w:r>
      <w:r w:rsidRPr="0034322A">
        <w:rPr>
          <w:lang w:val="en-US"/>
        </w:rPr>
        <w:lastRenderedPageBreak/>
        <w:t xml:space="preserve">and therefore inadmissible, the subpoena cannot satisfy </w:t>
      </w:r>
      <w:bookmarkStart w:id="207" w:name="dabmci_0f4112e131be45d7bcb0c2cad0b3a5f1"/>
      <w:r w:rsidRPr="0034322A">
        <w:rPr>
          <w:lang w:val="en-US"/>
        </w:rPr>
        <w:t>Rule 17(c)</w:t>
      </w:r>
      <w:bookmarkStart w:id="208" w:name="dabmen_0f4112e131be45d7bcb0c2cad0b3a5f1"/>
      <w:bookmarkEnd w:id="207"/>
      <w:bookmarkEnd w:id="208"/>
      <w:r w:rsidRPr="0034322A">
        <w:rPr>
          <w:lang w:val="en-US"/>
        </w:rPr>
        <w:t xml:space="preserve">’s admissibility requirement. </w:t>
      </w:r>
      <w:bookmarkStart w:id="209" w:name="dabmci_17c6f16e543a4faf95a9e86faff8ce1e"/>
      <w:r w:rsidRPr="0034322A">
        <w:rPr>
          <w:i/>
          <w:iCs/>
          <w:lang w:val="en-US"/>
        </w:rPr>
        <w:t>Nixon</w:t>
      </w:r>
      <w:r w:rsidRPr="0034322A">
        <w:rPr>
          <w:lang w:val="en-US"/>
        </w:rPr>
        <w:t>, 418 U.S. at 698–700</w:t>
      </w:r>
      <w:bookmarkStart w:id="210" w:name="dabmen_17c6f16e543a4faf95a9e86faff8ce1e"/>
      <w:bookmarkEnd w:id="209"/>
      <w:bookmarkEnd w:id="210"/>
      <w:r w:rsidRPr="0034322A">
        <w:rPr>
          <w:lang w:val="en-US"/>
        </w:rPr>
        <w:t>.</w:t>
      </w:r>
      <w:bookmarkEnd w:id="192"/>
    </w:p>
    <w:p w14:paraId="43C88736" w14:textId="3EE99CD2" w:rsidR="003D37FA" w:rsidRPr="0034322A" w:rsidRDefault="00AF4064" w:rsidP="003D37FA">
      <w:pPr>
        <w:ind w:firstLine="720"/>
        <w:jc w:val="both"/>
        <w:rPr>
          <w:lang w:val="en-US"/>
        </w:rPr>
      </w:pPr>
      <w:bookmarkStart w:id="211" w:name="dabmch_119"/>
      <w:r w:rsidRPr="0034322A">
        <w:rPr>
          <w:lang w:val="en-US"/>
        </w:rPr>
        <w:t xml:space="preserve">Criminal defense investigators hired by counsel to work in anticipation of trial are agents of counsel under </w:t>
      </w:r>
      <w:bookmarkStart w:id="212" w:name="dabmci_4fc97def6a744152aadf77878fb80119"/>
      <w:r w:rsidRPr="0034322A">
        <w:rPr>
          <w:lang w:val="en-US"/>
        </w:rPr>
        <w:t>Rule 16(b)(2)</w:t>
      </w:r>
      <w:bookmarkStart w:id="213" w:name="dabmen_4fc97def6a744152aadf77878fb80119"/>
      <w:bookmarkEnd w:id="212"/>
      <w:bookmarkEnd w:id="213"/>
      <w:r w:rsidRPr="0034322A">
        <w:rPr>
          <w:lang w:val="en-US"/>
        </w:rPr>
        <w:t xml:space="preserve">. </w:t>
      </w:r>
      <w:bookmarkStart w:id="214" w:name="dabmci_d50891ac73db4b518e2bb3b6e626eab4"/>
      <w:r w:rsidRPr="0034322A">
        <w:rPr>
          <w:lang w:val="en-US"/>
        </w:rPr>
        <w:t>Fed. R. Crim. P. 16(b)(2)</w:t>
      </w:r>
      <w:bookmarkStart w:id="215" w:name="dabmen_d50891ac73db4b518e2bb3b6e626eab4"/>
      <w:bookmarkEnd w:id="214"/>
      <w:bookmarkEnd w:id="215"/>
      <w:r w:rsidRPr="0034322A">
        <w:rPr>
          <w:lang w:val="en-US"/>
        </w:rPr>
        <w:t xml:space="preserve">; </w:t>
      </w:r>
      <w:bookmarkStart w:id="216" w:name="dabmci_708b85953f5f48cbb077d879b911e59e"/>
      <w:r w:rsidRPr="0034322A">
        <w:rPr>
          <w:i/>
          <w:iCs/>
          <w:lang w:val="en-US"/>
        </w:rPr>
        <w:t>Nobles</w:t>
      </w:r>
      <w:r w:rsidRPr="0034322A">
        <w:rPr>
          <w:lang w:val="en-US"/>
        </w:rPr>
        <w:t>, 422 U.S. at 238–39</w:t>
      </w:r>
      <w:bookmarkStart w:id="217" w:name="dabmen_708b85953f5f48cbb077d879b911e59e"/>
      <w:bookmarkEnd w:id="216"/>
      <w:bookmarkEnd w:id="217"/>
      <w:r w:rsidRPr="0034322A">
        <w:rPr>
          <w:lang w:val="en-US"/>
        </w:rPr>
        <w:t xml:space="preserve">. The materials prepared by an investigator are thus protected work-product. </w:t>
      </w:r>
      <w:bookmarkStart w:id="218" w:name="dabmci_24beca0e114547829997692647373ac2"/>
      <w:r w:rsidRPr="0034322A">
        <w:rPr>
          <w:i/>
          <w:iCs/>
          <w:lang w:val="en-US"/>
        </w:rPr>
        <w:t>Nobles</w:t>
      </w:r>
      <w:r w:rsidRPr="0034322A">
        <w:rPr>
          <w:lang w:val="en-US"/>
        </w:rPr>
        <w:t>, 422 U.S. at 238–39</w:t>
      </w:r>
      <w:bookmarkStart w:id="219" w:name="dabmen_24beca0e114547829997692647373ac2"/>
      <w:bookmarkEnd w:id="218"/>
      <w:bookmarkEnd w:id="219"/>
      <w:r w:rsidRPr="0034322A">
        <w:rPr>
          <w:lang w:val="en-US"/>
        </w:rPr>
        <w:t xml:space="preserve">. In </w:t>
      </w:r>
      <w:bookmarkStart w:id="220" w:name="dabmci_83fd169a8df446f5877dda54b78a2676"/>
      <w:r w:rsidRPr="0034322A">
        <w:rPr>
          <w:i/>
          <w:iCs/>
          <w:lang w:val="en-US"/>
        </w:rPr>
        <w:t>Nobles</w:t>
      </w:r>
      <w:bookmarkStart w:id="221" w:name="dabmen_83fd169a8df446f5877dda54b78a2676"/>
      <w:bookmarkEnd w:id="220"/>
      <w:bookmarkEnd w:id="221"/>
      <w:r w:rsidRPr="0034322A">
        <w:rPr>
          <w:lang w:val="en-US"/>
        </w:rPr>
        <w:t xml:space="preserve">, the government sought a defense investigator’s report prepared for trial. </w:t>
      </w:r>
      <w:bookmarkStart w:id="222" w:name="dabmci_c12d1459bc0b446f9603b20818b001e7"/>
      <w:r w:rsidRPr="0034322A">
        <w:rPr>
          <w:i/>
          <w:iCs/>
          <w:lang w:val="en-US"/>
        </w:rPr>
        <w:t>Nobles</w:t>
      </w:r>
      <w:r w:rsidRPr="0034322A">
        <w:rPr>
          <w:lang w:val="en-US"/>
        </w:rPr>
        <w:t>, 422 U.S. at 236–39</w:t>
      </w:r>
      <w:bookmarkStart w:id="223" w:name="dabmen_c12d1459bc0b446f9603b20818b001e7"/>
      <w:bookmarkEnd w:id="222"/>
      <w:bookmarkEnd w:id="223"/>
      <w:r w:rsidRPr="0034322A">
        <w:rPr>
          <w:lang w:val="en-US"/>
        </w:rPr>
        <w:t xml:space="preserve">. The Court held the report was work-product initially, discoverable only because the defense elected to call the investigator as a witness. </w:t>
      </w:r>
      <w:bookmarkStart w:id="224" w:name="dabmci_c65cf7154d334f7c8719bab6abeb4f58"/>
      <w:r w:rsidRPr="0034322A">
        <w:rPr>
          <w:i/>
          <w:iCs/>
          <w:lang w:val="en-US"/>
        </w:rPr>
        <w:t>Id.</w:t>
      </w:r>
      <w:bookmarkStart w:id="225" w:name="dabmen_c65cf7154d334f7c8719bab6abeb4f58"/>
      <w:bookmarkEnd w:id="224"/>
      <w:bookmarkEnd w:id="225"/>
      <w:r w:rsidRPr="0034322A">
        <w:rPr>
          <w:lang w:val="en-US"/>
        </w:rPr>
        <w:t xml:space="preserve"> The </w:t>
      </w:r>
      <w:r w:rsidRPr="0034322A">
        <w:rPr>
          <w:i/>
          <w:iCs/>
          <w:lang w:val="en-US"/>
        </w:rPr>
        <w:t xml:space="preserve">Nobles </w:t>
      </w:r>
      <w:r w:rsidRPr="0034322A">
        <w:rPr>
          <w:lang w:val="en-US"/>
        </w:rPr>
        <w:t xml:space="preserve">Court also confirms that </w:t>
      </w:r>
      <w:bookmarkStart w:id="226" w:name="dabmci_bf888f81deda48d691d802e2181d37d0"/>
      <w:r w:rsidRPr="0034322A">
        <w:rPr>
          <w:lang w:val="en-US"/>
        </w:rPr>
        <w:t>Rule 16(b)(2)</w:t>
      </w:r>
      <w:bookmarkStart w:id="227" w:name="dabmen_bf888f81deda48d691d802e2181d37d0"/>
      <w:bookmarkEnd w:id="226"/>
      <w:bookmarkEnd w:id="227"/>
      <w:r w:rsidRPr="0034322A">
        <w:rPr>
          <w:lang w:val="en-US"/>
        </w:rPr>
        <w:t xml:space="preserve"> reaches</w:t>
      </w:r>
      <w:r w:rsidR="005D07B9">
        <w:rPr>
          <w:lang w:val="en-US"/>
        </w:rPr>
        <w:t xml:space="preserve"> </w:t>
      </w:r>
      <w:r w:rsidR="00BC00C2">
        <w:rPr>
          <w:lang w:val="en-US"/>
        </w:rPr>
        <w:t>subpoenas</w:t>
      </w:r>
      <w:r w:rsidRPr="0034322A">
        <w:rPr>
          <w:lang w:val="en-US"/>
        </w:rPr>
        <w:t xml:space="preserve"> and that protection does not disappear merely because the material is sought by subpoena rather than a discovery motion. </w:t>
      </w:r>
      <w:bookmarkStart w:id="228" w:name="dabmci_0cc5ece47ffe4e18b2ee60a3641794f3"/>
      <w:r w:rsidRPr="0034322A">
        <w:rPr>
          <w:i/>
          <w:iCs/>
          <w:lang w:val="en-US"/>
        </w:rPr>
        <w:t>Id.</w:t>
      </w:r>
      <w:bookmarkStart w:id="229" w:name="dabmen_0cc5ece47ffe4e18b2ee60a3641794f3"/>
      <w:bookmarkEnd w:id="228"/>
      <w:bookmarkEnd w:id="229"/>
      <w:r w:rsidRPr="0034322A">
        <w:rPr>
          <w:lang w:val="en-US"/>
        </w:rPr>
        <w:t xml:space="preserve"> </w:t>
      </w:r>
      <w:bookmarkEnd w:id="211"/>
    </w:p>
    <w:p w14:paraId="7EF80E49" w14:textId="38D1222E" w:rsidR="003D37FA" w:rsidRPr="0034322A" w:rsidRDefault="0055336D" w:rsidP="003D37FA">
      <w:pPr>
        <w:ind w:firstLine="720"/>
        <w:jc w:val="both"/>
        <w:rPr>
          <w:lang w:val="en-US"/>
        </w:rPr>
      </w:pPr>
      <w:bookmarkStart w:id="230" w:name="dabmch_120"/>
      <w:r>
        <w:rPr>
          <w:lang w:val="en-US"/>
        </w:rPr>
        <w:t xml:space="preserve">When </w:t>
      </w:r>
      <w:r w:rsidR="00AF4064" w:rsidRPr="0034322A">
        <w:rPr>
          <w:lang w:val="en-US"/>
        </w:rPr>
        <w:t xml:space="preserve">Armana was retained by defense counsel to interview Seton for this case, </w:t>
      </w:r>
      <w:r>
        <w:rPr>
          <w:lang w:val="en-US"/>
        </w:rPr>
        <w:t>he became</w:t>
      </w:r>
      <w:r w:rsidR="00AF4064" w:rsidRPr="0034322A">
        <w:rPr>
          <w:lang w:val="en-US"/>
        </w:rPr>
        <w:t xml:space="preserve"> counsel’s agent within the meaning of </w:t>
      </w:r>
      <w:bookmarkStart w:id="231" w:name="dabmci_290ab775079d42a2971b70ad73b481cc"/>
      <w:r w:rsidR="00AF4064" w:rsidRPr="0034322A">
        <w:rPr>
          <w:lang w:val="en-US"/>
        </w:rPr>
        <w:t>Rule 16(b)(2)</w:t>
      </w:r>
      <w:bookmarkStart w:id="232" w:name="dabmen_290ab775079d42a2971b70ad73b481cc"/>
      <w:bookmarkEnd w:id="231"/>
      <w:bookmarkEnd w:id="232"/>
      <w:r w:rsidR="00AF4064" w:rsidRPr="0034322A">
        <w:rPr>
          <w:lang w:val="en-US"/>
        </w:rPr>
        <w:t xml:space="preserve">. Armana Dep. 27:140–43; </w:t>
      </w:r>
      <w:bookmarkStart w:id="233" w:name="dabmci_34382adfda5440c8b8521d320a3f6c70"/>
      <w:r w:rsidR="00AF4064" w:rsidRPr="0034322A">
        <w:rPr>
          <w:lang w:val="en-US"/>
        </w:rPr>
        <w:t>Fed. R. Crim. P. 16(b)(2)</w:t>
      </w:r>
      <w:bookmarkStart w:id="234" w:name="dabmen_34382adfda5440c8b8521d320a3f6c70"/>
      <w:bookmarkEnd w:id="233"/>
      <w:bookmarkEnd w:id="234"/>
      <w:r w:rsidR="00AF4064" w:rsidRPr="0034322A">
        <w:rPr>
          <w:lang w:val="en-US"/>
        </w:rPr>
        <w:t xml:space="preserve">. His notes were created solely to prepare Calloway’s defense. Armana Dep. 27:120–24. As in </w:t>
      </w:r>
      <w:bookmarkStart w:id="235" w:name="dabmci_04bc445c0eaa463d91a6f8af5c6acb90"/>
      <w:r w:rsidR="00AF4064" w:rsidRPr="0034322A">
        <w:rPr>
          <w:i/>
          <w:iCs/>
          <w:lang w:val="en-US"/>
        </w:rPr>
        <w:t>Nobles</w:t>
      </w:r>
      <w:bookmarkStart w:id="236" w:name="dabmen_04bc445c0eaa463d91a6f8af5c6acb90"/>
      <w:bookmarkEnd w:id="235"/>
      <w:bookmarkEnd w:id="236"/>
      <w:r w:rsidR="00AF4064" w:rsidRPr="0034322A">
        <w:rPr>
          <w:lang w:val="en-US"/>
        </w:rPr>
        <w:t>, the material is an agent's work</w:t>
      </w:r>
      <w:r w:rsidR="00225CE1">
        <w:rPr>
          <w:lang w:val="en-US"/>
        </w:rPr>
        <w:t>-</w:t>
      </w:r>
      <w:r w:rsidR="00AF4064" w:rsidRPr="0034322A">
        <w:rPr>
          <w:lang w:val="en-US"/>
        </w:rPr>
        <w:t xml:space="preserve">product created for the defense's trial use. </w:t>
      </w:r>
      <w:bookmarkStart w:id="237" w:name="dabmci_c8efa327800b4b71928da92da2a42be6"/>
      <w:r w:rsidR="00AF4064" w:rsidRPr="0034322A">
        <w:rPr>
          <w:i/>
          <w:iCs/>
          <w:lang w:val="en-US"/>
        </w:rPr>
        <w:t>Nobles</w:t>
      </w:r>
      <w:r w:rsidR="00AF4064" w:rsidRPr="0034322A">
        <w:rPr>
          <w:lang w:val="en-US"/>
        </w:rPr>
        <w:t>, 422 U.S. at 236–39</w:t>
      </w:r>
      <w:bookmarkStart w:id="238" w:name="dabmen_c8efa327800b4b71928da92da2a42be6"/>
      <w:bookmarkEnd w:id="237"/>
      <w:bookmarkEnd w:id="238"/>
      <w:r w:rsidR="00AF4064" w:rsidRPr="0034322A">
        <w:rPr>
          <w:lang w:val="en-US"/>
        </w:rPr>
        <w:t xml:space="preserve">. But unlike </w:t>
      </w:r>
      <w:r w:rsidR="00AF4064" w:rsidRPr="0034322A">
        <w:rPr>
          <w:i/>
          <w:iCs/>
          <w:lang w:val="en-US"/>
        </w:rPr>
        <w:t>Nobles</w:t>
      </w:r>
      <w:r w:rsidR="00AF4064" w:rsidRPr="0034322A">
        <w:rPr>
          <w:lang w:val="en-US"/>
        </w:rPr>
        <w:t xml:space="preserve">, the defense has not called Armana as a witness or otherwise waived protection. Armana Dep. 27:140–43. The subpoena therefore seeks exactly what </w:t>
      </w:r>
      <w:bookmarkStart w:id="239" w:name="dabmci_650f762184674cc8b2acbcbef6046a12"/>
      <w:r w:rsidR="00AF4064" w:rsidRPr="0034322A">
        <w:rPr>
          <w:lang w:val="en-US"/>
        </w:rPr>
        <w:t>Rule 16(b)(2)</w:t>
      </w:r>
      <w:bookmarkStart w:id="240" w:name="dabmen_650f762184674cc8b2acbcbef6046a12"/>
      <w:bookmarkEnd w:id="239"/>
      <w:bookmarkEnd w:id="240"/>
      <w:r w:rsidR="00AF4064" w:rsidRPr="0034322A">
        <w:rPr>
          <w:lang w:val="en-US"/>
        </w:rPr>
        <w:t xml:space="preserve"> bars. </w:t>
      </w:r>
      <w:bookmarkStart w:id="241" w:name="dabmci_e53647da690f4f7baa86e47b40063f30"/>
      <w:r w:rsidR="00AF4064" w:rsidRPr="0034322A">
        <w:rPr>
          <w:i/>
          <w:iCs/>
          <w:lang w:val="en-US"/>
        </w:rPr>
        <w:t>Nixon</w:t>
      </w:r>
      <w:r w:rsidR="00AF4064" w:rsidRPr="0034322A">
        <w:rPr>
          <w:lang w:val="en-US"/>
        </w:rPr>
        <w:t>, 418 U.S. at 698–700</w:t>
      </w:r>
      <w:bookmarkStart w:id="242" w:name="dabmen_e53647da690f4f7baa86e47b40063f30"/>
      <w:bookmarkEnd w:id="241"/>
      <w:bookmarkEnd w:id="242"/>
      <w:r w:rsidR="00AF4064" w:rsidRPr="0034322A">
        <w:rPr>
          <w:lang w:val="en-US"/>
        </w:rPr>
        <w:t>.</w:t>
      </w:r>
      <w:bookmarkEnd w:id="230"/>
    </w:p>
    <w:p w14:paraId="0D490766" w14:textId="1D99FF99" w:rsidR="003D37FA" w:rsidRPr="0034322A" w:rsidRDefault="00AF4064" w:rsidP="003D37FA">
      <w:pPr>
        <w:ind w:firstLine="720"/>
        <w:jc w:val="both"/>
      </w:pPr>
      <w:bookmarkStart w:id="243" w:name="dabmch_121"/>
      <w:r w:rsidRPr="0034322A">
        <w:rPr>
          <w:lang w:val="en-US"/>
        </w:rPr>
        <w:t xml:space="preserve">Therefore, the subpoena duces tecum served on Armana demands material protected under </w:t>
      </w:r>
      <w:bookmarkStart w:id="244" w:name="dabmci_0ac5cde698c841819c737084fb8722f3"/>
      <w:r w:rsidRPr="0034322A">
        <w:rPr>
          <w:lang w:val="en-US"/>
        </w:rPr>
        <w:t>Rule 16(b)(2)</w:t>
      </w:r>
      <w:bookmarkStart w:id="245" w:name="dabmen_0ac5cde698c841819c737084fb8722f3"/>
      <w:bookmarkEnd w:id="244"/>
      <w:bookmarkEnd w:id="245"/>
      <w:r w:rsidRPr="0034322A">
        <w:rPr>
          <w:lang w:val="en-US"/>
        </w:rPr>
        <w:t xml:space="preserve"> and the work</w:t>
      </w:r>
      <w:r w:rsidR="00225CE1">
        <w:rPr>
          <w:lang w:val="en-US"/>
        </w:rPr>
        <w:t>-</w:t>
      </w:r>
      <w:r w:rsidRPr="0034322A">
        <w:rPr>
          <w:lang w:val="en-US"/>
        </w:rPr>
        <w:t xml:space="preserve">product doctrine should be quashed under </w:t>
      </w:r>
      <w:bookmarkStart w:id="246" w:name="dabmci_57596767102c491db92b5dcda9d25c24"/>
      <w:r w:rsidRPr="0034322A">
        <w:rPr>
          <w:lang w:val="en-US"/>
        </w:rPr>
        <w:t>Rule 17(c)(2)</w:t>
      </w:r>
      <w:bookmarkStart w:id="247" w:name="dabmen_57596767102c491db92b5dcda9d25c24"/>
      <w:bookmarkEnd w:id="246"/>
      <w:bookmarkEnd w:id="247"/>
      <w:r w:rsidRPr="0034322A">
        <w:rPr>
          <w:lang w:val="en-US"/>
        </w:rPr>
        <w:t xml:space="preserve">. </w:t>
      </w:r>
      <w:bookmarkEnd w:id="243"/>
    </w:p>
    <w:p w14:paraId="2FA22225" w14:textId="284E0DB4" w:rsidR="003D37FA" w:rsidRPr="00B03C32" w:rsidRDefault="00AF4064" w:rsidP="006B402A">
      <w:pPr>
        <w:pStyle w:val="Heading3"/>
        <w:keepNext/>
        <w:numPr>
          <w:ilvl w:val="0"/>
          <w:numId w:val="24"/>
        </w:numPr>
        <w:spacing w:after="260"/>
        <w:ind w:hanging="720"/>
        <w:jc w:val="both"/>
      </w:pPr>
      <w:bookmarkStart w:id="248" w:name="dabmch_122"/>
      <w:bookmarkStart w:id="249" w:name="_Toc239153936"/>
      <w:bookmarkStart w:id="250" w:name="_Toc239155052"/>
      <w:r w:rsidRPr="0034322A">
        <w:lastRenderedPageBreak/>
        <w:t xml:space="preserve">Calloway meets her burden of establishing that Exhibit 21 is </w:t>
      </w:r>
      <w:r w:rsidRPr="00E4077E">
        <w:t>protected</w:t>
      </w:r>
      <w:r w:rsidRPr="0034322A">
        <w:t xml:space="preserve"> work-product, whether this Court considers it as opinion or fact.</w:t>
      </w:r>
      <w:bookmarkEnd w:id="248"/>
      <w:bookmarkEnd w:id="249"/>
      <w:bookmarkEnd w:id="250"/>
    </w:p>
    <w:p w14:paraId="7A04B709" w14:textId="54FFCB0B" w:rsidR="003D37FA" w:rsidRPr="0034322A" w:rsidRDefault="00AF4064" w:rsidP="003D37FA">
      <w:pPr>
        <w:ind w:firstLine="720"/>
        <w:jc w:val="both"/>
      </w:pPr>
      <w:bookmarkStart w:id="251" w:name="dabmch_123"/>
      <w:r w:rsidRPr="0034322A">
        <w:rPr>
          <w:lang w:val="en-US"/>
        </w:rPr>
        <w:t>Work</w:t>
      </w:r>
      <w:r w:rsidR="00225CE1">
        <w:rPr>
          <w:lang w:val="en-US"/>
        </w:rPr>
        <w:t>-</w:t>
      </w:r>
      <w:r w:rsidRPr="0034322A">
        <w:rPr>
          <w:lang w:val="en-US"/>
        </w:rPr>
        <w:t xml:space="preserve">product is divided into two categories, </w:t>
      </w:r>
      <w:r w:rsidR="007B19DD">
        <w:rPr>
          <w:lang w:val="en-US"/>
        </w:rPr>
        <w:t>and each has</w:t>
      </w:r>
      <w:r w:rsidRPr="0034322A">
        <w:rPr>
          <w:lang w:val="en-US"/>
        </w:rPr>
        <w:t xml:space="preserve"> its own standard. </w:t>
      </w:r>
      <w:bookmarkStart w:id="252" w:name="dabmci_f6df00b2e5344630af7beb5ba1e5d838"/>
      <w:r w:rsidRPr="0034322A">
        <w:rPr>
          <w:i/>
          <w:iCs/>
          <w:lang w:val="en-US"/>
        </w:rPr>
        <w:t>Hickman</w:t>
      </w:r>
      <w:r w:rsidRPr="0034322A">
        <w:rPr>
          <w:lang w:val="en-US"/>
        </w:rPr>
        <w:t>, 329 U.S. at 511–12</w:t>
      </w:r>
      <w:bookmarkStart w:id="253" w:name="dabmen_f6df00b2e5344630af7beb5ba1e5d838"/>
      <w:bookmarkEnd w:id="252"/>
      <w:bookmarkEnd w:id="253"/>
      <w:r w:rsidRPr="0034322A">
        <w:rPr>
          <w:lang w:val="en-US"/>
        </w:rPr>
        <w:t>. Exhibit 21 is opinion work</w:t>
      </w:r>
      <w:r w:rsidR="00225CE1">
        <w:rPr>
          <w:lang w:val="en-US"/>
        </w:rPr>
        <w:t>-</w:t>
      </w:r>
      <w:r w:rsidRPr="0034322A">
        <w:rPr>
          <w:lang w:val="en-US"/>
        </w:rPr>
        <w:t>product entitled to near</w:t>
      </w:r>
      <w:r w:rsidR="00F9110C">
        <w:rPr>
          <w:lang w:val="en-US"/>
        </w:rPr>
        <w:t xml:space="preserve">ly </w:t>
      </w:r>
      <w:r w:rsidRPr="0034322A">
        <w:rPr>
          <w:lang w:val="en-US"/>
        </w:rPr>
        <w:t xml:space="preserve">absolute protection. </w:t>
      </w:r>
      <w:r w:rsidR="00921D5E" w:rsidRPr="0034322A">
        <w:rPr>
          <w:i/>
          <w:iCs/>
          <w:lang w:val="en-US"/>
        </w:rPr>
        <w:t>In re Murphy</w:t>
      </w:r>
      <w:r w:rsidR="00921D5E" w:rsidRPr="0034322A">
        <w:rPr>
          <w:lang w:val="en-US"/>
        </w:rPr>
        <w:t xml:space="preserve">, 560 F.2d </w:t>
      </w:r>
      <w:r w:rsidR="00A764C5">
        <w:rPr>
          <w:lang w:val="en-US"/>
        </w:rPr>
        <w:t xml:space="preserve">326, </w:t>
      </w:r>
      <w:r w:rsidR="00921D5E" w:rsidRPr="0034322A">
        <w:rPr>
          <w:lang w:val="en-US"/>
        </w:rPr>
        <w:t>336</w:t>
      </w:r>
      <w:r w:rsidR="00A764C5">
        <w:rPr>
          <w:lang w:val="en-US"/>
        </w:rPr>
        <w:t xml:space="preserve"> (</w:t>
      </w:r>
      <w:r w:rsidR="00225932">
        <w:rPr>
          <w:lang w:val="en-US"/>
        </w:rPr>
        <w:t xml:space="preserve">8th Cir. </w:t>
      </w:r>
      <w:r w:rsidR="00A764C5">
        <w:rPr>
          <w:lang w:val="en-US"/>
        </w:rPr>
        <w:t>1977)</w:t>
      </w:r>
      <w:r w:rsidR="00921D5E" w:rsidRPr="0034322A">
        <w:rPr>
          <w:lang w:val="en-US"/>
        </w:rPr>
        <w:t xml:space="preserve">. </w:t>
      </w:r>
      <w:r w:rsidR="00A764C5">
        <w:rPr>
          <w:lang w:val="en-US"/>
        </w:rPr>
        <w:t>Even</w:t>
      </w:r>
      <w:r w:rsidRPr="0034322A">
        <w:rPr>
          <w:lang w:val="en-US"/>
        </w:rPr>
        <w:t xml:space="preserve"> if some portion is treated as ordinary fact work</w:t>
      </w:r>
      <w:r w:rsidR="00225CE1">
        <w:rPr>
          <w:lang w:val="en-US"/>
        </w:rPr>
        <w:t>-</w:t>
      </w:r>
      <w:r w:rsidRPr="0034322A">
        <w:rPr>
          <w:lang w:val="en-US"/>
        </w:rPr>
        <w:t>product</w:t>
      </w:r>
      <w:r w:rsidR="00F9110C">
        <w:rPr>
          <w:lang w:val="en-US"/>
        </w:rPr>
        <w:t xml:space="preserve"> by this Court</w:t>
      </w:r>
      <w:r w:rsidRPr="0034322A">
        <w:rPr>
          <w:lang w:val="en-US"/>
        </w:rPr>
        <w:t xml:space="preserve">, the Government cannot show the substantial need and undue hardship required to obtain it. </w:t>
      </w:r>
      <w:bookmarkEnd w:id="251"/>
      <w:r w:rsidR="00A764C5" w:rsidRPr="0034322A">
        <w:rPr>
          <w:i/>
          <w:iCs/>
          <w:lang w:val="en-US"/>
        </w:rPr>
        <w:t>In re Grand Jury Proceedings</w:t>
      </w:r>
      <w:r w:rsidR="00A764C5" w:rsidRPr="0034322A">
        <w:rPr>
          <w:lang w:val="en-US"/>
        </w:rPr>
        <w:t xml:space="preserve">, 219 F.3d </w:t>
      </w:r>
      <w:r w:rsidR="00225932">
        <w:rPr>
          <w:lang w:val="en-US"/>
        </w:rPr>
        <w:t xml:space="preserve">175, </w:t>
      </w:r>
      <w:r w:rsidR="00A764C5" w:rsidRPr="0034322A">
        <w:rPr>
          <w:lang w:val="en-US"/>
        </w:rPr>
        <w:t>190–92</w:t>
      </w:r>
      <w:r w:rsidR="00225932">
        <w:rPr>
          <w:lang w:val="en-US"/>
        </w:rPr>
        <w:t xml:space="preserve"> (</w:t>
      </w:r>
      <w:r w:rsidR="002F7D5F">
        <w:rPr>
          <w:lang w:val="en-US"/>
        </w:rPr>
        <w:t>2d Cir. 2000)</w:t>
      </w:r>
      <w:r w:rsidR="00A764C5" w:rsidRPr="0034322A">
        <w:rPr>
          <w:lang w:val="en-US"/>
        </w:rPr>
        <w:t>.</w:t>
      </w:r>
    </w:p>
    <w:p w14:paraId="613D646E" w14:textId="16551FD9" w:rsidR="003D37FA" w:rsidRPr="00B03C32" w:rsidRDefault="00AF4064" w:rsidP="00B03C32">
      <w:pPr>
        <w:pStyle w:val="Heading4"/>
        <w:numPr>
          <w:ilvl w:val="0"/>
          <w:numId w:val="23"/>
        </w:numPr>
        <w:spacing w:after="260"/>
        <w:ind w:left="2160" w:hanging="720"/>
      </w:pPr>
      <w:bookmarkStart w:id="254" w:name="dabmch_124"/>
      <w:bookmarkStart w:id="255" w:name="_Toc239153937"/>
      <w:bookmarkStart w:id="256" w:name="_Toc239155053"/>
      <w:r w:rsidRPr="004824A9">
        <w:t xml:space="preserve">Exhibit 21 </w:t>
      </w:r>
      <w:r w:rsidR="00F226AA">
        <w:t xml:space="preserve">is </w:t>
      </w:r>
      <w:r w:rsidRPr="004824A9">
        <w:t>entitled to near</w:t>
      </w:r>
      <w:r w:rsidR="0001681B">
        <w:t xml:space="preserve">ly </w:t>
      </w:r>
      <w:r w:rsidRPr="004824A9">
        <w:t>absolute protection</w:t>
      </w:r>
      <w:r w:rsidR="00F226AA">
        <w:t xml:space="preserve"> because it </w:t>
      </w:r>
      <w:r w:rsidR="00F226AA" w:rsidRPr="004824A9">
        <w:t>reveals Armana’s mental impression</w:t>
      </w:r>
      <w:r w:rsidR="00F226AA">
        <w:t>s</w:t>
      </w:r>
      <w:r w:rsidRPr="004824A9">
        <w:t>.</w:t>
      </w:r>
      <w:bookmarkEnd w:id="254"/>
      <w:bookmarkEnd w:id="255"/>
      <w:bookmarkEnd w:id="256"/>
    </w:p>
    <w:p w14:paraId="0B42C1B5" w14:textId="7A7F416A" w:rsidR="003D37FA" w:rsidRPr="0034322A" w:rsidRDefault="00AF4064" w:rsidP="003D37FA">
      <w:pPr>
        <w:ind w:firstLine="720"/>
        <w:jc w:val="both"/>
        <w:rPr>
          <w:lang w:val="en-US"/>
        </w:rPr>
      </w:pPr>
      <w:bookmarkStart w:id="257" w:name="dabmch_125"/>
      <w:r w:rsidRPr="0034322A">
        <w:rPr>
          <w:lang w:val="en-US"/>
        </w:rPr>
        <w:t>Opinion work</w:t>
      </w:r>
      <w:r w:rsidR="00225CE1">
        <w:rPr>
          <w:lang w:val="en-US"/>
        </w:rPr>
        <w:t>-</w:t>
      </w:r>
      <w:r w:rsidRPr="0034322A">
        <w:rPr>
          <w:lang w:val="en-US"/>
        </w:rPr>
        <w:t xml:space="preserve">product reveals the mental impressions, conclusions, or theories of an attorney or their agent. </w:t>
      </w:r>
      <w:bookmarkStart w:id="258" w:name="dabmci_c845f24c2f694f049e48f73cc8b61c42"/>
      <w:r w:rsidRPr="0034322A">
        <w:rPr>
          <w:i/>
          <w:iCs/>
          <w:lang w:val="en-US"/>
        </w:rPr>
        <w:t>In re Murphy</w:t>
      </w:r>
      <w:r w:rsidRPr="0034322A">
        <w:rPr>
          <w:lang w:val="en-US"/>
        </w:rPr>
        <w:t>, 560 F.2d at 336</w:t>
      </w:r>
      <w:bookmarkStart w:id="259" w:name="dabmen_c845f24c2f694f049e48f73cc8b61c42"/>
      <w:bookmarkEnd w:id="258"/>
      <w:bookmarkEnd w:id="259"/>
      <w:r w:rsidRPr="0034322A">
        <w:rPr>
          <w:lang w:val="en-US"/>
        </w:rPr>
        <w:t>. Mental impressions receive near</w:t>
      </w:r>
      <w:r w:rsidR="0001681B">
        <w:rPr>
          <w:lang w:val="en-US"/>
        </w:rPr>
        <w:t xml:space="preserve">ly </w:t>
      </w:r>
      <w:r w:rsidRPr="0034322A">
        <w:rPr>
          <w:lang w:val="en-US"/>
        </w:rPr>
        <w:t xml:space="preserve">absolute protection once the party shows that disclosure will reveal counsel’s thought processes. </w:t>
      </w:r>
      <w:bookmarkStart w:id="260" w:name="dabmci_b2027ff4b1b845f49fc6c8ec995de5b4"/>
      <w:r w:rsidRPr="0034322A">
        <w:rPr>
          <w:i/>
          <w:iCs/>
          <w:lang w:val="en-US"/>
        </w:rPr>
        <w:t>Id.</w:t>
      </w:r>
      <w:bookmarkStart w:id="261" w:name="dabmen_b2027ff4b1b845f49fc6c8ec995de5b4"/>
      <w:bookmarkEnd w:id="260"/>
      <w:bookmarkEnd w:id="261"/>
      <w:r w:rsidRPr="0034322A">
        <w:rPr>
          <w:i/>
          <w:iCs/>
          <w:lang w:val="en-US"/>
        </w:rPr>
        <w:t xml:space="preserve"> </w:t>
      </w:r>
      <w:r w:rsidRPr="0034322A">
        <w:rPr>
          <w:lang w:val="en-US"/>
        </w:rPr>
        <w:t>Courts consider notes as mental impressions where an interviewer’s own annotations</w:t>
      </w:r>
      <w:r w:rsidR="0001681B">
        <w:rPr>
          <w:lang w:val="en-US"/>
        </w:rPr>
        <w:t xml:space="preserve"> </w:t>
      </w:r>
      <w:r w:rsidR="0012756B">
        <w:rPr>
          <w:lang w:val="en-US"/>
        </w:rPr>
        <w:t xml:space="preserve">are </w:t>
      </w:r>
      <w:r w:rsidRPr="0034322A">
        <w:rPr>
          <w:lang w:val="en-US"/>
        </w:rPr>
        <w:t xml:space="preserve">added as the interviewer listened and reflecting judgment about what mattered, appear alongside a witness’ statements. </w:t>
      </w:r>
      <w:bookmarkStart w:id="262" w:name="dabmci_a87c8e1f62f94c599defd17d03f1f0ce"/>
      <w:r w:rsidRPr="0034322A">
        <w:rPr>
          <w:i/>
          <w:iCs/>
        </w:rPr>
        <w:t>In re Allen</w:t>
      </w:r>
      <w:r w:rsidRPr="0034322A">
        <w:rPr>
          <w:lang w:val="en-US"/>
        </w:rPr>
        <w:t>, 106 F.3d 582, 607–8 (4th Cir. 1997)</w:t>
      </w:r>
      <w:bookmarkStart w:id="263" w:name="dabmen_a87c8e1f62f94c599defd17d03f1f0ce"/>
      <w:bookmarkEnd w:id="262"/>
      <w:bookmarkEnd w:id="263"/>
      <w:r w:rsidRPr="0034322A">
        <w:rPr>
          <w:lang w:val="en-US"/>
        </w:rPr>
        <w:t>.</w:t>
      </w:r>
      <w:bookmarkEnd w:id="257"/>
    </w:p>
    <w:p w14:paraId="1B0DE5E4" w14:textId="5D922BBC" w:rsidR="003D37FA" w:rsidRPr="0034322A" w:rsidRDefault="00AF4064" w:rsidP="003D37FA">
      <w:pPr>
        <w:ind w:firstLine="720"/>
        <w:jc w:val="both"/>
        <w:rPr>
          <w:lang w:val="en-US"/>
        </w:rPr>
      </w:pPr>
      <w:bookmarkStart w:id="264" w:name="dabmch_126"/>
      <w:r w:rsidRPr="0034322A">
        <w:rPr>
          <w:lang w:val="en-US"/>
        </w:rPr>
        <w:t xml:space="preserve">Here, Armana’s notes contain his own thoughts and developing theories layered directly onto Seton’s account, not a </w:t>
      </w:r>
      <w:r w:rsidR="00C31CEE">
        <w:rPr>
          <w:lang w:val="en-US"/>
        </w:rPr>
        <w:t xml:space="preserve">mere </w:t>
      </w:r>
      <w:r w:rsidRPr="0034322A">
        <w:rPr>
          <w:lang w:val="en-US"/>
        </w:rPr>
        <w:t xml:space="preserve">transcription of her words. Armana Dep. 27:140–43. No recording exists because Armana’s recorder had dead batteries, so the only account of what Seton said is inseparable from Armana’s theorizing, and there is no way to isolate a purely factual layer from his mental impressions. Armana Dep. 26:112–13, 27:120–24. Similarly, in </w:t>
      </w:r>
      <w:bookmarkStart w:id="265" w:name="dabmci_9b1383e4d9834908b4520ea8c2965630"/>
      <w:r w:rsidRPr="0034322A">
        <w:rPr>
          <w:i/>
          <w:iCs/>
        </w:rPr>
        <w:t>In re Allen</w:t>
      </w:r>
      <w:bookmarkStart w:id="266" w:name="dabmen_9b1383e4d9834908b4520ea8c2965630"/>
      <w:bookmarkEnd w:id="265"/>
      <w:bookmarkEnd w:id="266"/>
      <w:r w:rsidRPr="0034322A">
        <w:t xml:space="preserve">, the attorney created only limited notes, focused on an </w:t>
      </w:r>
      <w:r w:rsidRPr="0034322A">
        <w:lastRenderedPageBreak/>
        <w:t>investigation</w:t>
      </w:r>
      <w:r w:rsidRPr="0034322A">
        <w:rPr>
          <w:lang w:val="en-US"/>
        </w:rPr>
        <w:t xml:space="preserve">. </w:t>
      </w:r>
      <w:bookmarkStart w:id="267" w:name="dabmci_be162a5b270a40d3a65a83ba2b35a53f"/>
      <w:r w:rsidRPr="0034322A">
        <w:rPr>
          <w:i/>
          <w:iCs/>
        </w:rPr>
        <w:t>In re Allen</w:t>
      </w:r>
      <w:r w:rsidRPr="0034322A">
        <w:rPr>
          <w:lang w:val="en-US"/>
        </w:rPr>
        <w:t>, 106 F.3d at 607–8</w:t>
      </w:r>
      <w:bookmarkStart w:id="268" w:name="dabmen_be162a5b270a40d3a65a83ba2b35a53f"/>
      <w:bookmarkEnd w:id="267"/>
      <w:bookmarkEnd w:id="268"/>
      <w:r w:rsidRPr="0034322A">
        <w:rPr>
          <w:lang w:val="en-US"/>
        </w:rPr>
        <w:t>. In that case, the court found the notes to be opinion work</w:t>
      </w:r>
      <w:r w:rsidR="00225CE1">
        <w:rPr>
          <w:lang w:val="en-US"/>
        </w:rPr>
        <w:t>-</w:t>
      </w:r>
      <w:r w:rsidRPr="0034322A">
        <w:rPr>
          <w:lang w:val="en-US"/>
        </w:rPr>
        <w:t>product. This Court should apply the same analysis and consider the entirety of Exhibit 21 to be opinion work</w:t>
      </w:r>
      <w:r w:rsidR="00225CE1">
        <w:rPr>
          <w:lang w:val="en-US"/>
        </w:rPr>
        <w:t>-</w:t>
      </w:r>
      <w:r w:rsidRPr="0034322A">
        <w:rPr>
          <w:lang w:val="en-US"/>
        </w:rPr>
        <w:t xml:space="preserve">product, protected from the subpoena. </w:t>
      </w:r>
      <w:bookmarkEnd w:id="264"/>
    </w:p>
    <w:p w14:paraId="4F31A549" w14:textId="008994C5" w:rsidR="003D37FA" w:rsidRPr="00B03C32" w:rsidRDefault="00AF4064" w:rsidP="00B03C32">
      <w:pPr>
        <w:pStyle w:val="Heading4"/>
        <w:numPr>
          <w:ilvl w:val="0"/>
          <w:numId w:val="23"/>
        </w:numPr>
        <w:spacing w:after="260"/>
        <w:ind w:left="2160" w:hanging="720"/>
      </w:pPr>
      <w:bookmarkStart w:id="269" w:name="dabmch_127"/>
      <w:bookmarkStart w:id="270" w:name="_Toc239153938"/>
      <w:bookmarkStart w:id="271" w:name="_Toc239155054"/>
      <w:r w:rsidRPr="0034322A">
        <w:t>Even if any portion is treated as ordinary fact work</w:t>
      </w:r>
      <w:r w:rsidR="00225CE1">
        <w:t>-</w:t>
      </w:r>
      <w:r w:rsidRPr="0034322A">
        <w:t xml:space="preserve">product, the </w:t>
      </w:r>
      <w:r w:rsidRPr="004824A9">
        <w:t>Government cannot overcome the privilege.</w:t>
      </w:r>
      <w:bookmarkEnd w:id="269"/>
      <w:bookmarkEnd w:id="270"/>
      <w:bookmarkEnd w:id="271"/>
    </w:p>
    <w:p w14:paraId="3E9EC8D9" w14:textId="687D4364" w:rsidR="003D37FA" w:rsidRPr="0034322A" w:rsidRDefault="00A84134" w:rsidP="003D37FA">
      <w:pPr>
        <w:ind w:firstLine="720"/>
        <w:jc w:val="both"/>
        <w:rPr>
          <w:lang w:val="en-US"/>
        </w:rPr>
      </w:pPr>
      <w:bookmarkStart w:id="272" w:name="dabmch_128"/>
      <w:r>
        <w:rPr>
          <w:lang w:val="en-US"/>
        </w:rPr>
        <w:t>T</w:t>
      </w:r>
      <w:r w:rsidR="00AF4064" w:rsidRPr="0034322A">
        <w:rPr>
          <w:lang w:val="en-US"/>
        </w:rPr>
        <w:t xml:space="preserve">he Government fails to obtain Exhibit 21 under any standard. </w:t>
      </w:r>
      <w:bookmarkStart w:id="273" w:name="dabmci_9d6905b1fc024b98b548c8b4b380722a"/>
      <w:r w:rsidR="00AF4064" w:rsidRPr="0034322A">
        <w:rPr>
          <w:i/>
          <w:iCs/>
          <w:lang w:val="en-US"/>
        </w:rPr>
        <w:t>Hickman</w:t>
      </w:r>
      <w:r w:rsidR="00AF4064" w:rsidRPr="0034322A">
        <w:rPr>
          <w:lang w:val="en-US"/>
        </w:rPr>
        <w:t>, 329 U.S. at 511–12</w:t>
      </w:r>
      <w:bookmarkStart w:id="274" w:name="dabmen_9d6905b1fc024b98b548c8b4b380722a"/>
      <w:bookmarkEnd w:id="273"/>
      <w:bookmarkEnd w:id="274"/>
      <w:r w:rsidR="00AF4064" w:rsidRPr="0034322A">
        <w:rPr>
          <w:lang w:val="en-US"/>
        </w:rPr>
        <w:t xml:space="preserve">; </w:t>
      </w:r>
      <w:bookmarkStart w:id="275" w:name="dabmci_17a038d8417941ee836f190de60642a7"/>
      <w:r w:rsidR="00AF4064" w:rsidRPr="0034322A">
        <w:rPr>
          <w:i/>
          <w:iCs/>
          <w:lang w:val="en-US"/>
        </w:rPr>
        <w:t>In re Grand Jury Proceedings</w:t>
      </w:r>
      <w:r w:rsidR="00AF4064" w:rsidRPr="0034322A">
        <w:rPr>
          <w:lang w:val="en-US"/>
        </w:rPr>
        <w:t>, 219 F.3d at 190–92</w:t>
      </w:r>
      <w:bookmarkStart w:id="276" w:name="dabmen_17a038d8417941ee836f190de60642a7"/>
      <w:bookmarkEnd w:id="275"/>
      <w:bookmarkEnd w:id="276"/>
      <w:r w:rsidR="00AF4064" w:rsidRPr="0034322A">
        <w:rPr>
          <w:lang w:val="en-US"/>
        </w:rPr>
        <w:t>. Fact work</w:t>
      </w:r>
      <w:r w:rsidR="00225CE1">
        <w:rPr>
          <w:lang w:val="en-US"/>
        </w:rPr>
        <w:t>-</w:t>
      </w:r>
      <w:r w:rsidR="00AF4064" w:rsidRPr="0034322A">
        <w:rPr>
          <w:lang w:val="en-US"/>
        </w:rPr>
        <w:t xml:space="preserve">product may be disclosed only upon a showing of substantial need and inability to obtain the equivalent without undue hardship. </w:t>
      </w:r>
      <w:bookmarkStart w:id="277" w:name="dabmci_19a49b289310411187260449f6af736b"/>
      <w:r w:rsidR="00AF4064" w:rsidRPr="0034322A">
        <w:rPr>
          <w:i/>
          <w:iCs/>
          <w:lang w:val="en-US"/>
        </w:rPr>
        <w:t>Hickman</w:t>
      </w:r>
      <w:r w:rsidR="00AF4064" w:rsidRPr="0034322A">
        <w:rPr>
          <w:lang w:val="en-US"/>
        </w:rPr>
        <w:t>, 329 U.S. at 511–12</w:t>
      </w:r>
      <w:bookmarkStart w:id="278" w:name="dabmen_19a49b289310411187260449f6af736b"/>
      <w:bookmarkEnd w:id="277"/>
      <w:bookmarkEnd w:id="278"/>
      <w:r w:rsidR="00AF4064" w:rsidRPr="0034322A">
        <w:rPr>
          <w:lang w:val="en-US"/>
        </w:rPr>
        <w:t xml:space="preserve">. </w:t>
      </w:r>
      <w:r w:rsidR="009F60F3">
        <w:rPr>
          <w:lang w:val="en-US"/>
        </w:rPr>
        <w:t>A</w:t>
      </w:r>
      <w:r w:rsidR="00682E9C">
        <w:rPr>
          <w:lang w:val="en-US"/>
        </w:rPr>
        <w:t>n adequate</w:t>
      </w:r>
      <w:r w:rsidR="009F60F3">
        <w:rPr>
          <w:lang w:val="en-US"/>
        </w:rPr>
        <w:t xml:space="preserve"> showing of substantial need </w:t>
      </w:r>
      <w:r w:rsidR="00C17163">
        <w:rPr>
          <w:lang w:val="en-US"/>
        </w:rPr>
        <w:t>requires that</w:t>
      </w:r>
      <w:r w:rsidR="00E236D0">
        <w:rPr>
          <w:lang w:val="en-US"/>
        </w:rPr>
        <w:t xml:space="preserve"> a</w:t>
      </w:r>
      <w:r w:rsidR="00C17163">
        <w:rPr>
          <w:lang w:val="en-US"/>
        </w:rPr>
        <w:t xml:space="preserve"> document is the</w:t>
      </w:r>
      <w:r w:rsidR="00AF4064" w:rsidRPr="0034322A">
        <w:rPr>
          <w:lang w:val="en-US"/>
        </w:rPr>
        <w:t xml:space="preserve"> only surviving source of a statement </w:t>
      </w:r>
      <w:r w:rsidR="00C17163">
        <w:rPr>
          <w:lang w:val="en-US"/>
        </w:rPr>
        <w:t>and</w:t>
      </w:r>
      <w:r w:rsidR="00E236D0">
        <w:rPr>
          <w:lang w:val="en-US"/>
        </w:rPr>
        <w:t xml:space="preserve"> that it is reliable.</w:t>
      </w:r>
      <w:r w:rsidR="00AF4064" w:rsidRPr="0034322A">
        <w:rPr>
          <w:lang w:val="en-US"/>
        </w:rPr>
        <w:t xml:space="preserve"> </w:t>
      </w:r>
      <w:r w:rsidR="00721F1F" w:rsidRPr="000A7CF1">
        <w:rPr>
          <w:i/>
          <w:iCs/>
          <w:lang w:val="en-US"/>
        </w:rPr>
        <w:t>Id.</w:t>
      </w:r>
      <w:r w:rsidR="00721F1F">
        <w:rPr>
          <w:lang w:val="en-US"/>
        </w:rPr>
        <w:t xml:space="preserve"> U</w:t>
      </w:r>
      <w:r w:rsidR="00AF4064" w:rsidRPr="0034322A">
        <w:rPr>
          <w:lang w:val="en-US"/>
        </w:rPr>
        <w:t>ndue hardship requires more than inconvenience</w:t>
      </w:r>
      <w:r w:rsidR="009417CC">
        <w:rPr>
          <w:lang w:val="en-US"/>
        </w:rPr>
        <w:t>.</w:t>
      </w:r>
      <w:r w:rsidR="00AF4064" w:rsidRPr="0034322A">
        <w:rPr>
          <w:lang w:val="en-US"/>
        </w:rPr>
        <w:t xml:space="preserve"> </w:t>
      </w:r>
      <w:r w:rsidR="000A7CF1" w:rsidRPr="000A7CF1">
        <w:rPr>
          <w:i/>
          <w:iCs/>
          <w:lang w:val="en-US"/>
        </w:rPr>
        <w:t>Id.</w:t>
      </w:r>
      <w:r w:rsidR="000A7CF1">
        <w:rPr>
          <w:lang w:val="en-US"/>
        </w:rPr>
        <w:t xml:space="preserve"> </w:t>
      </w:r>
      <w:r w:rsidR="009417CC">
        <w:rPr>
          <w:lang w:val="en-US"/>
        </w:rPr>
        <w:t>T</w:t>
      </w:r>
      <w:r w:rsidR="00AF4064" w:rsidRPr="0034322A">
        <w:rPr>
          <w:lang w:val="en-US"/>
        </w:rPr>
        <w:t xml:space="preserve">he Government must first exhaust other means of obtaining the same information. </w:t>
      </w:r>
      <w:bookmarkStart w:id="279" w:name="dabmci_e6d803cc3dd54e3b8a303f0d6c6ffb2c"/>
      <w:r w:rsidR="00AF4064" w:rsidRPr="0034322A">
        <w:rPr>
          <w:i/>
          <w:iCs/>
          <w:lang w:val="en-US"/>
        </w:rPr>
        <w:t>Hickman</w:t>
      </w:r>
      <w:r w:rsidR="00AF4064" w:rsidRPr="0034322A">
        <w:rPr>
          <w:lang w:val="en-US"/>
        </w:rPr>
        <w:t>, 329 U.S. at 511</w:t>
      </w:r>
      <w:bookmarkStart w:id="280" w:name="dabmen_e6d803cc3dd54e3b8a303f0d6c6ffb2c"/>
      <w:bookmarkEnd w:id="279"/>
      <w:bookmarkEnd w:id="280"/>
      <w:r w:rsidR="00AF4064" w:rsidRPr="0034322A">
        <w:rPr>
          <w:lang w:val="en-US"/>
        </w:rPr>
        <w:t xml:space="preserve">; </w:t>
      </w:r>
      <w:bookmarkStart w:id="281" w:name="dabmci_90ebd6bdb7d74dfb96bd48c671d10545"/>
      <w:r w:rsidR="00AF4064" w:rsidRPr="0034322A">
        <w:rPr>
          <w:i/>
          <w:iCs/>
          <w:lang w:val="en-US"/>
        </w:rPr>
        <w:t>In re Grand Jury Proceedings</w:t>
      </w:r>
      <w:r w:rsidR="00AF4064" w:rsidRPr="0034322A">
        <w:rPr>
          <w:lang w:val="en-US"/>
        </w:rPr>
        <w:t>, 219 F.3d at 190–92</w:t>
      </w:r>
      <w:bookmarkStart w:id="282" w:name="dabmen_90ebd6bdb7d74dfb96bd48c671d10545"/>
      <w:bookmarkEnd w:id="281"/>
      <w:bookmarkEnd w:id="282"/>
      <w:r w:rsidR="00AF4064" w:rsidRPr="0034322A">
        <w:rPr>
          <w:lang w:val="en-US"/>
        </w:rPr>
        <w:t>.</w:t>
      </w:r>
      <w:bookmarkEnd w:id="272"/>
    </w:p>
    <w:p w14:paraId="6C8BF2D0" w14:textId="56AB7992" w:rsidR="003D37FA" w:rsidRPr="0034322A" w:rsidRDefault="00AF4064" w:rsidP="003D37FA">
      <w:pPr>
        <w:ind w:firstLine="720"/>
        <w:jc w:val="both"/>
        <w:rPr>
          <w:lang w:val="en-US"/>
        </w:rPr>
      </w:pPr>
      <w:bookmarkStart w:id="283" w:name="dabmch_129"/>
      <w:r w:rsidRPr="0034322A">
        <w:rPr>
          <w:lang w:val="en-US"/>
        </w:rPr>
        <w:t xml:space="preserve">Here, the Government satisfies neither. Armana Dep. 28:167–68; Sinclair Dep. </w:t>
      </w:r>
      <w:r w:rsidR="00C85EF6">
        <w:rPr>
          <w:lang w:val="en-US"/>
        </w:rPr>
        <w:t>18:</w:t>
      </w:r>
      <w:r w:rsidRPr="0034322A">
        <w:rPr>
          <w:lang w:val="en-US"/>
        </w:rPr>
        <w:t xml:space="preserve">394–96; Nolan Dep. </w:t>
      </w:r>
      <w:r w:rsidR="00C85EF6">
        <w:rPr>
          <w:lang w:val="en-US"/>
        </w:rPr>
        <w:t>26:</w:t>
      </w:r>
      <w:r w:rsidRPr="0034322A">
        <w:rPr>
          <w:lang w:val="en-US"/>
        </w:rPr>
        <w:t xml:space="preserve">103–04. Armana’s notes, unrecorded and blended with his own live impressions, are exactly the unreliable secondhand account </w:t>
      </w:r>
      <w:r w:rsidRPr="00721F1F">
        <w:rPr>
          <w:i/>
          <w:iCs/>
          <w:lang w:val="en-US"/>
        </w:rPr>
        <w:t>Hickman</w:t>
      </w:r>
      <w:r w:rsidRPr="0034322A">
        <w:rPr>
          <w:lang w:val="en-US"/>
        </w:rPr>
        <w:t xml:space="preserve"> exclude</w:t>
      </w:r>
      <w:r w:rsidR="00721F1F">
        <w:rPr>
          <w:lang w:val="en-US"/>
        </w:rPr>
        <w:t>s</w:t>
      </w:r>
      <w:r w:rsidRPr="0034322A">
        <w:rPr>
          <w:lang w:val="en-US"/>
        </w:rPr>
        <w:t xml:space="preserve">. Armana Dep. 28:167–68; </w:t>
      </w:r>
      <w:bookmarkStart w:id="284" w:name="dabmci_0f7cea0672a840b2b7d209e3350bff51"/>
      <w:r w:rsidRPr="0034322A">
        <w:rPr>
          <w:i/>
          <w:iCs/>
          <w:lang w:val="en-US"/>
        </w:rPr>
        <w:t>Hickman</w:t>
      </w:r>
      <w:r w:rsidRPr="0034322A">
        <w:rPr>
          <w:lang w:val="en-US"/>
        </w:rPr>
        <w:t>, 329 U.S. at 512–13</w:t>
      </w:r>
      <w:bookmarkStart w:id="285" w:name="dabmen_0f7cea0672a840b2b7d209e3350bff51"/>
      <w:bookmarkEnd w:id="284"/>
      <w:bookmarkEnd w:id="285"/>
      <w:r w:rsidRPr="0034322A">
        <w:rPr>
          <w:lang w:val="en-US"/>
        </w:rPr>
        <w:t>. Nor can the Government show undue hardship, because the record shows it never tried to reach Seton directly</w:t>
      </w:r>
      <w:r w:rsidR="00721F1F">
        <w:rPr>
          <w:lang w:val="en-US"/>
        </w:rPr>
        <w:t>.</w:t>
      </w:r>
      <w:r w:rsidRPr="0034322A">
        <w:rPr>
          <w:lang w:val="en-US"/>
        </w:rPr>
        <w:t xml:space="preserve"> Sinclair and Nolan each testified only that Seton was last believed off the coast of Spain, with no subpoena, search, or request for international assistance. Sinclair Dep. </w:t>
      </w:r>
      <w:r w:rsidR="00C85EF6">
        <w:rPr>
          <w:lang w:val="en-US"/>
        </w:rPr>
        <w:t>18:</w:t>
      </w:r>
      <w:r w:rsidRPr="0034322A">
        <w:rPr>
          <w:lang w:val="en-US"/>
        </w:rPr>
        <w:t xml:space="preserve">394–96; Nolan Dep. </w:t>
      </w:r>
      <w:r w:rsidR="00C85EF6">
        <w:rPr>
          <w:lang w:val="en-US"/>
        </w:rPr>
        <w:t>26:</w:t>
      </w:r>
      <w:r w:rsidRPr="0034322A">
        <w:rPr>
          <w:lang w:val="en-US"/>
        </w:rPr>
        <w:t>103–04.</w:t>
      </w:r>
      <w:bookmarkEnd w:id="283"/>
    </w:p>
    <w:p w14:paraId="4FEF086D" w14:textId="43F93D0B" w:rsidR="003D37FA" w:rsidRPr="0034322A" w:rsidRDefault="00AF4064" w:rsidP="003D37FA">
      <w:pPr>
        <w:ind w:firstLine="720"/>
        <w:jc w:val="both"/>
        <w:rPr>
          <w:lang w:val="en-US"/>
        </w:rPr>
      </w:pPr>
      <w:bookmarkStart w:id="286" w:name="dabmch_130"/>
      <w:r w:rsidRPr="0034322A">
        <w:rPr>
          <w:lang w:val="en-US"/>
        </w:rPr>
        <w:lastRenderedPageBreak/>
        <w:t>Thus, the Government fails under either approach</w:t>
      </w:r>
      <w:r w:rsidR="006B09BC">
        <w:rPr>
          <w:lang w:val="en-US"/>
        </w:rPr>
        <w:t>.</w:t>
      </w:r>
      <w:r w:rsidRPr="0034322A">
        <w:rPr>
          <w:lang w:val="en-US"/>
        </w:rPr>
        <w:t xml:space="preserve"> </w:t>
      </w:r>
      <w:r w:rsidR="006B09BC" w:rsidRPr="0034322A">
        <w:rPr>
          <w:lang w:val="en-US"/>
        </w:rPr>
        <w:t>This</w:t>
      </w:r>
      <w:r w:rsidRPr="0034322A">
        <w:rPr>
          <w:lang w:val="en-US"/>
        </w:rPr>
        <w:t xml:space="preserve"> Court should treat Exhibit 21 as opinion work</w:t>
      </w:r>
      <w:r w:rsidR="00225CE1">
        <w:rPr>
          <w:lang w:val="en-US"/>
        </w:rPr>
        <w:t>-</w:t>
      </w:r>
      <w:r w:rsidRPr="0034322A">
        <w:rPr>
          <w:lang w:val="en-US"/>
        </w:rPr>
        <w:t xml:space="preserve">product in its entirety to protect Armana's mental impressions from disclosure. </w:t>
      </w:r>
      <w:bookmarkStart w:id="287" w:name="dabmci_965dd4d0722642838a5729f8652d4013"/>
      <w:r w:rsidRPr="0034322A">
        <w:rPr>
          <w:i/>
          <w:iCs/>
          <w:lang w:val="en-US"/>
        </w:rPr>
        <w:t>In re Murphy</w:t>
      </w:r>
      <w:r w:rsidRPr="0034322A">
        <w:rPr>
          <w:lang w:val="en-US"/>
        </w:rPr>
        <w:t>, 560 F.2d at 336</w:t>
      </w:r>
      <w:bookmarkStart w:id="288" w:name="dabmen_965dd4d0722642838a5729f8652d4013"/>
      <w:bookmarkEnd w:id="287"/>
      <w:bookmarkEnd w:id="288"/>
      <w:r w:rsidRPr="0034322A">
        <w:rPr>
          <w:lang w:val="en-US"/>
        </w:rPr>
        <w:t xml:space="preserve">; </w:t>
      </w:r>
      <w:bookmarkStart w:id="289" w:name="dabmci_5112e85d6bc0424a8e0536c3a8b5bf74"/>
      <w:r w:rsidRPr="0034322A">
        <w:rPr>
          <w:i/>
          <w:iCs/>
          <w:lang w:val="en-US"/>
        </w:rPr>
        <w:t>In re Grand Jury Proceedings</w:t>
      </w:r>
      <w:r w:rsidRPr="0034322A">
        <w:rPr>
          <w:lang w:val="en-US"/>
        </w:rPr>
        <w:t>, 219 F.3d at 190–92</w:t>
      </w:r>
      <w:bookmarkStart w:id="290" w:name="dabmen_5112e85d6bc0424a8e0536c3a8b5bf74"/>
      <w:bookmarkEnd w:id="289"/>
      <w:bookmarkEnd w:id="290"/>
      <w:r w:rsidRPr="0034322A">
        <w:rPr>
          <w:lang w:val="en-US"/>
        </w:rPr>
        <w:t>.</w:t>
      </w:r>
      <w:bookmarkEnd w:id="286"/>
    </w:p>
    <w:p w14:paraId="202328F9" w14:textId="2A6C2C1A" w:rsidR="003D37FA" w:rsidRPr="0034322A" w:rsidRDefault="00AF4064" w:rsidP="004824A9">
      <w:pPr>
        <w:ind w:firstLine="720"/>
        <w:jc w:val="both"/>
        <w:rPr>
          <w:lang w:val="en-US"/>
        </w:rPr>
      </w:pPr>
      <w:bookmarkStart w:id="291" w:name="dabmch_131"/>
      <w:r w:rsidRPr="0034322A">
        <w:rPr>
          <w:lang w:val="en-US"/>
        </w:rPr>
        <w:t xml:space="preserve">Enforcing this subpoena would let the Government reach into the defense’s own investigation and compromise Calloway’s Sixth Amendment right to counsel. </w:t>
      </w:r>
      <w:bookmarkStart w:id="292" w:name="dabmci_77c52163e6974b2bb0eb97b66b669921"/>
      <w:r w:rsidRPr="0034322A">
        <w:rPr>
          <w:lang w:val="en-US"/>
        </w:rPr>
        <w:t>Fed. R. Crim. P. 17(c)(2)</w:t>
      </w:r>
      <w:bookmarkStart w:id="293" w:name="dabmen_77c52163e6974b2bb0eb97b66b669921"/>
      <w:bookmarkEnd w:id="292"/>
      <w:bookmarkEnd w:id="293"/>
      <w:r w:rsidRPr="0034322A">
        <w:rPr>
          <w:lang w:val="en-US"/>
        </w:rPr>
        <w:t xml:space="preserve">; </w:t>
      </w:r>
      <w:bookmarkStart w:id="294" w:name="dabmci_a3a643e7242c4e2ba6c354fc412f14e8"/>
      <w:r w:rsidRPr="0034322A">
        <w:rPr>
          <w:lang w:val="en-US"/>
        </w:rPr>
        <w:t>U.S. Const. amend. VI</w:t>
      </w:r>
      <w:bookmarkStart w:id="295" w:name="dabmen_a3a643e7242c4e2ba6c354fc412f14e8"/>
      <w:bookmarkEnd w:id="294"/>
      <w:bookmarkEnd w:id="295"/>
      <w:r w:rsidRPr="0034322A">
        <w:rPr>
          <w:lang w:val="en-US"/>
        </w:rPr>
        <w:t>. We ask this Court to quash the subpoena duces tecum served on Armana in its entirety.</w:t>
      </w:r>
      <w:bookmarkEnd w:id="291"/>
    </w:p>
    <w:p w14:paraId="7FE79718" w14:textId="77777777" w:rsidR="003D37FA" w:rsidRPr="0034322A" w:rsidRDefault="00AF4064" w:rsidP="004824A9">
      <w:pPr>
        <w:pStyle w:val="Heading1"/>
        <w:spacing w:before="0" w:after="0"/>
        <w:jc w:val="center"/>
        <w:rPr>
          <w:rFonts w:ascii="Times New Roman" w:hAnsi="Times New Roman" w:cs="Times New Roman"/>
          <w:b/>
          <w:bCs/>
          <w:color w:val="auto"/>
          <w:sz w:val="26"/>
          <w:szCs w:val="26"/>
        </w:rPr>
      </w:pPr>
      <w:bookmarkStart w:id="296" w:name="_Toc239132884"/>
      <w:bookmarkStart w:id="297" w:name="dabmch_132"/>
      <w:bookmarkStart w:id="298" w:name="_Toc239153939"/>
      <w:bookmarkStart w:id="299" w:name="_Toc239155055"/>
      <w:r w:rsidRPr="0034322A">
        <w:rPr>
          <w:rFonts w:ascii="Times New Roman" w:hAnsi="Times New Roman" w:cs="Times New Roman"/>
          <w:b/>
          <w:bCs/>
          <w:color w:val="auto"/>
          <w:sz w:val="26"/>
          <w:szCs w:val="26"/>
        </w:rPr>
        <w:t>CONCLUSION</w:t>
      </w:r>
      <w:bookmarkEnd w:id="296"/>
      <w:bookmarkEnd w:id="297"/>
      <w:bookmarkEnd w:id="298"/>
      <w:bookmarkEnd w:id="299"/>
    </w:p>
    <w:p w14:paraId="729C6E39" w14:textId="77777777" w:rsidR="003D37FA" w:rsidRPr="0034322A" w:rsidRDefault="00AF4064" w:rsidP="003D37FA">
      <w:pPr>
        <w:ind w:firstLine="720"/>
        <w:jc w:val="both"/>
      </w:pPr>
      <w:bookmarkStart w:id="300" w:name="dabmch_133"/>
      <w:r w:rsidRPr="0034322A">
        <w:rPr>
          <w:lang w:val="en-US"/>
        </w:rPr>
        <w:t xml:space="preserve">Regardless of the approach, </w:t>
      </w:r>
      <w:r w:rsidRPr="0034322A">
        <w:rPr>
          <w:i/>
          <w:lang w:val="en-US"/>
        </w:rPr>
        <w:t>Kastigar</w:t>
      </w:r>
      <w:r w:rsidRPr="0034322A">
        <w:rPr>
          <w:lang w:val="en-US"/>
        </w:rPr>
        <w:t xml:space="preserve"> does not prohibit simply a lot of use, excessive use, or primary use. It prohibits any use of compelled testimony. If an undated note, a list the Government did not follow, and good-faith beliefs satisfy the heavy burden, then the immunity Calloway was compelled to accept in exchange for her rights bought her nothing at all.</w:t>
      </w:r>
      <w:bookmarkEnd w:id="300"/>
    </w:p>
    <w:p w14:paraId="763D804F" w14:textId="77777777" w:rsidR="003D37FA" w:rsidRPr="0034322A" w:rsidRDefault="00AF4064" w:rsidP="003D37FA">
      <w:pPr>
        <w:ind w:firstLine="720"/>
        <w:jc w:val="both"/>
      </w:pPr>
      <w:bookmarkStart w:id="301" w:name="dabmch_134"/>
      <w:r w:rsidRPr="0034322A">
        <w:t xml:space="preserve">The same is true of the Sixth Amendment right to counsel. If a subpoena can reach the notes of an investigator retained for the sole purpose of preparing Calloway’s defense, without the Government ever showing it tried to obtain Seton’s own account first, then the right to counsel guarantees a lawyer in name only. Therefore, this Court should also quash the subpoena duces tecum served on Armana in its entirety. </w:t>
      </w:r>
      <w:bookmarkEnd w:id="301"/>
    </w:p>
    <w:p w14:paraId="30703D6D" w14:textId="77777777" w:rsidR="003D37FA" w:rsidRPr="0034322A" w:rsidRDefault="003D37FA" w:rsidP="003D37FA">
      <w:pPr>
        <w:ind w:firstLine="720"/>
        <w:jc w:val="both"/>
      </w:pPr>
    </w:p>
    <w:p w14:paraId="44FCF3DD" w14:textId="77777777" w:rsidR="00344ACC" w:rsidRDefault="00344ACC" w:rsidP="003D37FA">
      <w:pPr>
        <w:pBdr>
          <w:top w:val="nil"/>
          <w:left w:val="nil"/>
          <w:bottom w:val="nil"/>
          <w:right w:val="nil"/>
          <w:between w:val="nil"/>
        </w:pBdr>
        <w:jc w:val="both"/>
        <w:rPr>
          <w:lang w:val="en-US"/>
        </w:rPr>
      </w:pPr>
      <w:bookmarkStart w:id="302" w:name="dabmch_135"/>
    </w:p>
    <w:p w14:paraId="5CF159A2" w14:textId="514E5418" w:rsidR="003D37FA" w:rsidRPr="0034322A" w:rsidRDefault="00AF4064" w:rsidP="00D93957">
      <w:pPr>
        <w:pBdr>
          <w:top w:val="nil"/>
          <w:left w:val="nil"/>
          <w:bottom w:val="nil"/>
          <w:right w:val="nil"/>
          <w:between w:val="nil"/>
        </w:pBdr>
        <w:ind w:firstLine="5760"/>
        <w:jc w:val="right"/>
        <w:rPr>
          <w:lang w:val="en-US"/>
        </w:rPr>
      </w:pPr>
      <w:r w:rsidRPr="0034322A">
        <w:rPr>
          <w:lang w:val="en-US"/>
        </w:rPr>
        <w:lastRenderedPageBreak/>
        <w:t>Respectfully submitted, </w:t>
      </w:r>
      <w:bookmarkEnd w:id="302"/>
    </w:p>
    <w:p w14:paraId="3208904B" w14:textId="77777777" w:rsidR="003D37FA" w:rsidRPr="0034322A" w:rsidRDefault="00AF4064" w:rsidP="00D93957">
      <w:pPr>
        <w:pBdr>
          <w:top w:val="nil"/>
          <w:left w:val="nil"/>
          <w:bottom w:val="nil"/>
          <w:right w:val="nil"/>
          <w:between w:val="nil"/>
        </w:pBdr>
        <w:ind w:firstLine="5760"/>
        <w:jc w:val="right"/>
      </w:pPr>
      <w:bookmarkStart w:id="303" w:name="dabmch_136"/>
      <w:r w:rsidRPr="0034322A">
        <w:t> </w:t>
      </w:r>
      <w:bookmarkEnd w:id="303"/>
    </w:p>
    <w:p w14:paraId="0D944B11" w14:textId="77777777" w:rsidR="003D37FA" w:rsidRPr="0034322A" w:rsidRDefault="00AF4064" w:rsidP="00D93957">
      <w:pPr>
        <w:pBdr>
          <w:top w:val="nil"/>
          <w:left w:val="nil"/>
          <w:bottom w:val="nil"/>
          <w:right w:val="nil"/>
          <w:between w:val="nil"/>
        </w:pBdr>
        <w:ind w:firstLine="5760"/>
        <w:jc w:val="right"/>
      </w:pPr>
      <w:bookmarkStart w:id="304" w:name="dabmch_137"/>
      <w:r w:rsidRPr="0034322A">
        <w:rPr>
          <w:u w:val="single"/>
        </w:rPr>
        <w:t>    /s/          Team 311</w:t>
      </w:r>
      <w:r w:rsidRPr="0034322A">
        <w:t> </w:t>
      </w:r>
      <w:bookmarkEnd w:id="304"/>
    </w:p>
    <w:p w14:paraId="0D107909" w14:textId="77777777" w:rsidR="003D37FA" w:rsidRPr="0034322A" w:rsidRDefault="00AF4064" w:rsidP="00D93957">
      <w:pPr>
        <w:pBdr>
          <w:top w:val="nil"/>
          <w:left w:val="nil"/>
          <w:bottom w:val="nil"/>
          <w:right w:val="nil"/>
          <w:between w:val="nil"/>
        </w:pBdr>
        <w:ind w:firstLine="5760"/>
        <w:jc w:val="right"/>
      </w:pPr>
      <w:bookmarkStart w:id="305" w:name="dabmch_138"/>
      <w:r w:rsidRPr="0034322A">
        <w:rPr>
          <w:i/>
        </w:rPr>
        <w:t>Attorneys for the Defendant</w:t>
      </w:r>
      <w:r w:rsidRPr="0034322A">
        <w:t> </w:t>
      </w:r>
      <w:bookmarkEnd w:id="305"/>
    </w:p>
    <w:p w14:paraId="4C00080A" w14:textId="77777777" w:rsidR="008B419D" w:rsidRPr="0034322A" w:rsidRDefault="008B419D"/>
    <w:sectPr w:rsidR="008B419D" w:rsidRPr="0034322A" w:rsidSect="003D37FA">
      <w:pgSz w:w="12240" w:h="15840"/>
      <w:pgMar w:top="1440" w:right="1440" w:bottom="1440" w:left="1440" w:header="708" w:footer="708" w:gutter="0"/>
      <w:pgNumType w:start="1"/>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89265" w14:textId="77777777" w:rsidR="002E1897" w:rsidRDefault="002E1897">
      <w:pPr>
        <w:spacing w:line="240" w:lineRule="auto"/>
      </w:pPr>
      <w:r>
        <w:separator/>
      </w:r>
    </w:p>
  </w:endnote>
  <w:endnote w:type="continuationSeparator" w:id="0">
    <w:p w14:paraId="15A10B2C" w14:textId="77777777" w:rsidR="002E1897" w:rsidRDefault="002E1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AFC6" w14:textId="77777777" w:rsidR="003D37FA" w:rsidRDefault="003D37FA">
    <w:pPr>
      <w:pStyle w:val="Footer"/>
    </w:pPr>
  </w:p>
  <w:p w14:paraId="75152714" w14:textId="77777777" w:rsidR="003D37FA" w:rsidRDefault="003D37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1" w:name="dabmch_0"/>
  <w:p w14:paraId="713271BD" w14:textId="77777777" w:rsidR="003D37FA" w:rsidRDefault="00AF4064">
    <w:pPr>
      <w:pBdr>
        <w:top w:val="nil"/>
        <w:left w:val="nil"/>
        <w:bottom w:val="nil"/>
        <w:right w:val="nil"/>
        <w:between w:val="nil"/>
      </w:pBdr>
      <w:tabs>
        <w:tab w:val="center" w:pos="4680"/>
        <w:tab w:val="right" w:pos="9360"/>
      </w:tabs>
      <w:spacing w:line="240" w:lineRule="auto"/>
      <w:jc w:val="center"/>
      <w:rPr>
        <w:b/>
        <w:bCs/>
        <w:color w:val="000000"/>
        <w:sz w:val="24"/>
        <w:szCs w:val="24"/>
      </w:rPr>
    </w:pPr>
    <w:r>
      <w:rPr>
        <w:b/>
        <w:bCs/>
        <w:color w:val="000000"/>
        <w:sz w:val="24"/>
        <w:szCs w:val="24"/>
      </w:rPr>
      <w:fldChar w:fldCharType="begin"/>
    </w:r>
    <w:r>
      <w:rPr>
        <w:color w:val="000000"/>
        <w:sz w:val="24"/>
        <w:szCs w:val="24"/>
      </w:rPr>
      <w:instrText>PAGE</w:instrText>
    </w:r>
    <w:r>
      <w:rPr>
        <w:b/>
        <w:bCs/>
        <w:color w:val="000000"/>
        <w:sz w:val="24"/>
        <w:szCs w:val="24"/>
      </w:rPr>
      <w:fldChar w:fldCharType="separate"/>
    </w:r>
    <w:r>
      <w:rPr>
        <w:color w:val="000000"/>
        <w:sz w:val="24"/>
        <w:szCs w:val="24"/>
      </w:rPr>
      <w:t>20</w:t>
    </w:r>
    <w:r>
      <w:rPr>
        <w:b/>
        <w:bCs/>
        <w:color w:val="000000"/>
        <w:sz w:val="24"/>
        <w:szCs w:val="24"/>
      </w:rPr>
      <w:fldChar w:fldCharType="end"/>
    </w:r>
    <w:bookmarkEnd w:id="21"/>
  </w:p>
  <w:p w14:paraId="3742560C" w14:textId="77777777" w:rsidR="003D37FA" w:rsidRDefault="003D37FA">
    <w:pPr>
      <w:pBdr>
        <w:top w:val="nil"/>
        <w:left w:val="nil"/>
        <w:bottom w:val="nil"/>
        <w:right w:val="nil"/>
        <w:between w:val="nil"/>
      </w:pBdr>
      <w:tabs>
        <w:tab w:val="center" w:pos="4680"/>
        <w:tab w:val="right" w:pos="9360"/>
      </w:tabs>
      <w:spacing w:line="240" w:lineRule="auto"/>
      <w:jc w:val="center"/>
      <w:rPr>
        <w:b/>
        <w:bCs/>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C3DB" w14:textId="77777777" w:rsidR="003D37FA" w:rsidRDefault="003D37FA">
    <w:pPr>
      <w:pStyle w:val="Footer"/>
      <w:jc w:val="center"/>
    </w:pPr>
  </w:p>
  <w:p w14:paraId="6D64A097" w14:textId="77777777" w:rsidR="003D37FA" w:rsidRDefault="003D37FA">
    <w:pPr>
      <w:pBdr>
        <w:top w:val="nil"/>
        <w:left w:val="nil"/>
        <w:bottom w:val="nil"/>
        <w:right w:val="nil"/>
        <w:between w:val="nil"/>
      </w:pBdr>
      <w:tabs>
        <w:tab w:val="center" w:pos="4680"/>
        <w:tab w:val="right" w:pos="9360"/>
      </w:tabs>
      <w:spacing w:line="240" w:lineRule="auto"/>
      <w:jc w:val="both"/>
      <w:rPr>
        <w:b/>
        <w:bCs/>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59234" w14:textId="77777777" w:rsidR="002E1897" w:rsidRDefault="002E1897">
      <w:pPr>
        <w:spacing w:line="240" w:lineRule="auto"/>
      </w:pPr>
      <w:r>
        <w:separator/>
      </w:r>
    </w:p>
  </w:footnote>
  <w:footnote w:type="continuationSeparator" w:id="0">
    <w:p w14:paraId="4FAE4181" w14:textId="77777777" w:rsidR="002E1897" w:rsidRDefault="002E18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1C59" w14:textId="77777777" w:rsidR="003D37FA" w:rsidRDefault="003D37FA">
    <w:pPr>
      <w:pStyle w:val="Header"/>
    </w:pPr>
  </w:p>
  <w:p w14:paraId="30772CE5" w14:textId="77777777" w:rsidR="003D37FA" w:rsidRDefault="003D37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6669" w14:textId="77777777" w:rsidR="003D37FA" w:rsidRDefault="003D37FA">
    <w:pPr>
      <w:pStyle w:val="Header"/>
    </w:pPr>
  </w:p>
  <w:p w14:paraId="6FAEB883" w14:textId="77777777" w:rsidR="003D37FA" w:rsidRDefault="003D37F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2CAB8" w14:textId="77777777" w:rsidR="003D37FA" w:rsidRDefault="003D37FA">
    <w:pPr>
      <w:pStyle w:val="Header"/>
    </w:pPr>
  </w:p>
  <w:p w14:paraId="7477B85A" w14:textId="77777777" w:rsidR="003D37FA" w:rsidRDefault="003D37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1D4"/>
    <w:multiLevelType w:val="hybridMultilevel"/>
    <w:tmpl w:val="EE3E758E"/>
    <w:lvl w:ilvl="0" w:tplc="DF2C2AE2">
      <w:start w:val="1"/>
      <w:numFmt w:val="upperLetter"/>
      <w:lvlText w:val="%1."/>
      <w:lvlJc w:val="left"/>
      <w:pPr>
        <w:ind w:left="1440" w:hanging="360"/>
      </w:pPr>
      <w:rPr>
        <w:rFonts w:hint="default"/>
      </w:rPr>
    </w:lvl>
    <w:lvl w:ilvl="1" w:tplc="AE7A20BC" w:tentative="1">
      <w:start w:val="1"/>
      <w:numFmt w:val="lowerLetter"/>
      <w:lvlText w:val="%2."/>
      <w:lvlJc w:val="left"/>
      <w:pPr>
        <w:ind w:left="2160" w:hanging="360"/>
      </w:pPr>
    </w:lvl>
    <w:lvl w:ilvl="2" w:tplc="34AAB328" w:tentative="1">
      <w:start w:val="1"/>
      <w:numFmt w:val="lowerRoman"/>
      <w:lvlText w:val="%3."/>
      <w:lvlJc w:val="right"/>
      <w:pPr>
        <w:ind w:left="2880" w:hanging="180"/>
      </w:pPr>
    </w:lvl>
    <w:lvl w:ilvl="3" w:tplc="9064E1DA" w:tentative="1">
      <w:start w:val="1"/>
      <w:numFmt w:val="decimal"/>
      <w:lvlText w:val="%4."/>
      <w:lvlJc w:val="left"/>
      <w:pPr>
        <w:ind w:left="3600" w:hanging="360"/>
      </w:pPr>
    </w:lvl>
    <w:lvl w:ilvl="4" w:tplc="F5FA442C" w:tentative="1">
      <w:start w:val="1"/>
      <w:numFmt w:val="lowerLetter"/>
      <w:lvlText w:val="%5."/>
      <w:lvlJc w:val="left"/>
      <w:pPr>
        <w:ind w:left="4320" w:hanging="360"/>
      </w:pPr>
    </w:lvl>
    <w:lvl w:ilvl="5" w:tplc="D95C4C0A" w:tentative="1">
      <w:start w:val="1"/>
      <w:numFmt w:val="lowerRoman"/>
      <w:lvlText w:val="%6."/>
      <w:lvlJc w:val="right"/>
      <w:pPr>
        <w:ind w:left="5040" w:hanging="180"/>
      </w:pPr>
    </w:lvl>
    <w:lvl w:ilvl="6" w:tplc="7E46AFF6" w:tentative="1">
      <w:start w:val="1"/>
      <w:numFmt w:val="decimal"/>
      <w:lvlText w:val="%7."/>
      <w:lvlJc w:val="left"/>
      <w:pPr>
        <w:ind w:left="5760" w:hanging="360"/>
      </w:pPr>
    </w:lvl>
    <w:lvl w:ilvl="7" w:tplc="F2589E70" w:tentative="1">
      <w:start w:val="1"/>
      <w:numFmt w:val="lowerLetter"/>
      <w:lvlText w:val="%8."/>
      <w:lvlJc w:val="left"/>
      <w:pPr>
        <w:ind w:left="6480" w:hanging="360"/>
      </w:pPr>
    </w:lvl>
    <w:lvl w:ilvl="8" w:tplc="C368E7F2" w:tentative="1">
      <w:start w:val="1"/>
      <w:numFmt w:val="lowerRoman"/>
      <w:lvlText w:val="%9."/>
      <w:lvlJc w:val="right"/>
      <w:pPr>
        <w:ind w:left="7200" w:hanging="180"/>
      </w:pPr>
    </w:lvl>
  </w:abstractNum>
  <w:abstractNum w:abstractNumId="1" w15:restartNumberingAfterBreak="0">
    <w:nsid w:val="03F917C2"/>
    <w:multiLevelType w:val="multilevel"/>
    <w:tmpl w:val="76E0D26E"/>
    <w:styleLink w:val="CurrentList2"/>
    <w:lvl w:ilvl="0">
      <w:start w:val="1"/>
      <w:numFmt w:val="upperLetter"/>
      <w:lvlText w:val="%1."/>
      <w:lvlJc w:val="left"/>
      <w:pPr>
        <w:ind w:left="1440" w:hanging="360"/>
      </w:pPr>
      <w:rPr>
        <w:rFonts w:hint="default"/>
        <w:b/>
        <w:bCs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A337FAB"/>
    <w:multiLevelType w:val="hybridMultilevel"/>
    <w:tmpl w:val="192C0EEA"/>
    <w:lvl w:ilvl="0" w:tplc="1F8EF88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16B6B25"/>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4FC2FED"/>
    <w:multiLevelType w:val="hybridMultilevel"/>
    <w:tmpl w:val="A7BA3D64"/>
    <w:lvl w:ilvl="0" w:tplc="6F72FE46">
      <w:start w:val="1"/>
      <w:numFmt w:val="lowerRoman"/>
      <w:pStyle w:val="Heading4"/>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15225BD9"/>
    <w:multiLevelType w:val="hybridMultilevel"/>
    <w:tmpl w:val="991E78F8"/>
    <w:lvl w:ilvl="0" w:tplc="A9A6BB0A">
      <w:start w:val="1"/>
      <w:numFmt w:val="upperRoman"/>
      <w:lvlText w:val="%1."/>
      <w:lvlJc w:val="right"/>
      <w:pPr>
        <w:ind w:left="720" w:hanging="360"/>
      </w:pPr>
    </w:lvl>
    <w:lvl w:ilvl="1" w:tplc="1D0CDBF8">
      <w:start w:val="1"/>
      <w:numFmt w:val="lowerLetter"/>
      <w:lvlText w:val="%2."/>
      <w:lvlJc w:val="left"/>
      <w:pPr>
        <w:ind w:left="1440" w:hanging="360"/>
      </w:pPr>
    </w:lvl>
    <w:lvl w:ilvl="2" w:tplc="39E8E332">
      <w:start w:val="1"/>
      <w:numFmt w:val="lowerRoman"/>
      <w:lvlText w:val="%3."/>
      <w:lvlJc w:val="right"/>
      <w:pPr>
        <w:ind w:left="2160" w:hanging="180"/>
      </w:pPr>
    </w:lvl>
    <w:lvl w:ilvl="3" w:tplc="78500ABC">
      <w:start w:val="1"/>
      <w:numFmt w:val="decimal"/>
      <w:lvlText w:val="%4."/>
      <w:lvlJc w:val="left"/>
      <w:pPr>
        <w:ind w:left="2880" w:hanging="360"/>
      </w:pPr>
    </w:lvl>
    <w:lvl w:ilvl="4" w:tplc="4128EA58">
      <w:start w:val="1"/>
      <w:numFmt w:val="lowerLetter"/>
      <w:lvlText w:val="%5."/>
      <w:lvlJc w:val="left"/>
      <w:pPr>
        <w:ind w:left="3600" w:hanging="360"/>
      </w:pPr>
    </w:lvl>
    <w:lvl w:ilvl="5" w:tplc="BDB45440">
      <w:start w:val="1"/>
      <w:numFmt w:val="lowerRoman"/>
      <w:lvlText w:val="%6."/>
      <w:lvlJc w:val="right"/>
      <w:pPr>
        <w:ind w:left="4320" w:hanging="180"/>
      </w:pPr>
    </w:lvl>
    <w:lvl w:ilvl="6" w:tplc="A35EE522">
      <w:start w:val="1"/>
      <w:numFmt w:val="decimal"/>
      <w:lvlText w:val="%7."/>
      <w:lvlJc w:val="left"/>
      <w:pPr>
        <w:ind w:left="5040" w:hanging="360"/>
      </w:pPr>
    </w:lvl>
    <w:lvl w:ilvl="7" w:tplc="F55C8418">
      <w:start w:val="1"/>
      <w:numFmt w:val="lowerLetter"/>
      <w:lvlText w:val="%8."/>
      <w:lvlJc w:val="left"/>
      <w:pPr>
        <w:ind w:left="5760" w:hanging="360"/>
      </w:pPr>
    </w:lvl>
    <w:lvl w:ilvl="8" w:tplc="27123016">
      <w:start w:val="1"/>
      <w:numFmt w:val="lowerRoman"/>
      <w:lvlText w:val="%9."/>
      <w:lvlJc w:val="right"/>
      <w:pPr>
        <w:ind w:left="6480" w:hanging="180"/>
      </w:pPr>
    </w:lvl>
  </w:abstractNum>
  <w:abstractNum w:abstractNumId="6" w15:restartNumberingAfterBreak="0">
    <w:nsid w:val="186B0350"/>
    <w:multiLevelType w:val="hybridMultilevel"/>
    <w:tmpl w:val="776C097A"/>
    <w:lvl w:ilvl="0" w:tplc="065EB240">
      <w:start w:val="2"/>
      <w:numFmt w:val="upperLetter"/>
      <w:lvlText w:val="%1."/>
      <w:lvlJc w:val="left"/>
      <w:pPr>
        <w:ind w:left="1440" w:hanging="360"/>
      </w:pPr>
      <w:rPr>
        <w:rFonts w:hint="default"/>
        <w:b/>
        <w:bCs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1DBF71AD"/>
    <w:multiLevelType w:val="hybridMultilevel"/>
    <w:tmpl w:val="3C088690"/>
    <w:lvl w:ilvl="0" w:tplc="FFFFFFFF">
      <w:start w:val="1"/>
      <w:numFmt w:val="lowerRoman"/>
      <w:lvlText w:val="%1."/>
      <w:lvlJc w:val="left"/>
      <w:pPr>
        <w:ind w:left="1800" w:hanging="360"/>
      </w:pPr>
      <w:rPr>
        <w:rFonts w:cs="Times New Roman" w:hint="default"/>
        <w:i w:val="0"/>
        <w:i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2B8D09D3"/>
    <w:multiLevelType w:val="hybridMultilevel"/>
    <w:tmpl w:val="C06223A4"/>
    <w:lvl w:ilvl="0" w:tplc="BCAED606">
      <w:start w:val="2"/>
      <w:numFmt w:val="lowerRoman"/>
      <w:lvlText w:val="%1."/>
      <w:lvlJc w:val="left"/>
      <w:pPr>
        <w:ind w:left="2160" w:hanging="720"/>
      </w:pPr>
      <w:rPr>
        <w:rFonts w:hint="default"/>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8F4CA7"/>
    <w:multiLevelType w:val="hybridMultilevel"/>
    <w:tmpl w:val="97E0085E"/>
    <w:lvl w:ilvl="0" w:tplc="C17E732A">
      <w:start w:val="1"/>
      <w:numFmt w:val="upperLetter"/>
      <w:lvlText w:val="%1."/>
      <w:lvlJc w:val="left"/>
      <w:pPr>
        <w:ind w:left="1440" w:hanging="360"/>
      </w:pPr>
      <w:rPr>
        <w:rFonts w:hint="default"/>
        <w:b/>
        <w:bCs/>
      </w:rPr>
    </w:lvl>
    <w:lvl w:ilvl="1" w:tplc="74F43762" w:tentative="1">
      <w:start w:val="1"/>
      <w:numFmt w:val="lowerLetter"/>
      <w:lvlText w:val="%2."/>
      <w:lvlJc w:val="left"/>
      <w:pPr>
        <w:ind w:left="2160" w:hanging="360"/>
      </w:pPr>
    </w:lvl>
    <w:lvl w:ilvl="2" w:tplc="F65E25DE" w:tentative="1">
      <w:start w:val="1"/>
      <w:numFmt w:val="lowerRoman"/>
      <w:lvlText w:val="%3."/>
      <w:lvlJc w:val="right"/>
      <w:pPr>
        <w:ind w:left="2880" w:hanging="180"/>
      </w:pPr>
    </w:lvl>
    <w:lvl w:ilvl="3" w:tplc="26F8831E" w:tentative="1">
      <w:start w:val="1"/>
      <w:numFmt w:val="decimal"/>
      <w:lvlText w:val="%4."/>
      <w:lvlJc w:val="left"/>
      <w:pPr>
        <w:ind w:left="3600" w:hanging="360"/>
      </w:pPr>
    </w:lvl>
    <w:lvl w:ilvl="4" w:tplc="B802A6B2" w:tentative="1">
      <w:start w:val="1"/>
      <w:numFmt w:val="lowerLetter"/>
      <w:lvlText w:val="%5."/>
      <w:lvlJc w:val="left"/>
      <w:pPr>
        <w:ind w:left="4320" w:hanging="360"/>
      </w:pPr>
    </w:lvl>
    <w:lvl w:ilvl="5" w:tplc="A5703A68" w:tentative="1">
      <w:start w:val="1"/>
      <w:numFmt w:val="lowerRoman"/>
      <w:lvlText w:val="%6."/>
      <w:lvlJc w:val="right"/>
      <w:pPr>
        <w:ind w:left="5040" w:hanging="180"/>
      </w:pPr>
    </w:lvl>
    <w:lvl w:ilvl="6" w:tplc="37A8837E" w:tentative="1">
      <w:start w:val="1"/>
      <w:numFmt w:val="decimal"/>
      <w:lvlText w:val="%7."/>
      <w:lvlJc w:val="left"/>
      <w:pPr>
        <w:ind w:left="5760" w:hanging="360"/>
      </w:pPr>
    </w:lvl>
    <w:lvl w:ilvl="7" w:tplc="173A500A" w:tentative="1">
      <w:start w:val="1"/>
      <w:numFmt w:val="lowerLetter"/>
      <w:lvlText w:val="%8."/>
      <w:lvlJc w:val="left"/>
      <w:pPr>
        <w:ind w:left="6480" w:hanging="360"/>
      </w:pPr>
    </w:lvl>
    <w:lvl w:ilvl="8" w:tplc="0D305936" w:tentative="1">
      <w:start w:val="1"/>
      <w:numFmt w:val="lowerRoman"/>
      <w:lvlText w:val="%9."/>
      <w:lvlJc w:val="right"/>
      <w:pPr>
        <w:ind w:left="7200" w:hanging="180"/>
      </w:pPr>
    </w:lvl>
  </w:abstractNum>
  <w:abstractNum w:abstractNumId="10" w15:restartNumberingAfterBreak="0">
    <w:nsid w:val="32AB1160"/>
    <w:multiLevelType w:val="hybridMultilevel"/>
    <w:tmpl w:val="05421956"/>
    <w:lvl w:ilvl="0" w:tplc="7D521662">
      <w:start w:val="1"/>
      <w:numFmt w:val="upperRoman"/>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B6E82"/>
    <w:multiLevelType w:val="hybridMultilevel"/>
    <w:tmpl w:val="4246ED1E"/>
    <w:lvl w:ilvl="0" w:tplc="38685166">
      <w:start w:val="9"/>
      <w:numFmt w:val="lowerLetter"/>
      <w:lvlText w:val="%1."/>
      <w:lvlJc w:val="left"/>
      <w:pPr>
        <w:ind w:left="1800" w:hanging="360"/>
      </w:pPr>
      <w:rPr>
        <w:rFonts w:cs="Times New Roman" w:hint="default"/>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BFA1369"/>
    <w:multiLevelType w:val="hybridMultilevel"/>
    <w:tmpl w:val="3C088690"/>
    <w:lvl w:ilvl="0" w:tplc="101EC4E8">
      <w:start w:val="1"/>
      <w:numFmt w:val="lowerRoman"/>
      <w:lvlText w:val="%1."/>
      <w:lvlJc w:val="left"/>
      <w:pPr>
        <w:ind w:left="1800" w:hanging="360"/>
      </w:pPr>
      <w:rPr>
        <w:rFonts w:cs="Times New Roman" w:hint="default"/>
        <w:i w:val="0"/>
        <w:i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3E1445A5"/>
    <w:multiLevelType w:val="multilevel"/>
    <w:tmpl w:val="4CEA3C6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E6206FB"/>
    <w:multiLevelType w:val="hybridMultilevel"/>
    <w:tmpl w:val="A40AC26C"/>
    <w:lvl w:ilvl="0" w:tplc="04090019">
      <w:start w:val="9"/>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FED68A1"/>
    <w:multiLevelType w:val="hybridMultilevel"/>
    <w:tmpl w:val="FFFFFFFF"/>
    <w:lvl w:ilvl="0" w:tplc="0DE8FA10">
      <w:start w:val="1"/>
      <w:numFmt w:val="lowerRoman"/>
      <w:lvlText w:val="%1."/>
      <w:lvlJc w:val="left"/>
      <w:pPr>
        <w:ind w:left="1080" w:hanging="360"/>
      </w:pPr>
    </w:lvl>
    <w:lvl w:ilvl="1" w:tplc="BB9C0526">
      <w:start w:val="1"/>
      <w:numFmt w:val="lowerLetter"/>
      <w:lvlText w:val="%2."/>
      <w:lvlJc w:val="left"/>
      <w:pPr>
        <w:ind w:left="1800" w:hanging="360"/>
      </w:pPr>
    </w:lvl>
    <w:lvl w:ilvl="2" w:tplc="F078C074">
      <w:start w:val="1"/>
      <w:numFmt w:val="lowerRoman"/>
      <w:lvlText w:val="%3."/>
      <w:lvlJc w:val="right"/>
      <w:pPr>
        <w:ind w:left="2520" w:hanging="180"/>
      </w:pPr>
    </w:lvl>
    <w:lvl w:ilvl="3" w:tplc="BE148D0A">
      <w:start w:val="1"/>
      <w:numFmt w:val="decimal"/>
      <w:lvlText w:val="%4."/>
      <w:lvlJc w:val="left"/>
      <w:pPr>
        <w:ind w:left="3240" w:hanging="360"/>
      </w:pPr>
    </w:lvl>
    <w:lvl w:ilvl="4" w:tplc="35D21C2A">
      <w:start w:val="1"/>
      <w:numFmt w:val="lowerLetter"/>
      <w:lvlText w:val="%5."/>
      <w:lvlJc w:val="left"/>
      <w:pPr>
        <w:ind w:left="3960" w:hanging="360"/>
      </w:pPr>
    </w:lvl>
    <w:lvl w:ilvl="5" w:tplc="FBEE5F70">
      <w:start w:val="1"/>
      <w:numFmt w:val="lowerRoman"/>
      <w:lvlText w:val="%6."/>
      <w:lvlJc w:val="right"/>
      <w:pPr>
        <w:ind w:left="4680" w:hanging="180"/>
      </w:pPr>
    </w:lvl>
    <w:lvl w:ilvl="6" w:tplc="A6B27098">
      <w:start w:val="1"/>
      <w:numFmt w:val="decimal"/>
      <w:lvlText w:val="%7."/>
      <w:lvlJc w:val="left"/>
      <w:pPr>
        <w:ind w:left="5400" w:hanging="360"/>
      </w:pPr>
    </w:lvl>
    <w:lvl w:ilvl="7" w:tplc="FFCA91A0">
      <w:start w:val="1"/>
      <w:numFmt w:val="lowerLetter"/>
      <w:lvlText w:val="%8."/>
      <w:lvlJc w:val="left"/>
      <w:pPr>
        <w:ind w:left="6120" w:hanging="360"/>
      </w:pPr>
    </w:lvl>
    <w:lvl w:ilvl="8" w:tplc="1054CC20">
      <w:start w:val="1"/>
      <w:numFmt w:val="lowerRoman"/>
      <w:lvlText w:val="%9."/>
      <w:lvlJc w:val="right"/>
      <w:pPr>
        <w:ind w:left="6840" w:hanging="180"/>
      </w:pPr>
    </w:lvl>
  </w:abstractNum>
  <w:abstractNum w:abstractNumId="16" w15:restartNumberingAfterBreak="0">
    <w:nsid w:val="5C3106CB"/>
    <w:multiLevelType w:val="multilevel"/>
    <w:tmpl w:val="F7981D88"/>
    <w:styleLink w:val="CurrentList1"/>
    <w:lvl w:ilvl="0">
      <w:start w:val="9"/>
      <w:numFmt w:val="lowerLetter"/>
      <w:lvlText w:val="%1."/>
      <w:lvlJc w:val="left"/>
      <w:pPr>
        <w:ind w:left="1800" w:hanging="360"/>
      </w:pPr>
      <w:rPr>
        <w:rFonts w:cs="Times New Roman" w:hint="default"/>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63C54725"/>
    <w:multiLevelType w:val="multilevel"/>
    <w:tmpl w:val="4CEA3C6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66B2836"/>
    <w:multiLevelType w:val="hybridMultilevel"/>
    <w:tmpl w:val="31EC7380"/>
    <w:lvl w:ilvl="0" w:tplc="286AADB4">
      <w:start w:val="1"/>
      <w:numFmt w:val="decimal"/>
      <w:lvlText w:val="%1."/>
      <w:lvlJc w:val="left"/>
      <w:pPr>
        <w:ind w:left="720" w:hanging="360"/>
      </w:pPr>
    </w:lvl>
    <w:lvl w:ilvl="1" w:tplc="402C25A4">
      <w:start w:val="1"/>
      <w:numFmt w:val="lowerLetter"/>
      <w:lvlText w:val="%2."/>
      <w:lvlJc w:val="left"/>
      <w:pPr>
        <w:ind w:left="1440" w:hanging="360"/>
      </w:pPr>
    </w:lvl>
    <w:lvl w:ilvl="2" w:tplc="50E01010">
      <w:start w:val="1"/>
      <w:numFmt w:val="lowerRoman"/>
      <w:lvlText w:val="%3."/>
      <w:lvlJc w:val="right"/>
      <w:pPr>
        <w:ind w:left="2160" w:hanging="180"/>
      </w:pPr>
    </w:lvl>
    <w:lvl w:ilvl="3" w:tplc="B1E4F352">
      <w:start w:val="1"/>
      <w:numFmt w:val="decimal"/>
      <w:lvlText w:val="%4."/>
      <w:lvlJc w:val="left"/>
      <w:pPr>
        <w:ind w:left="2880" w:hanging="360"/>
      </w:pPr>
    </w:lvl>
    <w:lvl w:ilvl="4" w:tplc="21F03F54">
      <w:start w:val="1"/>
      <w:numFmt w:val="lowerLetter"/>
      <w:lvlText w:val="%5."/>
      <w:lvlJc w:val="left"/>
      <w:pPr>
        <w:ind w:left="3600" w:hanging="360"/>
      </w:pPr>
    </w:lvl>
    <w:lvl w:ilvl="5" w:tplc="FD88E0C2">
      <w:start w:val="1"/>
      <w:numFmt w:val="lowerRoman"/>
      <w:lvlText w:val="%6."/>
      <w:lvlJc w:val="right"/>
      <w:pPr>
        <w:ind w:left="4320" w:hanging="180"/>
      </w:pPr>
    </w:lvl>
    <w:lvl w:ilvl="6" w:tplc="0646075C">
      <w:start w:val="1"/>
      <w:numFmt w:val="decimal"/>
      <w:lvlText w:val="%7."/>
      <w:lvlJc w:val="left"/>
      <w:pPr>
        <w:ind w:left="5040" w:hanging="360"/>
      </w:pPr>
    </w:lvl>
    <w:lvl w:ilvl="7" w:tplc="BC6888C2">
      <w:start w:val="1"/>
      <w:numFmt w:val="lowerLetter"/>
      <w:lvlText w:val="%8."/>
      <w:lvlJc w:val="left"/>
      <w:pPr>
        <w:ind w:left="5760" w:hanging="360"/>
      </w:pPr>
    </w:lvl>
    <w:lvl w:ilvl="8" w:tplc="DB68DFF2">
      <w:start w:val="1"/>
      <w:numFmt w:val="lowerRoman"/>
      <w:lvlText w:val="%9."/>
      <w:lvlJc w:val="right"/>
      <w:pPr>
        <w:ind w:left="6480" w:hanging="180"/>
      </w:pPr>
    </w:lvl>
  </w:abstractNum>
  <w:abstractNum w:abstractNumId="19" w15:restartNumberingAfterBreak="0">
    <w:nsid w:val="679D30A1"/>
    <w:multiLevelType w:val="hybridMultilevel"/>
    <w:tmpl w:val="FC26F144"/>
    <w:lvl w:ilvl="0" w:tplc="783CF08E">
      <w:start w:val="1"/>
      <w:numFmt w:val="upperLetter"/>
      <w:pStyle w:val="Heading3"/>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803EFE"/>
    <w:multiLevelType w:val="hybridMultilevel"/>
    <w:tmpl w:val="76E0D26E"/>
    <w:lvl w:ilvl="0" w:tplc="EF74DDA6">
      <w:start w:val="1"/>
      <w:numFmt w:val="upperLetter"/>
      <w:lvlText w:val="%1."/>
      <w:lvlJc w:val="left"/>
      <w:pPr>
        <w:ind w:left="1440" w:hanging="360"/>
      </w:pPr>
      <w:rPr>
        <w:rFonts w:hint="default"/>
        <w:b/>
        <w:bCs w:val="0"/>
      </w:rPr>
    </w:lvl>
    <w:lvl w:ilvl="1" w:tplc="B4C81246">
      <w:start w:val="1"/>
      <w:numFmt w:val="lowerLetter"/>
      <w:lvlText w:val="%2."/>
      <w:lvlJc w:val="left"/>
      <w:pPr>
        <w:ind w:left="2160" w:hanging="360"/>
      </w:pPr>
    </w:lvl>
    <w:lvl w:ilvl="2" w:tplc="550E7450" w:tentative="1">
      <w:start w:val="1"/>
      <w:numFmt w:val="lowerRoman"/>
      <w:lvlText w:val="%3."/>
      <w:lvlJc w:val="right"/>
      <w:pPr>
        <w:ind w:left="2880" w:hanging="180"/>
      </w:pPr>
    </w:lvl>
    <w:lvl w:ilvl="3" w:tplc="B5C840B4" w:tentative="1">
      <w:start w:val="1"/>
      <w:numFmt w:val="decimal"/>
      <w:lvlText w:val="%4."/>
      <w:lvlJc w:val="left"/>
      <w:pPr>
        <w:ind w:left="3600" w:hanging="360"/>
      </w:pPr>
    </w:lvl>
    <w:lvl w:ilvl="4" w:tplc="C6C2B242" w:tentative="1">
      <w:start w:val="1"/>
      <w:numFmt w:val="lowerLetter"/>
      <w:lvlText w:val="%5."/>
      <w:lvlJc w:val="left"/>
      <w:pPr>
        <w:ind w:left="4320" w:hanging="360"/>
      </w:pPr>
    </w:lvl>
    <w:lvl w:ilvl="5" w:tplc="178A52AE" w:tentative="1">
      <w:start w:val="1"/>
      <w:numFmt w:val="lowerRoman"/>
      <w:lvlText w:val="%6."/>
      <w:lvlJc w:val="right"/>
      <w:pPr>
        <w:ind w:left="5040" w:hanging="180"/>
      </w:pPr>
    </w:lvl>
    <w:lvl w:ilvl="6" w:tplc="4C44426C" w:tentative="1">
      <w:start w:val="1"/>
      <w:numFmt w:val="decimal"/>
      <w:lvlText w:val="%7."/>
      <w:lvlJc w:val="left"/>
      <w:pPr>
        <w:ind w:left="5760" w:hanging="360"/>
      </w:pPr>
    </w:lvl>
    <w:lvl w:ilvl="7" w:tplc="9CC6C3CC" w:tentative="1">
      <w:start w:val="1"/>
      <w:numFmt w:val="lowerLetter"/>
      <w:lvlText w:val="%8."/>
      <w:lvlJc w:val="left"/>
      <w:pPr>
        <w:ind w:left="6480" w:hanging="360"/>
      </w:pPr>
    </w:lvl>
    <w:lvl w:ilvl="8" w:tplc="EFD8DA92" w:tentative="1">
      <w:start w:val="1"/>
      <w:numFmt w:val="lowerRoman"/>
      <w:lvlText w:val="%9."/>
      <w:lvlJc w:val="right"/>
      <w:pPr>
        <w:ind w:left="7200" w:hanging="180"/>
      </w:pPr>
    </w:lvl>
  </w:abstractNum>
  <w:num w:numId="1" w16cid:durableId="231896008">
    <w:abstractNumId w:val="17"/>
  </w:num>
  <w:num w:numId="2" w16cid:durableId="365719243">
    <w:abstractNumId w:val="13"/>
  </w:num>
  <w:num w:numId="3" w16cid:durableId="1771050304">
    <w:abstractNumId w:val="18"/>
  </w:num>
  <w:num w:numId="4" w16cid:durableId="331030931">
    <w:abstractNumId w:val="5"/>
  </w:num>
  <w:num w:numId="5" w16cid:durableId="2053730239">
    <w:abstractNumId w:val="15"/>
  </w:num>
  <w:num w:numId="6" w16cid:durableId="500897032">
    <w:abstractNumId w:val="20"/>
  </w:num>
  <w:num w:numId="7" w16cid:durableId="39864946">
    <w:abstractNumId w:val="3"/>
  </w:num>
  <w:num w:numId="8" w16cid:durableId="633681442">
    <w:abstractNumId w:val="0"/>
  </w:num>
  <w:num w:numId="9" w16cid:durableId="139882597">
    <w:abstractNumId w:val="9"/>
  </w:num>
  <w:num w:numId="10" w16cid:durableId="1010907565">
    <w:abstractNumId w:val="10"/>
  </w:num>
  <w:num w:numId="11" w16cid:durableId="1770150941">
    <w:abstractNumId w:val="2"/>
  </w:num>
  <w:num w:numId="12" w16cid:durableId="359169444">
    <w:abstractNumId w:val="14"/>
  </w:num>
  <w:num w:numId="13" w16cid:durableId="1200127046">
    <w:abstractNumId w:val="11"/>
  </w:num>
  <w:num w:numId="14" w16cid:durableId="968361327">
    <w:abstractNumId w:val="8"/>
  </w:num>
  <w:num w:numId="15" w16cid:durableId="95101369">
    <w:abstractNumId w:val="19"/>
  </w:num>
  <w:num w:numId="16" w16cid:durableId="920793861">
    <w:abstractNumId w:val="4"/>
  </w:num>
  <w:num w:numId="17" w16cid:durableId="1780025578">
    <w:abstractNumId w:val="19"/>
  </w:num>
  <w:num w:numId="18" w16cid:durableId="101726909">
    <w:abstractNumId w:val="19"/>
    <w:lvlOverride w:ilvl="0">
      <w:startOverride w:val="2"/>
    </w:lvlOverride>
  </w:num>
  <w:num w:numId="19" w16cid:durableId="2127890822">
    <w:abstractNumId w:val="19"/>
    <w:lvlOverride w:ilvl="0">
      <w:startOverride w:val="2"/>
    </w:lvlOverride>
  </w:num>
  <w:num w:numId="20" w16cid:durableId="1699619808">
    <w:abstractNumId w:val="12"/>
  </w:num>
  <w:num w:numId="21" w16cid:durableId="1049232339">
    <w:abstractNumId w:val="16"/>
  </w:num>
  <w:num w:numId="22" w16cid:durableId="1082683182">
    <w:abstractNumId w:val="19"/>
    <w:lvlOverride w:ilvl="0">
      <w:startOverride w:val="1"/>
    </w:lvlOverride>
  </w:num>
  <w:num w:numId="23" w16cid:durableId="1031422782">
    <w:abstractNumId w:val="7"/>
  </w:num>
  <w:num w:numId="24" w16cid:durableId="1240016468">
    <w:abstractNumId w:val="6"/>
  </w:num>
  <w:num w:numId="25" w16cid:durableId="610168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FA"/>
    <w:rsid w:val="00000336"/>
    <w:rsid w:val="00007188"/>
    <w:rsid w:val="000138F4"/>
    <w:rsid w:val="00015533"/>
    <w:rsid w:val="0001681B"/>
    <w:rsid w:val="00017CC2"/>
    <w:rsid w:val="00023D88"/>
    <w:rsid w:val="000242BF"/>
    <w:rsid w:val="00027FE6"/>
    <w:rsid w:val="00030287"/>
    <w:rsid w:val="0003445D"/>
    <w:rsid w:val="00034A46"/>
    <w:rsid w:val="0003575B"/>
    <w:rsid w:val="000427F2"/>
    <w:rsid w:val="00044E1D"/>
    <w:rsid w:val="00050A66"/>
    <w:rsid w:val="0006232A"/>
    <w:rsid w:val="0006628D"/>
    <w:rsid w:val="00066D16"/>
    <w:rsid w:val="00067B75"/>
    <w:rsid w:val="00076355"/>
    <w:rsid w:val="00077B2D"/>
    <w:rsid w:val="00080162"/>
    <w:rsid w:val="00087F9F"/>
    <w:rsid w:val="0009134C"/>
    <w:rsid w:val="00091C9C"/>
    <w:rsid w:val="000962F2"/>
    <w:rsid w:val="000A14D3"/>
    <w:rsid w:val="000A349B"/>
    <w:rsid w:val="000A3B52"/>
    <w:rsid w:val="000A652E"/>
    <w:rsid w:val="000A7CF1"/>
    <w:rsid w:val="000B1F7A"/>
    <w:rsid w:val="000C17F1"/>
    <w:rsid w:val="000C1A50"/>
    <w:rsid w:val="000C7476"/>
    <w:rsid w:val="000D20C8"/>
    <w:rsid w:val="000D5353"/>
    <w:rsid w:val="000E2E3C"/>
    <w:rsid w:val="000E30D4"/>
    <w:rsid w:val="000F05C6"/>
    <w:rsid w:val="000F24DC"/>
    <w:rsid w:val="000F4E74"/>
    <w:rsid w:val="000F55F6"/>
    <w:rsid w:val="0010518B"/>
    <w:rsid w:val="00111BFE"/>
    <w:rsid w:val="00116D06"/>
    <w:rsid w:val="00120AFD"/>
    <w:rsid w:val="00123958"/>
    <w:rsid w:val="001266C4"/>
    <w:rsid w:val="0012756B"/>
    <w:rsid w:val="001309F4"/>
    <w:rsid w:val="00134B72"/>
    <w:rsid w:val="00137FC4"/>
    <w:rsid w:val="00142604"/>
    <w:rsid w:val="001469B9"/>
    <w:rsid w:val="00161E36"/>
    <w:rsid w:val="00162EC7"/>
    <w:rsid w:val="00165C08"/>
    <w:rsid w:val="00170992"/>
    <w:rsid w:val="00172D7E"/>
    <w:rsid w:val="00183407"/>
    <w:rsid w:val="0018493D"/>
    <w:rsid w:val="00186744"/>
    <w:rsid w:val="00186960"/>
    <w:rsid w:val="00195039"/>
    <w:rsid w:val="001A3B13"/>
    <w:rsid w:val="001A51ED"/>
    <w:rsid w:val="001B26D3"/>
    <w:rsid w:val="001B35FE"/>
    <w:rsid w:val="001B6640"/>
    <w:rsid w:val="001C3693"/>
    <w:rsid w:val="001C3B42"/>
    <w:rsid w:val="001C51D0"/>
    <w:rsid w:val="001D3C61"/>
    <w:rsid w:val="001D4596"/>
    <w:rsid w:val="001F27DA"/>
    <w:rsid w:val="001F4CF7"/>
    <w:rsid w:val="001F591B"/>
    <w:rsid w:val="001F6391"/>
    <w:rsid w:val="001F75AB"/>
    <w:rsid w:val="002000A0"/>
    <w:rsid w:val="00200B7F"/>
    <w:rsid w:val="0020662D"/>
    <w:rsid w:val="00207558"/>
    <w:rsid w:val="00212071"/>
    <w:rsid w:val="00212AD6"/>
    <w:rsid w:val="00222BA3"/>
    <w:rsid w:val="00225932"/>
    <w:rsid w:val="00225CE1"/>
    <w:rsid w:val="002274AE"/>
    <w:rsid w:val="00234975"/>
    <w:rsid w:val="00235DB1"/>
    <w:rsid w:val="00240664"/>
    <w:rsid w:val="00242421"/>
    <w:rsid w:val="00242A6A"/>
    <w:rsid w:val="00260746"/>
    <w:rsid w:val="0027319D"/>
    <w:rsid w:val="00276138"/>
    <w:rsid w:val="00276553"/>
    <w:rsid w:val="002775BF"/>
    <w:rsid w:val="002841BA"/>
    <w:rsid w:val="002872A9"/>
    <w:rsid w:val="00296853"/>
    <w:rsid w:val="00297D49"/>
    <w:rsid w:val="002A2012"/>
    <w:rsid w:val="002A5A86"/>
    <w:rsid w:val="002B6711"/>
    <w:rsid w:val="002C56CD"/>
    <w:rsid w:val="002C5965"/>
    <w:rsid w:val="002C7CFC"/>
    <w:rsid w:val="002E163E"/>
    <w:rsid w:val="002E1897"/>
    <w:rsid w:val="002E624A"/>
    <w:rsid w:val="002F6A02"/>
    <w:rsid w:val="002F6C8D"/>
    <w:rsid w:val="002F7D5F"/>
    <w:rsid w:val="003000B6"/>
    <w:rsid w:val="00310645"/>
    <w:rsid w:val="003179DF"/>
    <w:rsid w:val="003213E6"/>
    <w:rsid w:val="00336248"/>
    <w:rsid w:val="00340519"/>
    <w:rsid w:val="0034322A"/>
    <w:rsid w:val="00344ACC"/>
    <w:rsid w:val="00346B6C"/>
    <w:rsid w:val="003527C4"/>
    <w:rsid w:val="00353879"/>
    <w:rsid w:val="003563DE"/>
    <w:rsid w:val="00356E3F"/>
    <w:rsid w:val="00357E3E"/>
    <w:rsid w:val="003608F0"/>
    <w:rsid w:val="00365430"/>
    <w:rsid w:val="00367630"/>
    <w:rsid w:val="0036797A"/>
    <w:rsid w:val="003715D0"/>
    <w:rsid w:val="00381186"/>
    <w:rsid w:val="00383CD7"/>
    <w:rsid w:val="00384F19"/>
    <w:rsid w:val="003863F6"/>
    <w:rsid w:val="00386596"/>
    <w:rsid w:val="003908F3"/>
    <w:rsid w:val="00396350"/>
    <w:rsid w:val="003A16DC"/>
    <w:rsid w:val="003A66D8"/>
    <w:rsid w:val="003B0C24"/>
    <w:rsid w:val="003B2756"/>
    <w:rsid w:val="003B617D"/>
    <w:rsid w:val="003C2712"/>
    <w:rsid w:val="003C5490"/>
    <w:rsid w:val="003D0610"/>
    <w:rsid w:val="003D18DF"/>
    <w:rsid w:val="003D34B2"/>
    <w:rsid w:val="003D37FA"/>
    <w:rsid w:val="003D4374"/>
    <w:rsid w:val="003D70D1"/>
    <w:rsid w:val="003D7A8D"/>
    <w:rsid w:val="003E1C4F"/>
    <w:rsid w:val="003E29DD"/>
    <w:rsid w:val="003E2DBD"/>
    <w:rsid w:val="003F373D"/>
    <w:rsid w:val="003F7A0A"/>
    <w:rsid w:val="004028F3"/>
    <w:rsid w:val="00405939"/>
    <w:rsid w:val="00407A9D"/>
    <w:rsid w:val="004113B1"/>
    <w:rsid w:val="00412236"/>
    <w:rsid w:val="00413DEC"/>
    <w:rsid w:val="00415AC4"/>
    <w:rsid w:val="00423B63"/>
    <w:rsid w:val="00424F81"/>
    <w:rsid w:val="004254B7"/>
    <w:rsid w:val="00425D52"/>
    <w:rsid w:val="0043304E"/>
    <w:rsid w:val="004338CD"/>
    <w:rsid w:val="004342A6"/>
    <w:rsid w:val="00440923"/>
    <w:rsid w:val="00446778"/>
    <w:rsid w:val="004507C4"/>
    <w:rsid w:val="00450AEA"/>
    <w:rsid w:val="004514B5"/>
    <w:rsid w:val="00453B8B"/>
    <w:rsid w:val="00454DA2"/>
    <w:rsid w:val="00460457"/>
    <w:rsid w:val="0046672E"/>
    <w:rsid w:val="00466F8C"/>
    <w:rsid w:val="00473A0B"/>
    <w:rsid w:val="004770E9"/>
    <w:rsid w:val="004824A9"/>
    <w:rsid w:val="00484F7C"/>
    <w:rsid w:val="004870B1"/>
    <w:rsid w:val="00487B55"/>
    <w:rsid w:val="0049279D"/>
    <w:rsid w:val="00494183"/>
    <w:rsid w:val="00496072"/>
    <w:rsid w:val="004A721D"/>
    <w:rsid w:val="004B01FF"/>
    <w:rsid w:val="004B2CA0"/>
    <w:rsid w:val="004B35EB"/>
    <w:rsid w:val="004B56F4"/>
    <w:rsid w:val="004C0222"/>
    <w:rsid w:val="004C07F9"/>
    <w:rsid w:val="004C759A"/>
    <w:rsid w:val="004D0DBA"/>
    <w:rsid w:val="004D1EBF"/>
    <w:rsid w:val="004D237E"/>
    <w:rsid w:val="004E363B"/>
    <w:rsid w:val="004E3F8B"/>
    <w:rsid w:val="004E6B38"/>
    <w:rsid w:val="004F295D"/>
    <w:rsid w:val="00501286"/>
    <w:rsid w:val="0050505D"/>
    <w:rsid w:val="00511C2C"/>
    <w:rsid w:val="00526783"/>
    <w:rsid w:val="005278CC"/>
    <w:rsid w:val="00527922"/>
    <w:rsid w:val="00527C80"/>
    <w:rsid w:val="00534110"/>
    <w:rsid w:val="00537FC3"/>
    <w:rsid w:val="00544585"/>
    <w:rsid w:val="0054490B"/>
    <w:rsid w:val="005454D4"/>
    <w:rsid w:val="005470DA"/>
    <w:rsid w:val="0055336D"/>
    <w:rsid w:val="00554008"/>
    <w:rsid w:val="0055588B"/>
    <w:rsid w:val="00561BA0"/>
    <w:rsid w:val="0056384F"/>
    <w:rsid w:val="005649F7"/>
    <w:rsid w:val="0057159F"/>
    <w:rsid w:val="00576747"/>
    <w:rsid w:val="00576B27"/>
    <w:rsid w:val="0058191B"/>
    <w:rsid w:val="0058430D"/>
    <w:rsid w:val="00592004"/>
    <w:rsid w:val="00593101"/>
    <w:rsid w:val="00595F54"/>
    <w:rsid w:val="0059628E"/>
    <w:rsid w:val="005979DF"/>
    <w:rsid w:val="005A7FE8"/>
    <w:rsid w:val="005B44D5"/>
    <w:rsid w:val="005C056E"/>
    <w:rsid w:val="005C22AE"/>
    <w:rsid w:val="005C273B"/>
    <w:rsid w:val="005C3592"/>
    <w:rsid w:val="005C7811"/>
    <w:rsid w:val="005C7F17"/>
    <w:rsid w:val="005D07B9"/>
    <w:rsid w:val="005D0C70"/>
    <w:rsid w:val="005F0C8C"/>
    <w:rsid w:val="005F2AE7"/>
    <w:rsid w:val="005F4729"/>
    <w:rsid w:val="005F52F2"/>
    <w:rsid w:val="00602BE3"/>
    <w:rsid w:val="00610217"/>
    <w:rsid w:val="006121EB"/>
    <w:rsid w:val="00613216"/>
    <w:rsid w:val="0061566A"/>
    <w:rsid w:val="00615E96"/>
    <w:rsid w:val="00616A69"/>
    <w:rsid w:val="00620AFE"/>
    <w:rsid w:val="006244EB"/>
    <w:rsid w:val="006330FC"/>
    <w:rsid w:val="00635F6B"/>
    <w:rsid w:val="006374E7"/>
    <w:rsid w:val="00637CF7"/>
    <w:rsid w:val="00661A28"/>
    <w:rsid w:val="00661C7D"/>
    <w:rsid w:val="00661ED6"/>
    <w:rsid w:val="00662D42"/>
    <w:rsid w:val="006646FC"/>
    <w:rsid w:val="006675C1"/>
    <w:rsid w:val="00676C9C"/>
    <w:rsid w:val="00682E9C"/>
    <w:rsid w:val="006838A2"/>
    <w:rsid w:val="006846CA"/>
    <w:rsid w:val="006869FE"/>
    <w:rsid w:val="0068706D"/>
    <w:rsid w:val="0069196B"/>
    <w:rsid w:val="00696B91"/>
    <w:rsid w:val="006A2F61"/>
    <w:rsid w:val="006A63B8"/>
    <w:rsid w:val="006B09BC"/>
    <w:rsid w:val="006B18C3"/>
    <w:rsid w:val="006B402A"/>
    <w:rsid w:val="006B66F8"/>
    <w:rsid w:val="006C3448"/>
    <w:rsid w:val="006C38FE"/>
    <w:rsid w:val="006C56DF"/>
    <w:rsid w:val="006C6142"/>
    <w:rsid w:val="006C6480"/>
    <w:rsid w:val="006C6862"/>
    <w:rsid w:val="006D1D05"/>
    <w:rsid w:val="006D291D"/>
    <w:rsid w:val="006E4978"/>
    <w:rsid w:val="006E51E9"/>
    <w:rsid w:val="006F2056"/>
    <w:rsid w:val="006F3157"/>
    <w:rsid w:val="006F7835"/>
    <w:rsid w:val="0070178F"/>
    <w:rsid w:val="007216CA"/>
    <w:rsid w:val="00721F1F"/>
    <w:rsid w:val="00734C2C"/>
    <w:rsid w:val="0073560B"/>
    <w:rsid w:val="007379CF"/>
    <w:rsid w:val="00740D97"/>
    <w:rsid w:val="007467B6"/>
    <w:rsid w:val="007612D7"/>
    <w:rsid w:val="00761611"/>
    <w:rsid w:val="00764574"/>
    <w:rsid w:val="00764734"/>
    <w:rsid w:val="00765D1C"/>
    <w:rsid w:val="0076765F"/>
    <w:rsid w:val="00780E4C"/>
    <w:rsid w:val="00784470"/>
    <w:rsid w:val="00786500"/>
    <w:rsid w:val="007914B9"/>
    <w:rsid w:val="00793E0A"/>
    <w:rsid w:val="00795A4E"/>
    <w:rsid w:val="00796C0C"/>
    <w:rsid w:val="007B19DD"/>
    <w:rsid w:val="007B2E89"/>
    <w:rsid w:val="007B5120"/>
    <w:rsid w:val="007C082A"/>
    <w:rsid w:val="007C27BC"/>
    <w:rsid w:val="007C6553"/>
    <w:rsid w:val="007E1621"/>
    <w:rsid w:val="007E73E4"/>
    <w:rsid w:val="007F0ED6"/>
    <w:rsid w:val="007F2079"/>
    <w:rsid w:val="007F3F9C"/>
    <w:rsid w:val="007F67EE"/>
    <w:rsid w:val="00810EA8"/>
    <w:rsid w:val="0081293D"/>
    <w:rsid w:val="00826B99"/>
    <w:rsid w:val="00827EB5"/>
    <w:rsid w:val="0083087C"/>
    <w:rsid w:val="00853E76"/>
    <w:rsid w:val="008642B9"/>
    <w:rsid w:val="00865665"/>
    <w:rsid w:val="008667D4"/>
    <w:rsid w:val="008669EA"/>
    <w:rsid w:val="00866AB0"/>
    <w:rsid w:val="00880135"/>
    <w:rsid w:val="00881AA8"/>
    <w:rsid w:val="00885EA6"/>
    <w:rsid w:val="00887DB8"/>
    <w:rsid w:val="00890377"/>
    <w:rsid w:val="008926DB"/>
    <w:rsid w:val="00896E6F"/>
    <w:rsid w:val="008B0359"/>
    <w:rsid w:val="008B306D"/>
    <w:rsid w:val="008B419D"/>
    <w:rsid w:val="008B76D0"/>
    <w:rsid w:val="008D02ED"/>
    <w:rsid w:val="008D3ACD"/>
    <w:rsid w:val="008D4199"/>
    <w:rsid w:val="008D7C94"/>
    <w:rsid w:val="008E5206"/>
    <w:rsid w:val="008E7601"/>
    <w:rsid w:val="008F0F13"/>
    <w:rsid w:val="008F252D"/>
    <w:rsid w:val="00903692"/>
    <w:rsid w:val="009055EE"/>
    <w:rsid w:val="00907C7E"/>
    <w:rsid w:val="00913B88"/>
    <w:rsid w:val="00914E44"/>
    <w:rsid w:val="009219B0"/>
    <w:rsid w:val="00921D5E"/>
    <w:rsid w:val="00930AEE"/>
    <w:rsid w:val="00932D31"/>
    <w:rsid w:val="009417CC"/>
    <w:rsid w:val="0094218D"/>
    <w:rsid w:val="00942845"/>
    <w:rsid w:val="009432FB"/>
    <w:rsid w:val="00943382"/>
    <w:rsid w:val="00943B94"/>
    <w:rsid w:val="009442DB"/>
    <w:rsid w:val="00947555"/>
    <w:rsid w:val="00947F5B"/>
    <w:rsid w:val="00951AA3"/>
    <w:rsid w:val="00957C7D"/>
    <w:rsid w:val="0096028C"/>
    <w:rsid w:val="009652C8"/>
    <w:rsid w:val="009708BD"/>
    <w:rsid w:val="0097360C"/>
    <w:rsid w:val="0097730E"/>
    <w:rsid w:val="009825F5"/>
    <w:rsid w:val="009865E3"/>
    <w:rsid w:val="00987057"/>
    <w:rsid w:val="00996313"/>
    <w:rsid w:val="009A233C"/>
    <w:rsid w:val="009A2C39"/>
    <w:rsid w:val="009A2E82"/>
    <w:rsid w:val="009A53CF"/>
    <w:rsid w:val="009B4BE2"/>
    <w:rsid w:val="009F0CED"/>
    <w:rsid w:val="009F11FB"/>
    <w:rsid w:val="009F44CD"/>
    <w:rsid w:val="009F60F3"/>
    <w:rsid w:val="009F66DD"/>
    <w:rsid w:val="00A00A58"/>
    <w:rsid w:val="00A02677"/>
    <w:rsid w:val="00A07E2D"/>
    <w:rsid w:val="00A10033"/>
    <w:rsid w:val="00A17BD8"/>
    <w:rsid w:val="00A20199"/>
    <w:rsid w:val="00A21387"/>
    <w:rsid w:val="00A23DBE"/>
    <w:rsid w:val="00A31190"/>
    <w:rsid w:val="00A34711"/>
    <w:rsid w:val="00A45EAE"/>
    <w:rsid w:val="00A5042C"/>
    <w:rsid w:val="00A600E9"/>
    <w:rsid w:val="00A7492C"/>
    <w:rsid w:val="00A74C1A"/>
    <w:rsid w:val="00A764C5"/>
    <w:rsid w:val="00A812B2"/>
    <w:rsid w:val="00A81328"/>
    <w:rsid w:val="00A84134"/>
    <w:rsid w:val="00A86687"/>
    <w:rsid w:val="00A87A2C"/>
    <w:rsid w:val="00A87B68"/>
    <w:rsid w:val="00A90300"/>
    <w:rsid w:val="00A96F9B"/>
    <w:rsid w:val="00AA0686"/>
    <w:rsid w:val="00AA1C69"/>
    <w:rsid w:val="00AA2E30"/>
    <w:rsid w:val="00AA52BD"/>
    <w:rsid w:val="00AA5B25"/>
    <w:rsid w:val="00AC0B63"/>
    <w:rsid w:val="00AC143B"/>
    <w:rsid w:val="00AC54F9"/>
    <w:rsid w:val="00AE3A3A"/>
    <w:rsid w:val="00AE71D4"/>
    <w:rsid w:val="00AF2EAF"/>
    <w:rsid w:val="00AF4064"/>
    <w:rsid w:val="00AF4EFE"/>
    <w:rsid w:val="00B03C32"/>
    <w:rsid w:val="00B07A3C"/>
    <w:rsid w:val="00B17867"/>
    <w:rsid w:val="00B20FCB"/>
    <w:rsid w:val="00B21F2E"/>
    <w:rsid w:val="00B22576"/>
    <w:rsid w:val="00B23A4E"/>
    <w:rsid w:val="00B25410"/>
    <w:rsid w:val="00B265D5"/>
    <w:rsid w:val="00B309C4"/>
    <w:rsid w:val="00B36427"/>
    <w:rsid w:val="00B43F59"/>
    <w:rsid w:val="00B520A3"/>
    <w:rsid w:val="00B52F17"/>
    <w:rsid w:val="00B54388"/>
    <w:rsid w:val="00B57283"/>
    <w:rsid w:val="00B60177"/>
    <w:rsid w:val="00B66303"/>
    <w:rsid w:val="00B67A13"/>
    <w:rsid w:val="00B72315"/>
    <w:rsid w:val="00B739DE"/>
    <w:rsid w:val="00B86AB4"/>
    <w:rsid w:val="00B90253"/>
    <w:rsid w:val="00B9261A"/>
    <w:rsid w:val="00B93E21"/>
    <w:rsid w:val="00BA1AFB"/>
    <w:rsid w:val="00BA3073"/>
    <w:rsid w:val="00BA3644"/>
    <w:rsid w:val="00BB0B78"/>
    <w:rsid w:val="00BB1768"/>
    <w:rsid w:val="00BB17F5"/>
    <w:rsid w:val="00BB1A37"/>
    <w:rsid w:val="00BC00C2"/>
    <w:rsid w:val="00BC6A99"/>
    <w:rsid w:val="00BD4EF8"/>
    <w:rsid w:val="00BD7337"/>
    <w:rsid w:val="00BE647D"/>
    <w:rsid w:val="00C01159"/>
    <w:rsid w:val="00C03622"/>
    <w:rsid w:val="00C0375D"/>
    <w:rsid w:val="00C11696"/>
    <w:rsid w:val="00C12007"/>
    <w:rsid w:val="00C13317"/>
    <w:rsid w:val="00C14D4A"/>
    <w:rsid w:val="00C15A56"/>
    <w:rsid w:val="00C15DA4"/>
    <w:rsid w:val="00C16135"/>
    <w:rsid w:val="00C17163"/>
    <w:rsid w:val="00C20FFB"/>
    <w:rsid w:val="00C31CEE"/>
    <w:rsid w:val="00C32D55"/>
    <w:rsid w:val="00C34C34"/>
    <w:rsid w:val="00C413A5"/>
    <w:rsid w:val="00C42246"/>
    <w:rsid w:val="00C4361B"/>
    <w:rsid w:val="00C4407B"/>
    <w:rsid w:val="00C45AE1"/>
    <w:rsid w:val="00C50FD2"/>
    <w:rsid w:val="00C56F4A"/>
    <w:rsid w:val="00C64D30"/>
    <w:rsid w:val="00C849C6"/>
    <w:rsid w:val="00C85EF6"/>
    <w:rsid w:val="00C93254"/>
    <w:rsid w:val="00CA0A4C"/>
    <w:rsid w:val="00CA0C77"/>
    <w:rsid w:val="00CA19E8"/>
    <w:rsid w:val="00CC422E"/>
    <w:rsid w:val="00CC6488"/>
    <w:rsid w:val="00CD257E"/>
    <w:rsid w:val="00CD2801"/>
    <w:rsid w:val="00CE3B52"/>
    <w:rsid w:val="00CE41B3"/>
    <w:rsid w:val="00CE4D20"/>
    <w:rsid w:val="00CE5428"/>
    <w:rsid w:val="00CF3CB8"/>
    <w:rsid w:val="00CF4870"/>
    <w:rsid w:val="00D13261"/>
    <w:rsid w:val="00D16B5B"/>
    <w:rsid w:val="00D17EE7"/>
    <w:rsid w:val="00D2160D"/>
    <w:rsid w:val="00D250A1"/>
    <w:rsid w:val="00D27BD9"/>
    <w:rsid w:val="00D36124"/>
    <w:rsid w:val="00D373F0"/>
    <w:rsid w:val="00D42300"/>
    <w:rsid w:val="00D4322D"/>
    <w:rsid w:val="00D43AC5"/>
    <w:rsid w:val="00D47BFA"/>
    <w:rsid w:val="00D51FA3"/>
    <w:rsid w:val="00D554A3"/>
    <w:rsid w:val="00D571C4"/>
    <w:rsid w:val="00D5749C"/>
    <w:rsid w:val="00D6001F"/>
    <w:rsid w:val="00D60317"/>
    <w:rsid w:val="00D6333F"/>
    <w:rsid w:val="00D64499"/>
    <w:rsid w:val="00D67168"/>
    <w:rsid w:val="00D72F2F"/>
    <w:rsid w:val="00D93957"/>
    <w:rsid w:val="00DA4188"/>
    <w:rsid w:val="00DA44CD"/>
    <w:rsid w:val="00DA608A"/>
    <w:rsid w:val="00DB0ED0"/>
    <w:rsid w:val="00DC6EF8"/>
    <w:rsid w:val="00DC71DE"/>
    <w:rsid w:val="00DD590B"/>
    <w:rsid w:val="00DE07B3"/>
    <w:rsid w:val="00DF045B"/>
    <w:rsid w:val="00DF486F"/>
    <w:rsid w:val="00DF6713"/>
    <w:rsid w:val="00E03796"/>
    <w:rsid w:val="00E03829"/>
    <w:rsid w:val="00E04A59"/>
    <w:rsid w:val="00E100CF"/>
    <w:rsid w:val="00E22A13"/>
    <w:rsid w:val="00E236D0"/>
    <w:rsid w:val="00E24D30"/>
    <w:rsid w:val="00E270F9"/>
    <w:rsid w:val="00E31CD8"/>
    <w:rsid w:val="00E4077E"/>
    <w:rsid w:val="00E41FC2"/>
    <w:rsid w:val="00E446BA"/>
    <w:rsid w:val="00E44A22"/>
    <w:rsid w:val="00E47152"/>
    <w:rsid w:val="00E50C80"/>
    <w:rsid w:val="00E56E51"/>
    <w:rsid w:val="00E729E3"/>
    <w:rsid w:val="00E75B88"/>
    <w:rsid w:val="00E76F52"/>
    <w:rsid w:val="00E8188C"/>
    <w:rsid w:val="00E928C4"/>
    <w:rsid w:val="00EA14FF"/>
    <w:rsid w:val="00EA44DD"/>
    <w:rsid w:val="00EA45CD"/>
    <w:rsid w:val="00EA6A6D"/>
    <w:rsid w:val="00EB15E8"/>
    <w:rsid w:val="00EC1480"/>
    <w:rsid w:val="00EC4BF2"/>
    <w:rsid w:val="00EC631C"/>
    <w:rsid w:val="00EC7610"/>
    <w:rsid w:val="00ED1133"/>
    <w:rsid w:val="00ED2523"/>
    <w:rsid w:val="00ED7636"/>
    <w:rsid w:val="00EE3569"/>
    <w:rsid w:val="00EF05D7"/>
    <w:rsid w:val="00EF2506"/>
    <w:rsid w:val="00EF2FDF"/>
    <w:rsid w:val="00F03E10"/>
    <w:rsid w:val="00F10B7B"/>
    <w:rsid w:val="00F1235F"/>
    <w:rsid w:val="00F173F3"/>
    <w:rsid w:val="00F211FB"/>
    <w:rsid w:val="00F226AA"/>
    <w:rsid w:val="00F274BC"/>
    <w:rsid w:val="00F31FBF"/>
    <w:rsid w:val="00F52F0E"/>
    <w:rsid w:val="00F54142"/>
    <w:rsid w:val="00F56EE6"/>
    <w:rsid w:val="00F57FAF"/>
    <w:rsid w:val="00F90D04"/>
    <w:rsid w:val="00F9110C"/>
    <w:rsid w:val="00FA04AB"/>
    <w:rsid w:val="00FA6C2D"/>
    <w:rsid w:val="00FA7008"/>
    <w:rsid w:val="00FB5518"/>
    <w:rsid w:val="00FC13E3"/>
    <w:rsid w:val="00FC57F0"/>
    <w:rsid w:val="00FC71D9"/>
    <w:rsid w:val="00FD01DF"/>
    <w:rsid w:val="00FD0BD2"/>
    <w:rsid w:val="00FD3D46"/>
    <w:rsid w:val="00FD3DE5"/>
    <w:rsid w:val="00FE2CBA"/>
    <w:rsid w:val="00FE7A6C"/>
    <w:rsid w:val="00FF1766"/>
    <w:rsid w:val="00FF1F15"/>
    <w:rsid w:val="00FF2463"/>
    <w:rsid w:val="120AE2AE"/>
    <w:rsid w:val="7A1EC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C7F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7FA"/>
    <w:pPr>
      <w:spacing w:after="0" w:line="480" w:lineRule="auto"/>
    </w:pPr>
    <w:rPr>
      <w:rFonts w:ascii="Times New Roman" w:eastAsia="Times New Roman" w:hAnsi="Times New Roman" w:cs="Times New Roman"/>
      <w:kern w:val="0"/>
      <w:sz w:val="26"/>
      <w:szCs w:val="26"/>
      <w:lang w:val="en" w:eastAsia="ja-JP"/>
      <w14:ligatures w14:val="none"/>
    </w:rPr>
  </w:style>
  <w:style w:type="paragraph" w:styleId="Heading1">
    <w:name w:val="heading 1"/>
    <w:basedOn w:val="Normal"/>
    <w:next w:val="Normal"/>
    <w:link w:val="Heading1Char"/>
    <w:uiPriority w:val="9"/>
    <w:qFormat/>
    <w:rsid w:val="003D3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13E6"/>
    <w:pPr>
      <w:keepNext/>
      <w:keepLines/>
      <w:numPr>
        <w:numId w:val="10"/>
      </w:numPr>
      <w:spacing w:before="160" w:after="260" w:line="240" w:lineRule="auto"/>
      <w:outlineLvl w:val="1"/>
    </w:pPr>
    <w:rPr>
      <w:rFonts w:eastAsiaTheme="majorEastAsia"/>
      <w:b/>
      <w:lang w:val="en-US"/>
    </w:rPr>
  </w:style>
  <w:style w:type="paragraph" w:styleId="Heading3">
    <w:name w:val="heading 3"/>
    <w:basedOn w:val="ListParagraph"/>
    <w:next w:val="Normal"/>
    <w:link w:val="Heading3Char"/>
    <w:uiPriority w:val="9"/>
    <w:unhideWhenUsed/>
    <w:qFormat/>
    <w:rsid w:val="00E4077E"/>
    <w:pPr>
      <w:numPr>
        <w:numId w:val="17"/>
      </w:numPr>
      <w:spacing w:line="240" w:lineRule="auto"/>
      <w:outlineLvl w:val="2"/>
    </w:pPr>
    <w:rPr>
      <w:b/>
      <w:bCs/>
      <w:lang w:val="en-US"/>
    </w:rPr>
  </w:style>
  <w:style w:type="paragraph" w:styleId="Heading4">
    <w:name w:val="heading 4"/>
    <w:basedOn w:val="ListParagraph"/>
    <w:next w:val="Normal"/>
    <w:link w:val="Heading4Char"/>
    <w:uiPriority w:val="9"/>
    <w:unhideWhenUsed/>
    <w:qFormat/>
    <w:rsid w:val="004824A9"/>
    <w:pPr>
      <w:numPr>
        <w:numId w:val="16"/>
      </w:numPr>
      <w:spacing w:line="240" w:lineRule="auto"/>
      <w:ind w:left="2160"/>
      <w:jc w:val="both"/>
      <w:outlineLvl w:val="3"/>
    </w:pPr>
    <w:rPr>
      <w:bCs/>
      <w:u w:val="single"/>
      <w:lang w:val="en-US"/>
    </w:rPr>
  </w:style>
  <w:style w:type="paragraph" w:styleId="Heading5">
    <w:name w:val="heading 5"/>
    <w:basedOn w:val="Normal"/>
    <w:next w:val="Normal"/>
    <w:link w:val="Heading5Char"/>
    <w:uiPriority w:val="9"/>
    <w:semiHidden/>
    <w:unhideWhenUsed/>
    <w:qFormat/>
    <w:rsid w:val="003D37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7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7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7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7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13E6"/>
    <w:rPr>
      <w:rFonts w:ascii="Times New Roman" w:eastAsiaTheme="majorEastAsia" w:hAnsi="Times New Roman" w:cs="Times New Roman"/>
      <w:b/>
      <w:kern w:val="0"/>
      <w:sz w:val="26"/>
      <w:szCs w:val="26"/>
      <w:lang w:eastAsia="ja-JP"/>
      <w14:ligatures w14:val="none"/>
    </w:rPr>
  </w:style>
  <w:style w:type="character" w:customStyle="1" w:styleId="Heading3Char">
    <w:name w:val="Heading 3 Char"/>
    <w:basedOn w:val="DefaultParagraphFont"/>
    <w:link w:val="Heading3"/>
    <w:uiPriority w:val="9"/>
    <w:rsid w:val="00E4077E"/>
    <w:rPr>
      <w:rFonts w:ascii="Times New Roman" w:eastAsia="Times New Roman" w:hAnsi="Times New Roman" w:cs="Times New Roman"/>
      <w:b/>
      <w:bCs/>
      <w:kern w:val="0"/>
      <w:sz w:val="26"/>
      <w:szCs w:val="26"/>
      <w:lang w:eastAsia="ja-JP"/>
      <w14:ligatures w14:val="none"/>
    </w:rPr>
  </w:style>
  <w:style w:type="character" w:customStyle="1" w:styleId="Heading4Char">
    <w:name w:val="Heading 4 Char"/>
    <w:basedOn w:val="DefaultParagraphFont"/>
    <w:link w:val="Heading4"/>
    <w:uiPriority w:val="9"/>
    <w:rsid w:val="004824A9"/>
    <w:rPr>
      <w:rFonts w:ascii="Times New Roman" w:eastAsia="Times New Roman" w:hAnsi="Times New Roman" w:cs="Times New Roman"/>
      <w:bCs/>
      <w:kern w:val="0"/>
      <w:sz w:val="26"/>
      <w:szCs w:val="26"/>
      <w:u w:val="single"/>
      <w:lang w:eastAsia="ja-JP"/>
      <w14:ligatures w14:val="none"/>
    </w:rPr>
  </w:style>
  <w:style w:type="character" w:customStyle="1" w:styleId="Heading5Char">
    <w:name w:val="Heading 5 Char"/>
    <w:basedOn w:val="DefaultParagraphFont"/>
    <w:link w:val="Heading5"/>
    <w:uiPriority w:val="9"/>
    <w:semiHidden/>
    <w:rsid w:val="003D3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7FA"/>
    <w:rPr>
      <w:rFonts w:eastAsiaTheme="majorEastAsia" w:cstheme="majorBidi"/>
      <w:color w:val="272727" w:themeColor="text1" w:themeTint="D8"/>
    </w:rPr>
  </w:style>
  <w:style w:type="paragraph" w:styleId="Title">
    <w:name w:val="Title"/>
    <w:basedOn w:val="Normal"/>
    <w:next w:val="Normal"/>
    <w:link w:val="TitleChar"/>
    <w:uiPriority w:val="10"/>
    <w:qFormat/>
    <w:rsid w:val="003D37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7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7FA"/>
    <w:pPr>
      <w:spacing w:before="160"/>
      <w:jc w:val="center"/>
    </w:pPr>
    <w:rPr>
      <w:i/>
      <w:iCs/>
      <w:color w:val="404040" w:themeColor="text1" w:themeTint="BF"/>
    </w:rPr>
  </w:style>
  <w:style w:type="character" w:customStyle="1" w:styleId="QuoteChar">
    <w:name w:val="Quote Char"/>
    <w:basedOn w:val="DefaultParagraphFont"/>
    <w:link w:val="Quote"/>
    <w:uiPriority w:val="29"/>
    <w:rsid w:val="003D37FA"/>
    <w:rPr>
      <w:i/>
      <w:iCs/>
      <w:color w:val="404040" w:themeColor="text1" w:themeTint="BF"/>
    </w:rPr>
  </w:style>
  <w:style w:type="paragraph" w:styleId="ListParagraph">
    <w:name w:val="List Paragraph"/>
    <w:basedOn w:val="Normal"/>
    <w:uiPriority w:val="34"/>
    <w:qFormat/>
    <w:rsid w:val="003D37FA"/>
    <w:pPr>
      <w:ind w:left="720"/>
      <w:contextualSpacing/>
    </w:pPr>
  </w:style>
  <w:style w:type="character" w:styleId="IntenseEmphasis">
    <w:name w:val="Intense Emphasis"/>
    <w:basedOn w:val="DefaultParagraphFont"/>
    <w:uiPriority w:val="21"/>
    <w:qFormat/>
    <w:rsid w:val="003D37FA"/>
    <w:rPr>
      <w:i/>
      <w:iCs/>
      <w:color w:val="0F4761" w:themeColor="accent1" w:themeShade="BF"/>
    </w:rPr>
  </w:style>
  <w:style w:type="paragraph" w:styleId="IntenseQuote">
    <w:name w:val="Intense Quote"/>
    <w:basedOn w:val="Normal"/>
    <w:next w:val="Normal"/>
    <w:link w:val="IntenseQuoteChar"/>
    <w:uiPriority w:val="30"/>
    <w:qFormat/>
    <w:rsid w:val="003D3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7FA"/>
    <w:rPr>
      <w:i/>
      <w:iCs/>
      <w:color w:val="0F4761" w:themeColor="accent1" w:themeShade="BF"/>
    </w:rPr>
  </w:style>
  <w:style w:type="character" w:styleId="IntenseReference">
    <w:name w:val="Intense Reference"/>
    <w:basedOn w:val="DefaultParagraphFont"/>
    <w:uiPriority w:val="32"/>
    <w:qFormat/>
    <w:rsid w:val="003D37FA"/>
    <w:rPr>
      <w:b/>
      <w:bCs/>
      <w:smallCaps/>
      <w:color w:val="0F4761" w:themeColor="accent1" w:themeShade="BF"/>
      <w:spacing w:val="5"/>
    </w:rPr>
  </w:style>
  <w:style w:type="table" w:customStyle="1" w:styleId="NormalTable0">
    <w:name w:val="Normal Table0"/>
    <w:uiPriority w:val="99"/>
    <w:semiHidden/>
    <w:unhideWhenUsed/>
    <w:rsid w:val="003D37FA"/>
    <w:pPr>
      <w:spacing w:after="0" w:line="480" w:lineRule="auto"/>
    </w:pPr>
    <w:rPr>
      <w:rFonts w:ascii="Times New Roman" w:eastAsia="Times New Roman" w:hAnsi="Times New Roman" w:cs="Times New Roman"/>
      <w:kern w:val="0"/>
      <w:sz w:val="26"/>
      <w:szCs w:val="26"/>
      <w:lang w:val="en" w:eastAsia="ja-JP"/>
      <w14:ligatures w14:val="none"/>
    </w:rPr>
    <w:tblPr>
      <w:tblInd w:w="0" w:type="dxa"/>
      <w:tblCellMar>
        <w:top w:w="0" w:type="dxa"/>
        <w:left w:w="108" w:type="dxa"/>
        <w:bottom w:w="0" w:type="dxa"/>
        <w:right w:w="108" w:type="dxa"/>
      </w:tblCellMar>
    </w:tblPr>
  </w:style>
  <w:style w:type="paragraph" w:customStyle="1" w:styleId="paragraph">
    <w:name w:val="paragraph"/>
    <w:basedOn w:val="Normal"/>
    <w:rsid w:val="003D37FA"/>
    <w:pPr>
      <w:spacing w:before="100" w:beforeAutospacing="1" w:after="100" w:afterAutospacing="1" w:line="240" w:lineRule="auto"/>
    </w:pPr>
  </w:style>
  <w:style w:type="character" w:customStyle="1" w:styleId="normaltextrun">
    <w:name w:val="normaltextrun"/>
    <w:basedOn w:val="DefaultParagraphFont"/>
    <w:rsid w:val="003D37FA"/>
  </w:style>
  <w:style w:type="character" w:customStyle="1" w:styleId="eop">
    <w:name w:val="eop"/>
    <w:basedOn w:val="DefaultParagraphFont"/>
    <w:rsid w:val="003D37FA"/>
  </w:style>
  <w:style w:type="character" w:customStyle="1" w:styleId="tabchar">
    <w:name w:val="tabchar"/>
    <w:basedOn w:val="DefaultParagraphFont"/>
    <w:rsid w:val="003D37FA"/>
  </w:style>
  <w:style w:type="character" w:customStyle="1" w:styleId="scxw267933536">
    <w:name w:val="scxw267933536"/>
    <w:basedOn w:val="DefaultParagraphFont"/>
    <w:rsid w:val="003D37FA"/>
  </w:style>
  <w:style w:type="character" w:customStyle="1" w:styleId="wacimagecontainer">
    <w:name w:val="wacimagecontainer"/>
    <w:basedOn w:val="DefaultParagraphFont"/>
    <w:rsid w:val="003D37FA"/>
  </w:style>
  <w:style w:type="paragraph" w:styleId="TOCHeading">
    <w:name w:val="TOC Heading"/>
    <w:basedOn w:val="Heading1"/>
    <w:next w:val="Normal"/>
    <w:uiPriority w:val="39"/>
    <w:unhideWhenUsed/>
    <w:qFormat/>
    <w:rsid w:val="003D37FA"/>
    <w:pPr>
      <w:keepNext w:val="0"/>
      <w:keepLines w:val="0"/>
      <w:spacing w:before="480" w:after="0" w:line="276" w:lineRule="auto"/>
      <w:outlineLvl w:val="9"/>
    </w:pPr>
    <w:rPr>
      <w:rFonts w:ascii="Times New Roman" w:eastAsia="Times New Roman" w:hAnsi="Times New Roman" w:cs="Times New Roman"/>
      <w:b/>
      <w:bCs/>
      <w:color w:val="000000"/>
      <w:sz w:val="28"/>
      <w:szCs w:val="28"/>
    </w:rPr>
  </w:style>
  <w:style w:type="paragraph" w:styleId="TOC1">
    <w:name w:val="toc 1"/>
    <w:basedOn w:val="Normal"/>
    <w:next w:val="Normal"/>
    <w:autoRedefine/>
    <w:uiPriority w:val="39"/>
    <w:unhideWhenUsed/>
    <w:rsid w:val="00635F6B"/>
    <w:pPr>
      <w:tabs>
        <w:tab w:val="right" w:leader="dot" w:pos="9350"/>
      </w:tabs>
      <w:spacing w:after="240" w:line="240" w:lineRule="auto"/>
    </w:pPr>
    <w:rPr>
      <w:noProof/>
    </w:rPr>
  </w:style>
  <w:style w:type="paragraph" w:styleId="TOC2">
    <w:name w:val="toc 2"/>
    <w:basedOn w:val="Normal"/>
    <w:next w:val="Normal"/>
    <w:autoRedefine/>
    <w:uiPriority w:val="39"/>
    <w:unhideWhenUsed/>
    <w:rsid w:val="001F4CF7"/>
    <w:pPr>
      <w:tabs>
        <w:tab w:val="right" w:leader="dot" w:pos="9350"/>
      </w:tabs>
      <w:spacing w:after="240" w:line="240" w:lineRule="auto"/>
      <w:ind w:left="720" w:hanging="720"/>
      <w:jc w:val="both"/>
    </w:pPr>
    <w:rPr>
      <w:noProof/>
    </w:rPr>
  </w:style>
  <w:style w:type="character" w:styleId="Hyperlink">
    <w:name w:val="Hyperlink"/>
    <w:basedOn w:val="DefaultParagraphFont"/>
    <w:uiPriority w:val="99"/>
    <w:unhideWhenUsed/>
    <w:rsid w:val="003D37FA"/>
    <w:rPr>
      <w:color w:val="467886" w:themeColor="hyperlink"/>
      <w:u w:val="single"/>
    </w:rPr>
  </w:style>
  <w:style w:type="paragraph" w:styleId="TOC3">
    <w:name w:val="toc 3"/>
    <w:basedOn w:val="Normal"/>
    <w:next w:val="Normal"/>
    <w:autoRedefine/>
    <w:uiPriority w:val="39"/>
    <w:unhideWhenUsed/>
    <w:rsid w:val="00B86AB4"/>
    <w:pPr>
      <w:tabs>
        <w:tab w:val="right" w:leader="dot" w:pos="9350"/>
      </w:tabs>
      <w:spacing w:after="240" w:line="240" w:lineRule="auto"/>
      <w:ind w:left="1440" w:hanging="720"/>
    </w:pPr>
    <w:rPr>
      <w:b/>
      <w:bCs/>
      <w:noProof/>
    </w:rPr>
  </w:style>
  <w:style w:type="paragraph" w:styleId="TOC4">
    <w:name w:val="toc 4"/>
    <w:basedOn w:val="Normal"/>
    <w:next w:val="Normal"/>
    <w:autoRedefine/>
    <w:uiPriority w:val="39"/>
    <w:unhideWhenUsed/>
    <w:rsid w:val="00B86AB4"/>
    <w:pPr>
      <w:tabs>
        <w:tab w:val="right" w:leader="dot" w:pos="9350"/>
      </w:tabs>
      <w:spacing w:after="240" w:line="240" w:lineRule="auto"/>
      <w:ind w:left="2160" w:hanging="720"/>
    </w:pPr>
    <w:rPr>
      <w:noProof/>
    </w:rPr>
  </w:style>
  <w:style w:type="paragraph" w:styleId="TOC5">
    <w:name w:val="toc 5"/>
    <w:basedOn w:val="Normal"/>
    <w:next w:val="Normal"/>
    <w:autoRedefine/>
    <w:uiPriority w:val="39"/>
    <w:semiHidden/>
    <w:unhideWhenUsed/>
    <w:rsid w:val="003D37FA"/>
    <w:pPr>
      <w:ind w:left="1040"/>
    </w:pPr>
    <w:rPr>
      <w:rFonts w:asciiTheme="minorHAnsi" w:hAnsiTheme="minorHAnsi"/>
      <w:sz w:val="20"/>
      <w:szCs w:val="20"/>
    </w:rPr>
  </w:style>
  <w:style w:type="paragraph" w:styleId="TOC6">
    <w:name w:val="toc 6"/>
    <w:basedOn w:val="Normal"/>
    <w:next w:val="Normal"/>
    <w:autoRedefine/>
    <w:uiPriority w:val="39"/>
    <w:semiHidden/>
    <w:unhideWhenUsed/>
    <w:rsid w:val="003D37FA"/>
    <w:pPr>
      <w:ind w:left="1300"/>
    </w:pPr>
    <w:rPr>
      <w:rFonts w:asciiTheme="minorHAnsi" w:hAnsiTheme="minorHAnsi"/>
      <w:sz w:val="20"/>
      <w:szCs w:val="20"/>
    </w:rPr>
  </w:style>
  <w:style w:type="paragraph" w:styleId="TOC7">
    <w:name w:val="toc 7"/>
    <w:basedOn w:val="Normal"/>
    <w:next w:val="Normal"/>
    <w:autoRedefine/>
    <w:uiPriority w:val="39"/>
    <w:semiHidden/>
    <w:unhideWhenUsed/>
    <w:rsid w:val="003D37FA"/>
    <w:pPr>
      <w:ind w:left="1560"/>
    </w:pPr>
    <w:rPr>
      <w:rFonts w:asciiTheme="minorHAnsi" w:hAnsiTheme="minorHAnsi"/>
      <w:sz w:val="20"/>
      <w:szCs w:val="20"/>
    </w:rPr>
  </w:style>
  <w:style w:type="paragraph" w:styleId="TOC8">
    <w:name w:val="toc 8"/>
    <w:basedOn w:val="Normal"/>
    <w:next w:val="Normal"/>
    <w:autoRedefine/>
    <w:uiPriority w:val="39"/>
    <w:semiHidden/>
    <w:unhideWhenUsed/>
    <w:rsid w:val="003D37FA"/>
    <w:pPr>
      <w:ind w:left="1820"/>
    </w:pPr>
    <w:rPr>
      <w:rFonts w:asciiTheme="minorHAnsi" w:hAnsiTheme="minorHAnsi"/>
      <w:sz w:val="20"/>
      <w:szCs w:val="20"/>
    </w:rPr>
  </w:style>
  <w:style w:type="paragraph" w:styleId="TOC9">
    <w:name w:val="toc 9"/>
    <w:basedOn w:val="Normal"/>
    <w:next w:val="Normal"/>
    <w:autoRedefine/>
    <w:uiPriority w:val="39"/>
    <w:semiHidden/>
    <w:unhideWhenUsed/>
    <w:rsid w:val="003D37FA"/>
    <w:pPr>
      <w:ind w:left="2080"/>
    </w:pPr>
    <w:rPr>
      <w:rFonts w:asciiTheme="minorHAnsi" w:hAnsiTheme="minorHAnsi"/>
      <w:sz w:val="20"/>
      <w:szCs w:val="20"/>
    </w:rPr>
  </w:style>
  <w:style w:type="paragraph" w:styleId="BodyText">
    <w:name w:val="Body Text"/>
    <w:basedOn w:val="Normal"/>
    <w:link w:val="BodyTextChar"/>
    <w:uiPriority w:val="1"/>
    <w:qFormat/>
    <w:rsid w:val="003D37FA"/>
    <w:pPr>
      <w:widowControl w:val="0"/>
      <w:autoSpaceDE w:val="0"/>
      <w:autoSpaceDN w:val="0"/>
      <w:spacing w:line="240" w:lineRule="auto"/>
      <w:ind w:left="100"/>
    </w:pPr>
    <w:rPr>
      <w:sz w:val="28"/>
      <w:szCs w:val="28"/>
      <w:lang w:val="en-US"/>
    </w:rPr>
  </w:style>
  <w:style w:type="character" w:customStyle="1" w:styleId="BodyTextChar">
    <w:name w:val="Body Text Char"/>
    <w:basedOn w:val="DefaultParagraphFont"/>
    <w:link w:val="BodyText"/>
    <w:uiPriority w:val="1"/>
    <w:rsid w:val="003D37FA"/>
    <w:rPr>
      <w:rFonts w:ascii="Times New Roman" w:eastAsia="Times New Roman" w:hAnsi="Times New Roman" w:cs="Times New Roman"/>
      <w:kern w:val="0"/>
      <w:sz w:val="28"/>
      <w:szCs w:val="28"/>
      <w:lang w:eastAsia="ja-JP"/>
      <w14:ligatures w14:val="none"/>
    </w:rPr>
  </w:style>
  <w:style w:type="paragraph" w:styleId="TOAHeading">
    <w:name w:val="toa heading"/>
    <w:basedOn w:val="Normal"/>
    <w:next w:val="Normal"/>
    <w:uiPriority w:val="99"/>
    <w:unhideWhenUsed/>
    <w:rsid w:val="003D37FA"/>
    <w:pPr>
      <w:spacing w:before="120"/>
    </w:pPr>
    <w:rPr>
      <w:rFonts w:asciiTheme="majorHAnsi" w:eastAsiaTheme="majorEastAsia" w:hAnsiTheme="majorHAnsi" w:cstheme="majorBidi"/>
    </w:rPr>
  </w:style>
  <w:style w:type="paragraph" w:styleId="TableofAuthorities">
    <w:name w:val="table of authorities"/>
    <w:basedOn w:val="Normal"/>
    <w:next w:val="Normal"/>
    <w:uiPriority w:val="99"/>
    <w:unhideWhenUsed/>
    <w:rsid w:val="003D37FA"/>
    <w:pPr>
      <w:ind w:left="240" w:hanging="240"/>
    </w:pPr>
  </w:style>
  <w:style w:type="paragraph" w:styleId="Header">
    <w:name w:val="header"/>
    <w:basedOn w:val="Normal"/>
    <w:link w:val="HeaderChar"/>
    <w:uiPriority w:val="99"/>
    <w:unhideWhenUsed/>
    <w:rsid w:val="003D37FA"/>
    <w:pPr>
      <w:tabs>
        <w:tab w:val="center" w:pos="4680"/>
        <w:tab w:val="right" w:pos="9360"/>
      </w:tabs>
      <w:spacing w:line="240" w:lineRule="auto"/>
    </w:pPr>
  </w:style>
  <w:style w:type="character" w:customStyle="1" w:styleId="HeaderChar">
    <w:name w:val="Header Char"/>
    <w:basedOn w:val="DefaultParagraphFont"/>
    <w:link w:val="Header"/>
    <w:uiPriority w:val="99"/>
    <w:rsid w:val="003D37FA"/>
    <w:rPr>
      <w:rFonts w:ascii="Times New Roman" w:eastAsia="Times New Roman" w:hAnsi="Times New Roman" w:cs="Times New Roman"/>
      <w:kern w:val="0"/>
      <w:sz w:val="26"/>
      <w:szCs w:val="26"/>
      <w:lang w:val="en" w:eastAsia="ja-JP"/>
      <w14:ligatures w14:val="none"/>
    </w:rPr>
  </w:style>
  <w:style w:type="paragraph" w:styleId="Footer">
    <w:name w:val="footer"/>
    <w:basedOn w:val="Normal"/>
    <w:link w:val="FooterChar"/>
    <w:uiPriority w:val="99"/>
    <w:unhideWhenUsed/>
    <w:rsid w:val="003D37FA"/>
    <w:pPr>
      <w:tabs>
        <w:tab w:val="center" w:pos="4680"/>
        <w:tab w:val="right" w:pos="9360"/>
      </w:tabs>
      <w:spacing w:line="240" w:lineRule="auto"/>
    </w:pPr>
  </w:style>
  <w:style w:type="character" w:customStyle="1" w:styleId="FooterChar">
    <w:name w:val="Footer Char"/>
    <w:basedOn w:val="DefaultParagraphFont"/>
    <w:link w:val="Footer"/>
    <w:uiPriority w:val="99"/>
    <w:rsid w:val="003D37FA"/>
    <w:rPr>
      <w:rFonts w:ascii="Times New Roman" w:eastAsia="Times New Roman" w:hAnsi="Times New Roman" w:cs="Times New Roman"/>
      <w:kern w:val="0"/>
      <w:sz w:val="26"/>
      <w:szCs w:val="26"/>
      <w:lang w:val="en" w:eastAsia="ja-JP"/>
      <w14:ligatures w14:val="none"/>
    </w:rPr>
  </w:style>
  <w:style w:type="character" w:styleId="PageNumber">
    <w:name w:val="page number"/>
    <w:basedOn w:val="DefaultParagraphFont"/>
    <w:uiPriority w:val="99"/>
    <w:semiHidden/>
    <w:unhideWhenUsed/>
    <w:rsid w:val="003D37FA"/>
  </w:style>
  <w:style w:type="paragraph" w:styleId="Revision">
    <w:name w:val="Revision"/>
    <w:hidden/>
    <w:uiPriority w:val="99"/>
    <w:semiHidden/>
    <w:rsid w:val="003D37FA"/>
    <w:pPr>
      <w:spacing w:after="0" w:line="240" w:lineRule="auto"/>
    </w:pPr>
    <w:rPr>
      <w:rFonts w:ascii="Times New Roman" w:eastAsia="Times New Roman" w:hAnsi="Times New Roman" w:cs="Times New Roman"/>
      <w:kern w:val="0"/>
      <w:sz w:val="26"/>
      <w:szCs w:val="26"/>
      <w:lang w:val="en" w:eastAsia="ja-JP"/>
      <w14:ligatures w14:val="none"/>
    </w:rPr>
  </w:style>
  <w:style w:type="character" w:styleId="CommentReference">
    <w:name w:val="annotation reference"/>
    <w:basedOn w:val="DefaultParagraphFont"/>
    <w:uiPriority w:val="99"/>
    <w:semiHidden/>
    <w:unhideWhenUsed/>
    <w:rsid w:val="003D37FA"/>
    <w:rPr>
      <w:sz w:val="16"/>
      <w:szCs w:val="16"/>
    </w:rPr>
  </w:style>
  <w:style w:type="paragraph" w:styleId="CommentText">
    <w:name w:val="annotation text"/>
    <w:basedOn w:val="Normal"/>
    <w:link w:val="CommentTextChar"/>
    <w:uiPriority w:val="99"/>
    <w:unhideWhenUsed/>
    <w:rsid w:val="003D37FA"/>
    <w:pPr>
      <w:spacing w:line="240" w:lineRule="auto"/>
    </w:pPr>
    <w:rPr>
      <w:sz w:val="20"/>
      <w:szCs w:val="20"/>
    </w:rPr>
  </w:style>
  <w:style w:type="character" w:customStyle="1" w:styleId="CommentTextChar">
    <w:name w:val="Comment Text Char"/>
    <w:basedOn w:val="DefaultParagraphFont"/>
    <w:link w:val="CommentText"/>
    <w:uiPriority w:val="99"/>
    <w:rsid w:val="003D37FA"/>
    <w:rPr>
      <w:rFonts w:ascii="Times New Roman" w:eastAsia="Times New Roman" w:hAnsi="Times New Roman" w:cs="Times New Roman"/>
      <w:kern w:val="0"/>
      <w:sz w:val="20"/>
      <w:szCs w:val="20"/>
      <w:lang w:val="en" w:eastAsia="ja-JP"/>
      <w14:ligatures w14:val="none"/>
    </w:rPr>
  </w:style>
  <w:style w:type="paragraph" w:styleId="CommentSubject">
    <w:name w:val="annotation subject"/>
    <w:basedOn w:val="CommentText"/>
    <w:next w:val="CommentText"/>
    <w:link w:val="CommentSubjectChar"/>
    <w:uiPriority w:val="99"/>
    <w:semiHidden/>
    <w:unhideWhenUsed/>
    <w:rsid w:val="003D37FA"/>
  </w:style>
  <w:style w:type="character" w:customStyle="1" w:styleId="CommentSubjectChar">
    <w:name w:val="Comment Subject Char"/>
    <w:basedOn w:val="CommentTextChar"/>
    <w:link w:val="CommentSubject"/>
    <w:uiPriority w:val="99"/>
    <w:semiHidden/>
    <w:rsid w:val="003D37FA"/>
    <w:rPr>
      <w:rFonts w:ascii="Times New Roman" w:eastAsia="Times New Roman" w:hAnsi="Times New Roman" w:cs="Times New Roman"/>
      <w:kern w:val="0"/>
      <w:sz w:val="20"/>
      <w:szCs w:val="20"/>
      <w:lang w:val="en" w:eastAsia="ja-JP"/>
      <w14:ligatures w14:val="none"/>
    </w:rPr>
  </w:style>
  <w:style w:type="paragraph" w:styleId="FootnoteText">
    <w:name w:val="footnote text"/>
    <w:basedOn w:val="Normal"/>
    <w:link w:val="FootnoteTextChar"/>
    <w:uiPriority w:val="99"/>
    <w:semiHidden/>
    <w:unhideWhenUsed/>
    <w:rsid w:val="003D37FA"/>
    <w:pPr>
      <w:widowControl w:val="0"/>
      <w:autoSpaceDE w:val="0"/>
      <w:autoSpaceDN w:val="0"/>
      <w:spacing w:line="240" w:lineRule="auto"/>
    </w:pPr>
    <w:rPr>
      <w:sz w:val="20"/>
      <w:szCs w:val="20"/>
      <w:lang w:val="en-US"/>
    </w:rPr>
  </w:style>
  <w:style w:type="character" w:customStyle="1" w:styleId="FootnoteTextChar">
    <w:name w:val="Footnote Text Char"/>
    <w:basedOn w:val="DefaultParagraphFont"/>
    <w:link w:val="FootnoteText"/>
    <w:uiPriority w:val="99"/>
    <w:semiHidden/>
    <w:rsid w:val="003D37FA"/>
    <w:rPr>
      <w:rFonts w:ascii="Times New Roman" w:eastAsia="Times New Roman" w:hAnsi="Times New Roman" w:cs="Times New Roman"/>
      <w:kern w:val="0"/>
      <w:sz w:val="20"/>
      <w:szCs w:val="20"/>
      <w:lang w:eastAsia="ja-JP"/>
      <w14:ligatures w14:val="none"/>
    </w:rPr>
  </w:style>
  <w:style w:type="character" w:styleId="FootnoteReference">
    <w:name w:val="footnote reference"/>
    <w:basedOn w:val="DefaultParagraphFont"/>
    <w:uiPriority w:val="99"/>
    <w:semiHidden/>
    <w:unhideWhenUsed/>
    <w:rsid w:val="003D37FA"/>
    <w:rPr>
      <w:vertAlign w:val="superscript"/>
    </w:rPr>
  </w:style>
  <w:style w:type="paragraph" w:styleId="NormalWeb">
    <w:name w:val="Normal (Web)"/>
    <w:basedOn w:val="Normal"/>
    <w:uiPriority w:val="99"/>
    <w:unhideWhenUsed/>
    <w:rsid w:val="003D37FA"/>
    <w:pPr>
      <w:spacing w:before="100" w:beforeAutospacing="1" w:after="100" w:afterAutospacing="1" w:line="240" w:lineRule="auto"/>
    </w:pPr>
    <w:rPr>
      <w:lang w:val="en-US"/>
    </w:rPr>
  </w:style>
  <w:style w:type="character" w:customStyle="1" w:styleId="apple-tab-span">
    <w:name w:val="apple-tab-span"/>
    <w:basedOn w:val="DefaultParagraphFont"/>
    <w:rsid w:val="003D37FA"/>
  </w:style>
  <w:style w:type="character" w:styleId="Emphasis">
    <w:name w:val="Emphasis"/>
    <w:basedOn w:val="DefaultParagraphFont"/>
    <w:uiPriority w:val="20"/>
    <w:qFormat/>
    <w:rsid w:val="003D37FA"/>
    <w:rPr>
      <w:i/>
      <w:iCs/>
    </w:rPr>
  </w:style>
  <w:style w:type="character" w:styleId="FollowedHyperlink">
    <w:name w:val="FollowedHyperlink"/>
    <w:basedOn w:val="DefaultParagraphFont"/>
    <w:uiPriority w:val="99"/>
    <w:semiHidden/>
    <w:unhideWhenUsed/>
    <w:rsid w:val="0034322A"/>
    <w:rPr>
      <w:color w:val="96607D" w:themeColor="followedHyperlink"/>
      <w:u w:val="single"/>
    </w:rPr>
  </w:style>
  <w:style w:type="numbering" w:customStyle="1" w:styleId="CurrentList1">
    <w:name w:val="Current List1"/>
    <w:uiPriority w:val="99"/>
    <w:rsid w:val="001C3693"/>
    <w:pPr>
      <w:numPr>
        <w:numId w:val="21"/>
      </w:numPr>
    </w:pPr>
  </w:style>
  <w:style w:type="numbering" w:customStyle="1" w:styleId="CurrentList2">
    <w:name w:val="Current List2"/>
    <w:uiPriority w:val="99"/>
    <w:rsid w:val="00BB0B78"/>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04E38851-3470-4B31-A4CE-07BB02348A0E}"/>
</file>

<file path=customXml/itemProps2.xml><?xml version="1.0" encoding="utf-8"?>
<ds:datastoreItem xmlns:ds="http://schemas.openxmlformats.org/officeDocument/2006/customXml" ds:itemID="{918E5010-656C-4180-8B15-92CF2A8E0C49}"/>
</file>

<file path=customXml/itemProps3.xml><?xml version="1.0" encoding="utf-8"?>
<ds:datastoreItem xmlns:ds="http://schemas.openxmlformats.org/officeDocument/2006/customXml" ds:itemID="{269FC6A3-DEED-4847-B0C0-ECB201A5C79A}"/>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5097</Words>
  <Characters>29057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34086</CharactersWithSpaces>
  <SharedDoc>false</SharedDoc>
  <HLinks>
    <vt:vector size="102" baseType="variant">
      <vt:variant>
        <vt:i4>1376318</vt:i4>
      </vt:variant>
      <vt:variant>
        <vt:i4>98</vt:i4>
      </vt:variant>
      <vt:variant>
        <vt:i4>0</vt:i4>
      </vt:variant>
      <vt:variant>
        <vt:i4>5</vt:i4>
      </vt:variant>
      <vt:variant>
        <vt:lpwstr/>
      </vt:variant>
      <vt:variant>
        <vt:lpwstr>_Toc239155055</vt:lpwstr>
      </vt:variant>
      <vt:variant>
        <vt:i4>1376318</vt:i4>
      </vt:variant>
      <vt:variant>
        <vt:i4>92</vt:i4>
      </vt:variant>
      <vt:variant>
        <vt:i4>0</vt:i4>
      </vt:variant>
      <vt:variant>
        <vt:i4>5</vt:i4>
      </vt:variant>
      <vt:variant>
        <vt:lpwstr/>
      </vt:variant>
      <vt:variant>
        <vt:lpwstr>_Toc239155054</vt:lpwstr>
      </vt:variant>
      <vt:variant>
        <vt:i4>1376318</vt:i4>
      </vt:variant>
      <vt:variant>
        <vt:i4>86</vt:i4>
      </vt:variant>
      <vt:variant>
        <vt:i4>0</vt:i4>
      </vt:variant>
      <vt:variant>
        <vt:i4>5</vt:i4>
      </vt:variant>
      <vt:variant>
        <vt:lpwstr/>
      </vt:variant>
      <vt:variant>
        <vt:lpwstr>_Toc239155053</vt:lpwstr>
      </vt:variant>
      <vt:variant>
        <vt:i4>1376318</vt:i4>
      </vt:variant>
      <vt:variant>
        <vt:i4>80</vt:i4>
      </vt:variant>
      <vt:variant>
        <vt:i4>0</vt:i4>
      </vt:variant>
      <vt:variant>
        <vt:i4>5</vt:i4>
      </vt:variant>
      <vt:variant>
        <vt:lpwstr/>
      </vt:variant>
      <vt:variant>
        <vt:lpwstr>_Toc239155052</vt:lpwstr>
      </vt:variant>
      <vt:variant>
        <vt:i4>1376318</vt:i4>
      </vt:variant>
      <vt:variant>
        <vt:i4>74</vt:i4>
      </vt:variant>
      <vt:variant>
        <vt:i4>0</vt:i4>
      </vt:variant>
      <vt:variant>
        <vt:i4>5</vt:i4>
      </vt:variant>
      <vt:variant>
        <vt:lpwstr/>
      </vt:variant>
      <vt:variant>
        <vt:lpwstr>_Toc239155051</vt:lpwstr>
      </vt:variant>
      <vt:variant>
        <vt:i4>1376318</vt:i4>
      </vt:variant>
      <vt:variant>
        <vt:i4>68</vt:i4>
      </vt:variant>
      <vt:variant>
        <vt:i4>0</vt:i4>
      </vt:variant>
      <vt:variant>
        <vt:i4>5</vt:i4>
      </vt:variant>
      <vt:variant>
        <vt:lpwstr/>
      </vt:variant>
      <vt:variant>
        <vt:lpwstr>_Toc239155050</vt:lpwstr>
      </vt:variant>
      <vt:variant>
        <vt:i4>1310782</vt:i4>
      </vt:variant>
      <vt:variant>
        <vt:i4>62</vt:i4>
      </vt:variant>
      <vt:variant>
        <vt:i4>0</vt:i4>
      </vt:variant>
      <vt:variant>
        <vt:i4>5</vt:i4>
      </vt:variant>
      <vt:variant>
        <vt:lpwstr/>
      </vt:variant>
      <vt:variant>
        <vt:lpwstr>_Toc239155049</vt:lpwstr>
      </vt:variant>
      <vt:variant>
        <vt:i4>1310782</vt:i4>
      </vt:variant>
      <vt:variant>
        <vt:i4>56</vt:i4>
      </vt:variant>
      <vt:variant>
        <vt:i4>0</vt:i4>
      </vt:variant>
      <vt:variant>
        <vt:i4>5</vt:i4>
      </vt:variant>
      <vt:variant>
        <vt:lpwstr/>
      </vt:variant>
      <vt:variant>
        <vt:lpwstr>_Toc239155048</vt:lpwstr>
      </vt:variant>
      <vt:variant>
        <vt:i4>1310782</vt:i4>
      </vt:variant>
      <vt:variant>
        <vt:i4>50</vt:i4>
      </vt:variant>
      <vt:variant>
        <vt:i4>0</vt:i4>
      </vt:variant>
      <vt:variant>
        <vt:i4>5</vt:i4>
      </vt:variant>
      <vt:variant>
        <vt:lpwstr/>
      </vt:variant>
      <vt:variant>
        <vt:lpwstr>_Toc239155047</vt:lpwstr>
      </vt:variant>
      <vt:variant>
        <vt:i4>1310782</vt:i4>
      </vt:variant>
      <vt:variant>
        <vt:i4>44</vt:i4>
      </vt:variant>
      <vt:variant>
        <vt:i4>0</vt:i4>
      </vt:variant>
      <vt:variant>
        <vt:i4>5</vt:i4>
      </vt:variant>
      <vt:variant>
        <vt:lpwstr/>
      </vt:variant>
      <vt:variant>
        <vt:lpwstr>_Toc239155046</vt:lpwstr>
      </vt:variant>
      <vt:variant>
        <vt:i4>1310782</vt:i4>
      </vt:variant>
      <vt:variant>
        <vt:i4>38</vt:i4>
      </vt:variant>
      <vt:variant>
        <vt:i4>0</vt:i4>
      </vt:variant>
      <vt:variant>
        <vt:i4>5</vt:i4>
      </vt:variant>
      <vt:variant>
        <vt:lpwstr/>
      </vt:variant>
      <vt:variant>
        <vt:lpwstr>_Toc239155045</vt:lpwstr>
      </vt:variant>
      <vt:variant>
        <vt:i4>1310782</vt:i4>
      </vt:variant>
      <vt:variant>
        <vt:i4>32</vt:i4>
      </vt:variant>
      <vt:variant>
        <vt:i4>0</vt:i4>
      </vt:variant>
      <vt:variant>
        <vt:i4>5</vt:i4>
      </vt:variant>
      <vt:variant>
        <vt:lpwstr/>
      </vt:variant>
      <vt:variant>
        <vt:lpwstr>_Toc239155044</vt:lpwstr>
      </vt:variant>
      <vt:variant>
        <vt:i4>1310782</vt:i4>
      </vt:variant>
      <vt:variant>
        <vt:i4>26</vt:i4>
      </vt:variant>
      <vt:variant>
        <vt:i4>0</vt:i4>
      </vt:variant>
      <vt:variant>
        <vt:i4>5</vt:i4>
      </vt:variant>
      <vt:variant>
        <vt:lpwstr/>
      </vt:variant>
      <vt:variant>
        <vt:lpwstr>_Toc239155043</vt:lpwstr>
      </vt:variant>
      <vt:variant>
        <vt:i4>1310782</vt:i4>
      </vt:variant>
      <vt:variant>
        <vt:i4>20</vt:i4>
      </vt:variant>
      <vt:variant>
        <vt:i4>0</vt:i4>
      </vt:variant>
      <vt:variant>
        <vt:i4>5</vt:i4>
      </vt:variant>
      <vt:variant>
        <vt:lpwstr/>
      </vt:variant>
      <vt:variant>
        <vt:lpwstr>_Toc239155042</vt:lpwstr>
      </vt:variant>
      <vt:variant>
        <vt:i4>1310782</vt:i4>
      </vt:variant>
      <vt:variant>
        <vt:i4>14</vt:i4>
      </vt:variant>
      <vt:variant>
        <vt:i4>0</vt:i4>
      </vt:variant>
      <vt:variant>
        <vt:i4>5</vt:i4>
      </vt:variant>
      <vt:variant>
        <vt:lpwstr/>
      </vt:variant>
      <vt:variant>
        <vt:lpwstr>_Toc239155041</vt:lpwstr>
      </vt:variant>
      <vt:variant>
        <vt:i4>1310782</vt:i4>
      </vt:variant>
      <vt:variant>
        <vt:i4>8</vt:i4>
      </vt:variant>
      <vt:variant>
        <vt:i4>0</vt:i4>
      </vt:variant>
      <vt:variant>
        <vt:i4>5</vt:i4>
      </vt:variant>
      <vt:variant>
        <vt:lpwstr/>
      </vt:variant>
      <vt:variant>
        <vt:lpwstr>_Toc239155040</vt:lpwstr>
      </vt:variant>
      <vt:variant>
        <vt:i4>1245246</vt:i4>
      </vt:variant>
      <vt:variant>
        <vt:i4>2</vt:i4>
      </vt:variant>
      <vt:variant>
        <vt:i4>0</vt:i4>
      </vt:variant>
      <vt:variant>
        <vt:i4>5</vt:i4>
      </vt:variant>
      <vt:variant>
        <vt:lpwstr/>
      </vt:variant>
      <vt:variant>
        <vt:lpwstr>_Toc239155039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2026-09-09T00:40:00Z</dcterms:created>
  <dcterms:modified xsi:type="dcterms:W3CDTF">2026-09-09T00:40:00Z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y fmtid="{D5CDD505-2E9C-101B-9397-08002B2CF9AE}" pid="3" name="GrammarlyDocumentId">
    <vt:lpwstr>8976f70c-1bb6-4815-93bb-97cfc2849b2b</vt:lpwstr>
  </property>
</Properties>
</file>