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430E7" w14:textId="77777777" w:rsidR="001B44A9" w:rsidRPr="006D1C37" w:rsidRDefault="001B44A9" w:rsidP="001B44A9">
      <w:pPr>
        <w:pStyle w:val="BodyText"/>
        <w:spacing w:line="480" w:lineRule="auto"/>
        <w:ind w:left="0"/>
        <w:jc w:val="right"/>
      </w:pPr>
      <w:r w:rsidRPr="006D1C37">
        <w:t>Team 310</w:t>
      </w:r>
    </w:p>
    <w:p w14:paraId="0BD4D807" w14:textId="77777777" w:rsidR="001B44A9" w:rsidRPr="006D1C37" w:rsidRDefault="001B44A9" w:rsidP="001B44A9">
      <w:pPr>
        <w:pStyle w:val="BodyText"/>
        <w:ind w:left="0"/>
        <w:jc w:val="right"/>
      </w:pPr>
    </w:p>
    <w:p w14:paraId="7F702A4E" w14:textId="77777777" w:rsidR="001B44A9" w:rsidRPr="006D1C37" w:rsidRDefault="001B44A9" w:rsidP="001B44A9">
      <w:pPr>
        <w:pStyle w:val="BodyText"/>
        <w:jc w:val="center"/>
      </w:pPr>
      <w:r w:rsidRPr="006D1C37">
        <w:t>Case</w:t>
      </w:r>
      <w:r w:rsidRPr="006D1C37">
        <w:rPr>
          <w:spacing w:val="-7"/>
        </w:rPr>
        <w:t xml:space="preserve"> </w:t>
      </w:r>
      <w:r w:rsidRPr="006D1C37">
        <w:t>No.</w:t>
      </w:r>
      <w:r w:rsidRPr="006D1C37">
        <w:rPr>
          <w:spacing w:val="-6"/>
        </w:rPr>
        <w:t xml:space="preserve"> </w:t>
      </w:r>
      <w:r w:rsidRPr="006D1C37">
        <w:t xml:space="preserve">2025-CF-00417 </w:t>
      </w:r>
    </w:p>
    <w:p w14:paraId="0D13E129" w14:textId="77777777" w:rsidR="001B44A9" w:rsidRPr="006D1C37" w:rsidRDefault="001B44A9" w:rsidP="001B44A9">
      <w:pPr>
        <w:pStyle w:val="BodyText"/>
        <w:ind w:left="0"/>
        <w:jc w:val="center"/>
      </w:pPr>
      <w:r w:rsidRPr="006D1C37">
        <w:rPr>
          <w:rFonts w:eastAsia="Century Schoolbook"/>
          <w:b/>
          <w:bCs/>
          <w:noProof/>
        </w:rPr>
        <mc:AlternateContent>
          <mc:Choice Requires="wps">
            <w:drawing>
              <wp:anchor distT="0" distB="0" distL="114300" distR="114300" simplePos="0" relativeHeight="251659264" behindDoc="0" locked="0" layoutInCell="1" allowOverlap="1" wp14:anchorId="7E938E8B" wp14:editId="7DD06560">
                <wp:simplePos x="0" y="0"/>
                <wp:positionH relativeFrom="column">
                  <wp:posOffset>838835</wp:posOffset>
                </wp:positionH>
                <wp:positionV relativeFrom="paragraph">
                  <wp:posOffset>162560</wp:posOffset>
                </wp:positionV>
                <wp:extent cx="4329430" cy="0"/>
                <wp:effectExtent l="0" t="38100" r="26670" b="38100"/>
                <wp:wrapNone/>
                <wp:docPr id="1688832231" name="Straight Connector 1688832231">
                  <a:extLst xmlns:a="http://schemas.openxmlformats.org/drawingml/2006/main">
                    <a:ext uri="{FF2B5EF4-FFF2-40B4-BE49-F238E27FC236}">
                      <a16:creationId xmlns:a16="http://schemas.microsoft.com/office/drawing/2014/main" id="{9F3D33B8-1378-49F5-A18F-7E405E3FDA66}"/>
                    </a:ext>
                  </a:extLst>
                </wp:docPr>
                <wp:cNvGraphicFramePr/>
                <a:graphic xmlns:a="http://schemas.openxmlformats.org/drawingml/2006/main">
                  <a:graphicData uri="http://schemas.microsoft.com/office/word/2010/wordprocessingShape">
                    <wps:wsp>
                      <wps:cNvCnPr/>
                      <wps:spPr>
                        <a:xfrm>
                          <a:off x="0" y="0"/>
                          <a:ext cx="4329430" cy="0"/>
                        </a:xfrm>
                        <a:prstGeom prst="line">
                          <a:avLst/>
                        </a:prstGeom>
                        <a:noFill/>
                        <a:ln w="69850" cap="flat" cmpd="thickThin"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33132CD7" id="Straight Connector 168883223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05pt,12.8pt" to="406.9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" strokecolor="windowText" strokeweight="5.5pt">
                <v:stroke linestyle="thickThin" joinstyle="miter"/>
              </v:line>
            </w:pict>
          </mc:Fallback>
        </mc:AlternateContent>
      </w:r>
    </w:p>
    <w:p w14:paraId="4EB187E2" w14:textId="77777777" w:rsidR="001B44A9" w:rsidRPr="006D1C37" w:rsidRDefault="001B44A9" w:rsidP="001B44A9">
      <w:pPr>
        <w:pStyle w:val="BodyText"/>
        <w:ind w:left="0" w:right="10"/>
      </w:pPr>
    </w:p>
    <w:p w14:paraId="0BB6C677" w14:textId="77777777" w:rsidR="001B44A9" w:rsidRPr="006D1C37" w:rsidRDefault="001B44A9" w:rsidP="001B44A9">
      <w:pPr>
        <w:spacing w:line="480" w:lineRule="auto"/>
        <w:ind w:left="100"/>
        <w:jc w:val="center"/>
        <w:rPr>
          <w:rFonts w:ascii="Times New Roman" w:hAnsi="Times New Roman" w:cs="Times New Roman"/>
          <w:sz w:val="28"/>
          <w:szCs w:val="28"/>
        </w:rPr>
      </w:pPr>
      <w:r w:rsidRPr="006D1C37">
        <w:rPr>
          <w:rFonts w:ascii="Times New Roman" w:eastAsia="Times New Roman" w:hAnsi="Times New Roman" w:cs="Times New Roman"/>
          <w:b/>
          <w:bCs/>
          <w:sz w:val="28"/>
          <w:szCs w:val="28"/>
        </w:rPr>
        <w:t>IN THE</w:t>
      </w:r>
    </w:p>
    <w:p w14:paraId="7DE88324" w14:textId="77777777" w:rsidR="001B44A9" w:rsidRPr="006D1C37" w:rsidRDefault="001B44A9" w:rsidP="001B44A9">
      <w:pPr>
        <w:pStyle w:val="BodyText"/>
        <w:tabs>
          <w:tab w:val="center" w:pos="4730"/>
          <w:tab w:val="left" w:pos="6587"/>
        </w:tabs>
        <w:spacing w:line="480" w:lineRule="auto"/>
        <w:ind w:left="0"/>
        <w:jc w:val="center"/>
        <w:rPr>
          <w:b/>
          <w:bCs/>
        </w:rPr>
      </w:pPr>
      <w:r w:rsidRPr="006D1C37">
        <w:rPr>
          <w:b/>
          <w:bCs/>
        </w:rPr>
        <w:t>UNITED STATES DISTRICT COURT</w:t>
      </w:r>
    </w:p>
    <w:p w14:paraId="5BFBF9F5" w14:textId="77777777" w:rsidR="001B44A9" w:rsidRPr="006D1C37" w:rsidRDefault="001B44A9" w:rsidP="001B44A9">
      <w:pPr>
        <w:pStyle w:val="BodyText"/>
        <w:spacing w:line="480" w:lineRule="auto"/>
        <w:jc w:val="center"/>
        <w:rPr>
          <w:b/>
          <w:bCs/>
          <w:spacing w:val="-2"/>
        </w:rPr>
      </w:pPr>
      <w:r w:rsidRPr="006D1C37">
        <w:rPr>
          <w:b/>
          <w:bCs/>
        </w:rPr>
        <w:t>MIDDLE DISTRICT OF FLORIDA</w:t>
      </w:r>
    </w:p>
    <w:bookmarkStart w:id="0" w:name="_Toc174900484"/>
    <w:p w14:paraId="6CB10BD6" w14:textId="77777777" w:rsidR="001B44A9" w:rsidRPr="006D1C37" w:rsidRDefault="001B44A9" w:rsidP="001B44A9">
      <w:pPr>
        <w:pStyle w:val="BodyText"/>
        <w:spacing w:after="240"/>
      </w:pPr>
      <w:r w:rsidRPr="006D1C37">
        <w:rPr>
          <w:noProof/>
        </w:rPr>
        <mc:AlternateContent>
          <mc:Choice Requires="wps">
            <w:drawing>
              <wp:anchor distT="0" distB="0" distL="114300" distR="114300" simplePos="0" relativeHeight="251660288" behindDoc="0" locked="0" layoutInCell="1" allowOverlap="1" wp14:anchorId="3ECE0FE2" wp14:editId="02441C42">
                <wp:simplePos x="0" y="0"/>
                <wp:positionH relativeFrom="column">
                  <wp:posOffset>1957892</wp:posOffset>
                </wp:positionH>
                <wp:positionV relativeFrom="paragraph">
                  <wp:posOffset>159385</wp:posOffset>
                </wp:positionV>
                <wp:extent cx="2093408" cy="0"/>
                <wp:effectExtent l="0" t="0" r="15240" b="12700"/>
                <wp:wrapNone/>
                <wp:docPr id="258557859" name="Straight Connector 258557859">
                  <a:extLst xmlns:a="http://schemas.openxmlformats.org/drawingml/2006/main">
                    <a:ext uri="{FF2B5EF4-FFF2-40B4-BE49-F238E27FC236}">
                      <a16:creationId xmlns:a16="http://schemas.microsoft.com/office/drawing/2014/main" id="{CB72C4C4-4D5D-4FE6-8BED-32D59C437157}"/>
                    </a:ext>
                  </a:extLst>
                </wp:docPr>
                <wp:cNvGraphicFramePr/>
                <a:graphic xmlns:a="http://schemas.openxmlformats.org/drawingml/2006/main">
                  <a:graphicData uri="http://schemas.microsoft.com/office/word/2010/wordprocessingShape">
                    <wps:wsp>
                      <wps:cNvCnPr/>
                      <wps:spPr>
                        <a:xfrm>
                          <a:off x="0" y="0"/>
                          <a:ext cx="2093408"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77FF2B" id="Straight Connector 25855785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15pt,12.55pt" to="319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" strokecolor="black [3200]" strokeweight="1pt">
                <v:stroke joinstyle="miter"/>
              </v:line>
            </w:pict>
          </mc:Fallback>
        </mc:AlternateContent>
      </w:r>
      <w:bookmarkEnd w:id="0"/>
    </w:p>
    <w:p w14:paraId="5F1FF6CB" w14:textId="77777777" w:rsidR="001B44A9" w:rsidRPr="006D1C37" w:rsidRDefault="001B44A9" w:rsidP="001B44A9">
      <w:pPr>
        <w:pStyle w:val="BodyText"/>
        <w:jc w:val="center"/>
      </w:pPr>
      <w:r w:rsidRPr="006D1C37">
        <w:t>UNITED STATES OF AMERICA</w:t>
      </w:r>
    </w:p>
    <w:p w14:paraId="684BB2B8" w14:textId="77777777" w:rsidR="001B44A9" w:rsidRPr="006D1C37" w:rsidRDefault="001B44A9" w:rsidP="001B44A9">
      <w:pPr>
        <w:pStyle w:val="BodyText"/>
        <w:jc w:val="center"/>
      </w:pPr>
    </w:p>
    <w:p w14:paraId="3B14290A" w14:textId="77777777" w:rsidR="001B44A9" w:rsidRPr="006D1C37" w:rsidRDefault="001B44A9" w:rsidP="001B44A9">
      <w:pPr>
        <w:pStyle w:val="BodyText"/>
        <w:ind w:left="4420" w:firstLine="620"/>
        <w:rPr>
          <w:i/>
          <w:iCs/>
        </w:rPr>
      </w:pPr>
      <w:r w:rsidRPr="006D1C37">
        <w:rPr>
          <w:i/>
          <w:iCs/>
        </w:rPr>
        <w:t>Prosecution,</w:t>
      </w:r>
    </w:p>
    <w:p w14:paraId="0F774991" w14:textId="77777777" w:rsidR="001B44A9" w:rsidRPr="006D1C37" w:rsidRDefault="001B44A9" w:rsidP="001B44A9">
      <w:pPr>
        <w:pStyle w:val="BodyText"/>
        <w:ind w:left="4420" w:firstLine="620"/>
        <w:rPr>
          <w:i/>
          <w:iCs/>
        </w:rPr>
      </w:pPr>
    </w:p>
    <w:p w14:paraId="6E4DE67C" w14:textId="77777777" w:rsidR="001B44A9" w:rsidRPr="006D1C37" w:rsidRDefault="001B44A9" w:rsidP="001B44A9">
      <w:pPr>
        <w:pStyle w:val="BodyText"/>
        <w:jc w:val="center"/>
      </w:pPr>
      <w:r w:rsidRPr="006D1C37">
        <w:t>v.</w:t>
      </w:r>
    </w:p>
    <w:p w14:paraId="3D9026B2" w14:textId="77777777" w:rsidR="001B44A9" w:rsidRPr="006D1C37" w:rsidRDefault="001B44A9" w:rsidP="001B44A9">
      <w:pPr>
        <w:pStyle w:val="BodyText"/>
        <w:jc w:val="center"/>
      </w:pPr>
    </w:p>
    <w:p w14:paraId="5E295A0C" w14:textId="77777777" w:rsidR="001B44A9" w:rsidRPr="006D1C37" w:rsidRDefault="001B44A9" w:rsidP="001B44A9">
      <w:pPr>
        <w:pStyle w:val="BodyText"/>
        <w:jc w:val="center"/>
      </w:pPr>
      <w:r w:rsidRPr="006D1C37">
        <w:t>EMILY CALLOWAY</w:t>
      </w:r>
    </w:p>
    <w:p w14:paraId="737060F6" w14:textId="77777777" w:rsidR="001B44A9" w:rsidRPr="006D1C37" w:rsidRDefault="001B44A9" w:rsidP="001B44A9">
      <w:pPr>
        <w:pStyle w:val="BodyText"/>
        <w:jc w:val="center"/>
      </w:pPr>
    </w:p>
    <w:p w14:paraId="3944BF12" w14:textId="77777777" w:rsidR="001B44A9" w:rsidRPr="006D1C37" w:rsidRDefault="001B44A9" w:rsidP="001B44A9">
      <w:pPr>
        <w:pStyle w:val="BodyText"/>
        <w:spacing w:after="240"/>
        <w:ind w:left="4420" w:firstLine="620"/>
        <w:rPr>
          <w:i/>
        </w:rPr>
      </w:pPr>
      <w:r w:rsidRPr="006D1C37">
        <w:rPr>
          <w:i/>
          <w:spacing w:val="-2"/>
        </w:rPr>
        <w:t>Defendant.</w:t>
      </w:r>
    </w:p>
    <w:p w14:paraId="1D62D934" w14:textId="77777777" w:rsidR="001B44A9" w:rsidRPr="006D1C37" w:rsidRDefault="001B44A9" w:rsidP="001B44A9">
      <w:pPr>
        <w:pStyle w:val="BodyText"/>
        <w:ind w:left="0"/>
        <w:rPr>
          <w:i/>
        </w:rPr>
      </w:pPr>
      <w:r w:rsidRPr="006D1C37">
        <w:rPr>
          <w:b/>
          <w:bCs/>
          <w:noProof/>
        </w:rPr>
        <mc:AlternateContent>
          <mc:Choice Requires="wps">
            <w:drawing>
              <wp:anchor distT="0" distB="0" distL="114300" distR="114300" simplePos="0" relativeHeight="251661312" behindDoc="0" locked="0" layoutInCell="1" allowOverlap="1" wp14:anchorId="09FCCA93" wp14:editId="41F41E87">
                <wp:simplePos x="0" y="0"/>
                <wp:positionH relativeFrom="column">
                  <wp:posOffset>1957892</wp:posOffset>
                </wp:positionH>
                <wp:positionV relativeFrom="paragraph">
                  <wp:posOffset>65106</wp:posOffset>
                </wp:positionV>
                <wp:extent cx="2092960" cy="0"/>
                <wp:effectExtent l="0" t="0" r="15240" b="12700"/>
                <wp:wrapNone/>
                <wp:docPr id="405052728" name="Straight Connector 405052728">
                  <a:extLst xmlns:a="http://schemas.openxmlformats.org/drawingml/2006/main">
                    <a:ext uri="{FF2B5EF4-FFF2-40B4-BE49-F238E27FC236}">
                      <a16:creationId xmlns:a16="http://schemas.microsoft.com/office/drawing/2014/main" id="{2CFD5BFC-79D3-4427-8942-AF2A603B6406}"/>
                    </a:ext>
                  </a:extLst>
                </wp:docPr>
                <wp:cNvGraphicFramePr/>
                <a:graphic xmlns:a="http://schemas.openxmlformats.org/drawingml/2006/main">
                  <a:graphicData uri="http://schemas.microsoft.com/office/word/2010/wordprocessingShape">
                    <wps:wsp>
                      <wps:cNvCnPr/>
                      <wps:spPr>
                        <a:xfrm>
                          <a:off x="0" y="0"/>
                          <a:ext cx="20929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1A5F2BE" id="Straight Connector 405052728"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15pt,5.15pt" to="318.9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" strokecolor="black [3200]" strokeweight="1pt">
                <v:stroke joinstyle="miter"/>
              </v:line>
            </w:pict>
          </mc:Fallback>
        </mc:AlternateContent>
      </w:r>
    </w:p>
    <w:p w14:paraId="74335430" w14:textId="562EF8F7" w:rsidR="001B44A9" w:rsidRPr="006D1C37" w:rsidRDefault="001B44A9" w:rsidP="001B44A9">
      <w:pPr>
        <w:pStyle w:val="BodyText"/>
        <w:spacing w:before="240"/>
        <w:jc w:val="center"/>
        <w:rPr>
          <w:b/>
          <w:bCs/>
        </w:rPr>
      </w:pPr>
      <w:r w:rsidRPr="006D1C37">
        <w:rPr>
          <w:b/>
          <w:bCs/>
        </w:rPr>
        <w:t>DEFENSE’S MEMORANDUM OF LAW IN SUPPORT OF ITS MOTION TO SUPRESS AND MOTION TO QUASH</w:t>
      </w:r>
    </w:p>
    <w:p w14:paraId="44376601" w14:textId="77777777" w:rsidR="001B44A9" w:rsidRPr="006D1C37" w:rsidRDefault="001B44A9" w:rsidP="001B44A9">
      <w:pPr>
        <w:pStyle w:val="BodyText"/>
        <w:spacing w:before="240"/>
        <w:jc w:val="center"/>
        <w:rPr>
          <w:b/>
          <w:bCs/>
        </w:rPr>
      </w:pPr>
    </w:p>
    <w:p w14:paraId="7031AD65" w14:textId="77777777" w:rsidR="001B44A9" w:rsidRPr="006D1C37" w:rsidRDefault="001B44A9" w:rsidP="001B44A9">
      <w:pPr>
        <w:pStyle w:val="BodyText"/>
        <w:spacing w:before="240"/>
        <w:ind w:left="0"/>
        <w:rPr>
          <w:b/>
        </w:rPr>
      </w:pPr>
      <w:r w:rsidRPr="006D1C37">
        <w:rPr>
          <w:b/>
          <w:bCs/>
          <w:noProof/>
        </w:rPr>
        <mc:AlternateContent>
          <mc:Choice Requires="wps">
            <w:drawing>
              <wp:anchor distT="0" distB="0" distL="114300" distR="114300" simplePos="0" relativeHeight="251662336" behindDoc="0" locked="0" layoutInCell="1" allowOverlap="1" wp14:anchorId="4D44098F" wp14:editId="462F8C6A">
                <wp:simplePos x="0" y="0"/>
                <wp:positionH relativeFrom="column">
                  <wp:posOffset>1957892</wp:posOffset>
                </wp:positionH>
                <wp:positionV relativeFrom="paragraph">
                  <wp:posOffset>61894</wp:posOffset>
                </wp:positionV>
                <wp:extent cx="2092960" cy="0"/>
                <wp:effectExtent l="0" t="0" r="15240" b="12700"/>
                <wp:wrapNone/>
                <wp:docPr id="1955515242" name="Straight Connector 1955515242">
                  <a:extLst xmlns:a="http://schemas.openxmlformats.org/drawingml/2006/main">
                    <a:ext uri="{FF2B5EF4-FFF2-40B4-BE49-F238E27FC236}">
                      <a16:creationId xmlns:a16="http://schemas.microsoft.com/office/drawing/2014/main" id="{017B9BFC-EEE5-4EA4-970A-30967EE30006}"/>
                    </a:ext>
                  </a:extLst>
                </wp:docPr>
                <wp:cNvGraphicFramePr/>
                <a:graphic xmlns:a="http://schemas.openxmlformats.org/drawingml/2006/main">
                  <a:graphicData uri="http://schemas.microsoft.com/office/word/2010/wordprocessingShape">
                    <wps:wsp>
                      <wps:cNvCnPr/>
                      <wps:spPr>
                        <a:xfrm>
                          <a:off x="0" y="0"/>
                          <a:ext cx="20929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3483AAE" id="Straight Connector 195551524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15pt,4.85pt" to="318.9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" strokecolor="black [3200]" strokeweight="1pt">
                <v:stroke joinstyle="miter"/>
              </v:line>
            </w:pict>
          </mc:Fallback>
        </mc:AlternateContent>
      </w:r>
    </w:p>
    <w:p w14:paraId="3CD5F48D" w14:textId="77777777" w:rsidR="001B44A9" w:rsidRPr="006D1C37" w:rsidRDefault="001B44A9" w:rsidP="001B44A9">
      <w:pPr>
        <w:pStyle w:val="BodyText"/>
        <w:spacing w:before="62"/>
        <w:ind w:left="0"/>
        <w:rPr>
          <w:b/>
        </w:rPr>
      </w:pPr>
    </w:p>
    <w:p w14:paraId="77139E9C" w14:textId="77777777" w:rsidR="001B44A9" w:rsidRPr="006D1C37" w:rsidRDefault="001B44A9" w:rsidP="001B44A9">
      <w:pPr>
        <w:pStyle w:val="BodyText"/>
        <w:spacing w:before="62"/>
        <w:ind w:left="0"/>
        <w:rPr>
          <w:b/>
          <w:bCs/>
        </w:rPr>
      </w:pPr>
    </w:p>
    <w:p w14:paraId="46B8BB43" w14:textId="77777777" w:rsidR="001B44A9" w:rsidRPr="006D1C37" w:rsidRDefault="001B44A9" w:rsidP="001B44A9">
      <w:pPr>
        <w:jc w:val="right"/>
        <w:rPr>
          <w:rFonts w:ascii="Times New Roman" w:hAnsi="Times New Roman" w:cs="Times New Roman"/>
          <w:spacing w:val="-5"/>
          <w:sz w:val="28"/>
          <w:szCs w:val="28"/>
          <w:u w:val="single"/>
        </w:rPr>
      </w:pPr>
      <w:r w:rsidRPr="006D1C37">
        <w:rPr>
          <w:rFonts w:ascii="Times New Roman" w:hAnsi="Times New Roman" w:cs="Times New Roman"/>
          <w:sz w:val="28"/>
          <w:szCs w:val="28"/>
        </w:rPr>
        <w:t xml:space="preserve"> </w:t>
      </w:r>
      <w:r w:rsidRPr="006D1C37">
        <w:rPr>
          <w:rFonts w:ascii="Times New Roman" w:hAnsi="Times New Roman" w:cs="Times New Roman"/>
          <w:sz w:val="28"/>
          <w:szCs w:val="28"/>
        </w:rPr>
        <w:tab/>
      </w:r>
      <w:r w:rsidRPr="006D1C37">
        <w:rPr>
          <w:rFonts w:ascii="Times New Roman" w:hAnsi="Times New Roman" w:cs="Times New Roman"/>
          <w:sz w:val="28"/>
          <w:szCs w:val="28"/>
          <w:u w:val="single"/>
        </w:rPr>
        <w:t xml:space="preserve">      </w:t>
      </w:r>
      <w:r w:rsidRPr="006D1C37">
        <w:rPr>
          <w:rFonts w:ascii="Times New Roman" w:hAnsi="Times New Roman" w:cs="Times New Roman"/>
          <w:spacing w:val="-5"/>
          <w:sz w:val="28"/>
          <w:szCs w:val="28"/>
          <w:u w:val="single"/>
        </w:rPr>
        <w:t>/s/</w:t>
      </w:r>
      <w:r w:rsidRPr="006D1C37">
        <w:rPr>
          <w:rFonts w:ascii="Times New Roman" w:hAnsi="Times New Roman" w:cs="Times New Roman"/>
          <w:sz w:val="28"/>
          <w:szCs w:val="28"/>
          <w:u w:val="single"/>
        </w:rPr>
        <w:t xml:space="preserve">          </w:t>
      </w:r>
      <w:r w:rsidRPr="006D1C37">
        <w:rPr>
          <w:rFonts w:ascii="Times New Roman" w:hAnsi="Times New Roman" w:cs="Times New Roman"/>
          <w:spacing w:val="-5"/>
          <w:sz w:val="28"/>
          <w:szCs w:val="28"/>
          <w:u w:val="single"/>
        </w:rPr>
        <w:t>Team 310</w:t>
      </w:r>
    </w:p>
    <w:p w14:paraId="37F4C518" w14:textId="77777777" w:rsidR="001B44A9" w:rsidRPr="006D1C37" w:rsidRDefault="001B44A9" w:rsidP="001B44A9">
      <w:pPr>
        <w:rPr>
          <w:rFonts w:ascii="Times New Roman" w:hAnsi="Times New Roman" w:cs="Times New Roman"/>
          <w:spacing w:val="-5"/>
          <w:sz w:val="28"/>
          <w:szCs w:val="28"/>
          <w:u w:val="single"/>
        </w:rPr>
      </w:pPr>
    </w:p>
    <w:p w14:paraId="2E216D19" w14:textId="6BA5BC42" w:rsidR="006D1C37" w:rsidRPr="006D1C37" w:rsidRDefault="001B44A9" w:rsidP="006D1C37">
      <w:pPr>
        <w:pStyle w:val="BodyText"/>
        <w:tabs>
          <w:tab w:val="left" w:pos="6999"/>
          <w:tab w:val="left" w:pos="8664"/>
        </w:tabs>
        <w:spacing w:before="1" w:line="480" w:lineRule="auto"/>
        <w:ind w:left="0"/>
        <w:jc w:val="right"/>
        <w:sectPr w:rsidR="006D1C37" w:rsidRPr="006D1C37" w:rsidSect="006D1C37">
          <w:footerReference w:type="even" r:id="rId7"/>
          <w:footerReference w:type="default" r:id="rId8"/>
          <w:pgSz w:w="12240" w:h="15840"/>
          <w:pgMar w:top="1440" w:right="1440" w:bottom="1440" w:left="1440" w:header="720" w:footer="720" w:gutter="0"/>
          <w:pgNumType w:start="0"/>
          <w:cols w:space="720"/>
          <w:titlePg/>
          <w:docGrid w:linePitch="360"/>
        </w:sectPr>
      </w:pPr>
      <w:r w:rsidRPr="006D1C37">
        <w:rPr>
          <w:i/>
          <w:iCs/>
          <w:color w:val="000000"/>
        </w:rPr>
        <w:t xml:space="preserve">Counsel for the </w:t>
      </w:r>
      <w:r w:rsidR="006D1C37" w:rsidRPr="006D1C37">
        <w:rPr>
          <w:i/>
          <w:iCs/>
          <w:color w:val="000000"/>
        </w:rPr>
        <w:t>Defendant</w:t>
      </w:r>
      <w:r w:rsidR="006D1C37" w:rsidRPr="006D1C37">
        <w:t xml:space="preserve"> </w:t>
      </w:r>
    </w:p>
    <w:p w14:paraId="536323AF" w14:textId="77777777" w:rsidR="006D1C37" w:rsidRPr="007C59DF" w:rsidRDefault="006D1C37" w:rsidP="006D1C37">
      <w:pPr>
        <w:spacing w:after="240"/>
        <w:jc w:val="center"/>
        <w:rPr>
          <w:rFonts w:ascii="Times New Roman" w:eastAsia="Times New Roman" w:hAnsi="Times New Roman" w:cs="Times New Roman"/>
          <w:kern w:val="0"/>
          <w:sz w:val="28"/>
          <w:szCs w:val="28"/>
          <w14:ligatures w14:val="none"/>
        </w:rPr>
      </w:pPr>
      <w:r w:rsidRPr="007C59DF">
        <w:rPr>
          <w:rFonts w:ascii="Times New Roman" w:hAnsi="Times New Roman" w:cs="Times New Roman"/>
          <w:b/>
          <w:bCs/>
          <w:caps/>
          <w:sz w:val="28"/>
          <w:szCs w:val="28"/>
        </w:rPr>
        <w:lastRenderedPageBreak/>
        <w:t>Table of Contents</w:t>
      </w:r>
    </w:p>
    <w:p w14:paraId="7D5FA944" w14:textId="2E03361A" w:rsidR="007C59DF" w:rsidRPr="007C59DF" w:rsidRDefault="007C59DF" w:rsidP="007C59DF">
      <w:pPr>
        <w:pStyle w:val="TOC1"/>
        <w:tabs>
          <w:tab w:val="right" w:leader="dot" w:pos="9350"/>
        </w:tabs>
        <w:spacing w:line="480" w:lineRule="auto"/>
        <w:contextualSpacing/>
        <w:rPr>
          <w:rFonts w:ascii="Times New Roman" w:hAnsi="Times New Roman" w:cs="Times New Roman"/>
          <w:noProof/>
          <w:sz w:val="28"/>
          <w:szCs w:val="28"/>
        </w:rPr>
      </w:pPr>
      <w:r w:rsidRPr="007C59DF">
        <w:rPr>
          <w:rFonts w:ascii="Times New Roman" w:hAnsi="Times New Roman" w:cs="Times New Roman"/>
          <w:spacing w:val="-5"/>
          <w:sz w:val="28"/>
          <w:szCs w:val="28"/>
        </w:rPr>
        <w:fldChar w:fldCharType="begin"/>
      </w:r>
      <w:r w:rsidRPr="007C59DF">
        <w:rPr>
          <w:rFonts w:ascii="Times New Roman" w:hAnsi="Times New Roman" w:cs="Times New Roman"/>
          <w:spacing w:val="-5"/>
          <w:sz w:val="28"/>
          <w:szCs w:val="28"/>
        </w:rPr>
        <w:instrText xml:space="preserve"> TOC \o "1-4" \h \z \u </w:instrText>
      </w:r>
      <w:r w:rsidRPr="007C59DF">
        <w:rPr>
          <w:rFonts w:ascii="Times New Roman" w:hAnsi="Times New Roman" w:cs="Times New Roman"/>
          <w:spacing w:val="-5"/>
          <w:sz w:val="28"/>
          <w:szCs w:val="28"/>
        </w:rPr>
        <w:fldChar w:fldCharType="separate"/>
      </w:r>
      <w:hyperlink w:anchor="_Toc239145420" w:history="1">
        <w:r w:rsidRPr="007C59DF">
          <w:rPr>
            <w:rStyle w:val="Hyperlink"/>
            <w:rFonts w:ascii="Times New Roman" w:hAnsi="Times New Roman" w:cs="Times New Roman"/>
            <w:noProof/>
            <w:sz w:val="28"/>
            <w:szCs w:val="28"/>
          </w:rPr>
          <w:t>TABLE OF AUTHORITIES</w:t>
        </w:r>
        <w:r w:rsidRPr="007C59DF">
          <w:rPr>
            <w:rFonts w:ascii="Times New Roman" w:hAnsi="Times New Roman" w:cs="Times New Roman"/>
            <w:noProof/>
            <w:webHidden/>
            <w:sz w:val="28"/>
            <w:szCs w:val="28"/>
          </w:rPr>
          <w:tab/>
        </w:r>
        <w:r w:rsidRPr="007C59DF">
          <w:rPr>
            <w:rFonts w:ascii="Times New Roman" w:hAnsi="Times New Roman" w:cs="Times New Roman"/>
            <w:noProof/>
            <w:webHidden/>
            <w:sz w:val="28"/>
            <w:szCs w:val="28"/>
          </w:rPr>
          <w:fldChar w:fldCharType="begin"/>
        </w:r>
        <w:r w:rsidRPr="007C59DF">
          <w:rPr>
            <w:rFonts w:ascii="Times New Roman" w:hAnsi="Times New Roman" w:cs="Times New Roman"/>
            <w:noProof/>
            <w:webHidden/>
            <w:sz w:val="28"/>
            <w:szCs w:val="28"/>
          </w:rPr>
          <w:instrText xml:space="preserve"> PAGEREF _Toc239145420 \h </w:instrText>
        </w:r>
        <w:r w:rsidRPr="007C59DF">
          <w:rPr>
            <w:rFonts w:ascii="Times New Roman" w:hAnsi="Times New Roman" w:cs="Times New Roman"/>
            <w:noProof/>
            <w:webHidden/>
            <w:sz w:val="28"/>
            <w:szCs w:val="28"/>
          </w:rPr>
        </w:r>
        <w:r w:rsidRPr="007C59DF">
          <w:rPr>
            <w:rFonts w:ascii="Times New Roman" w:hAnsi="Times New Roman" w:cs="Times New Roman"/>
            <w:noProof/>
            <w:webHidden/>
            <w:sz w:val="28"/>
            <w:szCs w:val="28"/>
          </w:rPr>
          <w:fldChar w:fldCharType="separate"/>
        </w:r>
        <w:r w:rsidR="001D2DB2">
          <w:rPr>
            <w:rFonts w:ascii="Times New Roman" w:hAnsi="Times New Roman" w:cs="Times New Roman"/>
            <w:noProof/>
            <w:webHidden/>
            <w:sz w:val="28"/>
            <w:szCs w:val="28"/>
          </w:rPr>
          <w:t>ii</w:t>
        </w:r>
        <w:r w:rsidRPr="007C59DF">
          <w:rPr>
            <w:rFonts w:ascii="Times New Roman" w:hAnsi="Times New Roman" w:cs="Times New Roman"/>
            <w:noProof/>
            <w:webHidden/>
            <w:sz w:val="28"/>
            <w:szCs w:val="28"/>
          </w:rPr>
          <w:fldChar w:fldCharType="end"/>
        </w:r>
      </w:hyperlink>
    </w:p>
    <w:p w14:paraId="59ED941B" w14:textId="314480BC" w:rsidR="007C59DF" w:rsidRPr="007C59DF" w:rsidRDefault="007C59DF" w:rsidP="007C59DF">
      <w:pPr>
        <w:pStyle w:val="TOC1"/>
        <w:tabs>
          <w:tab w:val="right" w:leader="dot" w:pos="9350"/>
        </w:tabs>
        <w:spacing w:line="480" w:lineRule="auto"/>
        <w:contextualSpacing/>
        <w:rPr>
          <w:rFonts w:ascii="Times New Roman" w:hAnsi="Times New Roman" w:cs="Times New Roman"/>
          <w:noProof/>
          <w:sz w:val="28"/>
          <w:szCs w:val="28"/>
        </w:rPr>
      </w:pPr>
      <w:hyperlink w:anchor="_Toc239145421" w:history="1">
        <w:r w:rsidRPr="007C59DF">
          <w:rPr>
            <w:rStyle w:val="Hyperlink"/>
            <w:rFonts w:ascii="Times New Roman" w:hAnsi="Times New Roman" w:cs="Times New Roman"/>
            <w:noProof/>
            <w:sz w:val="28"/>
            <w:szCs w:val="28"/>
          </w:rPr>
          <w:t>INTRODUCTION</w:t>
        </w:r>
        <w:r w:rsidRPr="007C59DF">
          <w:rPr>
            <w:rFonts w:ascii="Times New Roman" w:hAnsi="Times New Roman" w:cs="Times New Roman"/>
            <w:noProof/>
            <w:webHidden/>
            <w:sz w:val="28"/>
            <w:szCs w:val="28"/>
          </w:rPr>
          <w:tab/>
        </w:r>
        <w:r w:rsidRPr="007C59DF">
          <w:rPr>
            <w:rFonts w:ascii="Times New Roman" w:hAnsi="Times New Roman" w:cs="Times New Roman"/>
            <w:noProof/>
            <w:webHidden/>
            <w:sz w:val="28"/>
            <w:szCs w:val="28"/>
          </w:rPr>
          <w:fldChar w:fldCharType="begin"/>
        </w:r>
        <w:r w:rsidRPr="007C59DF">
          <w:rPr>
            <w:rFonts w:ascii="Times New Roman" w:hAnsi="Times New Roman" w:cs="Times New Roman"/>
            <w:noProof/>
            <w:webHidden/>
            <w:sz w:val="28"/>
            <w:szCs w:val="28"/>
          </w:rPr>
          <w:instrText xml:space="preserve"> PAGEREF _Toc239145421 \h </w:instrText>
        </w:r>
        <w:r w:rsidRPr="007C59DF">
          <w:rPr>
            <w:rFonts w:ascii="Times New Roman" w:hAnsi="Times New Roman" w:cs="Times New Roman"/>
            <w:noProof/>
            <w:webHidden/>
            <w:sz w:val="28"/>
            <w:szCs w:val="28"/>
          </w:rPr>
        </w:r>
        <w:r w:rsidRPr="007C59DF">
          <w:rPr>
            <w:rFonts w:ascii="Times New Roman" w:hAnsi="Times New Roman" w:cs="Times New Roman"/>
            <w:noProof/>
            <w:webHidden/>
            <w:sz w:val="28"/>
            <w:szCs w:val="28"/>
          </w:rPr>
          <w:fldChar w:fldCharType="separate"/>
        </w:r>
        <w:r w:rsidR="001D2DB2">
          <w:rPr>
            <w:rFonts w:ascii="Times New Roman" w:hAnsi="Times New Roman" w:cs="Times New Roman"/>
            <w:noProof/>
            <w:webHidden/>
            <w:sz w:val="28"/>
            <w:szCs w:val="28"/>
          </w:rPr>
          <w:t>1</w:t>
        </w:r>
        <w:r w:rsidRPr="007C59DF">
          <w:rPr>
            <w:rFonts w:ascii="Times New Roman" w:hAnsi="Times New Roman" w:cs="Times New Roman"/>
            <w:noProof/>
            <w:webHidden/>
            <w:sz w:val="28"/>
            <w:szCs w:val="28"/>
          </w:rPr>
          <w:fldChar w:fldCharType="end"/>
        </w:r>
      </w:hyperlink>
    </w:p>
    <w:p w14:paraId="0A57BA23" w14:textId="4E0C6215" w:rsidR="007C59DF" w:rsidRPr="007C59DF" w:rsidRDefault="007C59DF" w:rsidP="007C59DF">
      <w:pPr>
        <w:pStyle w:val="TOC1"/>
        <w:tabs>
          <w:tab w:val="right" w:leader="dot" w:pos="9350"/>
        </w:tabs>
        <w:spacing w:line="480" w:lineRule="auto"/>
        <w:contextualSpacing/>
        <w:rPr>
          <w:rFonts w:ascii="Times New Roman" w:hAnsi="Times New Roman" w:cs="Times New Roman"/>
          <w:noProof/>
          <w:sz w:val="28"/>
          <w:szCs w:val="28"/>
        </w:rPr>
      </w:pPr>
      <w:hyperlink w:anchor="_Toc239145422" w:history="1">
        <w:r w:rsidRPr="007C59DF">
          <w:rPr>
            <w:rStyle w:val="Hyperlink"/>
            <w:rFonts w:ascii="Times New Roman" w:hAnsi="Times New Roman" w:cs="Times New Roman"/>
            <w:noProof/>
            <w:sz w:val="28"/>
            <w:szCs w:val="28"/>
          </w:rPr>
          <w:t>STATEMENT OF FACTS</w:t>
        </w:r>
        <w:r w:rsidRPr="007C59DF">
          <w:rPr>
            <w:rFonts w:ascii="Times New Roman" w:hAnsi="Times New Roman" w:cs="Times New Roman"/>
            <w:noProof/>
            <w:webHidden/>
            <w:sz w:val="28"/>
            <w:szCs w:val="28"/>
          </w:rPr>
          <w:tab/>
        </w:r>
        <w:r w:rsidRPr="007C59DF">
          <w:rPr>
            <w:rFonts w:ascii="Times New Roman" w:hAnsi="Times New Roman" w:cs="Times New Roman"/>
            <w:noProof/>
            <w:webHidden/>
            <w:sz w:val="28"/>
            <w:szCs w:val="28"/>
          </w:rPr>
          <w:fldChar w:fldCharType="begin"/>
        </w:r>
        <w:r w:rsidRPr="007C59DF">
          <w:rPr>
            <w:rFonts w:ascii="Times New Roman" w:hAnsi="Times New Roman" w:cs="Times New Roman"/>
            <w:noProof/>
            <w:webHidden/>
            <w:sz w:val="28"/>
            <w:szCs w:val="28"/>
          </w:rPr>
          <w:instrText xml:space="preserve"> PAGEREF _Toc239145422 \h </w:instrText>
        </w:r>
        <w:r w:rsidRPr="007C59DF">
          <w:rPr>
            <w:rFonts w:ascii="Times New Roman" w:hAnsi="Times New Roman" w:cs="Times New Roman"/>
            <w:noProof/>
            <w:webHidden/>
            <w:sz w:val="28"/>
            <w:szCs w:val="28"/>
          </w:rPr>
        </w:r>
        <w:r w:rsidRPr="007C59DF">
          <w:rPr>
            <w:rFonts w:ascii="Times New Roman" w:hAnsi="Times New Roman" w:cs="Times New Roman"/>
            <w:noProof/>
            <w:webHidden/>
            <w:sz w:val="28"/>
            <w:szCs w:val="28"/>
          </w:rPr>
          <w:fldChar w:fldCharType="separate"/>
        </w:r>
        <w:r w:rsidR="001D2DB2">
          <w:rPr>
            <w:rFonts w:ascii="Times New Roman" w:hAnsi="Times New Roman" w:cs="Times New Roman"/>
            <w:noProof/>
            <w:webHidden/>
            <w:sz w:val="28"/>
            <w:szCs w:val="28"/>
          </w:rPr>
          <w:t>2</w:t>
        </w:r>
        <w:r w:rsidRPr="007C59DF">
          <w:rPr>
            <w:rFonts w:ascii="Times New Roman" w:hAnsi="Times New Roman" w:cs="Times New Roman"/>
            <w:noProof/>
            <w:webHidden/>
            <w:sz w:val="28"/>
            <w:szCs w:val="28"/>
          </w:rPr>
          <w:fldChar w:fldCharType="end"/>
        </w:r>
      </w:hyperlink>
    </w:p>
    <w:p w14:paraId="628C7A86" w14:textId="57C4BA52" w:rsidR="007C59DF" w:rsidRPr="007C59DF" w:rsidRDefault="007C59DF" w:rsidP="007C59DF">
      <w:pPr>
        <w:pStyle w:val="TOC1"/>
        <w:tabs>
          <w:tab w:val="right" w:leader="dot" w:pos="9350"/>
        </w:tabs>
        <w:spacing w:line="480" w:lineRule="auto"/>
        <w:contextualSpacing/>
        <w:rPr>
          <w:rFonts w:ascii="Times New Roman" w:hAnsi="Times New Roman" w:cs="Times New Roman"/>
          <w:noProof/>
          <w:sz w:val="28"/>
          <w:szCs w:val="28"/>
        </w:rPr>
      </w:pPr>
      <w:hyperlink w:anchor="_Toc239145423" w:history="1">
        <w:r w:rsidRPr="007C59DF">
          <w:rPr>
            <w:rStyle w:val="Hyperlink"/>
            <w:rFonts w:ascii="Times New Roman" w:hAnsi="Times New Roman" w:cs="Times New Roman"/>
            <w:noProof/>
            <w:sz w:val="28"/>
            <w:szCs w:val="28"/>
          </w:rPr>
          <w:t>ARGUMENT</w:t>
        </w:r>
        <w:r w:rsidRPr="007C59DF">
          <w:rPr>
            <w:rFonts w:ascii="Times New Roman" w:hAnsi="Times New Roman" w:cs="Times New Roman"/>
            <w:noProof/>
            <w:webHidden/>
            <w:sz w:val="28"/>
            <w:szCs w:val="28"/>
          </w:rPr>
          <w:tab/>
        </w:r>
        <w:r w:rsidRPr="007C59DF">
          <w:rPr>
            <w:rFonts w:ascii="Times New Roman" w:hAnsi="Times New Roman" w:cs="Times New Roman"/>
            <w:noProof/>
            <w:webHidden/>
            <w:sz w:val="28"/>
            <w:szCs w:val="28"/>
          </w:rPr>
          <w:fldChar w:fldCharType="begin"/>
        </w:r>
        <w:r w:rsidRPr="007C59DF">
          <w:rPr>
            <w:rFonts w:ascii="Times New Roman" w:hAnsi="Times New Roman" w:cs="Times New Roman"/>
            <w:noProof/>
            <w:webHidden/>
            <w:sz w:val="28"/>
            <w:szCs w:val="28"/>
          </w:rPr>
          <w:instrText xml:space="preserve"> PAGEREF _Toc239145423 \h </w:instrText>
        </w:r>
        <w:r w:rsidRPr="007C59DF">
          <w:rPr>
            <w:rFonts w:ascii="Times New Roman" w:hAnsi="Times New Roman" w:cs="Times New Roman"/>
            <w:noProof/>
            <w:webHidden/>
            <w:sz w:val="28"/>
            <w:szCs w:val="28"/>
          </w:rPr>
        </w:r>
        <w:r w:rsidRPr="007C59DF">
          <w:rPr>
            <w:rFonts w:ascii="Times New Roman" w:hAnsi="Times New Roman" w:cs="Times New Roman"/>
            <w:noProof/>
            <w:webHidden/>
            <w:sz w:val="28"/>
            <w:szCs w:val="28"/>
          </w:rPr>
          <w:fldChar w:fldCharType="separate"/>
        </w:r>
        <w:r w:rsidR="001D2DB2">
          <w:rPr>
            <w:rFonts w:ascii="Times New Roman" w:hAnsi="Times New Roman" w:cs="Times New Roman"/>
            <w:noProof/>
            <w:webHidden/>
            <w:sz w:val="28"/>
            <w:szCs w:val="28"/>
          </w:rPr>
          <w:t>6</w:t>
        </w:r>
        <w:r w:rsidRPr="007C59DF">
          <w:rPr>
            <w:rFonts w:ascii="Times New Roman" w:hAnsi="Times New Roman" w:cs="Times New Roman"/>
            <w:noProof/>
            <w:webHidden/>
            <w:sz w:val="28"/>
            <w:szCs w:val="28"/>
          </w:rPr>
          <w:fldChar w:fldCharType="end"/>
        </w:r>
      </w:hyperlink>
    </w:p>
    <w:p w14:paraId="42454E28" w14:textId="1B12B53B" w:rsidR="007C59DF" w:rsidRDefault="007C59DF" w:rsidP="007C59DF">
      <w:pPr>
        <w:pStyle w:val="TOC2"/>
        <w:rPr>
          <w:rStyle w:val="Hyperlink"/>
          <w:rFonts w:ascii="Times New Roman" w:hAnsi="Times New Roman" w:cs="Times New Roman"/>
          <w:noProof/>
          <w:sz w:val="28"/>
          <w:szCs w:val="28"/>
        </w:rPr>
      </w:pPr>
      <w:hyperlink w:anchor="_Toc239145424" w:history="1">
        <w:r w:rsidRPr="007C59DF">
          <w:rPr>
            <w:rStyle w:val="Hyperlink"/>
            <w:rFonts w:ascii="Times New Roman" w:hAnsi="Times New Roman" w:cs="Times New Roman"/>
            <w:noProof/>
            <w:sz w:val="28"/>
            <w:szCs w:val="28"/>
          </w:rPr>
          <w:t>I.</w:t>
        </w:r>
        <w:r w:rsidRPr="007C59DF">
          <w:rPr>
            <w:rFonts w:ascii="Times New Roman" w:hAnsi="Times New Roman" w:cs="Times New Roman"/>
            <w:noProof/>
            <w:sz w:val="28"/>
            <w:szCs w:val="28"/>
          </w:rPr>
          <w:tab/>
        </w:r>
        <w:r w:rsidRPr="007C59DF">
          <w:rPr>
            <w:rStyle w:val="Hyperlink"/>
            <w:rFonts w:ascii="Times New Roman" w:hAnsi="Times New Roman" w:cs="Times New Roman"/>
            <w:noProof/>
            <w:sz w:val="28"/>
            <w:szCs w:val="28"/>
          </w:rPr>
          <w:t>This Court must grant the Defendant’s Motion to Suppress because the Government cannot demonstrate that the identity of Kennedy Parker nor the existence of Exhibit 19 was derived from a legitimate source, wholly independent of the immunized testimony.</w:t>
        </w:r>
        <w:r w:rsidRPr="007C59DF">
          <w:rPr>
            <w:rFonts w:ascii="Times New Roman" w:hAnsi="Times New Roman" w:cs="Times New Roman"/>
            <w:noProof/>
            <w:webHidden/>
            <w:sz w:val="28"/>
            <w:szCs w:val="28"/>
          </w:rPr>
          <w:tab/>
        </w:r>
        <w:r w:rsidRPr="007C59DF">
          <w:rPr>
            <w:rFonts w:ascii="Times New Roman" w:hAnsi="Times New Roman" w:cs="Times New Roman"/>
            <w:noProof/>
            <w:webHidden/>
            <w:sz w:val="28"/>
            <w:szCs w:val="28"/>
          </w:rPr>
          <w:fldChar w:fldCharType="begin"/>
        </w:r>
        <w:r w:rsidRPr="007C59DF">
          <w:rPr>
            <w:rFonts w:ascii="Times New Roman" w:hAnsi="Times New Roman" w:cs="Times New Roman"/>
            <w:noProof/>
            <w:webHidden/>
            <w:sz w:val="28"/>
            <w:szCs w:val="28"/>
          </w:rPr>
          <w:instrText xml:space="preserve"> PAGEREF _Toc239145424 \h </w:instrText>
        </w:r>
        <w:r w:rsidRPr="007C59DF">
          <w:rPr>
            <w:rFonts w:ascii="Times New Roman" w:hAnsi="Times New Roman" w:cs="Times New Roman"/>
            <w:noProof/>
            <w:webHidden/>
            <w:sz w:val="28"/>
            <w:szCs w:val="28"/>
          </w:rPr>
        </w:r>
        <w:r w:rsidRPr="007C59DF">
          <w:rPr>
            <w:rFonts w:ascii="Times New Roman" w:hAnsi="Times New Roman" w:cs="Times New Roman"/>
            <w:noProof/>
            <w:webHidden/>
            <w:sz w:val="28"/>
            <w:szCs w:val="28"/>
          </w:rPr>
          <w:fldChar w:fldCharType="separate"/>
        </w:r>
        <w:r w:rsidR="001D2DB2">
          <w:rPr>
            <w:rFonts w:ascii="Times New Roman" w:hAnsi="Times New Roman" w:cs="Times New Roman"/>
            <w:noProof/>
            <w:webHidden/>
            <w:sz w:val="28"/>
            <w:szCs w:val="28"/>
          </w:rPr>
          <w:t>6</w:t>
        </w:r>
        <w:r w:rsidRPr="007C59DF">
          <w:rPr>
            <w:rFonts w:ascii="Times New Roman" w:hAnsi="Times New Roman" w:cs="Times New Roman"/>
            <w:noProof/>
            <w:webHidden/>
            <w:sz w:val="28"/>
            <w:szCs w:val="28"/>
          </w:rPr>
          <w:fldChar w:fldCharType="end"/>
        </w:r>
      </w:hyperlink>
    </w:p>
    <w:p w14:paraId="142A0ED3" w14:textId="77777777" w:rsidR="007C59DF" w:rsidRPr="007C59DF" w:rsidRDefault="007C59DF" w:rsidP="007C59DF">
      <w:pPr>
        <w:rPr>
          <w:noProof/>
        </w:rPr>
      </w:pPr>
    </w:p>
    <w:p w14:paraId="77D42873" w14:textId="44E08C80" w:rsidR="007C59DF" w:rsidRDefault="007C59DF" w:rsidP="007C59DF">
      <w:pPr>
        <w:pStyle w:val="TOC3"/>
        <w:rPr>
          <w:rStyle w:val="Hyperlink"/>
          <w:rFonts w:ascii="Times New Roman" w:hAnsi="Times New Roman" w:cs="Times New Roman"/>
          <w:noProof/>
          <w:sz w:val="28"/>
          <w:szCs w:val="28"/>
        </w:rPr>
      </w:pPr>
      <w:hyperlink w:anchor="_Toc239145425" w:history="1">
        <w:r w:rsidRPr="007C59DF">
          <w:rPr>
            <w:rStyle w:val="Hyperlink"/>
            <w:rFonts w:ascii="Times New Roman" w:hAnsi="Times New Roman" w:cs="Times New Roman"/>
            <w:noProof/>
            <w:sz w:val="28"/>
            <w:szCs w:val="28"/>
          </w:rPr>
          <w:t>A.</w:t>
        </w:r>
        <w:r w:rsidRPr="007C59DF">
          <w:rPr>
            <w:rFonts w:ascii="Times New Roman" w:eastAsiaTheme="minorEastAsia" w:hAnsi="Times New Roman" w:cs="Times New Roman"/>
            <w:noProof/>
            <w:sz w:val="28"/>
            <w:szCs w:val="28"/>
          </w:rPr>
          <w:tab/>
        </w:r>
        <w:r w:rsidRPr="007C59DF">
          <w:rPr>
            <w:rStyle w:val="Hyperlink"/>
            <w:rFonts w:ascii="Times New Roman" w:hAnsi="Times New Roman" w:cs="Times New Roman"/>
            <w:noProof/>
            <w:sz w:val="28"/>
            <w:szCs w:val="28"/>
          </w:rPr>
          <w:t>The Government cannot prove that Sinclair’s exposure did not influence Nolan’s investigation.</w:t>
        </w:r>
        <w:r w:rsidRPr="007C59DF">
          <w:rPr>
            <w:rFonts w:ascii="Times New Roman" w:hAnsi="Times New Roman" w:cs="Times New Roman"/>
            <w:noProof/>
            <w:webHidden/>
            <w:sz w:val="28"/>
            <w:szCs w:val="28"/>
          </w:rPr>
          <w:tab/>
        </w:r>
        <w:r w:rsidRPr="007C59DF">
          <w:rPr>
            <w:rFonts w:ascii="Times New Roman" w:hAnsi="Times New Roman" w:cs="Times New Roman"/>
            <w:noProof/>
            <w:webHidden/>
            <w:sz w:val="28"/>
            <w:szCs w:val="28"/>
          </w:rPr>
          <w:fldChar w:fldCharType="begin"/>
        </w:r>
        <w:r w:rsidRPr="007C59DF">
          <w:rPr>
            <w:rFonts w:ascii="Times New Roman" w:hAnsi="Times New Roman" w:cs="Times New Roman"/>
            <w:noProof/>
            <w:webHidden/>
            <w:sz w:val="28"/>
            <w:szCs w:val="28"/>
          </w:rPr>
          <w:instrText xml:space="preserve"> PAGEREF _Toc239145425 \h </w:instrText>
        </w:r>
        <w:r w:rsidRPr="007C59DF">
          <w:rPr>
            <w:rFonts w:ascii="Times New Roman" w:hAnsi="Times New Roman" w:cs="Times New Roman"/>
            <w:noProof/>
            <w:webHidden/>
            <w:sz w:val="28"/>
            <w:szCs w:val="28"/>
          </w:rPr>
        </w:r>
        <w:r w:rsidRPr="007C59DF">
          <w:rPr>
            <w:rFonts w:ascii="Times New Roman" w:hAnsi="Times New Roman" w:cs="Times New Roman"/>
            <w:noProof/>
            <w:webHidden/>
            <w:sz w:val="28"/>
            <w:szCs w:val="28"/>
          </w:rPr>
          <w:fldChar w:fldCharType="separate"/>
        </w:r>
        <w:r w:rsidR="001D2DB2">
          <w:rPr>
            <w:rFonts w:ascii="Times New Roman" w:hAnsi="Times New Roman" w:cs="Times New Roman"/>
            <w:noProof/>
            <w:webHidden/>
            <w:sz w:val="28"/>
            <w:szCs w:val="28"/>
          </w:rPr>
          <w:t>7</w:t>
        </w:r>
        <w:r w:rsidRPr="007C59DF">
          <w:rPr>
            <w:rFonts w:ascii="Times New Roman" w:hAnsi="Times New Roman" w:cs="Times New Roman"/>
            <w:noProof/>
            <w:webHidden/>
            <w:sz w:val="28"/>
            <w:szCs w:val="28"/>
          </w:rPr>
          <w:fldChar w:fldCharType="end"/>
        </w:r>
      </w:hyperlink>
    </w:p>
    <w:p w14:paraId="61D7E9FA" w14:textId="77777777" w:rsidR="007C59DF" w:rsidRPr="007C59DF" w:rsidRDefault="007C59DF" w:rsidP="007C59DF">
      <w:pPr>
        <w:rPr>
          <w:noProof/>
        </w:rPr>
      </w:pPr>
    </w:p>
    <w:p w14:paraId="2120AE67" w14:textId="072C288E" w:rsidR="007C59DF" w:rsidRDefault="007C59DF" w:rsidP="007C59DF">
      <w:pPr>
        <w:pStyle w:val="TOC3"/>
        <w:rPr>
          <w:rStyle w:val="Hyperlink"/>
          <w:rFonts w:ascii="Times New Roman" w:hAnsi="Times New Roman" w:cs="Times New Roman"/>
          <w:noProof/>
          <w:sz w:val="28"/>
          <w:szCs w:val="28"/>
        </w:rPr>
      </w:pPr>
      <w:hyperlink w:anchor="_Toc239145426" w:history="1">
        <w:r w:rsidRPr="007C59DF">
          <w:rPr>
            <w:rStyle w:val="Hyperlink"/>
            <w:rFonts w:ascii="Times New Roman" w:hAnsi="Times New Roman" w:cs="Times New Roman"/>
            <w:noProof/>
            <w:sz w:val="28"/>
            <w:szCs w:val="28"/>
          </w:rPr>
          <w:t>B.</w:t>
        </w:r>
        <w:r w:rsidRPr="007C59DF">
          <w:rPr>
            <w:rFonts w:ascii="Times New Roman" w:eastAsiaTheme="minorEastAsia" w:hAnsi="Times New Roman" w:cs="Times New Roman"/>
            <w:noProof/>
            <w:sz w:val="28"/>
            <w:szCs w:val="28"/>
          </w:rPr>
          <w:tab/>
        </w:r>
        <w:r w:rsidRPr="007C59DF">
          <w:rPr>
            <w:rStyle w:val="Hyperlink"/>
            <w:rFonts w:ascii="Times New Roman" w:hAnsi="Times New Roman" w:cs="Times New Roman"/>
            <w:noProof/>
            <w:sz w:val="28"/>
            <w:szCs w:val="28"/>
          </w:rPr>
          <w:t>There is no legitimate independent source for the identity of Kennedy Parker or Exhibit 19.</w:t>
        </w:r>
        <w:r w:rsidRPr="007C59DF">
          <w:rPr>
            <w:rFonts w:ascii="Times New Roman" w:hAnsi="Times New Roman" w:cs="Times New Roman"/>
            <w:noProof/>
            <w:webHidden/>
            <w:sz w:val="28"/>
            <w:szCs w:val="28"/>
          </w:rPr>
          <w:tab/>
        </w:r>
        <w:r w:rsidRPr="007C59DF">
          <w:rPr>
            <w:rFonts w:ascii="Times New Roman" w:hAnsi="Times New Roman" w:cs="Times New Roman"/>
            <w:noProof/>
            <w:webHidden/>
            <w:sz w:val="28"/>
            <w:szCs w:val="28"/>
          </w:rPr>
          <w:fldChar w:fldCharType="begin"/>
        </w:r>
        <w:r w:rsidRPr="007C59DF">
          <w:rPr>
            <w:rFonts w:ascii="Times New Roman" w:hAnsi="Times New Roman" w:cs="Times New Roman"/>
            <w:noProof/>
            <w:webHidden/>
            <w:sz w:val="28"/>
            <w:szCs w:val="28"/>
          </w:rPr>
          <w:instrText xml:space="preserve"> PAGEREF _Toc239145426 \h </w:instrText>
        </w:r>
        <w:r w:rsidRPr="007C59DF">
          <w:rPr>
            <w:rFonts w:ascii="Times New Roman" w:hAnsi="Times New Roman" w:cs="Times New Roman"/>
            <w:noProof/>
            <w:webHidden/>
            <w:sz w:val="28"/>
            <w:szCs w:val="28"/>
          </w:rPr>
        </w:r>
        <w:r w:rsidRPr="007C59DF">
          <w:rPr>
            <w:rFonts w:ascii="Times New Roman" w:hAnsi="Times New Roman" w:cs="Times New Roman"/>
            <w:noProof/>
            <w:webHidden/>
            <w:sz w:val="28"/>
            <w:szCs w:val="28"/>
          </w:rPr>
          <w:fldChar w:fldCharType="separate"/>
        </w:r>
        <w:r w:rsidR="001D2DB2">
          <w:rPr>
            <w:rFonts w:ascii="Times New Roman" w:hAnsi="Times New Roman" w:cs="Times New Roman"/>
            <w:noProof/>
            <w:webHidden/>
            <w:sz w:val="28"/>
            <w:szCs w:val="28"/>
          </w:rPr>
          <w:t>10</w:t>
        </w:r>
        <w:r w:rsidRPr="007C59DF">
          <w:rPr>
            <w:rFonts w:ascii="Times New Roman" w:hAnsi="Times New Roman" w:cs="Times New Roman"/>
            <w:noProof/>
            <w:webHidden/>
            <w:sz w:val="28"/>
            <w:szCs w:val="28"/>
          </w:rPr>
          <w:fldChar w:fldCharType="end"/>
        </w:r>
      </w:hyperlink>
    </w:p>
    <w:p w14:paraId="083F1EE2" w14:textId="77777777" w:rsidR="007C59DF" w:rsidRPr="007C59DF" w:rsidRDefault="007C59DF" w:rsidP="007C59DF">
      <w:pPr>
        <w:rPr>
          <w:noProof/>
        </w:rPr>
      </w:pPr>
    </w:p>
    <w:p w14:paraId="7DCF6B2C" w14:textId="172CF3D9" w:rsidR="007C59DF" w:rsidRDefault="007C59DF" w:rsidP="007C59DF">
      <w:pPr>
        <w:pStyle w:val="TOC2"/>
        <w:rPr>
          <w:rStyle w:val="Hyperlink"/>
          <w:rFonts w:ascii="Times New Roman" w:hAnsi="Times New Roman" w:cs="Times New Roman"/>
          <w:noProof/>
          <w:sz w:val="28"/>
          <w:szCs w:val="28"/>
        </w:rPr>
      </w:pPr>
      <w:hyperlink w:anchor="_Toc239145427" w:history="1">
        <w:r w:rsidRPr="007C59DF">
          <w:rPr>
            <w:rStyle w:val="Hyperlink"/>
            <w:rFonts w:ascii="Times New Roman" w:hAnsi="Times New Roman" w:cs="Times New Roman"/>
            <w:noProof/>
            <w:sz w:val="28"/>
            <w:szCs w:val="28"/>
          </w:rPr>
          <w:t>II.</w:t>
        </w:r>
        <w:r w:rsidRPr="007C59DF">
          <w:rPr>
            <w:rFonts w:ascii="Times New Roman" w:hAnsi="Times New Roman" w:cs="Times New Roman"/>
            <w:noProof/>
            <w:sz w:val="28"/>
            <w:szCs w:val="28"/>
          </w:rPr>
          <w:tab/>
        </w:r>
        <w:r w:rsidRPr="007C59DF">
          <w:rPr>
            <w:rStyle w:val="Hyperlink"/>
            <w:rFonts w:ascii="Times New Roman" w:hAnsi="Times New Roman" w:cs="Times New Roman"/>
            <w:noProof/>
            <w:sz w:val="28"/>
            <w:szCs w:val="28"/>
          </w:rPr>
          <w:t>For the criminal justice system to function properly, the Court must grant the motion to quash because the subpoena duces tecum seeks material protected by the work product privilege.</w:t>
        </w:r>
        <w:r w:rsidRPr="007C59DF">
          <w:rPr>
            <w:rFonts w:ascii="Times New Roman" w:hAnsi="Times New Roman" w:cs="Times New Roman"/>
            <w:noProof/>
            <w:webHidden/>
            <w:sz w:val="28"/>
            <w:szCs w:val="28"/>
          </w:rPr>
          <w:tab/>
        </w:r>
        <w:r w:rsidRPr="007C59DF">
          <w:rPr>
            <w:rFonts w:ascii="Times New Roman" w:hAnsi="Times New Roman" w:cs="Times New Roman"/>
            <w:noProof/>
            <w:webHidden/>
            <w:sz w:val="28"/>
            <w:szCs w:val="28"/>
          </w:rPr>
          <w:fldChar w:fldCharType="begin"/>
        </w:r>
        <w:r w:rsidRPr="007C59DF">
          <w:rPr>
            <w:rFonts w:ascii="Times New Roman" w:hAnsi="Times New Roman" w:cs="Times New Roman"/>
            <w:noProof/>
            <w:webHidden/>
            <w:sz w:val="28"/>
            <w:szCs w:val="28"/>
          </w:rPr>
          <w:instrText xml:space="preserve"> PAGEREF _Toc239145427 \h </w:instrText>
        </w:r>
        <w:r w:rsidRPr="007C59DF">
          <w:rPr>
            <w:rFonts w:ascii="Times New Roman" w:hAnsi="Times New Roman" w:cs="Times New Roman"/>
            <w:noProof/>
            <w:webHidden/>
            <w:sz w:val="28"/>
            <w:szCs w:val="28"/>
          </w:rPr>
        </w:r>
        <w:r w:rsidRPr="007C59DF">
          <w:rPr>
            <w:rFonts w:ascii="Times New Roman" w:hAnsi="Times New Roman" w:cs="Times New Roman"/>
            <w:noProof/>
            <w:webHidden/>
            <w:sz w:val="28"/>
            <w:szCs w:val="28"/>
          </w:rPr>
          <w:fldChar w:fldCharType="separate"/>
        </w:r>
        <w:r w:rsidR="001D2DB2">
          <w:rPr>
            <w:rFonts w:ascii="Times New Roman" w:hAnsi="Times New Roman" w:cs="Times New Roman"/>
            <w:noProof/>
            <w:webHidden/>
            <w:sz w:val="28"/>
            <w:szCs w:val="28"/>
          </w:rPr>
          <w:t>12</w:t>
        </w:r>
        <w:r w:rsidRPr="007C59DF">
          <w:rPr>
            <w:rFonts w:ascii="Times New Roman" w:hAnsi="Times New Roman" w:cs="Times New Roman"/>
            <w:noProof/>
            <w:webHidden/>
            <w:sz w:val="28"/>
            <w:szCs w:val="28"/>
          </w:rPr>
          <w:fldChar w:fldCharType="end"/>
        </w:r>
      </w:hyperlink>
    </w:p>
    <w:p w14:paraId="5BCEFD56" w14:textId="77777777" w:rsidR="007C59DF" w:rsidRPr="007C59DF" w:rsidRDefault="007C59DF" w:rsidP="007C59DF">
      <w:pPr>
        <w:rPr>
          <w:noProof/>
        </w:rPr>
      </w:pPr>
    </w:p>
    <w:p w14:paraId="194F7B4F" w14:textId="5EB8D4AE" w:rsidR="007C59DF" w:rsidRDefault="007C59DF" w:rsidP="007C59DF">
      <w:pPr>
        <w:pStyle w:val="TOC4"/>
        <w:rPr>
          <w:rStyle w:val="Hyperlink"/>
          <w:rFonts w:ascii="Times New Roman" w:hAnsi="Times New Roman" w:cs="Times New Roman"/>
          <w:noProof/>
          <w:sz w:val="28"/>
          <w:szCs w:val="28"/>
        </w:rPr>
      </w:pPr>
      <w:hyperlink w:anchor="_Toc239145428" w:history="1">
        <w:r w:rsidRPr="007C59DF">
          <w:rPr>
            <w:rStyle w:val="Hyperlink"/>
            <w:rFonts w:ascii="Times New Roman" w:hAnsi="Times New Roman" w:cs="Times New Roman"/>
            <w:noProof/>
            <w:sz w:val="28"/>
            <w:szCs w:val="28"/>
          </w:rPr>
          <w:t>A.</w:t>
        </w:r>
        <w:r w:rsidRPr="007C59DF">
          <w:rPr>
            <w:rFonts w:ascii="Times New Roman" w:hAnsi="Times New Roman" w:cs="Times New Roman"/>
            <w:noProof/>
            <w:sz w:val="28"/>
            <w:szCs w:val="28"/>
          </w:rPr>
          <w:tab/>
        </w:r>
        <w:r w:rsidRPr="007C59DF">
          <w:rPr>
            <w:rStyle w:val="Hyperlink"/>
            <w:rFonts w:ascii="Times New Roman" w:hAnsi="Times New Roman" w:cs="Times New Roman"/>
            <w:noProof/>
            <w:sz w:val="28"/>
            <w:szCs w:val="28"/>
          </w:rPr>
          <w:t>The interview notes are protected opinion work product because they are Armana’s mental impressions of the interview in the form of memoranda and are consequently entitled to nearly absolute immunity.</w:t>
        </w:r>
        <w:r w:rsidRPr="007C59DF">
          <w:rPr>
            <w:rFonts w:ascii="Times New Roman" w:hAnsi="Times New Roman" w:cs="Times New Roman"/>
            <w:noProof/>
            <w:webHidden/>
            <w:sz w:val="28"/>
            <w:szCs w:val="28"/>
          </w:rPr>
          <w:tab/>
        </w:r>
        <w:r w:rsidRPr="007C59DF">
          <w:rPr>
            <w:rFonts w:ascii="Times New Roman" w:hAnsi="Times New Roman" w:cs="Times New Roman"/>
            <w:noProof/>
            <w:webHidden/>
            <w:sz w:val="28"/>
            <w:szCs w:val="28"/>
          </w:rPr>
          <w:fldChar w:fldCharType="begin"/>
        </w:r>
        <w:r w:rsidRPr="007C59DF">
          <w:rPr>
            <w:rFonts w:ascii="Times New Roman" w:hAnsi="Times New Roman" w:cs="Times New Roman"/>
            <w:noProof/>
            <w:webHidden/>
            <w:sz w:val="28"/>
            <w:szCs w:val="28"/>
          </w:rPr>
          <w:instrText xml:space="preserve"> PAGEREF _Toc239145428 \h </w:instrText>
        </w:r>
        <w:r w:rsidRPr="007C59DF">
          <w:rPr>
            <w:rFonts w:ascii="Times New Roman" w:hAnsi="Times New Roman" w:cs="Times New Roman"/>
            <w:noProof/>
            <w:webHidden/>
            <w:sz w:val="28"/>
            <w:szCs w:val="28"/>
          </w:rPr>
        </w:r>
        <w:r w:rsidRPr="007C59DF">
          <w:rPr>
            <w:rFonts w:ascii="Times New Roman" w:hAnsi="Times New Roman" w:cs="Times New Roman"/>
            <w:noProof/>
            <w:webHidden/>
            <w:sz w:val="28"/>
            <w:szCs w:val="28"/>
          </w:rPr>
          <w:fldChar w:fldCharType="separate"/>
        </w:r>
        <w:r w:rsidR="001D2DB2">
          <w:rPr>
            <w:rFonts w:ascii="Times New Roman" w:hAnsi="Times New Roman" w:cs="Times New Roman"/>
            <w:noProof/>
            <w:webHidden/>
            <w:sz w:val="28"/>
            <w:szCs w:val="28"/>
          </w:rPr>
          <w:t>14</w:t>
        </w:r>
        <w:r w:rsidRPr="007C59DF">
          <w:rPr>
            <w:rFonts w:ascii="Times New Roman" w:hAnsi="Times New Roman" w:cs="Times New Roman"/>
            <w:noProof/>
            <w:webHidden/>
            <w:sz w:val="28"/>
            <w:szCs w:val="28"/>
          </w:rPr>
          <w:fldChar w:fldCharType="end"/>
        </w:r>
      </w:hyperlink>
    </w:p>
    <w:p w14:paraId="737C8EFB" w14:textId="77777777" w:rsidR="007C59DF" w:rsidRPr="007C59DF" w:rsidRDefault="007C59DF" w:rsidP="007C59DF">
      <w:pPr>
        <w:rPr>
          <w:noProof/>
        </w:rPr>
      </w:pPr>
    </w:p>
    <w:p w14:paraId="193A5700" w14:textId="432AE18B" w:rsidR="007C59DF" w:rsidRDefault="007C59DF" w:rsidP="007C59DF">
      <w:pPr>
        <w:pStyle w:val="TOC4"/>
        <w:rPr>
          <w:rStyle w:val="Hyperlink"/>
          <w:rFonts w:ascii="Times New Roman" w:hAnsi="Times New Roman" w:cs="Times New Roman"/>
          <w:noProof/>
          <w:sz w:val="28"/>
          <w:szCs w:val="28"/>
        </w:rPr>
      </w:pPr>
      <w:hyperlink w:anchor="_Toc239145429" w:history="1">
        <w:r w:rsidRPr="007C59DF">
          <w:rPr>
            <w:rStyle w:val="Hyperlink"/>
            <w:rFonts w:ascii="Times New Roman" w:hAnsi="Times New Roman" w:cs="Times New Roman"/>
            <w:noProof/>
            <w:sz w:val="28"/>
            <w:szCs w:val="28"/>
          </w:rPr>
          <w:t>B.</w:t>
        </w:r>
        <w:r w:rsidRPr="007C59DF">
          <w:rPr>
            <w:rFonts w:ascii="Times New Roman" w:hAnsi="Times New Roman" w:cs="Times New Roman"/>
            <w:noProof/>
            <w:sz w:val="28"/>
            <w:szCs w:val="28"/>
          </w:rPr>
          <w:tab/>
        </w:r>
        <w:r w:rsidRPr="007C59DF">
          <w:rPr>
            <w:rStyle w:val="Hyperlink"/>
            <w:rFonts w:ascii="Times New Roman" w:hAnsi="Times New Roman" w:cs="Times New Roman"/>
            <w:noProof/>
            <w:sz w:val="28"/>
            <w:szCs w:val="28"/>
          </w:rPr>
          <w:t>Even if the interview notes are considered fact work product, the Government cannot satisfy its burden to overcome the protection by showing a substantial need and undue hardship.</w:t>
        </w:r>
        <w:r w:rsidRPr="007C59DF">
          <w:rPr>
            <w:rFonts w:ascii="Times New Roman" w:hAnsi="Times New Roman" w:cs="Times New Roman"/>
            <w:noProof/>
            <w:webHidden/>
            <w:sz w:val="28"/>
            <w:szCs w:val="28"/>
          </w:rPr>
          <w:tab/>
        </w:r>
        <w:r w:rsidRPr="007C59DF">
          <w:rPr>
            <w:rFonts w:ascii="Times New Roman" w:hAnsi="Times New Roman" w:cs="Times New Roman"/>
            <w:noProof/>
            <w:webHidden/>
            <w:sz w:val="28"/>
            <w:szCs w:val="28"/>
          </w:rPr>
          <w:fldChar w:fldCharType="begin"/>
        </w:r>
        <w:r w:rsidRPr="007C59DF">
          <w:rPr>
            <w:rFonts w:ascii="Times New Roman" w:hAnsi="Times New Roman" w:cs="Times New Roman"/>
            <w:noProof/>
            <w:webHidden/>
            <w:sz w:val="28"/>
            <w:szCs w:val="28"/>
          </w:rPr>
          <w:instrText xml:space="preserve"> PAGEREF _Toc239145429 \h </w:instrText>
        </w:r>
        <w:r w:rsidRPr="007C59DF">
          <w:rPr>
            <w:rFonts w:ascii="Times New Roman" w:hAnsi="Times New Roman" w:cs="Times New Roman"/>
            <w:noProof/>
            <w:webHidden/>
            <w:sz w:val="28"/>
            <w:szCs w:val="28"/>
          </w:rPr>
        </w:r>
        <w:r w:rsidRPr="007C59DF">
          <w:rPr>
            <w:rFonts w:ascii="Times New Roman" w:hAnsi="Times New Roman" w:cs="Times New Roman"/>
            <w:noProof/>
            <w:webHidden/>
            <w:sz w:val="28"/>
            <w:szCs w:val="28"/>
          </w:rPr>
          <w:fldChar w:fldCharType="separate"/>
        </w:r>
        <w:r w:rsidR="001D2DB2">
          <w:rPr>
            <w:rFonts w:ascii="Times New Roman" w:hAnsi="Times New Roman" w:cs="Times New Roman"/>
            <w:noProof/>
            <w:webHidden/>
            <w:sz w:val="28"/>
            <w:szCs w:val="28"/>
          </w:rPr>
          <w:t>17</w:t>
        </w:r>
        <w:r w:rsidRPr="007C59DF">
          <w:rPr>
            <w:rFonts w:ascii="Times New Roman" w:hAnsi="Times New Roman" w:cs="Times New Roman"/>
            <w:noProof/>
            <w:webHidden/>
            <w:sz w:val="28"/>
            <w:szCs w:val="28"/>
          </w:rPr>
          <w:fldChar w:fldCharType="end"/>
        </w:r>
      </w:hyperlink>
    </w:p>
    <w:p w14:paraId="12B07740" w14:textId="77777777" w:rsidR="007C59DF" w:rsidRPr="007C59DF" w:rsidRDefault="007C59DF" w:rsidP="007C59DF">
      <w:pPr>
        <w:rPr>
          <w:noProof/>
        </w:rPr>
      </w:pPr>
    </w:p>
    <w:p w14:paraId="6E28518C" w14:textId="3B5603E1" w:rsidR="007C59DF" w:rsidRPr="007C59DF" w:rsidRDefault="007C59DF" w:rsidP="007C59DF">
      <w:pPr>
        <w:pStyle w:val="TOC1"/>
        <w:tabs>
          <w:tab w:val="right" w:leader="dot" w:pos="9350"/>
        </w:tabs>
        <w:spacing w:line="480" w:lineRule="auto"/>
        <w:contextualSpacing/>
        <w:rPr>
          <w:rFonts w:ascii="Times New Roman" w:hAnsi="Times New Roman" w:cs="Times New Roman"/>
          <w:noProof/>
          <w:sz w:val="28"/>
          <w:szCs w:val="28"/>
        </w:rPr>
      </w:pPr>
      <w:hyperlink w:anchor="_Toc239145430" w:history="1">
        <w:r w:rsidRPr="007C59DF">
          <w:rPr>
            <w:rStyle w:val="Hyperlink"/>
            <w:rFonts w:ascii="Times New Roman" w:hAnsi="Times New Roman" w:cs="Times New Roman"/>
            <w:noProof/>
            <w:sz w:val="28"/>
            <w:szCs w:val="28"/>
          </w:rPr>
          <w:t>CONCLUSION</w:t>
        </w:r>
        <w:r w:rsidRPr="007C59DF">
          <w:rPr>
            <w:rFonts w:ascii="Times New Roman" w:hAnsi="Times New Roman" w:cs="Times New Roman"/>
            <w:noProof/>
            <w:webHidden/>
            <w:sz w:val="28"/>
            <w:szCs w:val="28"/>
          </w:rPr>
          <w:tab/>
        </w:r>
        <w:r w:rsidRPr="007C59DF">
          <w:rPr>
            <w:rFonts w:ascii="Times New Roman" w:hAnsi="Times New Roman" w:cs="Times New Roman"/>
            <w:noProof/>
            <w:webHidden/>
            <w:sz w:val="28"/>
            <w:szCs w:val="28"/>
          </w:rPr>
          <w:fldChar w:fldCharType="begin"/>
        </w:r>
        <w:r w:rsidRPr="007C59DF">
          <w:rPr>
            <w:rFonts w:ascii="Times New Roman" w:hAnsi="Times New Roman" w:cs="Times New Roman"/>
            <w:noProof/>
            <w:webHidden/>
            <w:sz w:val="28"/>
            <w:szCs w:val="28"/>
          </w:rPr>
          <w:instrText xml:space="preserve"> PAGEREF _Toc239145430 \h </w:instrText>
        </w:r>
        <w:r w:rsidRPr="007C59DF">
          <w:rPr>
            <w:rFonts w:ascii="Times New Roman" w:hAnsi="Times New Roman" w:cs="Times New Roman"/>
            <w:noProof/>
            <w:webHidden/>
            <w:sz w:val="28"/>
            <w:szCs w:val="28"/>
          </w:rPr>
        </w:r>
        <w:r w:rsidRPr="007C59DF">
          <w:rPr>
            <w:rFonts w:ascii="Times New Roman" w:hAnsi="Times New Roman" w:cs="Times New Roman"/>
            <w:noProof/>
            <w:webHidden/>
            <w:sz w:val="28"/>
            <w:szCs w:val="28"/>
          </w:rPr>
          <w:fldChar w:fldCharType="separate"/>
        </w:r>
        <w:r w:rsidR="001D2DB2">
          <w:rPr>
            <w:rFonts w:ascii="Times New Roman" w:hAnsi="Times New Roman" w:cs="Times New Roman"/>
            <w:noProof/>
            <w:webHidden/>
            <w:sz w:val="28"/>
            <w:szCs w:val="28"/>
          </w:rPr>
          <w:t>20</w:t>
        </w:r>
        <w:r w:rsidRPr="007C59DF">
          <w:rPr>
            <w:rFonts w:ascii="Times New Roman" w:hAnsi="Times New Roman" w:cs="Times New Roman"/>
            <w:noProof/>
            <w:webHidden/>
            <w:sz w:val="28"/>
            <w:szCs w:val="28"/>
          </w:rPr>
          <w:fldChar w:fldCharType="end"/>
        </w:r>
      </w:hyperlink>
    </w:p>
    <w:p w14:paraId="4439F5B2" w14:textId="1BCD4AB1" w:rsidR="001B44A9" w:rsidRPr="007C59DF" w:rsidRDefault="007C59DF" w:rsidP="007C59DF">
      <w:pPr>
        <w:spacing w:line="480" w:lineRule="auto"/>
        <w:contextualSpacing/>
        <w:jc w:val="both"/>
        <w:rPr>
          <w:rFonts w:ascii="Times New Roman" w:hAnsi="Times New Roman" w:cs="Times New Roman"/>
          <w:spacing w:val="-5"/>
          <w:sz w:val="28"/>
          <w:szCs w:val="28"/>
        </w:rPr>
      </w:pPr>
      <w:r w:rsidRPr="007C59DF">
        <w:rPr>
          <w:rFonts w:ascii="Times New Roman" w:hAnsi="Times New Roman" w:cs="Times New Roman"/>
          <w:spacing w:val="-5"/>
          <w:sz w:val="28"/>
          <w:szCs w:val="28"/>
        </w:rPr>
        <w:fldChar w:fldCharType="end"/>
      </w:r>
    </w:p>
    <w:p w14:paraId="24D69606" w14:textId="77777777" w:rsidR="006D1C37" w:rsidRPr="007C59DF" w:rsidRDefault="006D1C37" w:rsidP="007C59DF">
      <w:pPr>
        <w:spacing w:line="480" w:lineRule="auto"/>
        <w:contextualSpacing/>
        <w:jc w:val="both"/>
        <w:rPr>
          <w:rFonts w:ascii="Times New Roman" w:hAnsi="Times New Roman" w:cs="Times New Roman"/>
          <w:spacing w:val="-5"/>
          <w:sz w:val="28"/>
          <w:szCs w:val="28"/>
        </w:rPr>
      </w:pPr>
    </w:p>
    <w:p w14:paraId="3E51CE6D" w14:textId="77777777" w:rsidR="006D1C37" w:rsidRPr="006D1C37" w:rsidRDefault="006D1C37" w:rsidP="006D1C37">
      <w:pPr>
        <w:jc w:val="center"/>
        <w:rPr>
          <w:rFonts w:ascii="Times New Roman" w:hAnsi="Times New Roman" w:cs="Times New Roman"/>
          <w:b/>
          <w:bCs/>
          <w:spacing w:val="-5"/>
          <w:sz w:val="28"/>
          <w:szCs w:val="28"/>
        </w:rPr>
        <w:sectPr w:rsidR="006D1C37" w:rsidRPr="006D1C37" w:rsidSect="00264A10">
          <w:pgSz w:w="12240" w:h="15840"/>
          <w:pgMar w:top="1440" w:right="1440" w:bottom="1440" w:left="1440" w:header="720" w:footer="720" w:gutter="0"/>
          <w:pgNumType w:fmt="lowerRoman"/>
          <w:cols w:space="720"/>
          <w:docGrid w:linePitch="360"/>
        </w:sectPr>
      </w:pPr>
      <w:bookmarkStart w:id="1" w:name="_Toc239122330"/>
    </w:p>
    <w:p w14:paraId="4FBB85A4" w14:textId="43AE7934" w:rsidR="006D1C37" w:rsidRPr="001D2DB2" w:rsidRDefault="006D1C37" w:rsidP="001D2DB2">
      <w:pPr>
        <w:pStyle w:val="Heading1"/>
      </w:pPr>
      <w:bookmarkStart w:id="2" w:name="_Toc239145420"/>
      <w:r w:rsidRPr="001D2DB2">
        <w:lastRenderedPageBreak/>
        <w:t>TABLE OF AUTHORITIES</w:t>
      </w:r>
      <w:bookmarkEnd w:id="1"/>
      <w:bookmarkEnd w:id="2"/>
    </w:p>
    <w:p w14:paraId="006AE712" w14:textId="77777777" w:rsidR="001D2DB2" w:rsidRPr="001D2DB2" w:rsidRDefault="003F1CD1" w:rsidP="001D2DB2">
      <w:pPr>
        <w:pStyle w:val="TOAHeading"/>
        <w:tabs>
          <w:tab w:val="right" w:leader="dot" w:pos="9350"/>
        </w:tabs>
        <w:spacing w:line="480" w:lineRule="auto"/>
        <w:contextualSpacing/>
        <w:rPr>
          <w:rFonts w:ascii="Times New Roman" w:eastAsiaTheme="minorEastAsia" w:hAnsi="Times New Roman" w:cs="Times New Roman"/>
          <w:b w:val="0"/>
          <w:bCs w:val="0"/>
          <w:noProof/>
          <w:sz w:val="28"/>
          <w:szCs w:val="28"/>
        </w:rPr>
      </w:pPr>
      <w:r w:rsidRPr="001D2DB2">
        <w:rPr>
          <w:rFonts w:ascii="Times New Roman" w:hAnsi="Times New Roman" w:cs="Times New Roman"/>
          <w:spacing w:val="-5"/>
          <w:sz w:val="28"/>
          <w:szCs w:val="28"/>
        </w:rPr>
        <w:fldChar w:fldCharType="begin"/>
      </w:r>
      <w:r w:rsidRPr="001D2DB2">
        <w:rPr>
          <w:rFonts w:ascii="Times New Roman" w:hAnsi="Times New Roman" w:cs="Times New Roman"/>
          <w:spacing w:val="-5"/>
          <w:sz w:val="28"/>
          <w:szCs w:val="28"/>
        </w:rPr>
        <w:instrText xml:space="preserve"> TOA \h \c "8" \p </w:instrText>
      </w:r>
      <w:r w:rsidRPr="001D2DB2">
        <w:rPr>
          <w:rFonts w:ascii="Times New Roman" w:hAnsi="Times New Roman" w:cs="Times New Roman"/>
          <w:spacing w:val="-5"/>
          <w:sz w:val="28"/>
          <w:szCs w:val="28"/>
        </w:rPr>
        <w:fldChar w:fldCharType="separate"/>
      </w:r>
      <w:r w:rsidR="001D2DB2" w:rsidRPr="001D2DB2">
        <w:rPr>
          <w:rFonts w:ascii="Times New Roman" w:hAnsi="Times New Roman" w:cs="Times New Roman"/>
          <w:noProof/>
          <w:sz w:val="28"/>
          <w:szCs w:val="28"/>
        </w:rPr>
        <w:t>United States Supreme Court Cases</w:t>
      </w:r>
    </w:p>
    <w:p w14:paraId="202F604D"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Hickman v. Taylor</w:t>
      </w:r>
      <w:r w:rsidRPr="001D2DB2">
        <w:rPr>
          <w:rFonts w:ascii="Times New Roman" w:eastAsia="Times New Roman" w:hAnsi="Times New Roman" w:cs="Times New Roman"/>
          <w:noProof/>
          <w:color w:val="000000"/>
          <w:kern w:val="0"/>
          <w:sz w:val="28"/>
          <w:szCs w:val="28"/>
          <w14:ligatures w14:val="none"/>
        </w:rPr>
        <w:t>, 329 U.S. 495 (1947)</w:t>
      </w:r>
      <w:r w:rsidRPr="001D2DB2">
        <w:rPr>
          <w:rFonts w:ascii="Times New Roman" w:hAnsi="Times New Roman" w:cs="Times New Roman"/>
          <w:noProof/>
          <w:sz w:val="28"/>
          <w:szCs w:val="28"/>
        </w:rPr>
        <w:tab/>
        <w:t>12, 16</w:t>
      </w:r>
    </w:p>
    <w:p w14:paraId="548E3DBE"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Kastigar v. United States</w:t>
      </w:r>
      <w:r w:rsidRPr="001D2DB2">
        <w:rPr>
          <w:rFonts w:ascii="Times New Roman" w:eastAsia="Times New Roman" w:hAnsi="Times New Roman" w:cs="Times New Roman"/>
          <w:noProof/>
          <w:color w:val="000000"/>
          <w:kern w:val="0"/>
          <w:sz w:val="28"/>
          <w:szCs w:val="28"/>
          <w14:ligatures w14:val="none"/>
        </w:rPr>
        <w:t>, 406 U.S. 441 (1972).</w:t>
      </w:r>
      <w:r w:rsidRPr="001D2DB2">
        <w:rPr>
          <w:rFonts w:ascii="Times New Roman" w:hAnsi="Times New Roman" w:cs="Times New Roman"/>
          <w:noProof/>
          <w:sz w:val="28"/>
          <w:szCs w:val="28"/>
        </w:rPr>
        <w:tab/>
        <w:t>6, 7</w:t>
      </w:r>
    </w:p>
    <w:p w14:paraId="6FE38A35"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United States v. Hubbell</w:t>
      </w:r>
      <w:r w:rsidRPr="001D2DB2">
        <w:rPr>
          <w:rFonts w:ascii="Times New Roman" w:eastAsia="Times New Roman" w:hAnsi="Times New Roman" w:cs="Times New Roman"/>
          <w:noProof/>
          <w:color w:val="000000"/>
          <w:kern w:val="0"/>
          <w:sz w:val="28"/>
          <w:szCs w:val="28"/>
          <w14:ligatures w14:val="none"/>
        </w:rPr>
        <w:t>, 530 U.S. 27 (2000).</w:t>
      </w:r>
      <w:r w:rsidRPr="001D2DB2">
        <w:rPr>
          <w:rFonts w:ascii="Times New Roman" w:hAnsi="Times New Roman" w:cs="Times New Roman"/>
          <w:noProof/>
          <w:sz w:val="28"/>
          <w:szCs w:val="28"/>
        </w:rPr>
        <w:tab/>
        <w:t>7, 10, 11</w:t>
      </w:r>
    </w:p>
    <w:p w14:paraId="073A163B"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United States v. Nobles</w:t>
      </w:r>
      <w:r w:rsidRPr="001D2DB2">
        <w:rPr>
          <w:rFonts w:ascii="Times New Roman" w:eastAsia="Times New Roman" w:hAnsi="Times New Roman" w:cs="Times New Roman"/>
          <w:noProof/>
          <w:color w:val="000000"/>
          <w:kern w:val="0"/>
          <w:sz w:val="28"/>
          <w:szCs w:val="28"/>
          <w14:ligatures w14:val="none"/>
        </w:rPr>
        <w:t>, 422 U.S. 225 (1975).</w:t>
      </w:r>
      <w:r w:rsidRPr="001D2DB2">
        <w:rPr>
          <w:rFonts w:ascii="Times New Roman" w:hAnsi="Times New Roman" w:cs="Times New Roman"/>
          <w:noProof/>
          <w:sz w:val="28"/>
          <w:szCs w:val="28"/>
        </w:rPr>
        <w:tab/>
        <w:t>12, 13</w:t>
      </w:r>
    </w:p>
    <w:p w14:paraId="5A739C64"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Upjohn Co. v. United States</w:t>
      </w:r>
      <w:r w:rsidRPr="001D2DB2">
        <w:rPr>
          <w:rFonts w:ascii="Times New Roman" w:eastAsia="Times New Roman" w:hAnsi="Times New Roman" w:cs="Times New Roman"/>
          <w:noProof/>
          <w:color w:val="000000"/>
          <w:kern w:val="0"/>
          <w:sz w:val="28"/>
          <w:szCs w:val="28"/>
          <w14:ligatures w14:val="none"/>
        </w:rPr>
        <w:t>, 449 U.S. 383 (1981).</w:t>
      </w:r>
      <w:r w:rsidRPr="001D2DB2">
        <w:rPr>
          <w:rFonts w:ascii="Times New Roman" w:hAnsi="Times New Roman" w:cs="Times New Roman"/>
          <w:noProof/>
          <w:sz w:val="28"/>
          <w:szCs w:val="28"/>
        </w:rPr>
        <w:tab/>
        <w:t>15, 16, 17</w:t>
      </w:r>
    </w:p>
    <w:p w14:paraId="6750186B" w14:textId="204382B2" w:rsidR="001D2DB2" w:rsidRPr="001D2DB2" w:rsidRDefault="003F1CD1" w:rsidP="001D2DB2">
      <w:pPr>
        <w:pStyle w:val="TOAHeading"/>
        <w:tabs>
          <w:tab w:val="right" w:leader="dot" w:pos="9350"/>
        </w:tabs>
        <w:spacing w:line="480" w:lineRule="auto"/>
        <w:contextualSpacing/>
        <w:rPr>
          <w:rFonts w:ascii="Times New Roman" w:eastAsiaTheme="minorEastAsia" w:hAnsi="Times New Roman" w:cs="Times New Roman"/>
          <w:b w:val="0"/>
          <w:bCs w:val="0"/>
          <w:noProof/>
          <w:sz w:val="28"/>
          <w:szCs w:val="28"/>
        </w:rPr>
      </w:pPr>
      <w:r w:rsidRPr="001D2DB2">
        <w:rPr>
          <w:rFonts w:ascii="Times New Roman" w:hAnsi="Times New Roman" w:cs="Times New Roman"/>
          <w:spacing w:val="-5"/>
          <w:sz w:val="28"/>
          <w:szCs w:val="28"/>
        </w:rPr>
        <w:fldChar w:fldCharType="end"/>
      </w:r>
      <w:r w:rsidRPr="001D2DB2">
        <w:rPr>
          <w:rFonts w:ascii="Times New Roman" w:hAnsi="Times New Roman" w:cs="Times New Roman"/>
          <w:spacing w:val="-5"/>
          <w:sz w:val="28"/>
          <w:szCs w:val="28"/>
        </w:rPr>
        <w:fldChar w:fldCharType="begin"/>
      </w:r>
      <w:r w:rsidRPr="001D2DB2">
        <w:rPr>
          <w:rFonts w:ascii="Times New Roman" w:hAnsi="Times New Roman" w:cs="Times New Roman"/>
          <w:spacing w:val="-5"/>
          <w:sz w:val="28"/>
          <w:szCs w:val="28"/>
        </w:rPr>
        <w:instrText xml:space="preserve"> TOA \h \c "1" \p </w:instrText>
      </w:r>
      <w:r w:rsidRPr="001D2DB2">
        <w:rPr>
          <w:rFonts w:ascii="Times New Roman" w:hAnsi="Times New Roman" w:cs="Times New Roman"/>
          <w:spacing w:val="-5"/>
          <w:sz w:val="28"/>
          <w:szCs w:val="28"/>
        </w:rPr>
        <w:fldChar w:fldCharType="separate"/>
      </w:r>
      <w:r w:rsidR="001D2DB2" w:rsidRPr="001D2DB2">
        <w:rPr>
          <w:rFonts w:ascii="Times New Roman" w:hAnsi="Times New Roman" w:cs="Times New Roman"/>
          <w:noProof/>
          <w:sz w:val="28"/>
          <w:szCs w:val="28"/>
        </w:rPr>
        <w:t>United States Circuit Court Cases</w:t>
      </w:r>
    </w:p>
    <w:p w14:paraId="06C5C02E"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American Oversight v. United States Dep’t of Just.</w:t>
      </w:r>
      <w:r w:rsidRPr="001D2DB2">
        <w:rPr>
          <w:rFonts w:ascii="Times New Roman" w:eastAsia="Times New Roman" w:hAnsi="Times New Roman" w:cs="Times New Roman"/>
          <w:noProof/>
          <w:color w:val="000000"/>
          <w:kern w:val="0"/>
          <w:sz w:val="28"/>
          <w:szCs w:val="28"/>
          <w14:ligatures w14:val="none"/>
        </w:rPr>
        <w:t>, 45 F.4th 579 (2d Cir. 2022)</w:t>
      </w:r>
      <w:r w:rsidRPr="001D2DB2">
        <w:rPr>
          <w:rFonts w:ascii="Times New Roman" w:hAnsi="Times New Roman" w:cs="Times New Roman"/>
          <w:noProof/>
          <w:sz w:val="28"/>
          <w:szCs w:val="28"/>
        </w:rPr>
        <w:tab/>
        <w:t>12</w:t>
      </w:r>
    </w:p>
    <w:p w14:paraId="6B6A4920"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Director, Office of Thrift Supervision v. Vinson &amp; Elkins, LLP</w:t>
      </w:r>
      <w:r w:rsidRPr="001D2DB2">
        <w:rPr>
          <w:rFonts w:ascii="Times New Roman" w:eastAsia="Times New Roman" w:hAnsi="Times New Roman" w:cs="Times New Roman"/>
          <w:noProof/>
          <w:color w:val="000000"/>
          <w:kern w:val="0"/>
          <w:sz w:val="28"/>
          <w:szCs w:val="28"/>
          <w14:ligatures w14:val="none"/>
        </w:rPr>
        <w:t>, 124 F.3d 1304 (D.C. Cir. 1997).</w:t>
      </w:r>
      <w:r w:rsidRPr="001D2DB2">
        <w:rPr>
          <w:rFonts w:ascii="Times New Roman" w:hAnsi="Times New Roman" w:cs="Times New Roman"/>
          <w:noProof/>
          <w:sz w:val="28"/>
          <w:szCs w:val="28"/>
        </w:rPr>
        <w:tab/>
        <w:t>17, 19</w:t>
      </w:r>
    </w:p>
    <w:p w14:paraId="6784351A"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In re Grand Jury Investigation</w:t>
      </w:r>
      <w:r w:rsidRPr="001D2DB2">
        <w:rPr>
          <w:rFonts w:ascii="Times New Roman" w:eastAsia="Times New Roman" w:hAnsi="Times New Roman" w:cs="Times New Roman"/>
          <w:noProof/>
          <w:color w:val="000000"/>
          <w:kern w:val="0"/>
          <w:sz w:val="28"/>
          <w:szCs w:val="28"/>
          <w14:ligatures w14:val="none"/>
        </w:rPr>
        <w:t>, 599 F.2d 1224 (3d Cir. 1979).</w:t>
      </w:r>
      <w:r w:rsidRPr="001D2DB2">
        <w:rPr>
          <w:rFonts w:ascii="Times New Roman" w:hAnsi="Times New Roman" w:cs="Times New Roman"/>
          <w:noProof/>
          <w:sz w:val="28"/>
          <w:szCs w:val="28"/>
        </w:rPr>
        <w:tab/>
        <w:t>18</w:t>
      </w:r>
    </w:p>
    <w:p w14:paraId="55F6169D"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In re Grand Jury Subpoena Dated July 6, 2005</w:t>
      </w:r>
      <w:r w:rsidRPr="001D2DB2">
        <w:rPr>
          <w:rFonts w:ascii="Times New Roman" w:eastAsia="Times New Roman" w:hAnsi="Times New Roman" w:cs="Times New Roman"/>
          <w:noProof/>
          <w:color w:val="000000"/>
          <w:kern w:val="0"/>
          <w:sz w:val="28"/>
          <w:szCs w:val="28"/>
          <w14:ligatures w14:val="none"/>
        </w:rPr>
        <w:t>, 510 F.3d 180 (2d Cir. 2007).</w:t>
      </w:r>
      <w:r w:rsidRPr="001D2DB2">
        <w:rPr>
          <w:rFonts w:ascii="Times New Roman" w:hAnsi="Times New Roman" w:cs="Times New Roman"/>
          <w:noProof/>
          <w:sz w:val="28"/>
          <w:szCs w:val="28"/>
        </w:rPr>
        <w:tab/>
        <w:t>14, 17</w:t>
      </w:r>
    </w:p>
    <w:p w14:paraId="5CCE5BA7"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In re Grand Jury Subpoena</w:t>
      </w:r>
      <w:r w:rsidRPr="001D2DB2">
        <w:rPr>
          <w:rFonts w:ascii="Times New Roman" w:eastAsia="Times New Roman" w:hAnsi="Times New Roman" w:cs="Times New Roman"/>
          <w:noProof/>
          <w:color w:val="000000"/>
          <w:kern w:val="0"/>
          <w:sz w:val="28"/>
          <w:szCs w:val="28"/>
          <w14:ligatures w14:val="none"/>
        </w:rPr>
        <w:t>, 870 F.3d 312 (4th Cir. 2017).</w:t>
      </w:r>
      <w:r w:rsidRPr="001D2DB2">
        <w:rPr>
          <w:rFonts w:ascii="Times New Roman" w:hAnsi="Times New Roman" w:cs="Times New Roman"/>
          <w:noProof/>
          <w:sz w:val="28"/>
          <w:szCs w:val="28"/>
        </w:rPr>
        <w:tab/>
        <w:t>14, 15, 16</w:t>
      </w:r>
    </w:p>
    <w:p w14:paraId="739EEE9B"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In re Green Grand Jury Proc.</w:t>
      </w:r>
      <w:r w:rsidRPr="001D2DB2">
        <w:rPr>
          <w:rFonts w:ascii="Times New Roman" w:eastAsia="Times New Roman" w:hAnsi="Times New Roman" w:cs="Times New Roman"/>
          <w:noProof/>
          <w:color w:val="000000"/>
          <w:kern w:val="0"/>
          <w:sz w:val="28"/>
          <w:szCs w:val="28"/>
          <w14:ligatures w14:val="none"/>
        </w:rPr>
        <w:t>, 492 F.3d 976 (8th Cir. 2007).</w:t>
      </w:r>
      <w:r w:rsidRPr="001D2DB2">
        <w:rPr>
          <w:rFonts w:ascii="Times New Roman" w:hAnsi="Times New Roman" w:cs="Times New Roman"/>
          <w:noProof/>
          <w:sz w:val="28"/>
          <w:szCs w:val="28"/>
        </w:rPr>
        <w:tab/>
        <w:t>14, 16</w:t>
      </w:r>
    </w:p>
    <w:p w14:paraId="3334A174"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Mercator Corp. v. United States (In re Grand Jury Subpoenas Dated Mar. 19, 2002 &amp; Aug. 2, 2002)</w:t>
      </w:r>
      <w:r w:rsidRPr="001D2DB2">
        <w:rPr>
          <w:rFonts w:ascii="Times New Roman" w:eastAsia="Times New Roman" w:hAnsi="Times New Roman" w:cs="Times New Roman"/>
          <w:noProof/>
          <w:color w:val="000000"/>
          <w:kern w:val="0"/>
          <w:sz w:val="28"/>
          <w:szCs w:val="28"/>
          <w14:ligatures w14:val="none"/>
        </w:rPr>
        <w:t>, 318 F.3d 379 (2d Cir. 2003).</w:t>
      </w:r>
      <w:r w:rsidRPr="001D2DB2">
        <w:rPr>
          <w:rFonts w:ascii="Times New Roman" w:hAnsi="Times New Roman" w:cs="Times New Roman"/>
          <w:noProof/>
          <w:sz w:val="28"/>
          <w:szCs w:val="28"/>
        </w:rPr>
        <w:tab/>
        <w:t>13, 17</w:t>
      </w:r>
    </w:p>
    <w:p w14:paraId="05229D43"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United States v. Byrd</w:t>
      </w:r>
      <w:r w:rsidRPr="001D2DB2">
        <w:rPr>
          <w:rFonts w:ascii="Times New Roman" w:eastAsia="Times New Roman" w:hAnsi="Times New Roman" w:cs="Times New Roman"/>
          <w:noProof/>
          <w:color w:val="000000"/>
          <w:kern w:val="0"/>
          <w:sz w:val="28"/>
          <w:szCs w:val="28"/>
          <w14:ligatures w14:val="none"/>
        </w:rPr>
        <w:t>, 765 F.2d 1524 (11th Cir. 1985).</w:t>
      </w:r>
      <w:r w:rsidRPr="001D2DB2">
        <w:rPr>
          <w:rFonts w:ascii="Times New Roman" w:hAnsi="Times New Roman" w:cs="Times New Roman"/>
          <w:noProof/>
          <w:sz w:val="28"/>
          <w:szCs w:val="28"/>
        </w:rPr>
        <w:tab/>
        <w:t>10</w:t>
      </w:r>
    </w:p>
    <w:p w14:paraId="1BF7B6B5"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United States v. Hampton</w:t>
      </w:r>
      <w:r w:rsidRPr="001D2DB2">
        <w:rPr>
          <w:rFonts w:ascii="Times New Roman" w:eastAsia="Times New Roman" w:hAnsi="Times New Roman" w:cs="Times New Roman"/>
          <w:noProof/>
          <w:color w:val="000000"/>
          <w:kern w:val="0"/>
          <w:sz w:val="28"/>
          <w:szCs w:val="28"/>
          <w14:ligatures w14:val="none"/>
        </w:rPr>
        <w:t>, 775 F.2d 1479 (11th Cir. 1985)</w:t>
      </w:r>
      <w:r w:rsidRPr="001D2DB2">
        <w:rPr>
          <w:rFonts w:ascii="Times New Roman" w:hAnsi="Times New Roman" w:cs="Times New Roman"/>
          <w:noProof/>
          <w:sz w:val="28"/>
          <w:szCs w:val="28"/>
        </w:rPr>
        <w:tab/>
        <w:t>7, 8, 10</w:t>
      </w:r>
    </w:p>
    <w:p w14:paraId="09290D68"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United States v. Harris</w:t>
      </w:r>
      <w:r w:rsidRPr="001D2DB2">
        <w:rPr>
          <w:rFonts w:ascii="Times New Roman" w:eastAsia="Times New Roman" w:hAnsi="Times New Roman" w:cs="Times New Roman"/>
          <w:noProof/>
          <w:color w:val="000000"/>
          <w:kern w:val="0"/>
          <w:sz w:val="28"/>
          <w:szCs w:val="28"/>
          <w14:ligatures w14:val="none"/>
        </w:rPr>
        <w:t>, 973 F.2d 333 (4th Cir. 1992).</w:t>
      </w:r>
      <w:r w:rsidRPr="001D2DB2">
        <w:rPr>
          <w:rFonts w:ascii="Times New Roman" w:hAnsi="Times New Roman" w:cs="Times New Roman"/>
          <w:noProof/>
          <w:sz w:val="28"/>
          <w:szCs w:val="28"/>
        </w:rPr>
        <w:tab/>
        <w:t>8, 9</w:t>
      </w:r>
    </w:p>
    <w:p w14:paraId="06F4057C"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lastRenderedPageBreak/>
        <w:t>United States v. Mapelli</w:t>
      </w:r>
      <w:r w:rsidRPr="001D2DB2">
        <w:rPr>
          <w:rFonts w:ascii="Times New Roman" w:eastAsia="Times New Roman" w:hAnsi="Times New Roman" w:cs="Times New Roman"/>
          <w:noProof/>
          <w:color w:val="000000"/>
          <w:kern w:val="0"/>
          <w:sz w:val="28"/>
          <w:szCs w:val="28"/>
          <w14:ligatures w14:val="none"/>
        </w:rPr>
        <w:t>, 971 F.2d 284 (9th Cir. 1992).</w:t>
      </w:r>
      <w:r w:rsidRPr="001D2DB2">
        <w:rPr>
          <w:rFonts w:ascii="Times New Roman" w:hAnsi="Times New Roman" w:cs="Times New Roman"/>
          <w:noProof/>
          <w:sz w:val="28"/>
          <w:szCs w:val="28"/>
        </w:rPr>
        <w:tab/>
        <w:t>7</w:t>
      </w:r>
    </w:p>
    <w:p w14:paraId="5A830A16"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United States v. North</w:t>
      </w:r>
      <w:r w:rsidRPr="001D2DB2">
        <w:rPr>
          <w:rFonts w:ascii="Times New Roman" w:eastAsia="Times New Roman" w:hAnsi="Times New Roman" w:cs="Times New Roman"/>
          <w:noProof/>
          <w:color w:val="000000"/>
          <w:kern w:val="0"/>
          <w:sz w:val="28"/>
          <w:szCs w:val="28"/>
          <w14:ligatures w14:val="none"/>
        </w:rPr>
        <w:t>, 920 F.2d 940 (D.C. Cir. 1990).</w:t>
      </w:r>
      <w:r w:rsidRPr="001D2DB2">
        <w:rPr>
          <w:rFonts w:ascii="Times New Roman" w:hAnsi="Times New Roman" w:cs="Times New Roman"/>
          <w:noProof/>
          <w:sz w:val="28"/>
          <w:szCs w:val="28"/>
        </w:rPr>
        <w:tab/>
        <w:t>8</w:t>
      </w:r>
    </w:p>
    <w:p w14:paraId="7026D5FD"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United States v. Palumbo</w:t>
      </w:r>
      <w:r w:rsidRPr="001D2DB2">
        <w:rPr>
          <w:rFonts w:ascii="Times New Roman" w:eastAsia="Times New Roman" w:hAnsi="Times New Roman" w:cs="Times New Roman"/>
          <w:noProof/>
          <w:color w:val="000000"/>
          <w:kern w:val="0"/>
          <w:sz w:val="28"/>
          <w:szCs w:val="28"/>
          <w14:ligatures w14:val="none"/>
        </w:rPr>
        <w:t>, 897 F.2d 245 (7th Cir. 1990).</w:t>
      </w:r>
      <w:r w:rsidRPr="001D2DB2">
        <w:rPr>
          <w:rFonts w:ascii="Times New Roman" w:hAnsi="Times New Roman" w:cs="Times New Roman"/>
          <w:noProof/>
          <w:sz w:val="28"/>
          <w:szCs w:val="28"/>
        </w:rPr>
        <w:tab/>
        <w:t>7</w:t>
      </w:r>
    </w:p>
    <w:p w14:paraId="1CEC4F9C"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United States v. Quinn</w:t>
      </w:r>
      <w:r w:rsidRPr="001D2DB2">
        <w:rPr>
          <w:rFonts w:ascii="Times New Roman" w:eastAsia="Times New Roman" w:hAnsi="Times New Roman" w:cs="Times New Roman"/>
          <w:noProof/>
          <w:color w:val="000000"/>
          <w:kern w:val="0"/>
          <w:sz w:val="28"/>
          <w:szCs w:val="28"/>
          <w14:ligatures w14:val="none"/>
        </w:rPr>
        <w:t>, 728 F.3d 243 (3d Cir. 2013).</w:t>
      </w:r>
      <w:r w:rsidRPr="001D2DB2">
        <w:rPr>
          <w:rFonts w:ascii="Times New Roman" w:hAnsi="Times New Roman" w:cs="Times New Roman"/>
          <w:noProof/>
          <w:sz w:val="28"/>
          <w:szCs w:val="28"/>
        </w:rPr>
        <w:tab/>
        <w:t>8</w:t>
      </w:r>
    </w:p>
    <w:p w14:paraId="3500E7F5" w14:textId="77777777" w:rsidR="001D2DB2" w:rsidRPr="001D2DB2" w:rsidRDefault="003F1CD1" w:rsidP="001D2DB2">
      <w:pPr>
        <w:pStyle w:val="TOAHeading"/>
        <w:tabs>
          <w:tab w:val="right" w:leader="dot" w:pos="9350"/>
        </w:tabs>
        <w:spacing w:line="480" w:lineRule="auto"/>
        <w:contextualSpacing/>
        <w:rPr>
          <w:rFonts w:ascii="Times New Roman" w:eastAsiaTheme="minorEastAsia" w:hAnsi="Times New Roman" w:cs="Times New Roman"/>
          <w:b w:val="0"/>
          <w:bCs w:val="0"/>
          <w:noProof/>
          <w:sz w:val="28"/>
          <w:szCs w:val="28"/>
        </w:rPr>
      </w:pPr>
      <w:r w:rsidRPr="001D2DB2">
        <w:rPr>
          <w:rFonts w:ascii="Times New Roman" w:hAnsi="Times New Roman" w:cs="Times New Roman"/>
          <w:spacing w:val="-5"/>
          <w:sz w:val="28"/>
          <w:szCs w:val="28"/>
        </w:rPr>
        <w:fldChar w:fldCharType="end"/>
      </w:r>
      <w:r w:rsidRPr="001D2DB2">
        <w:rPr>
          <w:rFonts w:ascii="Times New Roman" w:hAnsi="Times New Roman" w:cs="Times New Roman"/>
          <w:spacing w:val="-5"/>
          <w:sz w:val="28"/>
          <w:szCs w:val="28"/>
        </w:rPr>
        <w:fldChar w:fldCharType="begin"/>
      </w:r>
      <w:r w:rsidRPr="001D2DB2">
        <w:rPr>
          <w:rFonts w:ascii="Times New Roman" w:hAnsi="Times New Roman" w:cs="Times New Roman"/>
          <w:spacing w:val="-5"/>
          <w:sz w:val="28"/>
          <w:szCs w:val="28"/>
        </w:rPr>
        <w:instrText xml:space="preserve"> TOA \h \c "10" \p </w:instrText>
      </w:r>
      <w:r w:rsidRPr="001D2DB2">
        <w:rPr>
          <w:rFonts w:ascii="Times New Roman" w:hAnsi="Times New Roman" w:cs="Times New Roman"/>
          <w:spacing w:val="-5"/>
          <w:sz w:val="28"/>
          <w:szCs w:val="28"/>
        </w:rPr>
        <w:fldChar w:fldCharType="separate"/>
      </w:r>
      <w:r w:rsidR="001D2DB2" w:rsidRPr="001D2DB2">
        <w:rPr>
          <w:rFonts w:ascii="Times New Roman" w:hAnsi="Times New Roman" w:cs="Times New Roman"/>
          <w:noProof/>
          <w:sz w:val="28"/>
          <w:szCs w:val="28"/>
        </w:rPr>
        <w:t>United States District Court Cases</w:t>
      </w:r>
    </w:p>
    <w:p w14:paraId="7ECF8355"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In re Omega Protein Inc.</w:t>
      </w:r>
      <w:r w:rsidRPr="001D2DB2">
        <w:rPr>
          <w:rFonts w:ascii="Times New Roman" w:eastAsia="Times New Roman" w:hAnsi="Times New Roman" w:cs="Times New Roman"/>
          <w:noProof/>
          <w:color w:val="000000"/>
          <w:kern w:val="0"/>
          <w:sz w:val="28"/>
          <w:szCs w:val="28"/>
          <w14:ligatures w14:val="none"/>
        </w:rPr>
        <w:t>, No. 2:04-CV-2071, 2007 WL 165494 (W.D. La. Jan. 17, 2007)</w:t>
      </w:r>
      <w:r w:rsidRPr="001D2DB2">
        <w:rPr>
          <w:rFonts w:ascii="Times New Roman" w:hAnsi="Times New Roman" w:cs="Times New Roman"/>
          <w:noProof/>
          <w:sz w:val="28"/>
          <w:szCs w:val="28"/>
        </w:rPr>
        <w:tab/>
        <w:t>18</w:t>
      </w:r>
    </w:p>
    <w:p w14:paraId="79EE5234"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i/>
          <w:iCs/>
          <w:noProof/>
          <w:color w:val="000000"/>
          <w:kern w:val="0"/>
          <w:sz w:val="28"/>
          <w:szCs w:val="28"/>
          <w14:ligatures w14:val="none"/>
        </w:rPr>
        <w:t>United States ex rel. Bibby v. Wells Fargo, N.A.</w:t>
      </w:r>
      <w:r w:rsidRPr="001D2DB2">
        <w:rPr>
          <w:rFonts w:ascii="Times New Roman" w:eastAsia="Times New Roman" w:hAnsi="Times New Roman" w:cs="Times New Roman"/>
          <w:noProof/>
          <w:color w:val="000000"/>
          <w:kern w:val="0"/>
          <w:sz w:val="28"/>
          <w:szCs w:val="28"/>
          <w14:ligatures w14:val="none"/>
        </w:rPr>
        <w:t>, 165 F. Supp. 1319 (N.D. Ga. 2015).</w:t>
      </w:r>
      <w:r w:rsidRPr="001D2DB2">
        <w:rPr>
          <w:rFonts w:ascii="Times New Roman" w:hAnsi="Times New Roman" w:cs="Times New Roman"/>
          <w:noProof/>
          <w:sz w:val="28"/>
          <w:szCs w:val="28"/>
        </w:rPr>
        <w:tab/>
        <w:t>17, 19</w:t>
      </w:r>
    </w:p>
    <w:p w14:paraId="10B74B20" w14:textId="77777777" w:rsidR="001D2DB2" w:rsidRPr="001D2DB2" w:rsidRDefault="003F1CD1" w:rsidP="001D2DB2">
      <w:pPr>
        <w:pStyle w:val="TOAHeading"/>
        <w:tabs>
          <w:tab w:val="right" w:leader="dot" w:pos="9350"/>
        </w:tabs>
        <w:spacing w:line="480" w:lineRule="auto"/>
        <w:contextualSpacing/>
        <w:rPr>
          <w:rFonts w:ascii="Times New Roman" w:eastAsiaTheme="minorEastAsia" w:hAnsi="Times New Roman" w:cs="Times New Roman"/>
          <w:b w:val="0"/>
          <w:bCs w:val="0"/>
          <w:noProof/>
          <w:sz w:val="28"/>
          <w:szCs w:val="28"/>
        </w:rPr>
      </w:pPr>
      <w:r w:rsidRPr="001D2DB2">
        <w:rPr>
          <w:rFonts w:ascii="Times New Roman" w:hAnsi="Times New Roman" w:cs="Times New Roman"/>
          <w:spacing w:val="-5"/>
          <w:sz w:val="28"/>
          <w:szCs w:val="28"/>
        </w:rPr>
        <w:fldChar w:fldCharType="end"/>
      </w:r>
      <w:r w:rsidRPr="001D2DB2">
        <w:rPr>
          <w:rFonts w:ascii="Times New Roman" w:hAnsi="Times New Roman" w:cs="Times New Roman"/>
          <w:spacing w:val="-5"/>
          <w:sz w:val="28"/>
          <w:szCs w:val="28"/>
        </w:rPr>
        <w:fldChar w:fldCharType="begin"/>
      </w:r>
      <w:r w:rsidRPr="001D2DB2">
        <w:rPr>
          <w:rFonts w:ascii="Times New Roman" w:hAnsi="Times New Roman" w:cs="Times New Roman"/>
          <w:spacing w:val="-5"/>
          <w:sz w:val="28"/>
          <w:szCs w:val="28"/>
        </w:rPr>
        <w:instrText xml:space="preserve"> TOA \h \c "2" \p </w:instrText>
      </w:r>
      <w:r w:rsidRPr="001D2DB2">
        <w:rPr>
          <w:rFonts w:ascii="Times New Roman" w:hAnsi="Times New Roman" w:cs="Times New Roman"/>
          <w:spacing w:val="-5"/>
          <w:sz w:val="28"/>
          <w:szCs w:val="28"/>
        </w:rPr>
        <w:fldChar w:fldCharType="separate"/>
      </w:r>
      <w:r w:rsidR="001D2DB2" w:rsidRPr="001D2DB2">
        <w:rPr>
          <w:rFonts w:ascii="Times New Roman" w:hAnsi="Times New Roman" w:cs="Times New Roman"/>
          <w:noProof/>
          <w:sz w:val="28"/>
          <w:szCs w:val="28"/>
        </w:rPr>
        <w:t>Statutes</w:t>
      </w:r>
    </w:p>
    <w:p w14:paraId="62C9C764"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noProof/>
          <w:color w:val="000000"/>
          <w:kern w:val="0"/>
          <w:sz w:val="28"/>
          <w:szCs w:val="28"/>
          <w14:ligatures w14:val="none"/>
        </w:rPr>
        <w:t>18 U.S.C. § 6002</w:t>
      </w:r>
      <w:r w:rsidRPr="001D2DB2">
        <w:rPr>
          <w:rFonts w:ascii="Times New Roman" w:hAnsi="Times New Roman" w:cs="Times New Roman"/>
          <w:noProof/>
          <w:sz w:val="28"/>
          <w:szCs w:val="28"/>
        </w:rPr>
        <w:tab/>
        <w:t>6, 10</w:t>
      </w:r>
    </w:p>
    <w:p w14:paraId="71F32D14"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hAnsi="Times New Roman" w:cs="Times New Roman"/>
          <w:noProof/>
          <w:sz w:val="28"/>
          <w:szCs w:val="28"/>
        </w:rPr>
        <w:t xml:space="preserve">18 U.S.C. § </w:t>
      </w:r>
      <w:r w:rsidRPr="001D2DB2">
        <w:rPr>
          <w:rFonts w:ascii="Times New Roman" w:eastAsia="Times New Roman" w:hAnsi="Times New Roman" w:cs="Times New Roman"/>
          <w:noProof/>
          <w:color w:val="000000"/>
          <w:kern w:val="0"/>
          <w:sz w:val="28"/>
          <w:szCs w:val="28"/>
          <w14:ligatures w14:val="none"/>
        </w:rPr>
        <w:t>6003</w:t>
      </w:r>
      <w:r w:rsidRPr="001D2DB2">
        <w:rPr>
          <w:rFonts w:ascii="Times New Roman" w:hAnsi="Times New Roman" w:cs="Times New Roman"/>
          <w:noProof/>
          <w:sz w:val="28"/>
          <w:szCs w:val="28"/>
        </w:rPr>
        <w:tab/>
        <w:t>6</w:t>
      </w:r>
    </w:p>
    <w:p w14:paraId="722147EA" w14:textId="77777777" w:rsidR="001D2DB2" w:rsidRPr="001D2DB2" w:rsidRDefault="003F1CD1" w:rsidP="001D2DB2">
      <w:pPr>
        <w:pStyle w:val="TOAHeading"/>
        <w:tabs>
          <w:tab w:val="right" w:leader="dot" w:pos="9350"/>
        </w:tabs>
        <w:spacing w:line="480" w:lineRule="auto"/>
        <w:contextualSpacing/>
        <w:rPr>
          <w:rFonts w:ascii="Times New Roman" w:eastAsiaTheme="minorEastAsia" w:hAnsi="Times New Roman" w:cs="Times New Roman"/>
          <w:b w:val="0"/>
          <w:bCs w:val="0"/>
          <w:noProof/>
          <w:sz w:val="28"/>
          <w:szCs w:val="28"/>
        </w:rPr>
      </w:pPr>
      <w:r w:rsidRPr="001D2DB2">
        <w:rPr>
          <w:rFonts w:ascii="Times New Roman" w:hAnsi="Times New Roman" w:cs="Times New Roman"/>
          <w:spacing w:val="-5"/>
          <w:sz w:val="28"/>
          <w:szCs w:val="28"/>
        </w:rPr>
        <w:fldChar w:fldCharType="end"/>
      </w:r>
      <w:r w:rsidRPr="001D2DB2">
        <w:rPr>
          <w:rFonts w:ascii="Times New Roman" w:hAnsi="Times New Roman" w:cs="Times New Roman"/>
          <w:spacing w:val="-5"/>
          <w:sz w:val="28"/>
          <w:szCs w:val="28"/>
        </w:rPr>
        <w:fldChar w:fldCharType="begin"/>
      </w:r>
      <w:r w:rsidRPr="001D2DB2">
        <w:rPr>
          <w:rFonts w:ascii="Times New Roman" w:hAnsi="Times New Roman" w:cs="Times New Roman"/>
          <w:spacing w:val="-5"/>
          <w:sz w:val="28"/>
          <w:szCs w:val="28"/>
        </w:rPr>
        <w:instrText xml:space="preserve"> TOA \h \c "3" \p </w:instrText>
      </w:r>
      <w:r w:rsidRPr="001D2DB2">
        <w:rPr>
          <w:rFonts w:ascii="Times New Roman" w:hAnsi="Times New Roman" w:cs="Times New Roman"/>
          <w:spacing w:val="-5"/>
          <w:sz w:val="28"/>
          <w:szCs w:val="28"/>
        </w:rPr>
        <w:fldChar w:fldCharType="separate"/>
      </w:r>
      <w:r w:rsidR="001D2DB2" w:rsidRPr="001D2DB2">
        <w:rPr>
          <w:rFonts w:ascii="Times New Roman" w:hAnsi="Times New Roman" w:cs="Times New Roman"/>
          <w:noProof/>
          <w:sz w:val="28"/>
          <w:szCs w:val="28"/>
        </w:rPr>
        <w:t>Other Authorities</w:t>
      </w:r>
    </w:p>
    <w:p w14:paraId="01D0BE2B"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hAnsi="Times New Roman" w:cs="Times New Roman"/>
          <w:noProof/>
          <w:sz w:val="28"/>
          <w:szCs w:val="28"/>
        </w:rPr>
        <w:t xml:space="preserve">Charles J. Walsh &amp; Steven R. Rowland, </w:t>
      </w:r>
      <w:r w:rsidRPr="001D2DB2">
        <w:rPr>
          <w:rFonts w:ascii="Times New Roman" w:hAnsi="Times New Roman" w:cs="Times New Roman"/>
          <w:i/>
          <w:iCs/>
          <w:noProof/>
          <w:sz w:val="28"/>
          <w:szCs w:val="28"/>
        </w:rPr>
        <w:t>Immunized Testimony and the Inevitable Discovery Doctrine: An Appropriate Transplant of the Exclusionary Rule or an Excuse for a Broken Promise</w:t>
      </w:r>
      <w:r w:rsidRPr="001D2DB2">
        <w:rPr>
          <w:rFonts w:ascii="Times New Roman" w:hAnsi="Times New Roman" w:cs="Times New Roman"/>
          <w:noProof/>
          <w:sz w:val="28"/>
          <w:szCs w:val="28"/>
        </w:rPr>
        <w:t>, 23 Seton Hall L. Rev. 967 (1993).</w:t>
      </w:r>
      <w:r w:rsidRPr="001D2DB2">
        <w:rPr>
          <w:rFonts w:ascii="Times New Roman" w:hAnsi="Times New Roman" w:cs="Times New Roman"/>
          <w:noProof/>
          <w:sz w:val="28"/>
          <w:szCs w:val="28"/>
        </w:rPr>
        <w:tab/>
        <w:t>7</w:t>
      </w:r>
    </w:p>
    <w:p w14:paraId="401C2926" w14:textId="77777777" w:rsidR="001D2DB2" w:rsidRPr="001D2DB2" w:rsidRDefault="001D2DB2" w:rsidP="001D2DB2">
      <w:pPr>
        <w:pStyle w:val="TableofAuthorities"/>
        <w:tabs>
          <w:tab w:val="right" w:leader="dot" w:pos="9350"/>
        </w:tabs>
        <w:spacing w:line="480" w:lineRule="auto"/>
        <w:contextualSpacing/>
        <w:rPr>
          <w:rFonts w:ascii="Times New Roman" w:hAnsi="Times New Roman" w:cs="Times New Roman"/>
          <w:noProof/>
          <w:sz w:val="28"/>
          <w:szCs w:val="28"/>
        </w:rPr>
      </w:pPr>
      <w:r w:rsidRPr="001D2DB2">
        <w:rPr>
          <w:rFonts w:ascii="Times New Roman" w:eastAsia="Times New Roman" w:hAnsi="Times New Roman" w:cs="Times New Roman"/>
          <w:noProof/>
          <w:color w:val="000000"/>
          <w:kern w:val="0"/>
          <w:sz w:val="28"/>
          <w:szCs w:val="28"/>
          <w14:ligatures w14:val="none"/>
        </w:rPr>
        <w:t>Fed. R. Crim. P. 16</w:t>
      </w:r>
      <w:r w:rsidRPr="001D2DB2">
        <w:rPr>
          <w:rFonts w:ascii="Times New Roman" w:hAnsi="Times New Roman" w:cs="Times New Roman"/>
          <w:noProof/>
          <w:sz w:val="28"/>
          <w:szCs w:val="28"/>
        </w:rPr>
        <w:tab/>
        <w:t>13, 14</w:t>
      </w:r>
    </w:p>
    <w:p w14:paraId="78E36B68" w14:textId="1363731F" w:rsidR="003F1CD1" w:rsidRPr="001D2DB2" w:rsidRDefault="003F1CD1" w:rsidP="001D2DB2">
      <w:pPr>
        <w:pStyle w:val="TOAHeading"/>
        <w:tabs>
          <w:tab w:val="right" w:leader="dot" w:pos="9350"/>
        </w:tabs>
        <w:spacing w:line="480" w:lineRule="auto"/>
        <w:contextualSpacing/>
        <w:rPr>
          <w:rFonts w:ascii="Times New Roman" w:hAnsi="Times New Roman" w:cs="Times New Roman"/>
          <w:b w:val="0"/>
          <w:bCs w:val="0"/>
          <w:sz w:val="28"/>
          <w:szCs w:val="28"/>
        </w:rPr>
      </w:pPr>
      <w:r w:rsidRPr="001D2DB2">
        <w:rPr>
          <w:rFonts w:ascii="Times New Roman" w:hAnsi="Times New Roman" w:cs="Times New Roman"/>
          <w:spacing w:val="-5"/>
          <w:sz w:val="28"/>
          <w:szCs w:val="28"/>
        </w:rPr>
        <w:fldChar w:fldCharType="end"/>
      </w:r>
    </w:p>
    <w:p w14:paraId="6D3D69FA" w14:textId="1F76E10C" w:rsidR="006D1C37" w:rsidRPr="001D2DB2" w:rsidRDefault="006D1C37" w:rsidP="001D2DB2">
      <w:pPr>
        <w:spacing w:line="480" w:lineRule="auto"/>
        <w:contextualSpacing/>
        <w:jc w:val="both"/>
        <w:rPr>
          <w:rFonts w:ascii="Times New Roman" w:hAnsi="Times New Roman" w:cs="Times New Roman"/>
          <w:spacing w:val="-5"/>
          <w:sz w:val="28"/>
          <w:szCs w:val="28"/>
        </w:rPr>
      </w:pPr>
    </w:p>
    <w:p w14:paraId="6C7047DC" w14:textId="77777777" w:rsidR="003F1CD1" w:rsidRDefault="003F1CD1" w:rsidP="006D1C37">
      <w:pPr>
        <w:jc w:val="both"/>
        <w:rPr>
          <w:rFonts w:ascii="Times New Roman" w:hAnsi="Times New Roman" w:cs="Times New Roman"/>
          <w:spacing w:val="-5"/>
          <w:sz w:val="28"/>
          <w:szCs w:val="28"/>
        </w:rPr>
      </w:pPr>
    </w:p>
    <w:p w14:paraId="55F0B73E" w14:textId="77777777" w:rsidR="003F1CD1" w:rsidRPr="006D1C37" w:rsidRDefault="003F1CD1" w:rsidP="006D1C37">
      <w:pPr>
        <w:jc w:val="both"/>
        <w:rPr>
          <w:rFonts w:ascii="Times New Roman" w:hAnsi="Times New Roman" w:cs="Times New Roman"/>
          <w:spacing w:val="-5"/>
          <w:sz w:val="28"/>
          <w:szCs w:val="28"/>
        </w:rPr>
        <w:sectPr w:rsidR="003F1CD1" w:rsidRPr="006D1C37" w:rsidSect="006D1C37">
          <w:pgSz w:w="12240" w:h="15840"/>
          <w:pgMar w:top="1440" w:right="1440" w:bottom="1440" w:left="1440" w:header="720" w:footer="720" w:gutter="0"/>
          <w:pgNumType w:fmt="lowerRoman"/>
          <w:cols w:space="720"/>
          <w:docGrid w:linePitch="360"/>
        </w:sectPr>
      </w:pPr>
    </w:p>
    <w:p w14:paraId="315CC158" w14:textId="4E721DAA" w:rsidR="006D1C37" w:rsidRPr="000C57AC" w:rsidRDefault="006D1C37" w:rsidP="001D2DB2">
      <w:pPr>
        <w:pStyle w:val="Heading1"/>
      </w:pPr>
      <w:bookmarkStart w:id="3" w:name="_Toc239122217"/>
      <w:bookmarkStart w:id="4" w:name="_Toc239122331"/>
      <w:bookmarkStart w:id="5" w:name="_Toc239145421"/>
      <w:r w:rsidRPr="000C57AC">
        <w:lastRenderedPageBreak/>
        <w:t>INTRODUCTION</w:t>
      </w:r>
      <w:bookmarkEnd w:id="3"/>
      <w:bookmarkEnd w:id="4"/>
      <w:bookmarkEnd w:id="5"/>
    </w:p>
    <w:p w14:paraId="1812608A" w14:textId="237EF315" w:rsidR="006D1C37" w:rsidRPr="000C57AC" w:rsidRDefault="006D1C37" w:rsidP="001D2DB2">
      <w:pPr>
        <w:spacing w:line="480" w:lineRule="auto"/>
        <w:contextualSpacing/>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ab/>
        <w:t xml:space="preserve">Defendant’s Motion to Suppress and Motion to Quash must be granted. A grand jury indicted the Defendant after the Government granted Defendant use and derivative use immunity to testify in a related trial. Defendant filed a Motion to Suppress two pieces of evidence that were derived from the immunized testimony and a Motion to Quash Government’s Subpoena Duces Tecum on a private investigator hired by Defendant </w:t>
      </w:r>
      <w:proofErr w:type="gramStart"/>
      <w:r w:rsidRPr="000C57AC">
        <w:rPr>
          <w:rFonts w:ascii="Times New Roman" w:eastAsia="Times New Roman" w:hAnsi="Times New Roman" w:cs="Times New Roman"/>
          <w:color w:val="000000"/>
          <w:kern w:val="0"/>
          <w:sz w:val="28"/>
          <w:szCs w:val="28"/>
          <w14:ligatures w14:val="none"/>
        </w:rPr>
        <w:t>for the production of</w:t>
      </w:r>
      <w:proofErr w:type="gramEnd"/>
      <w:r w:rsidRPr="000C57AC">
        <w:rPr>
          <w:rFonts w:ascii="Times New Roman" w:eastAsia="Times New Roman" w:hAnsi="Times New Roman" w:cs="Times New Roman"/>
          <w:color w:val="000000"/>
          <w:kern w:val="0"/>
          <w:sz w:val="28"/>
          <w:szCs w:val="28"/>
          <w14:ligatures w14:val="none"/>
        </w:rPr>
        <w:t xml:space="preserve"> all records related to a witness interview. </w:t>
      </w:r>
    </w:p>
    <w:p w14:paraId="140E55E8" w14:textId="225C81ED" w:rsidR="006D1C37" w:rsidRPr="000C57AC" w:rsidRDefault="006D1C37" w:rsidP="006D1C37">
      <w:pPr>
        <w:spacing w:line="480" w:lineRule="auto"/>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ab/>
        <w:t xml:space="preserve">The Government cannot meet its burden under </w:t>
      </w:r>
      <w:r w:rsidRPr="000C57AC">
        <w:rPr>
          <w:rFonts w:ascii="Times New Roman" w:eastAsia="Times New Roman" w:hAnsi="Times New Roman" w:cs="Times New Roman"/>
          <w:i/>
          <w:iCs/>
          <w:color w:val="000000"/>
          <w:kern w:val="0"/>
          <w:sz w:val="28"/>
          <w:szCs w:val="28"/>
          <w14:ligatures w14:val="none"/>
        </w:rPr>
        <w:t>Kastigar</w:t>
      </w:r>
      <w:r w:rsidRPr="000C57AC">
        <w:rPr>
          <w:rFonts w:ascii="Times New Roman" w:eastAsia="Times New Roman" w:hAnsi="Times New Roman" w:cs="Times New Roman"/>
          <w:color w:val="000000"/>
          <w:kern w:val="0"/>
          <w:sz w:val="28"/>
          <w:szCs w:val="28"/>
          <w14:ligatures w14:val="none"/>
        </w:rPr>
        <w:t xml:space="preserve"> to show that each piece of evidence was derived from a legitimate source wholly independent of the immunized testimony. The Government did not </w:t>
      </w:r>
      <w:r w:rsidR="001D2DB2" w:rsidRPr="000C57AC">
        <w:rPr>
          <w:rFonts w:ascii="Times New Roman" w:eastAsia="Times New Roman" w:hAnsi="Times New Roman" w:cs="Times New Roman"/>
          <w:color w:val="000000"/>
          <w:kern w:val="0"/>
          <w:sz w:val="28"/>
          <w:szCs w:val="28"/>
          <w14:ligatures w14:val="none"/>
        </w:rPr>
        <w:t>deem</w:t>
      </w:r>
      <w:r w:rsidRPr="000C57AC">
        <w:rPr>
          <w:rFonts w:ascii="Times New Roman" w:eastAsia="Times New Roman" w:hAnsi="Times New Roman" w:cs="Times New Roman"/>
          <w:color w:val="000000"/>
          <w:kern w:val="0"/>
          <w:sz w:val="28"/>
          <w:szCs w:val="28"/>
          <w14:ligatures w14:val="none"/>
        </w:rPr>
        <w:t xml:space="preserve"> the only possible independent source of the evidence relevant prior to the immunized </w:t>
      </w:r>
      <w:r w:rsidR="00C12EBD" w:rsidRPr="000C57AC">
        <w:rPr>
          <w:rFonts w:ascii="Times New Roman" w:eastAsia="Times New Roman" w:hAnsi="Times New Roman" w:cs="Times New Roman"/>
          <w:color w:val="000000"/>
          <w:kern w:val="0"/>
          <w:sz w:val="28"/>
          <w:szCs w:val="28"/>
          <w14:ligatures w14:val="none"/>
        </w:rPr>
        <w:t>testimony and</w:t>
      </w:r>
      <w:r w:rsidRPr="000C57AC">
        <w:rPr>
          <w:rFonts w:ascii="Times New Roman" w:eastAsia="Times New Roman" w:hAnsi="Times New Roman" w:cs="Times New Roman"/>
          <w:color w:val="000000"/>
          <w:kern w:val="0"/>
          <w:sz w:val="28"/>
          <w:szCs w:val="28"/>
          <w14:ligatures w14:val="none"/>
        </w:rPr>
        <w:t xml:space="preserve"> cannot explain why the evidence regained its relevance. </w:t>
      </w:r>
    </w:p>
    <w:p w14:paraId="463AF254" w14:textId="43A10E55" w:rsidR="006D1C37" w:rsidRPr="000C57AC" w:rsidRDefault="006D1C37" w:rsidP="001D2DB2">
      <w:pPr>
        <w:spacing w:line="480" w:lineRule="auto"/>
        <w:contextualSpacing/>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ab/>
        <w:t>Additionally, the private investigator’s records are protected work product because Defendant hired the investigator in anticipation of litigation and the notes contain mental impressions. The Government cannot establish the uniqueness of the information within the records or the efforts used to obtain it and therefore cannot demonstrate a substantial need or undue hardship. The Court must grant the Defendant’s Motion to Suppress and Motion to Quash. </w:t>
      </w:r>
    </w:p>
    <w:p w14:paraId="76240747" w14:textId="77777777" w:rsidR="006D1C37" w:rsidRPr="000C57AC" w:rsidRDefault="006D1C37" w:rsidP="001D2DB2">
      <w:pPr>
        <w:spacing w:line="480" w:lineRule="auto"/>
        <w:contextualSpacing/>
        <w:jc w:val="center"/>
        <w:rPr>
          <w:rFonts w:ascii="Times New Roman" w:hAnsi="Times New Roman" w:cs="Times New Roman"/>
          <w:b/>
          <w:bCs/>
          <w:sz w:val="28"/>
          <w:szCs w:val="28"/>
        </w:rPr>
      </w:pPr>
      <w:bookmarkStart w:id="6" w:name="_Toc239122218"/>
      <w:bookmarkStart w:id="7" w:name="_Toc239122332"/>
    </w:p>
    <w:p w14:paraId="581133DA" w14:textId="6E7ABFFC" w:rsidR="006D1C37" w:rsidRPr="000C57AC" w:rsidRDefault="006D1C37" w:rsidP="001D2DB2">
      <w:pPr>
        <w:pStyle w:val="Heading1"/>
      </w:pPr>
      <w:bookmarkStart w:id="8" w:name="_Toc239145422"/>
      <w:r w:rsidRPr="000C57AC">
        <w:lastRenderedPageBreak/>
        <w:t>STATEMENT OF FACTS</w:t>
      </w:r>
      <w:bookmarkEnd w:id="6"/>
      <w:bookmarkEnd w:id="7"/>
      <w:bookmarkEnd w:id="8"/>
    </w:p>
    <w:p w14:paraId="5F49A851" w14:textId="49F72353" w:rsidR="006D1C37" w:rsidRPr="000C57AC" w:rsidRDefault="006D1C37" w:rsidP="001D2DB2">
      <w:pPr>
        <w:spacing w:line="480" w:lineRule="auto"/>
        <w:ind w:firstLine="720"/>
        <w:contextualSpacing/>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b/>
          <w:bCs/>
          <w:color w:val="000000"/>
          <w:kern w:val="0"/>
          <w:sz w:val="28"/>
          <w:szCs w:val="28"/>
          <w14:ligatures w14:val="none"/>
        </w:rPr>
        <w:t>Background.</w:t>
      </w:r>
      <w:r w:rsidRPr="000C57AC">
        <w:rPr>
          <w:rFonts w:ascii="Times New Roman" w:eastAsia="Times New Roman" w:hAnsi="Times New Roman" w:cs="Times New Roman"/>
          <w:color w:val="000000"/>
          <w:kern w:val="0"/>
          <w:sz w:val="28"/>
          <w:szCs w:val="28"/>
          <w14:ligatures w14:val="none"/>
        </w:rPr>
        <w:t xml:space="preserve"> The Silver Palms resort (“Silver Palms”) is in Gulf Haven, a small town where “everyone knows everyone.” (Sinclair Dep. 8:23–26, 9:32–38). In January 2023, the owners of Silver Palms, Ms. Emily Calloway and Saint Donovan, hired Daniel Blake as their accountant. (Sinclair Dep. 9:76; 10:77–96). Months after starting, Blake raised concerns with Ms. Calloway about an apparent fraudulent scheme between the contractor Emerald Coast and four subcontractors, </w:t>
      </w:r>
      <w:r w:rsidR="00C12EBD" w:rsidRPr="000C57AC">
        <w:rPr>
          <w:rFonts w:ascii="Times New Roman" w:eastAsia="Times New Roman" w:hAnsi="Times New Roman" w:cs="Times New Roman"/>
          <w:color w:val="000000"/>
          <w:kern w:val="0"/>
          <w:sz w:val="28"/>
          <w:szCs w:val="28"/>
          <w14:ligatures w14:val="none"/>
        </w:rPr>
        <w:t xml:space="preserve">including </w:t>
      </w:r>
      <w:r w:rsidRPr="000C57AC">
        <w:rPr>
          <w:rFonts w:ascii="Times New Roman" w:eastAsia="Times New Roman" w:hAnsi="Times New Roman" w:cs="Times New Roman"/>
          <w:color w:val="000000"/>
          <w:kern w:val="0"/>
          <w:sz w:val="28"/>
          <w:szCs w:val="28"/>
          <w14:ligatures w14:val="none"/>
        </w:rPr>
        <w:t>Coastal. (Sinclair Dep. 11:130–32, 155–57, 12:158–60). On October 8, 2023, Blake approached Tatum Sinclair, an Assistant United States Attorney (“AUSA”), about an investigation. (Sinclair Dep. 8:7, 10:92–93). </w:t>
      </w:r>
    </w:p>
    <w:p w14:paraId="27CB17ED" w14:textId="1095F4E3"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b/>
          <w:bCs/>
          <w:color w:val="000000"/>
          <w:kern w:val="0"/>
          <w:sz w:val="28"/>
          <w:szCs w:val="28"/>
          <w14:ligatures w14:val="none"/>
        </w:rPr>
        <w:t xml:space="preserve">Murder and Investigation. </w:t>
      </w:r>
      <w:r w:rsidRPr="000C57AC">
        <w:rPr>
          <w:rFonts w:ascii="Times New Roman" w:eastAsia="Times New Roman" w:hAnsi="Times New Roman" w:cs="Times New Roman"/>
          <w:color w:val="000000"/>
          <w:kern w:val="0"/>
          <w:sz w:val="28"/>
          <w:szCs w:val="28"/>
          <w14:ligatures w14:val="none"/>
        </w:rPr>
        <w:t xml:space="preserve">On December 9, 2023, Blake told Sinclair he had “found the piece that tied it all together,” but not what that “piece” was. (Sinclair Dep. 13:200–04). The next day, several employees </w:t>
      </w:r>
      <w:r w:rsidR="00C12EBD" w:rsidRPr="000C57AC">
        <w:rPr>
          <w:rFonts w:ascii="Times New Roman" w:eastAsia="Times New Roman" w:hAnsi="Times New Roman" w:cs="Times New Roman"/>
          <w:color w:val="000000"/>
          <w:kern w:val="0"/>
          <w:sz w:val="28"/>
          <w:szCs w:val="28"/>
          <w14:ligatures w14:val="none"/>
        </w:rPr>
        <w:t xml:space="preserve">observed </w:t>
      </w:r>
      <w:r w:rsidRPr="000C57AC">
        <w:rPr>
          <w:rFonts w:ascii="Times New Roman" w:eastAsia="Times New Roman" w:hAnsi="Times New Roman" w:cs="Times New Roman"/>
          <w:color w:val="000000"/>
          <w:kern w:val="0"/>
          <w:sz w:val="28"/>
          <w:szCs w:val="28"/>
          <w14:ligatures w14:val="none"/>
        </w:rPr>
        <w:t xml:space="preserve">a tense exchange between Blake and Ms. Calloway at a Christmas party, </w:t>
      </w:r>
      <w:r w:rsidR="00C12EBD" w:rsidRPr="000C57AC">
        <w:rPr>
          <w:rFonts w:ascii="Times New Roman" w:eastAsia="Times New Roman" w:hAnsi="Times New Roman" w:cs="Times New Roman"/>
          <w:color w:val="000000"/>
          <w:kern w:val="0"/>
          <w:sz w:val="28"/>
          <w:szCs w:val="28"/>
          <w14:ligatures w14:val="none"/>
        </w:rPr>
        <w:t>but</w:t>
      </w:r>
      <w:r w:rsidRPr="000C57AC">
        <w:rPr>
          <w:rFonts w:ascii="Times New Roman" w:eastAsia="Times New Roman" w:hAnsi="Times New Roman" w:cs="Times New Roman"/>
          <w:color w:val="000000"/>
          <w:kern w:val="0"/>
          <w:sz w:val="28"/>
          <w:szCs w:val="28"/>
          <w14:ligatures w14:val="none"/>
        </w:rPr>
        <w:t xml:space="preserve"> no one could say what it was about. (Sinclair Dep. 20:492–94). Two days later, on December 12, 2023, a hit man hired by Donovan shot Blake in his office at Silver Palms. (Sinclair Dep. 13:216–27, 14:258–61). Sinclair and F.B.I. agent Bryce Nolan led an investigation which began shortly after the murder. (Sinclair Dep. 13:219–28). </w:t>
      </w:r>
    </w:p>
    <w:p w14:paraId="3561A18F" w14:textId="6CA67879" w:rsidR="006D1C37" w:rsidRPr="000C57AC" w:rsidRDefault="00832B69"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L</w:t>
      </w:r>
      <w:r w:rsidR="006D1C37" w:rsidRPr="000C57AC">
        <w:rPr>
          <w:rFonts w:ascii="Times New Roman" w:eastAsia="Times New Roman" w:hAnsi="Times New Roman" w:cs="Times New Roman"/>
          <w:color w:val="000000"/>
          <w:kern w:val="0"/>
          <w:sz w:val="28"/>
          <w:szCs w:val="28"/>
          <w14:ligatures w14:val="none"/>
        </w:rPr>
        <w:t xml:space="preserve">ong-time friends </w:t>
      </w:r>
      <w:r w:rsidRPr="000C57AC">
        <w:rPr>
          <w:rFonts w:ascii="Times New Roman" w:eastAsia="Times New Roman" w:hAnsi="Times New Roman" w:cs="Times New Roman"/>
          <w:color w:val="000000"/>
          <w:kern w:val="0"/>
          <w:sz w:val="28"/>
          <w:szCs w:val="28"/>
          <w14:ligatures w14:val="none"/>
        </w:rPr>
        <w:t>Sinclair and Nolan</w:t>
      </w:r>
      <w:r w:rsidR="006D1C37" w:rsidRPr="000C57AC">
        <w:rPr>
          <w:rFonts w:ascii="Times New Roman" w:eastAsia="Times New Roman" w:hAnsi="Times New Roman" w:cs="Times New Roman"/>
          <w:color w:val="000000"/>
          <w:kern w:val="0"/>
          <w:sz w:val="28"/>
          <w:szCs w:val="28"/>
          <w14:ligatures w14:val="none"/>
        </w:rPr>
        <w:t xml:space="preserve"> regularly go to the bar and practice karaoke. (Sinclair Dep. 22:583–86). Nolan led the investigation by sending out </w:t>
      </w:r>
      <w:r w:rsidR="006D1C37" w:rsidRPr="000C57AC">
        <w:rPr>
          <w:rFonts w:ascii="Times New Roman" w:eastAsia="Times New Roman" w:hAnsi="Times New Roman" w:cs="Times New Roman"/>
          <w:color w:val="000000"/>
          <w:kern w:val="0"/>
          <w:sz w:val="28"/>
          <w:szCs w:val="28"/>
          <w14:ligatures w14:val="none"/>
        </w:rPr>
        <w:lastRenderedPageBreak/>
        <w:t>subpoenas, analyzing records, coordinating the agents, tracing records, and running down leads. (Nolan Dep. 25:45–48). On January 26, 2024, Sinclair and Nolan arrested Donovan. (Sinclair Dep. 15:276–77). The local news covered his arrest, and word “went through the [hotel] staff like wildfire.” (Parker Dep. 41:293–95).</w:t>
      </w:r>
    </w:p>
    <w:p w14:paraId="7D7FC935" w14:textId="211C00EF" w:rsidR="006D1C37" w:rsidRPr="000C57AC" w:rsidRDefault="006D1C37" w:rsidP="006D1C37">
      <w:pPr>
        <w:spacing w:line="480" w:lineRule="auto"/>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ab/>
        <w:t xml:space="preserve">Sinclair and Nolan subpoenaed records from the suspected companies in February, which revealed that Ky Chandler was the nominee owner of all four companies. (Sinclair Dep. 16:328–34, 18:407–10). Chandler’s payments revealed the identity of three of the actual owners but not the owner of Coastal. (Sinclair Dep. 16:337–46). Because the Coastal account was based in the Cayman Islands, Sinclair and Nolan submitted a treaty request in June, which the Cayman </w:t>
      </w:r>
      <w:r w:rsidR="00963160" w:rsidRPr="000C57AC">
        <w:rPr>
          <w:rFonts w:ascii="Times New Roman" w:eastAsia="Times New Roman" w:hAnsi="Times New Roman" w:cs="Times New Roman"/>
          <w:color w:val="000000"/>
          <w:kern w:val="0"/>
          <w:sz w:val="28"/>
          <w:szCs w:val="28"/>
          <w14:ligatures w14:val="none"/>
        </w:rPr>
        <w:t>g</w:t>
      </w:r>
      <w:r w:rsidRPr="000C57AC">
        <w:rPr>
          <w:rFonts w:ascii="Times New Roman" w:eastAsia="Times New Roman" w:hAnsi="Times New Roman" w:cs="Times New Roman"/>
          <w:color w:val="000000"/>
          <w:kern w:val="0"/>
          <w:sz w:val="28"/>
          <w:szCs w:val="28"/>
          <w14:ligatures w14:val="none"/>
        </w:rPr>
        <w:t>overnment ultimately denied in October. (Nolan Dep. 26:116–17, 27:121–25).</w:t>
      </w:r>
    </w:p>
    <w:p w14:paraId="2A56E36D" w14:textId="77777777" w:rsidR="006D1C37" w:rsidRPr="000C57AC" w:rsidRDefault="006D1C37" w:rsidP="006D1C37">
      <w:pPr>
        <w:spacing w:line="480" w:lineRule="auto"/>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ab/>
        <w:t>Sinclair and Nolan also subpoenaed a list of everyone who worked at Silver Palms between 2019 and 2023. (Sinclair Dep. 18:407–10). They interviewed employees based on who had been at the hotel the longest and worked the most events. (Sinclair Dep. 18:412–17). In April, they interviewed Sean Boothe, Brie Collins, Sunshine Delray, and Colby Lawson. (Sinclair Dep. 19:433–59, 20:474). Boothe, Collins, and Delray each began working at the hotel in 2019, but Lawson began working in 2021. (Sinclair Dep. 19:433–59, 20:474). Twenty-nine other employees, including Kennedy Parker, began working in 2019 but were not interviewed before Colby Lawson. (Ex. 10). </w:t>
      </w:r>
    </w:p>
    <w:p w14:paraId="625F9919" w14:textId="77777777"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b/>
          <w:bCs/>
          <w:color w:val="000000"/>
          <w:kern w:val="0"/>
          <w:sz w:val="28"/>
          <w:szCs w:val="28"/>
          <w14:ligatures w14:val="none"/>
        </w:rPr>
        <w:lastRenderedPageBreak/>
        <w:t xml:space="preserve">Armana’s Investigation. </w:t>
      </w:r>
      <w:r w:rsidRPr="000C57AC">
        <w:rPr>
          <w:rFonts w:ascii="Times New Roman" w:eastAsia="Times New Roman" w:hAnsi="Times New Roman" w:cs="Times New Roman"/>
          <w:color w:val="000000"/>
          <w:kern w:val="0"/>
          <w:sz w:val="28"/>
          <w:szCs w:val="28"/>
          <w14:ligatures w14:val="none"/>
        </w:rPr>
        <w:t>In January, Ms. Calloway’s counsel retained Maddox Armana, a private investigator, to help prepare for Ms. Calloway’s defense. (Armana Dep. 43:23–38, 46–50). Armana identified Sierra Seton as a Coastal employee. (Armana Dep. 44:51–58). Armana eventually located and interviewed Seton, during which Armana wrote their own thoughts, questions, and follow-up points alongside notes of what Seton said. (Armana Dep. 44:72–79, 46:120–24). Seton was careful, but forthcoming in providing a detailed account of Coastal’s operations. (Armana Dep. 45:107–110, 46:129–31). Armana later tried, unsuccessfully, to locate Seton. (Armana Dep. 46:144–46). </w:t>
      </w:r>
    </w:p>
    <w:p w14:paraId="08813F62" w14:textId="5AFE87A0"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In the spring of 2024, Sinclair and Nolan identified Seton through Coastal’s payroll but did not interview her. (Sinclair Dep. 18:387–93). Flight records show Seton left the country in March 2024 and is now “allegedly” somewhere off the coast of Spain. (Sinclair Dep. 18:393–94; Nolan Dep. 26:103–04). The Government did not confirm her location or detail any investigative efforts to do so. (Sinclair Dep. 18:394–96; Nolan Dep. 26:102–04). </w:t>
      </w:r>
    </w:p>
    <w:p w14:paraId="61694A46" w14:textId="054A65AE"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b/>
          <w:bCs/>
          <w:color w:val="000000"/>
          <w:kern w:val="0"/>
          <w:sz w:val="28"/>
          <w:szCs w:val="28"/>
          <w14:ligatures w14:val="none"/>
        </w:rPr>
        <w:t xml:space="preserve">Grant of Immunity. </w:t>
      </w:r>
      <w:r w:rsidRPr="000C57AC">
        <w:rPr>
          <w:rFonts w:ascii="Times New Roman" w:eastAsia="Times New Roman" w:hAnsi="Times New Roman" w:cs="Times New Roman"/>
          <w:color w:val="000000"/>
          <w:kern w:val="0"/>
          <w:sz w:val="28"/>
          <w:szCs w:val="28"/>
          <w14:ligatures w14:val="none"/>
        </w:rPr>
        <w:t xml:space="preserve">Deciding that they might lose the case against Donovan without the information from the Cayman </w:t>
      </w:r>
      <w:r w:rsidR="00963160" w:rsidRPr="000C57AC">
        <w:rPr>
          <w:rFonts w:ascii="Times New Roman" w:eastAsia="Times New Roman" w:hAnsi="Times New Roman" w:cs="Times New Roman"/>
          <w:color w:val="000000"/>
          <w:kern w:val="0"/>
          <w:sz w:val="28"/>
          <w:szCs w:val="28"/>
          <w14:ligatures w14:val="none"/>
        </w:rPr>
        <w:t>g</w:t>
      </w:r>
      <w:r w:rsidRPr="000C57AC">
        <w:rPr>
          <w:rFonts w:ascii="Times New Roman" w:eastAsia="Times New Roman" w:hAnsi="Times New Roman" w:cs="Times New Roman"/>
          <w:color w:val="000000"/>
          <w:kern w:val="0"/>
          <w:sz w:val="28"/>
          <w:szCs w:val="28"/>
          <w14:ligatures w14:val="none"/>
        </w:rPr>
        <w:t xml:space="preserve">overnment, Sinclair and Nolan agreed to move the court to order Ms. Calloway’s testimony. (Sinclair Dep. 21:539–40, 28:167–81). They agreed that compelling her testimony granted Ms. Calloway immunity from the use and derivative use of her testimony in any subsequent related </w:t>
      </w:r>
      <w:r w:rsidRPr="000C57AC">
        <w:rPr>
          <w:rFonts w:ascii="Times New Roman" w:eastAsia="Times New Roman" w:hAnsi="Times New Roman" w:cs="Times New Roman"/>
          <w:color w:val="000000"/>
          <w:kern w:val="0"/>
          <w:sz w:val="28"/>
          <w:szCs w:val="28"/>
          <w14:ligatures w14:val="none"/>
        </w:rPr>
        <w:lastRenderedPageBreak/>
        <w:t>proceedings. (Sinclair Dep. 21:536–40). On August 22, 2024, Sinclair and Nolan divided the case into two teams with Sinclair leading “Team Donovan” and Nolan leading “Team Calloway.” (Sinclair Dep. 20:548–52). They created “wall-off” procedures which established that any newly received evidence, notes, and work product would be marked and filed, and that the team would prepare and maintain a record of evidence, leads, and investigative steps. (Nolan Dep. 29:205–07; Ex. 15). On August 23, the court ordered Calloway’s testimony. (Sinclair Dep. 21:544–46). </w:t>
      </w:r>
    </w:p>
    <w:p w14:paraId="1F5337B3" w14:textId="77777777" w:rsidR="006D1C37" w:rsidRPr="000C57AC" w:rsidRDefault="006D1C37" w:rsidP="006D1C37">
      <w:pPr>
        <w:spacing w:line="480" w:lineRule="auto"/>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ab/>
        <w:t>At that time, Sinclair and Nolan agreed that they did not know the owner of the Coastal account or the contents of the fight between Blake and Ms. Calloway at the Christmas party. (Sinclair Dep. 22: 561–76). While Parker was on the list of employees, Sinclair and Nolan did not know if Parker had relevant information. (Nolan 33:366–72; Sinclair Dep. 22:570–73). Sinclair met with Ms. Calloway on August 28th. (Sinclair Dep. 22:554–55). The Donovan trial began October 7, 2024, and ended October 24, 2024. (Sinclair Dep. 23:590–91). It was an open courtroom, heavily covered by local press as a front-page story for weeks. (Sinclair Dep. 23:593–96). The entirety of Ms. Calloway’s testimony was broadcast on local media channels. (Sinclair Dep. 23:597–99).</w:t>
      </w:r>
    </w:p>
    <w:p w14:paraId="568C8074" w14:textId="77777777" w:rsidR="006D1C37" w:rsidRPr="000C57AC" w:rsidRDefault="006D1C37" w:rsidP="006D1C37">
      <w:pPr>
        <w:spacing w:line="480" w:lineRule="auto"/>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ab/>
        <w:t xml:space="preserve">While investigating Ms. Calloway after the wall went up, Nolan allegedly wrote an investigative to-do list for Team Calloway between August 23 and 27th. (Nolan Dep. 231–34). Nolan claims the list was based on which employees worked </w:t>
      </w:r>
      <w:r w:rsidRPr="000C57AC">
        <w:rPr>
          <w:rFonts w:ascii="Times New Roman" w:eastAsia="Times New Roman" w:hAnsi="Times New Roman" w:cs="Times New Roman"/>
          <w:color w:val="000000"/>
          <w:kern w:val="0"/>
          <w:sz w:val="28"/>
          <w:szCs w:val="28"/>
          <w14:ligatures w14:val="none"/>
        </w:rPr>
        <w:lastRenderedPageBreak/>
        <w:t>most frequently in 2023. (Nolan Dep. 30: 269–71). While the list included Kennedy Parker, it omitted the names of multiple employees who worked more frequently in 2023. (Ex. 17). The list also contained names of employees with no information as to the frequency of their work. </w:t>
      </w:r>
    </w:p>
    <w:p w14:paraId="21689DB9" w14:textId="47743E0D" w:rsidR="006D1C37" w:rsidRPr="000C57AC" w:rsidRDefault="006D1C37" w:rsidP="001D2DB2">
      <w:pPr>
        <w:spacing w:line="480" w:lineRule="auto"/>
        <w:ind w:firstLine="720"/>
        <w:contextualSpacing/>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Nolan interviewed Parker on October 31, 2024, and learned the contents of the conversation between Blake and Ms. Calloway at the Christmas party as well as the location of a storage unit. (Nolan Dep. 32:327–28). The storage unit contained documents Nolan “never recovered anywhere else,” including Exhibit 19. (Nolan Dep. 33:352–60). Nolan claims they did not watch any news outlets that covered the trial or speak to anyone about the testimony. (Nolan Dep. 30:242–44). </w:t>
      </w:r>
    </w:p>
    <w:p w14:paraId="4CC9AF60" w14:textId="77777777" w:rsidR="006D1C37" w:rsidRPr="000C57AC" w:rsidRDefault="006D1C37" w:rsidP="001D2DB2">
      <w:pPr>
        <w:pStyle w:val="Heading1"/>
      </w:pPr>
      <w:bookmarkStart w:id="9" w:name="_Toc239122219"/>
      <w:bookmarkStart w:id="10" w:name="_Toc239122333"/>
      <w:bookmarkStart w:id="11" w:name="_Toc239145423"/>
      <w:r w:rsidRPr="000C57AC">
        <w:t>ARGUMENT</w:t>
      </w:r>
      <w:bookmarkEnd w:id="9"/>
      <w:bookmarkEnd w:id="10"/>
      <w:bookmarkEnd w:id="11"/>
    </w:p>
    <w:p w14:paraId="1DF55BD5" w14:textId="0244766D" w:rsidR="006D1C37" w:rsidRPr="000C57AC" w:rsidRDefault="006D1C37" w:rsidP="007C59DF">
      <w:pPr>
        <w:pStyle w:val="Heading2"/>
      </w:pPr>
      <w:bookmarkStart w:id="12" w:name="_Toc239145424"/>
      <w:r w:rsidRPr="000C57AC">
        <w:t>This Court must grant the Defendant’s Motion to Suppress because the Government cannot demonstrate that the identity of Kennedy Parker nor the existence of Exhibit 19 was derived from a legitimate source, wholly independent of the immunized testimony.</w:t>
      </w:r>
      <w:bookmarkEnd w:id="12"/>
    </w:p>
    <w:p w14:paraId="68D0B3B2" w14:textId="77777777" w:rsidR="006D1C37" w:rsidRPr="000C57AC" w:rsidRDefault="006D1C37" w:rsidP="006D1C37">
      <w:pPr>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ab/>
      </w:r>
    </w:p>
    <w:p w14:paraId="298AB225" w14:textId="2845307E"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Testimony given under a grant of immunity under 18 U.S.C. §</w:t>
      </w:r>
      <w:r w:rsidR="00264A10" w:rsidRPr="000C57AC">
        <w:rPr>
          <w:rFonts w:ascii="Times New Roman" w:eastAsia="Times New Roman" w:hAnsi="Times New Roman" w:cs="Times New Roman"/>
          <w:color w:val="000000"/>
          <w:kern w:val="0"/>
          <w:sz w:val="28"/>
          <w:szCs w:val="28"/>
          <w14:ligatures w14:val="none"/>
        </w:rPr>
        <w:t>§</w:t>
      </w:r>
      <w:r w:rsidRPr="000C57AC">
        <w:rPr>
          <w:rFonts w:ascii="Times New Roman" w:eastAsia="Times New Roman" w:hAnsi="Times New Roman" w:cs="Times New Roman"/>
          <w:color w:val="000000"/>
          <w:kern w:val="0"/>
          <w:sz w:val="28"/>
          <w:szCs w:val="28"/>
          <w14:ligatures w14:val="none"/>
        </w:rPr>
        <w:t xml:space="preserve"> 6002</w:t>
      </w:r>
      <w:r w:rsidR="00264A10" w:rsidRPr="000C57AC">
        <w:rPr>
          <w:rFonts w:ascii="Times New Roman" w:eastAsia="Times New Roman" w:hAnsi="Times New Roman" w:cs="Times New Roman"/>
          <w:color w:val="000000"/>
          <w:kern w:val="0"/>
          <w:sz w:val="28"/>
          <w:szCs w:val="28"/>
          <w14:ligatures w14:val="none"/>
        </w:rPr>
        <w:t>,</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color w:val="000000"/>
          <w:kern w:val="0"/>
          <w:sz w:val="28"/>
          <w:szCs w:val="28"/>
          <w14:ligatures w14:val="none"/>
        </w:rPr>
        <w:instrText>18 U.S.C. § 6002</w:instrText>
      </w:r>
      <w:r w:rsidR="00264A10" w:rsidRPr="000C57AC">
        <w:rPr>
          <w:rFonts w:ascii="Times New Roman" w:hAnsi="Times New Roman" w:cs="Times New Roman"/>
          <w:sz w:val="28"/>
          <w:szCs w:val="28"/>
        </w:rPr>
        <w:instrText xml:space="preserve">" \s "18 U.S.C. § 6002" \c 2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6003</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A9273E" w:rsidRPr="000C57AC">
        <w:rPr>
          <w:rFonts w:ascii="Times New Roman" w:hAnsi="Times New Roman" w:cs="Times New Roman"/>
          <w:sz w:val="28"/>
          <w:szCs w:val="28"/>
        </w:rPr>
        <w:instrText>18 U.S.C.</w:instrText>
      </w:r>
      <w:r w:rsidR="00963160" w:rsidRPr="000C57AC">
        <w:rPr>
          <w:rFonts w:ascii="Times New Roman" w:hAnsi="Times New Roman" w:cs="Times New Roman"/>
          <w:sz w:val="28"/>
          <w:szCs w:val="28"/>
        </w:rPr>
        <w:instrText xml:space="preserve"> §</w:instrText>
      </w:r>
      <w:r w:rsidR="00A9273E" w:rsidRPr="000C57AC">
        <w:rPr>
          <w:rFonts w:ascii="Times New Roman" w:hAnsi="Times New Roman" w:cs="Times New Roman"/>
          <w:sz w:val="28"/>
          <w:szCs w:val="28"/>
        </w:rPr>
        <w:instrText xml:space="preserve"> </w:instrText>
      </w:r>
      <w:r w:rsidR="00264A10" w:rsidRPr="000C57AC">
        <w:rPr>
          <w:rFonts w:ascii="Times New Roman" w:eastAsia="Times New Roman" w:hAnsi="Times New Roman" w:cs="Times New Roman"/>
          <w:color w:val="000000"/>
          <w:kern w:val="0"/>
          <w:sz w:val="28"/>
          <w:szCs w:val="28"/>
          <w14:ligatures w14:val="none"/>
        </w:rPr>
        <w:instrText>6003</w:instrText>
      </w:r>
      <w:r w:rsidR="00264A10" w:rsidRPr="000C57AC">
        <w:rPr>
          <w:rFonts w:ascii="Times New Roman" w:hAnsi="Times New Roman" w:cs="Times New Roman"/>
          <w:sz w:val="28"/>
          <w:szCs w:val="28"/>
        </w:rPr>
        <w:instrText xml:space="preserve">" \s "18 U.S.C. § 6003" \c 2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is protected from any use or derivative use in future prosecutions other than perjury. </w:t>
      </w:r>
      <w:r w:rsidRPr="000C57AC">
        <w:rPr>
          <w:rFonts w:ascii="Times New Roman" w:eastAsia="Times New Roman" w:hAnsi="Times New Roman" w:cs="Times New Roman"/>
          <w:i/>
          <w:iCs/>
          <w:color w:val="000000"/>
          <w:kern w:val="0"/>
          <w:sz w:val="28"/>
          <w:szCs w:val="28"/>
          <w14:ligatures w14:val="none"/>
        </w:rPr>
        <w:t>Kastigar v. United States</w:t>
      </w:r>
      <w:r w:rsidRPr="000C57AC">
        <w:rPr>
          <w:rFonts w:ascii="Times New Roman" w:eastAsia="Times New Roman" w:hAnsi="Times New Roman" w:cs="Times New Roman"/>
          <w:color w:val="000000"/>
          <w:kern w:val="0"/>
          <w:sz w:val="28"/>
          <w:szCs w:val="28"/>
          <w14:ligatures w14:val="none"/>
        </w:rPr>
        <w:t>, 406 U.S. 441, 462 (1972).</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Kastigar v. United States</w:instrText>
      </w:r>
      <w:r w:rsidR="00264A10" w:rsidRPr="000C57AC">
        <w:rPr>
          <w:rFonts w:ascii="Times New Roman" w:eastAsia="Times New Roman" w:hAnsi="Times New Roman" w:cs="Times New Roman"/>
          <w:color w:val="000000"/>
          <w:kern w:val="0"/>
          <w:sz w:val="28"/>
          <w:szCs w:val="28"/>
          <w14:ligatures w14:val="none"/>
        </w:rPr>
        <w:instrText>, 406 U.S. 441 (1972).</w:instrText>
      </w:r>
      <w:r w:rsidR="00264A10" w:rsidRPr="000C57AC">
        <w:rPr>
          <w:rFonts w:ascii="Times New Roman" w:hAnsi="Times New Roman" w:cs="Times New Roman"/>
          <w:sz w:val="28"/>
          <w:szCs w:val="28"/>
        </w:rPr>
        <w:instrText xml:space="preserve">" \s "Kastigar v. United States, 406 U.S. 441 (1972)." \c 8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The immunity provides a “very substantial protection” commensurate with invoking the Fifth Amendment.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461.</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"Kastigar v. United States, 406 U.S. 441 (1972)."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The Fifth Amendment’s sole concern is to protect against being forced to give testimony that would lead to future punishment.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453, 461.</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"Kastigar v. United States, 406 U.S. 441 (1972)."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To accomplish this goal, in any criminal case, immunized testimony or any information derived </w:t>
      </w:r>
      <w:r w:rsidRPr="000C57AC">
        <w:rPr>
          <w:rFonts w:ascii="Times New Roman" w:eastAsia="Times New Roman" w:hAnsi="Times New Roman" w:cs="Times New Roman"/>
          <w:color w:val="000000"/>
          <w:kern w:val="0"/>
          <w:sz w:val="28"/>
          <w:szCs w:val="28"/>
          <w14:ligatures w14:val="none"/>
        </w:rPr>
        <w:lastRenderedPageBreak/>
        <w:t xml:space="preserve">therefrom must not be used in any respect. </w:t>
      </w:r>
      <w:r w:rsidRPr="000C57AC">
        <w:rPr>
          <w:rFonts w:ascii="Times New Roman" w:eastAsia="Times New Roman" w:hAnsi="Times New Roman" w:cs="Times New Roman"/>
          <w:i/>
          <w:iCs/>
          <w:color w:val="000000"/>
          <w:kern w:val="0"/>
          <w:sz w:val="28"/>
          <w:szCs w:val="28"/>
          <w14:ligatures w14:val="none"/>
        </w:rPr>
        <w:t>Id.</w:t>
      </w:r>
      <w:r w:rsidR="00264A10" w:rsidRPr="000C57AC">
        <w:rPr>
          <w:rFonts w:ascii="Times New Roman" w:eastAsia="Times New Roman" w:hAnsi="Times New Roman" w:cs="Times New Roman"/>
          <w:i/>
          <w:iCs/>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"Kastigar v. United States, 406 U.S. 441 (1972)." </w:instrText>
      </w:r>
      <w:r w:rsidR="00264A10" w:rsidRPr="000C57AC">
        <w:rPr>
          <w:rFonts w:ascii="Times New Roman" w:eastAsia="Times New Roman" w:hAnsi="Times New Roman" w:cs="Times New Roman"/>
          <w:i/>
          <w:iCs/>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Statements that lead to the discovery of incriminating evidence are protected even though they are not incriminating </w:t>
      </w:r>
      <w:r w:rsidR="00963160" w:rsidRPr="000C57AC">
        <w:rPr>
          <w:rFonts w:ascii="Times New Roman" w:eastAsia="Times New Roman" w:hAnsi="Times New Roman" w:cs="Times New Roman"/>
          <w:color w:val="000000"/>
          <w:kern w:val="0"/>
          <w:sz w:val="28"/>
          <w:szCs w:val="28"/>
          <w14:ligatures w14:val="none"/>
        </w:rPr>
        <w:t>n</w:t>
      </w:r>
      <w:r w:rsidRPr="000C57AC">
        <w:rPr>
          <w:rFonts w:ascii="Times New Roman" w:eastAsia="Times New Roman" w:hAnsi="Times New Roman" w:cs="Times New Roman"/>
          <w:color w:val="000000"/>
          <w:kern w:val="0"/>
          <w:sz w:val="28"/>
          <w:szCs w:val="28"/>
          <w14:ligatures w14:val="none"/>
        </w:rPr>
        <w:t xml:space="preserve">or introduced into evidence themselves. </w:t>
      </w:r>
      <w:r w:rsidRPr="000C57AC">
        <w:rPr>
          <w:rFonts w:ascii="Times New Roman" w:eastAsia="Times New Roman" w:hAnsi="Times New Roman" w:cs="Times New Roman"/>
          <w:i/>
          <w:iCs/>
          <w:color w:val="000000"/>
          <w:kern w:val="0"/>
          <w:sz w:val="28"/>
          <w:szCs w:val="28"/>
          <w14:ligatures w14:val="none"/>
        </w:rPr>
        <w:t>United States v. Hubbell</w:t>
      </w:r>
      <w:r w:rsidRPr="000C57AC">
        <w:rPr>
          <w:rFonts w:ascii="Times New Roman" w:eastAsia="Times New Roman" w:hAnsi="Times New Roman" w:cs="Times New Roman"/>
          <w:color w:val="000000"/>
          <w:kern w:val="0"/>
          <w:sz w:val="28"/>
          <w:szCs w:val="28"/>
          <w14:ligatures w14:val="none"/>
        </w:rPr>
        <w:t>, 530 U.S. 27, 37 (2000).</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United States v. Hubbell</w:instrText>
      </w:r>
      <w:r w:rsidR="00264A10" w:rsidRPr="000C57AC">
        <w:rPr>
          <w:rFonts w:ascii="Times New Roman" w:eastAsia="Times New Roman" w:hAnsi="Times New Roman" w:cs="Times New Roman"/>
          <w:color w:val="000000"/>
          <w:kern w:val="0"/>
          <w:sz w:val="28"/>
          <w:szCs w:val="28"/>
          <w14:ligatures w14:val="none"/>
        </w:rPr>
        <w:instrText>, 530 U.S. 27 (2000).</w:instrText>
      </w:r>
      <w:r w:rsidR="00264A10" w:rsidRPr="000C57AC">
        <w:rPr>
          <w:rFonts w:ascii="Times New Roman" w:hAnsi="Times New Roman" w:cs="Times New Roman"/>
          <w:sz w:val="28"/>
          <w:szCs w:val="28"/>
        </w:rPr>
        <w:instrText xml:space="preserve">" \s "United States v. Hubbell, 530 U.S. 27 (2000)." \c 8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w:t>
      </w:r>
    </w:p>
    <w:p w14:paraId="48E1004B" w14:textId="425119B6"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The Government has the burden to prove that the evidence it proposes to use is “derived from a legitimate source wholly independent from the compelled testimony.” </w:t>
      </w:r>
      <w:r w:rsidRPr="000C57AC">
        <w:rPr>
          <w:rFonts w:ascii="Times New Roman" w:eastAsia="Times New Roman" w:hAnsi="Times New Roman" w:cs="Times New Roman"/>
          <w:i/>
          <w:iCs/>
          <w:color w:val="000000"/>
          <w:kern w:val="0"/>
          <w:sz w:val="28"/>
          <w:szCs w:val="28"/>
          <w14:ligatures w14:val="none"/>
        </w:rPr>
        <w:t>Kastigar</w:t>
      </w:r>
      <w:r w:rsidRPr="000C57AC">
        <w:rPr>
          <w:rFonts w:ascii="Times New Roman" w:eastAsia="Times New Roman" w:hAnsi="Times New Roman" w:cs="Times New Roman"/>
          <w:color w:val="000000"/>
          <w:kern w:val="0"/>
          <w:sz w:val="28"/>
          <w:szCs w:val="28"/>
          <w14:ligatures w14:val="none"/>
        </w:rPr>
        <w:t>, 406 U.S.</w:t>
      </w:r>
      <w:r w:rsidRPr="000C57AC">
        <w:rPr>
          <w:rFonts w:ascii="Times New Roman" w:eastAsia="Times New Roman" w:hAnsi="Times New Roman" w:cs="Times New Roman"/>
          <w:i/>
          <w:iCs/>
          <w:color w:val="000000"/>
          <w:kern w:val="0"/>
          <w:sz w:val="28"/>
          <w:szCs w:val="28"/>
          <w14:ligatures w14:val="none"/>
        </w:rPr>
        <w:t xml:space="preserve"> </w:t>
      </w:r>
      <w:r w:rsidRPr="000C57AC">
        <w:rPr>
          <w:rFonts w:ascii="Times New Roman" w:eastAsia="Times New Roman" w:hAnsi="Times New Roman" w:cs="Times New Roman"/>
          <w:color w:val="000000"/>
          <w:kern w:val="0"/>
          <w:sz w:val="28"/>
          <w:szCs w:val="28"/>
          <w14:ligatures w14:val="none"/>
        </w:rPr>
        <w:t>at 460–61</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"Kastigar v. United States, 406 U.S. 441 (1972)."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w:t>
      </w:r>
      <w:r w:rsidR="00963160" w:rsidRPr="000C57AC">
        <w:rPr>
          <w:rStyle w:val="FootnoteReference"/>
          <w:rFonts w:ascii="Times New Roman" w:eastAsia="Times New Roman" w:hAnsi="Times New Roman" w:cs="Times New Roman"/>
          <w:color w:val="000000"/>
          <w:kern w:val="0"/>
          <w:sz w:val="28"/>
          <w:szCs w:val="28"/>
          <w14:ligatures w14:val="none"/>
        </w:rPr>
        <w:footnoteReference w:id="1"/>
      </w:r>
      <w:r w:rsidRPr="000C57AC">
        <w:rPr>
          <w:rFonts w:ascii="Times New Roman" w:eastAsia="Times New Roman" w:hAnsi="Times New Roman" w:cs="Times New Roman"/>
          <w:color w:val="000000"/>
          <w:kern w:val="0"/>
          <w:sz w:val="28"/>
          <w:szCs w:val="28"/>
          <w14:ligatures w14:val="none"/>
        </w:rPr>
        <w:t xml:space="preserve"> This is a “heavy burden” and is not limited to a negation of taint or mere argument, but rather, the Government must affirmatively prove its burden by presenting evidence. </w:t>
      </w:r>
      <w:r w:rsidRPr="000C57AC">
        <w:rPr>
          <w:rFonts w:ascii="Times New Roman" w:eastAsia="Times New Roman" w:hAnsi="Times New Roman" w:cs="Times New Roman"/>
          <w:i/>
          <w:iCs/>
          <w:color w:val="000000"/>
          <w:kern w:val="0"/>
          <w:sz w:val="28"/>
          <w:szCs w:val="28"/>
          <w14:ligatures w14:val="none"/>
        </w:rPr>
        <w:t>Kastigar</w:t>
      </w:r>
      <w:r w:rsidRPr="000C57AC">
        <w:rPr>
          <w:rFonts w:ascii="Times New Roman" w:eastAsia="Times New Roman" w:hAnsi="Times New Roman" w:cs="Times New Roman"/>
          <w:color w:val="000000"/>
          <w:kern w:val="0"/>
          <w:sz w:val="28"/>
          <w:szCs w:val="28"/>
          <w14:ligatures w14:val="none"/>
        </w:rPr>
        <w:t xml:space="preserve">, 406 U.S. </w:t>
      </w:r>
      <w:r w:rsidR="00264A10" w:rsidRPr="000C57AC">
        <w:rPr>
          <w:rFonts w:ascii="Times New Roman" w:eastAsia="Times New Roman" w:hAnsi="Times New Roman" w:cs="Times New Roman"/>
          <w:color w:val="000000"/>
          <w:kern w:val="0"/>
          <w:sz w:val="28"/>
          <w:szCs w:val="28"/>
          <w14:ligatures w14:val="none"/>
        </w:rPr>
        <w:t xml:space="preserve">at </w:t>
      </w:r>
      <w:r w:rsidRPr="000C57AC">
        <w:rPr>
          <w:rFonts w:ascii="Times New Roman" w:eastAsia="Times New Roman" w:hAnsi="Times New Roman" w:cs="Times New Roman"/>
          <w:color w:val="000000"/>
          <w:kern w:val="0"/>
          <w:sz w:val="28"/>
          <w:szCs w:val="28"/>
          <w14:ligatures w14:val="none"/>
        </w:rPr>
        <w:t>460</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"Kastigar v. United States, 406 U.S. 441 (1972)."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i/>
          <w:iCs/>
          <w:color w:val="000000"/>
          <w:kern w:val="0"/>
          <w:sz w:val="28"/>
          <w:szCs w:val="28"/>
          <w14:ligatures w14:val="none"/>
        </w:rPr>
        <w:t>United States v. Hampton</w:t>
      </w:r>
      <w:r w:rsidRPr="000C57AC">
        <w:rPr>
          <w:rFonts w:ascii="Times New Roman" w:eastAsia="Times New Roman" w:hAnsi="Times New Roman" w:cs="Times New Roman"/>
          <w:color w:val="000000"/>
          <w:kern w:val="0"/>
          <w:sz w:val="28"/>
          <w:szCs w:val="28"/>
          <w14:ligatures w14:val="none"/>
        </w:rPr>
        <w:t>, 775 F.2d 1479, 1485–86 (11th Cir. 1985)</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United States v. Hampton</w:instrText>
      </w:r>
      <w:r w:rsidR="00264A10" w:rsidRPr="000C57AC">
        <w:rPr>
          <w:rFonts w:ascii="Times New Roman" w:eastAsia="Times New Roman" w:hAnsi="Times New Roman" w:cs="Times New Roman"/>
          <w:color w:val="000000"/>
          <w:kern w:val="0"/>
          <w:sz w:val="28"/>
          <w:szCs w:val="28"/>
          <w14:ligatures w14:val="none"/>
        </w:rPr>
        <w:instrText>, 775 F.2d 1479 (11th Cir. 1985)</w:instrText>
      </w:r>
      <w:r w:rsidR="00264A10" w:rsidRPr="000C57AC">
        <w:rPr>
          <w:rFonts w:ascii="Times New Roman" w:hAnsi="Times New Roman" w:cs="Times New Roman"/>
          <w:sz w:val="28"/>
          <w:szCs w:val="28"/>
        </w:rPr>
        <w:instrText xml:space="preserve">" \s "United States v. Hampton, 775 F.2d 1479 (11th Cir. 1985)" \c 1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i/>
          <w:iCs/>
          <w:color w:val="000000"/>
          <w:kern w:val="0"/>
          <w:sz w:val="28"/>
          <w:szCs w:val="28"/>
          <w14:ligatures w14:val="none"/>
        </w:rPr>
        <w:t>United States v. Mapelli</w:t>
      </w:r>
      <w:r w:rsidRPr="000C57AC">
        <w:rPr>
          <w:rFonts w:ascii="Times New Roman" w:eastAsia="Times New Roman" w:hAnsi="Times New Roman" w:cs="Times New Roman"/>
          <w:color w:val="000000"/>
          <w:kern w:val="0"/>
          <w:sz w:val="28"/>
          <w:szCs w:val="28"/>
          <w14:ligatures w14:val="none"/>
        </w:rPr>
        <w:t>, 971 F.2d 284, 288 (9th Cir. 1992).</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United States v. Mapelli</w:instrText>
      </w:r>
      <w:r w:rsidR="00264A10" w:rsidRPr="000C57AC">
        <w:rPr>
          <w:rFonts w:ascii="Times New Roman" w:eastAsia="Times New Roman" w:hAnsi="Times New Roman" w:cs="Times New Roman"/>
          <w:color w:val="000000"/>
          <w:kern w:val="0"/>
          <w:sz w:val="28"/>
          <w:szCs w:val="28"/>
          <w14:ligatures w14:val="none"/>
        </w:rPr>
        <w:instrText>, 971 F.2d 284</w:instrText>
      </w:r>
      <w:r w:rsidR="00A9273E" w:rsidRPr="000C57AC">
        <w:rPr>
          <w:rFonts w:ascii="Times New Roman" w:eastAsia="Times New Roman" w:hAnsi="Times New Roman" w:cs="Times New Roman"/>
          <w:color w:val="000000"/>
          <w:kern w:val="0"/>
          <w:sz w:val="28"/>
          <w:szCs w:val="28"/>
          <w14:ligatures w14:val="none"/>
        </w:rPr>
        <w:instrText xml:space="preserve"> </w:instrText>
      </w:r>
      <w:r w:rsidR="00264A10" w:rsidRPr="000C57AC">
        <w:rPr>
          <w:rFonts w:ascii="Times New Roman" w:eastAsia="Times New Roman" w:hAnsi="Times New Roman" w:cs="Times New Roman"/>
          <w:color w:val="000000"/>
          <w:kern w:val="0"/>
          <w:sz w:val="28"/>
          <w:szCs w:val="28"/>
          <w14:ligatures w14:val="none"/>
        </w:rPr>
        <w:instrText>(9th Cir. 1992).</w:instrText>
      </w:r>
      <w:r w:rsidR="00264A10" w:rsidRPr="000C57AC">
        <w:rPr>
          <w:rFonts w:ascii="Times New Roman" w:hAnsi="Times New Roman" w:cs="Times New Roman"/>
          <w:sz w:val="28"/>
          <w:szCs w:val="28"/>
        </w:rPr>
        <w:instrText xml:space="preserve">" \s "United States v. Mapelli, 971 F.2d 284 (9th Cir. 1992)." \c 1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Prosecutors fail to meet their burden when the evidence shows no reasonable source other than the immunized testimony. </w:t>
      </w:r>
      <w:r w:rsidRPr="000C57AC">
        <w:rPr>
          <w:rFonts w:ascii="Times New Roman" w:eastAsia="Times New Roman" w:hAnsi="Times New Roman" w:cs="Times New Roman"/>
          <w:i/>
          <w:iCs/>
          <w:color w:val="000000"/>
          <w:kern w:val="0"/>
          <w:sz w:val="28"/>
          <w:szCs w:val="28"/>
          <w14:ligatures w14:val="none"/>
        </w:rPr>
        <w:t>United States v. Palumbo</w:t>
      </w:r>
      <w:r w:rsidRPr="000C57AC">
        <w:rPr>
          <w:rFonts w:ascii="Times New Roman" w:eastAsia="Times New Roman" w:hAnsi="Times New Roman" w:cs="Times New Roman"/>
          <w:color w:val="000000"/>
          <w:kern w:val="0"/>
          <w:sz w:val="28"/>
          <w:szCs w:val="28"/>
          <w14:ligatures w14:val="none"/>
        </w:rPr>
        <w:t>, 897 F.2d 245, 250 (7th Cir. 1990).</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United States v. Palumbo</w:instrText>
      </w:r>
      <w:r w:rsidR="00264A10" w:rsidRPr="000C57AC">
        <w:rPr>
          <w:rFonts w:ascii="Times New Roman" w:eastAsia="Times New Roman" w:hAnsi="Times New Roman" w:cs="Times New Roman"/>
          <w:color w:val="000000"/>
          <w:kern w:val="0"/>
          <w:sz w:val="28"/>
          <w:szCs w:val="28"/>
          <w14:ligatures w14:val="none"/>
        </w:rPr>
        <w:instrText>, 897 F.2d 245</w:instrText>
      </w:r>
      <w:r w:rsidR="00A9273E" w:rsidRPr="000C57AC">
        <w:rPr>
          <w:rFonts w:ascii="Times New Roman" w:eastAsia="Times New Roman" w:hAnsi="Times New Roman" w:cs="Times New Roman"/>
          <w:color w:val="000000"/>
          <w:kern w:val="0"/>
          <w:sz w:val="28"/>
          <w:szCs w:val="28"/>
          <w14:ligatures w14:val="none"/>
        </w:rPr>
        <w:instrText xml:space="preserve"> </w:instrText>
      </w:r>
      <w:r w:rsidR="00264A10" w:rsidRPr="000C57AC">
        <w:rPr>
          <w:rFonts w:ascii="Times New Roman" w:eastAsia="Times New Roman" w:hAnsi="Times New Roman" w:cs="Times New Roman"/>
          <w:color w:val="000000"/>
          <w:kern w:val="0"/>
          <w:sz w:val="28"/>
          <w:szCs w:val="28"/>
          <w14:ligatures w14:val="none"/>
        </w:rPr>
        <w:instrText>(7th Cir. 1990).</w:instrText>
      </w:r>
      <w:r w:rsidR="00264A10" w:rsidRPr="000C57AC">
        <w:rPr>
          <w:rFonts w:ascii="Times New Roman" w:hAnsi="Times New Roman" w:cs="Times New Roman"/>
          <w:sz w:val="28"/>
          <w:szCs w:val="28"/>
        </w:rPr>
        <w:instrText xml:space="preserve">" \s "United States v. Palumbo, 897 F.2d 245 (7th Cir. 1990)." \c 1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There is a risk that misinformation, improper procedure, or the lapse of time will make it difficult or impossible to establish a completely independent source for all of the evidence presented, and that risk falls upon the Government. </w:t>
      </w:r>
      <w:r w:rsidRPr="000C57AC">
        <w:rPr>
          <w:rFonts w:ascii="Times New Roman" w:eastAsia="Times New Roman" w:hAnsi="Times New Roman" w:cs="Times New Roman"/>
          <w:i/>
          <w:iCs/>
          <w:color w:val="000000"/>
          <w:kern w:val="0"/>
          <w:sz w:val="28"/>
          <w:szCs w:val="28"/>
          <w14:ligatures w14:val="none"/>
        </w:rPr>
        <w:t>Hampton</w:t>
      </w:r>
      <w:r w:rsidRPr="000C57AC">
        <w:rPr>
          <w:rFonts w:ascii="Times New Roman" w:eastAsia="Times New Roman" w:hAnsi="Times New Roman" w:cs="Times New Roman"/>
          <w:color w:val="000000"/>
          <w:kern w:val="0"/>
          <w:sz w:val="28"/>
          <w:szCs w:val="28"/>
          <w14:ligatures w14:val="none"/>
        </w:rPr>
        <w:t>, 775 F.2d at 1491.</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Hampton, 775 F.2d 1479 (11th Cir. 1985)"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w:t>
      </w:r>
    </w:p>
    <w:p w14:paraId="7AD528B1" w14:textId="23623A81" w:rsidR="006D1C37" w:rsidRPr="000C57AC" w:rsidRDefault="006D1C37" w:rsidP="007C59DF">
      <w:pPr>
        <w:pStyle w:val="Heading3"/>
      </w:pPr>
      <w:bookmarkStart w:id="13" w:name="_Toc239145425"/>
      <w:r w:rsidRPr="000C57AC">
        <w:t>The Government cannot prove that Sinclair’s exposure did not influence Nolan’s investigation.</w:t>
      </w:r>
      <w:bookmarkEnd w:id="13"/>
      <w:r w:rsidRPr="000C57AC">
        <w:t> </w:t>
      </w:r>
    </w:p>
    <w:p w14:paraId="5E86FA45" w14:textId="77777777" w:rsidR="006D1C37" w:rsidRPr="000C57AC" w:rsidRDefault="006D1C37" w:rsidP="006D1C37">
      <w:pPr>
        <w:rPr>
          <w:rFonts w:ascii="Times New Roman" w:eastAsia="Times New Roman" w:hAnsi="Times New Roman" w:cs="Times New Roman"/>
          <w:color w:val="000000"/>
          <w:kern w:val="0"/>
          <w:sz w:val="28"/>
          <w:szCs w:val="28"/>
          <w14:ligatures w14:val="none"/>
        </w:rPr>
      </w:pPr>
    </w:p>
    <w:p w14:paraId="7B3C1F86" w14:textId="07431405"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Unless the Government relies solely upon evidence obtained prior to the immunized testimony, it must show that the prosecuting officials and their agents followed reliable procedures for separating the immunized testimony and its fruits from those pursuing any subsequent investigations. </w:t>
      </w:r>
      <w:r w:rsidRPr="000C57AC">
        <w:rPr>
          <w:rFonts w:ascii="Times New Roman" w:eastAsia="Times New Roman" w:hAnsi="Times New Roman" w:cs="Times New Roman"/>
          <w:i/>
          <w:iCs/>
          <w:color w:val="000000"/>
          <w:kern w:val="0"/>
          <w:sz w:val="28"/>
          <w:szCs w:val="28"/>
          <w14:ligatures w14:val="none"/>
        </w:rPr>
        <w:t xml:space="preserve">Id. </w:t>
      </w:r>
      <w:r w:rsidRPr="000C57AC">
        <w:rPr>
          <w:rFonts w:ascii="Times New Roman" w:eastAsia="Times New Roman" w:hAnsi="Times New Roman" w:cs="Times New Roman"/>
          <w:color w:val="000000"/>
          <w:kern w:val="0"/>
          <w:sz w:val="28"/>
          <w:szCs w:val="28"/>
          <w14:ligatures w14:val="none"/>
        </w:rPr>
        <w:t>at 1490.</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Hampton, 775 F.2d 1479 (11th Cir. 1985)"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Prosecutors can accomplish this separation by constructing a “wall.” </w:t>
      </w:r>
      <w:r w:rsidRPr="000C57AC">
        <w:rPr>
          <w:rFonts w:ascii="Times New Roman" w:eastAsia="Times New Roman" w:hAnsi="Times New Roman" w:cs="Times New Roman"/>
          <w:i/>
          <w:iCs/>
          <w:color w:val="000000"/>
          <w:kern w:val="0"/>
          <w:sz w:val="28"/>
          <w:szCs w:val="28"/>
          <w14:ligatures w14:val="none"/>
        </w:rPr>
        <w:t>United States v. Quinn</w:t>
      </w:r>
      <w:r w:rsidRPr="000C57AC">
        <w:rPr>
          <w:rFonts w:ascii="Times New Roman" w:eastAsia="Times New Roman" w:hAnsi="Times New Roman" w:cs="Times New Roman"/>
          <w:color w:val="000000"/>
          <w:kern w:val="0"/>
          <w:sz w:val="28"/>
          <w:szCs w:val="28"/>
          <w14:ligatures w14:val="none"/>
        </w:rPr>
        <w:t>, 728 F.3d 243, 253–54 (3d Cir. 2013).</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United States v. Quinn</w:instrText>
      </w:r>
      <w:r w:rsidR="00264A10" w:rsidRPr="000C57AC">
        <w:rPr>
          <w:rFonts w:ascii="Times New Roman" w:eastAsia="Times New Roman" w:hAnsi="Times New Roman" w:cs="Times New Roman"/>
          <w:color w:val="000000"/>
          <w:kern w:val="0"/>
          <w:sz w:val="28"/>
          <w:szCs w:val="28"/>
          <w14:ligatures w14:val="none"/>
        </w:rPr>
        <w:instrText>, 728 F.3d 243 (3d Cir. 2013).</w:instrText>
      </w:r>
      <w:r w:rsidR="00264A10" w:rsidRPr="000C57AC">
        <w:rPr>
          <w:rFonts w:ascii="Times New Roman" w:hAnsi="Times New Roman" w:cs="Times New Roman"/>
          <w:sz w:val="28"/>
          <w:szCs w:val="28"/>
        </w:rPr>
        <w:instrText xml:space="preserve">" \s "United States v. Quinn, 728 F.3d 243 (3d Cir. 2013)." \c 1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However, separation does not automatically prove that immunized testimony was not used against the defendant. </w:t>
      </w:r>
      <w:r w:rsidRPr="000C57AC">
        <w:rPr>
          <w:rFonts w:ascii="Times New Roman" w:eastAsia="Times New Roman" w:hAnsi="Times New Roman" w:cs="Times New Roman"/>
          <w:i/>
          <w:iCs/>
          <w:color w:val="000000"/>
          <w:kern w:val="0"/>
          <w:sz w:val="28"/>
          <w:szCs w:val="28"/>
          <w14:ligatures w14:val="none"/>
        </w:rPr>
        <w:t>United States v. North</w:t>
      </w:r>
      <w:r w:rsidRPr="000C57AC">
        <w:rPr>
          <w:rFonts w:ascii="Times New Roman" w:eastAsia="Times New Roman" w:hAnsi="Times New Roman" w:cs="Times New Roman"/>
          <w:color w:val="000000"/>
          <w:kern w:val="0"/>
          <w:sz w:val="28"/>
          <w:szCs w:val="28"/>
          <w14:ligatures w14:val="none"/>
        </w:rPr>
        <w:t>, 920 F.2d 940, 942 (D.C. Cir. 1990).</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United States v. North</w:instrText>
      </w:r>
      <w:r w:rsidR="00264A10" w:rsidRPr="000C57AC">
        <w:rPr>
          <w:rFonts w:ascii="Times New Roman" w:eastAsia="Times New Roman" w:hAnsi="Times New Roman" w:cs="Times New Roman"/>
          <w:color w:val="000000"/>
          <w:kern w:val="0"/>
          <w:sz w:val="28"/>
          <w:szCs w:val="28"/>
          <w14:ligatures w14:val="none"/>
        </w:rPr>
        <w:instrText>, 920 F.2d 940</w:instrText>
      </w:r>
      <w:r w:rsidR="00A9273E" w:rsidRPr="000C57AC">
        <w:rPr>
          <w:rFonts w:ascii="Times New Roman" w:eastAsia="Times New Roman" w:hAnsi="Times New Roman" w:cs="Times New Roman"/>
          <w:color w:val="000000"/>
          <w:kern w:val="0"/>
          <w:sz w:val="28"/>
          <w:szCs w:val="28"/>
          <w14:ligatures w14:val="none"/>
        </w:rPr>
        <w:instrText xml:space="preserve"> </w:instrText>
      </w:r>
      <w:r w:rsidR="00264A10" w:rsidRPr="000C57AC">
        <w:rPr>
          <w:rFonts w:ascii="Times New Roman" w:eastAsia="Times New Roman" w:hAnsi="Times New Roman" w:cs="Times New Roman"/>
          <w:color w:val="000000"/>
          <w:kern w:val="0"/>
          <w:sz w:val="28"/>
          <w:szCs w:val="28"/>
          <w14:ligatures w14:val="none"/>
        </w:rPr>
        <w:instrText>(D.C. Cir. 1990).</w:instrText>
      </w:r>
      <w:r w:rsidR="00264A10" w:rsidRPr="000C57AC">
        <w:rPr>
          <w:rFonts w:ascii="Times New Roman" w:hAnsi="Times New Roman" w:cs="Times New Roman"/>
          <w:sz w:val="28"/>
          <w:szCs w:val="28"/>
        </w:rPr>
        <w:instrText xml:space="preserve">" \s "United States v. North, 920 F.2d 940 (D.C. Cir. 1990)." \c 1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While there is no </w:t>
      </w:r>
      <w:r w:rsidRPr="000C57AC">
        <w:rPr>
          <w:rFonts w:ascii="Times New Roman" w:eastAsia="Times New Roman" w:hAnsi="Times New Roman" w:cs="Times New Roman"/>
          <w:i/>
          <w:iCs/>
          <w:color w:val="000000"/>
          <w:kern w:val="0"/>
          <w:sz w:val="28"/>
          <w:szCs w:val="28"/>
          <w14:ligatures w14:val="none"/>
        </w:rPr>
        <w:t>per se</w:t>
      </w:r>
      <w:r w:rsidRPr="000C57AC">
        <w:rPr>
          <w:rFonts w:ascii="Times New Roman" w:eastAsia="Times New Roman" w:hAnsi="Times New Roman" w:cs="Times New Roman"/>
          <w:color w:val="000000"/>
          <w:kern w:val="0"/>
          <w:sz w:val="28"/>
          <w:szCs w:val="28"/>
          <w14:ligatures w14:val="none"/>
        </w:rPr>
        <w:t xml:space="preserve"> rule as to what constitutes a sufficient wall, it is considered best practice for a prosecutor who has been exposed to immunized statements to withdraw from the case. </w:t>
      </w:r>
      <w:r w:rsidRPr="000C57AC">
        <w:rPr>
          <w:rFonts w:ascii="Times New Roman" w:eastAsia="Times New Roman" w:hAnsi="Times New Roman" w:cs="Times New Roman"/>
          <w:i/>
          <w:iCs/>
          <w:color w:val="000000"/>
          <w:kern w:val="0"/>
          <w:sz w:val="28"/>
          <w:szCs w:val="28"/>
          <w14:ligatures w14:val="none"/>
        </w:rPr>
        <w:t>United States v. Morrissette</w:t>
      </w:r>
      <w:r w:rsidRPr="000C57AC">
        <w:rPr>
          <w:rFonts w:ascii="Times New Roman" w:eastAsia="Times New Roman" w:hAnsi="Times New Roman" w:cs="Times New Roman"/>
          <w:color w:val="000000"/>
          <w:kern w:val="0"/>
          <w:sz w:val="28"/>
          <w:szCs w:val="28"/>
          <w14:ligatures w14:val="none"/>
        </w:rPr>
        <w:t>, 70 M.J. 431, 439 (C.A.A.F. 2012).</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United States v. Morrissette</w:instrText>
      </w:r>
      <w:r w:rsidR="00264A10" w:rsidRPr="000C57AC">
        <w:rPr>
          <w:rFonts w:ascii="Times New Roman" w:eastAsia="Times New Roman" w:hAnsi="Times New Roman" w:cs="Times New Roman"/>
          <w:color w:val="000000"/>
          <w:kern w:val="0"/>
          <w:sz w:val="28"/>
          <w:szCs w:val="28"/>
          <w14:ligatures w14:val="none"/>
        </w:rPr>
        <w:instrText>, 70 M.J. 431 (C.A.A.F. 2012).</w:instrText>
      </w:r>
      <w:r w:rsidR="00264A10" w:rsidRPr="000C57AC">
        <w:rPr>
          <w:rFonts w:ascii="Times New Roman" w:hAnsi="Times New Roman" w:cs="Times New Roman"/>
          <w:sz w:val="28"/>
          <w:szCs w:val="28"/>
        </w:rPr>
        <w:instrText xml:space="preserve">" \s "United States v. Morrissette, 70 M.J. 431 (C.A.A.F. 2012)." \c 12 </w:instrText>
      </w:r>
      <w:r w:rsidR="00264A10" w:rsidRPr="000C57AC">
        <w:rPr>
          <w:rFonts w:ascii="Times New Roman" w:eastAsia="Times New Roman" w:hAnsi="Times New Roman" w:cs="Times New Roman"/>
          <w:color w:val="000000"/>
          <w:kern w:val="0"/>
          <w:sz w:val="28"/>
          <w:szCs w:val="28"/>
          <w14:ligatures w14:val="none"/>
        </w:rPr>
        <w:fldChar w:fldCharType="end"/>
      </w:r>
    </w:p>
    <w:p w14:paraId="4C925E8D" w14:textId="0646C3C2"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The Government cannot prove its burden by a preponderance of the evidence if they do not eliminate the possibility of exposure. </w:t>
      </w:r>
      <w:r w:rsidRPr="000C57AC">
        <w:rPr>
          <w:rFonts w:ascii="Times New Roman" w:eastAsia="Times New Roman" w:hAnsi="Times New Roman" w:cs="Times New Roman"/>
          <w:i/>
          <w:iCs/>
          <w:color w:val="000000"/>
          <w:kern w:val="0"/>
          <w:sz w:val="28"/>
          <w:szCs w:val="28"/>
          <w14:ligatures w14:val="none"/>
        </w:rPr>
        <w:t>United States v. Harris</w:t>
      </w:r>
      <w:r w:rsidRPr="000C57AC">
        <w:rPr>
          <w:rFonts w:ascii="Times New Roman" w:eastAsia="Times New Roman" w:hAnsi="Times New Roman" w:cs="Times New Roman"/>
          <w:color w:val="000000"/>
          <w:kern w:val="0"/>
          <w:sz w:val="28"/>
          <w:szCs w:val="28"/>
          <w14:ligatures w14:val="none"/>
        </w:rPr>
        <w:t>, 973 F.2d 333, 338 (4th Cir. 1992).</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United States v. Harris</w:instrText>
      </w:r>
      <w:r w:rsidR="00264A10" w:rsidRPr="000C57AC">
        <w:rPr>
          <w:rFonts w:ascii="Times New Roman" w:eastAsia="Times New Roman" w:hAnsi="Times New Roman" w:cs="Times New Roman"/>
          <w:color w:val="000000"/>
          <w:kern w:val="0"/>
          <w:sz w:val="28"/>
          <w:szCs w:val="28"/>
          <w14:ligatures w14:val="none"/>
        </w:rPr>
        <w:instrText>, 973 F.2d 333</w:instrText>
      </w:r>
      <w:r w:rsidR="00A9273E" w:rsidRPr="000C57AC">
        <w:rPr>
          <w:rFonts w:ascii="Times New Roman" w:eastAsia="Times New Roman" w:hAnsi="Times New Roman" w:cs="Times New Roman"/>
          <w:color w:val="000000"/>
          <w:kern w:val="0"/>
          <w:sz w:val="28"/>
          <w:szCs w:val="28"/>
          <w14:ligatures w14:val="none"/>
        </w:rPr>
        <w:instrText xml:space="preserve"> </w:instrText>
      </w:r>
      <w:r w:rsidR="00264A10" w:rsidRPr="000C57AC">
        <w:rPr>
          <w:rFonts w:ascii="Times New Roman" w:eastAsia="Times New Roman" w:hAnsi="Times New Roman" w:cs="Times New Roman"/>
          <w:color w:val="000000"/>
          <w:kern w:val="0"/>
          <w:sz w:val="28"/>
          <w:szCs w:val="28"/>
          <w14:ligatures w14:val="none"/>
        </w:rPr>
        <w:instrText>(4th Cir. 1992).</w:instrText>
      </w:r>
      <w:r w:rsidR="00264A10" w:rsidRPr="000C57AC">
        <w:rPr>
          <w:rFonts w:ascii="Times New Roman" w:hAnsi="Times New Roman" w:cs="Times New Roman"/>
          <w:sz w:val="28"/>
          <w:szCs w:val="28"/>
        </w:rPr>
        <w:instrText xml:space="preserve">" \s "United States v. Harris, 973 F.2d 333 (4th Cir. 1992)." \c 1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In </w:t>
      </w:r>
      <w:r w:rsidRPr="000C57AC">
        <w:rPr>
          <w:rFonts w:ascii="Times New Roman" w:eastAsia="Times New Roman" w:hAnsi="Times New Roman" w:cs="Times New Roman"/>
          <w:i/>
          <w:iCs/>
          <w:color w:val="000000"/>
          <w:kern w:val="0"/>
          <w:sz w:val="28"/>
          <w:szCs w:val="28"/>
          <w14:ligatures w14:val="none"/>
        </w:rPr>
        <w:t>Harris</w:t>
      </w:r>
      <w:r w:rsidRPr="000C57AC">
        <w:rPr>
          <w:rFonts w:ascii="Times New Roman" w:eastAsia="Times New Roman" w:hAnsi="Times New Roman" w:cs="Times New Roman"/>
          <w:color w:val="000000"/>
          <w:kern w:val="0"/>
          <w:sz w:val="28"/>
          <w:szCs w:val="28"/>
          <w14:ligatures w14:val="none"/>
        </w:rPr>
        <w:t xml:space="preserve">, </w:t>
      </w:r>
      <w:r w:rsidR="00474C0D" w:rsidRPr="000C57AC">
        <w:rPr>
          <w:rFonts w:ascii="Times New Roman" w:eastAsia="Times New Roman" w:hAnsi="Times New Roman" w:cs="Times New Roman"/>
          <w:color w:val="000000"/>
          <w:kern w:val="0"/>
          <w:sz w:val="28"/>
          <w:szCs w:val="28"/>
          <w14:ligatures w14:val="none"/>
        </w:rPr>
        <w:t xml:space="preserve">an </w:t>
      </w:r>
      <w:r w:rsidRPr="000C57AC">
        <w:rPr>
          <w:rFonts w:ascii="Times New Roman" w:eastAsia="Times New Roman" w:hAnsi="Times New Roman" w:cs="Times New Roman"/>
          <w:color w:val="000000"/>
          <w:kern w:val="0"/>
          <w:sz w:val="28"/>
          <w:szCs w:val="28"/>
          <w14:ligatures w14:val="none"/>
        </w:rPr>
        <w:t xml:space="preserve">AUSA and Special Agent learned about an incriminating file through </w:t>
      </w:r>
      <w:r w:rsidR="00474C0D" w:rsidRPr="000C57AC">
        <w:rPr>
          <w:rFonts w:ascii="Times New Roman" w:eastAsia="Times New Roman" w:hAnsi="Times New Roman" w:cs="Times New Roman"/>
          <w:color w:val="000000"/>
          <w:kern w:val="0"/>
          <w:sz w:val="28"/>
          <w:szCs w:val="28"/>
          <w14:ligatures w14:val="none"/>
        </w:rPr>
        <w:t xml:space="preserve">the defendant’s </w:t>
      </w:r>
      <w:r w:rsidRPr="000C57AC">
        <w:rPr>
          <w:rFonts w:ascii="Times New Roman" w:eastAsia="Times New Roman" w:hAnsi="Times New Roman" w:cs="Times New Roman"/>
          <w:color w:val="000000"/>
          <w:kern w:val="0"/>
          <w:sz w:val="28"/>
          <w:szCs w:val="28"/>
          <w14:ligatures w14:val="none"/>
        </w:rPr>
        <w:t xml:space="preserve">immunized testimony. </w:t>
      </w:r>
      <w:r w:rsidRPr="000C57AC">
        <w:rPr>
          <w:rFonts w:ascii="Times New Roman" w:eastAsia="Times New Roman" w:hAnsi="Times New Roman" w:cs="Times New Roman"/>
          <w:i/>
          <w:iCs/>
          <w:color w:val="000000"/>
          <w:kern w:val="0"/>
          <w:sz w:val="28"/>
          <w:szCs w:val="28"/>
          <w14:ligatures w14:val="none"/>
        </w:rPr>
        <w:t xml:space="preserve">Id. </w:t>
      </w:r>
      <w:r w:rsidRPr="000C57AC">
        <w:rPr>
          <w:rFonts w:ascii="Times New Roman" w:eastAsia="Times New Roman" w:hAnsi="Times New Roman" w:cs="Times New Roman"/>
          <w:color w:val="000000"/>
          <w:kern w:val="0"/>
          <w:sz w:val="28"/>
          <w:szCs w:val="28"/>
          <w14:ligatures w14:val="none"/>
        </w:rPr>
        <w:t>at 334–35.</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Harris, 973 F.2d 333 (4th Cir. 1992)."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t>
      </w:r>
      <w:r w:rsidR="00474C0D" w:rsidRPr="000C57AC">
        <w:rPr>
          <w:rFonts w:ascii="Times New Roman" w:eastAsia="Times New Roman" w:hAnsi="Times New Roman" w:cs="Times New Roman"/>
          <w:color w:val="000000"/>
          <w:kern w:val="0"/>
          <w:sz w:val="28"/>
          <w:szCs w:val="28"/>
          <w14:ligatures w14:val="none"/>
        </w:rPr>
        <w:t>The government replaced the exposed Agent, and</w:t>
      </w:r>
      <w:r w:rsidR="001D2DB2" w:rsidRPr="000C57AC">
        <w:rPr>
          <w:rFonts w:ascii="Times New Roman" w:eastAsia="Times New Roman" w:hAnsi="Times New Roman" w:cs="Times New Roman"/>
          <w:color w:val="000000"/>
          <w:kern w:val="0"/>
          <w:sz w:val="28"/>
          <w:szCs w:val="28"/>
          <w14:ligatures w14:val="none"/>
        </w:rPr>
        <w:t xml:space="preserve"> </w:t>
      </w:r>
      <w:r w:rsidR="00474C0D" w:rsidRPr="000C57AC">
        <w:rPr>
          <w:rFonts w:ascii="Times New Roman" w:eastAsia="Times New Roman" w:hAnsi="Times New Roman" w:cs="Times New Roman"/>
          <w:color w:val="000000"/>
          <w:kern w:val="0"/>
          <w:sz w:val="28"/>
          <w:szCs w:val="28"/>
          <w14:ligatures w14:val="none"/>
        </w:rPr>
        <w:t>pursued charges against the defendant</w:t>
      </w:r>
      <w:r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335.</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Harris, 973 F.2d 333 (4th Cir. 1992)."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t>
      </w:r>
      <w:r w:rsidR="00474C0D" w:rsidRPr="000C57AC">
        <w:rPr>
          <w:rFonts w:ascii="Times New Roman" w:eastAsia="Times New Roman" w:hAnsi="Times New Roman" w:cs="Times New Roman"/>
          <w:color w:val="000000"/>
          <w:kern w:val="0"/>
          <w:sz w:val="28"/>
          <w:szCs w:val="28"/>
          <w14:ligatures w14:val="none"/>
        </w:rPr>
        <w:t>The new Agent found the incriminating file after speaking with the AUSA</w:t>
      </w:r>
      <w:r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i/>
          <w:iCs/>
          <w:color w:val="000000"/>
          <w:kern w:val="0"/>
          <w:sz w:val="28"/>
          <w:szCs w:val="28"/>
          <w14:ligatures w14:val="none"/>
        </w:rPr>
        <w:t>Id.</w:t>
      </w:r>
      <w:r w:rsidR="00264A10" w:rsidRPr="000C57AC">
        <w:rPr>
          <w:rFonts w:ascii="Times New Roman" w:eastAsia="Times New Roman" w:hAnsi="Times New Roman" w:cs="Times New Roman"/>
          <w:i/>
          <w:iCs/>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Harris, 973 F.2d 333 (4th Cir. 1992)." </w:instrText>
      </w:r>
      <w:r w:rsidR="00264A10" w:rsidRPr="000C57AC">
        <w:rPr>
          <w:rFonts w:ascii="Times New Roman" w:eastAsia="Times New Roman" w:hAnsi="Times New Roman" w:cs="Times New Roman"/>
          <w:i/>
          <w:iCs/>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While the </w:t>
      </w:r>
      <w:r w:rsidR="00474C0D" w:rsidRPr="000C57AC">
        <w:rPr>
          <w:rFonts w:ascii="Times New Roman" w:eastAsia="Times New Roman" w:hAnsi="Times New Roman" w:cs="Times New Roman"/>
          <w:color w:val="000000"/>
          <w:kern w:val="0"/>
          <w:sz w:val="28"/>
          <w:szCs w:val="28"/>
          <w14:ligatures w14:val="none"/>
        </w:rPr>
        <w:t>g</w:t>
      </w:r>
      <w:r w:rsidRPr="000C57AC">
        <w:rPr>
          <w:rFonts w:ascii="Times New Roman" w:eastAsia="Times New Roman" w:hAnsi="Times New Roman" w:cs="Times New Roman"/>
          <w:color w:val="000000"/>
          <w:kern w:val="0"/>
          <w:sz w:val="28"/>
          <w:szCs w:val="28"/>
          <w14:ligatures w14:val="none"/>
        </w:rPr>
        <w:t xml:space="preserve">overnment “vigorously” argued that </w:t>
      </w:r>
      <w:r w:rsidR="00474C0D" w:rsidRPr="000C57AC">
        <w:rPr>
          <w:rFonts w:ascii="Times New Roman" w:eastAsia="Times New Roman" w:hAnsi="Times New Roman" w:cs="Times New Roman"/>
          <w:color w:val="000000"/>
          <w:kern w:val="0"/>
          <w:sz w:val="28"/>
          <w:szCs w:val="28"/>
          <w14:ligatures w14:val="none"/>
        </w:rPr>
        <w:t>the AUSA’s</w:t>
      </w:r>
      <w:r w:rsidRPr="000C57AC">
        <w:rPr>
          <w:rFonts w:ascii="Times New Roman" w:eastAsia="Times New Roman" w:hAnsi="Times New Roman" w:cs="Times New Roman"/>
          <w:color w:val="000000"/>
          <w:kern w:val="0"/>
          <w:sz w:val="28"/>
          <w:szCs w:val="28"/>
          <w14:ligatures w14:val="none"/>
        </w:rPr>
        <w:t xml:space="preserve"> </w:t>
      </w:r>
      <w:r w:rsidR="00474C0D" w:rsidRPr="000C57AC">
        <w:rPr>
          <w:rFonts w:ascii="Times New Roman" w:eastAsia="Times New Roman" w:hAnsi="Times New Roman" w:cs="Times New Roman"/>
          <w:color w:val="000000"/>
          <w:kern w:val="0"/>
          <w:sz w:val="28"/>
          <w:szCs w:val="28"/>
          <w14:ligatures w14:val="none"/>
        </w:rPr>
        <w:t xml:space="preserve">knowledge </w:t>
      </w:r>
      <w:r w:rsidRPr="000C57AC">
        <w:rPr>
          <w:rFonts w:ascii="Times New Roman" w:eastAsia="Times New Roman" w:hAnsi="Times New Roman" w:cs="Times New Roman"/>
          <w:color w:val="000000"/>
          <w:kern w:val="0"/>
          <w:sz w:val="28"/>
          <w:szCs w:val="28"/>
          <w14:ligatures w14:val="none"/>
        </w:rPr>
        <w:t xml:space="preserve">had no impact on </w:t>
      </w:r>
      <w:r w:rsidR="00474C0D" w:rsidRPr="000C57AC">
        <w:rPr>
          <w:rFonts w:ascii="Times New Roman" w:eastAsia="Times New Roman" w:hAnsi="Times New Roman" w:cs="Times New Roman"/>
          <w:color w:val="000000"/>
          <w:kern w:val="0"/>
          <w:sz w:val="28"/>
          <w:szCs w:val="28"/>
          <w14:ligatures w14:val="none"/>
        </w:rPr>
        <w:t>the Agent’s</w:t>
      </w:r>
      <w:r w:rsidRPr="000C57AC">
        <w:rPr>
          <w:rFonts w:ascii="Times New Roman" w:eastAsia="Times New Roman" w:hAnsi="Times New Roman" w:cs="Times New Roman"/>
          <w:color w:val="000000"/>
          <w:kern w:val="0"/>
          <w:sz w:val="28"/>
          <w:szCs w:val="28"/>
          <w14:ligatures w14:val="none"/>
        </w:rPr>
        <w:t xml:space="preserve"> discovery, the </w:t>
      </w:r>
      <w:r w:rsidR="00474C0D" w:rsidRPr="000C57AC">
        <w:rPr>
          <w:rFonts w:ascii="Times New Roman" w:eastAsia="Times New Roman" w:hAnsi="Times New Roman" w:cs="Times New Roman"/>
          <w:color w:val="000000"/>
          <w:kern w:val="0"/>
          <w:sz w:val="28"/>
          <w:szCs w:val="28"/>
          <w14:ligatures w14:val="none"/>
        </w:rPr>
        <w:t>c</w:t>
      </w:r>
      <w:r w:rsidRPr="000C57AC">
        <w:rPr>
          <w:rFonts w:ascii="Times New Roman" w:eastAsia="Times New Roman" w:hAnsi="Times New Roman" w:cs="Times New Roman"/>
          <w:color w:val="000000"/>
          <w:kern w:val="0"/>
          <w:sz w:val="28"/>
          <w:szCs w:val="28"/>
          <w14:ligatures w14:val="none"/>
        </w:rPr>
        <w:t xml:space="preserve">ourt held that the </w:t>
      </w:r>
      <w:r w:rsidR="00474C0D" w:rsidRPr="000C57AC">
        <w:rPr>
          <w:rFonts w:ascii="Times New Roman" w:eastAsia="Times New Roman" w:hAnsi="Times New Roman" w:cs="Times New Roman"/>
          <w:color w:val="000000"/>
          <w:kern w:val="0"/>
          <w:sz w:val="28"/>
          <w:szCs w:val="28"/>
          <w14:ligatures w14:val="none"/>
        </w:rPr>
        <w:t>g</w:t>
      </w:r>
      <w:r w:rsidRPr="000C57AC">
        <w:rPr>
          <w:rFonts w:ascii="Times New Roman" w:eastAsia="Times New Roman" w:hAnsi="Times New Roman" w:cs="Times New Roman"/>
          <w:color w:val="000000"/>
          <w:kern w:val="0"/>
          <w:sz w:val="28"/>
          <w:szCs w:val="28"/>
          <w14:ligatures w14:val="none"/>
        </w:rPr>
        <w:t xml:space="preserve">overnment failed to meet its burden because it did not “eliminate the significant possibility” that the </w:t>
      </w:r>
      <w:r w:rsidRPr="000C57AC">
        <w:rPr>
          <w:rFonts w:ascii="Times New Roman" w:eastAsia="Times New Roman" w:hAnsi="Times New Roman" w:cs="Times New Roman"/>
          <w:color w:val="000000"/>
          <w:kern w:val="0"/>
          <w:sz w:val="28"/>
          <w:szCs w:val="28"/>
          <w14:ligatures w14:val="none"/>
        </w:rPr>
        <w:lastRenderedPageBreak/>
        <w:t xml:space="preserve">testimony was used as an investigatory lead.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337–38</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Harris, 973 F.2d 333 (4th Cir. 1992)."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t>
      </w:r>
      <w:r w:rsidR="00474C0D" w:rsidRPr="000C57AC">
        <w:rPr>
          <w:rFonts w:ascii="Times New Roman" w:eastAsia="Times New Roman" w:hAnsi="Times New Roman" w:cs="Times New Roman"/>
          <w:color w:val="000000"/>
          <w:kern w:val="0"/>
          <w:sz w:val="28"/>
          <w:szCs w:val="28"/>
          <w14:ligatures w14:val="none"/>
        </w:rPr>
        <w:t xml:space="preserve">The AUSA </w:t>
      </w:r>
      <w:r w:rsidRPr="000C57AC">
        <w:rPr>
          <w:rFonts w:ascii="Times New Roman" w:eastAsia="Times New Roman" w:hAnsi="Times New Roman" w:cs="Times New Roman"/>
          <w:color w:val="000000"/>
          <w:kern w:val="0"/>
          <w:sz w:val="28"/>
          <w:szCs w:val="28"/>
          <w14:ligatures w14:val="none"/>
        </w:rPr>
        <w:t xml:space="preserve">could have shared enough knowledge to make it possible for </w:t>
      </w:r>
      <w:r w:rsidR="00474C0D" w:rsidRPr="000C57AC">
        <w:rPr>
          <w:rFonts w:ascii="Times New Roman" w:eastAsia="Times New Roman" w:hAnsi="Times New Roman" w:cs="Times New Roman"/>
          <w:color w:val="000000"/>
          <w:kern w:val="0"/>
          <w:sz w:val="28"/>
          <w:szCs w:val="28"/>
          <w14:ligatures w14:val="none"/>
        </w:rPr>
        <w:t>the Agent</w:t>
      </w:r>
      <w:r w:rsidRPr="000C57AC">
        <w:rPr>
          <w:rFonts w:ascii="Times New Roman" w:eastAsia="Times New Roman" w:hAnsi="Times New Roman" w:cs="Times New Roman"/>
          <w:color w:val="000000"/>
          <w:kern w:val="0"/>
          <w:sz w:val="28"/>
          <w:szCs w:val="28"/>
          <w14:ligatures w14:val="none"/>
        </w:rPr>
        <w:t xml:space="preserve"> to understand and use the file once he found it.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338.</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Harris, 973 F.2d 333 (4th Cir. 1992)."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Because </w:t>
      </w:r>
      <w:r w:rsidR="00474C0D" w:rsidRPr="000C57AC">
        <w:rPr>
          <w:rFonts w:ascii="Times New Roman" w:eastAsia="Times New Roman" w:hAnsi="Times New Roman" w:cs="Times New Roman"/>
          <w:color w:val="000000"/>
          <w:kern w:val="0"/>
          <w:sz w:val="28"/>
          <w:szCs w:val="28"/>
          <w14:ligatures w14:val="none"/>
        </w:rPr>
        <w:t>the AUSA</w:t>
      </w:r>
      <w:r w:rsidRPr="000C57AC">
        <w:rPr>
          <w:rFonts w:ascii="Times New Roman" w:eastAsia="Times New Roman" w:hAnsi="Times New Roman" w:cs="Times New Roman"/>
          <w:color w:val="000000"/>
          <w:kern w:val="0"/>
          <w:sz w:val="28"/>
          <w:szCs w:val="28"/>
          <w14:ligatures w14:val="none"/>
        </w:rPr>
        <w:t xml:space="preserve"> did not forget the immunized testimony and continued discussions with </w:t>
      </w:r>
      <w:r w:rsidR="00474C0D" w:rsidRPr="000C57AC">
        <w:rPr>
          <w:rFonts w:ascii="Times New Roman" w:eastAsia="Times New Roman" w:hAnsi="Times New Roman" w:cs="Times New Roman"/>
          <w:color w:val="000000"/>
          <w:kern w:val="0"/>
          <w:sz w:val="28"/>
          <w:szCs w:val="28"/>
          <w14:ligatures w14:val="none"/>
        </w:rPr>
        <w:t>the Agent</w:t>
      </w:r>
      <w:r w:rsidRPr="000C57AC">
        <w:rPr>
          <w:rFonts w:ascii="Times New Roman" w:eastAsia="Times New Roman" w:hAnsi="Times New Roman" w:cs="Times New Roman"/>
          <w:color w:val="000000"/>
          <w:kern w:val="0"/>
          <w:sz w:val="28"/>
          <w:szCs w:val="28"/>
          <w14:ligatures w14:val="none"/>
        </w:rPr>
        <w:t xml:space="preserve">, the </w:t>
      </w:r>
      <w:r w:rsidR="00474C0D" w:rsidRPr="000C57AC">
        <w:rPr>
          <w:rFonts w:ascii="Times New Roman" w:eastAsia="Times New Roman" w:hAnsi="Times New Roman" w:cs="Times New Roman"/>
          <w:color w:val="000000"/>
          <w:kern w:val="0"/>
          <w:sz w:val="28"/>
          <w:szCs w:val="28"/>
          <w14:ligatures w14:val="none"/>
        </w:rPr>
        <w:t>g</w:t>
      </w:r>
      <w:r w:rsidRPr="000C57AC">
        <w:rPr>
          <w:rFonts w:ascii="Times New Roman" w:eastAsia="Times New Roman" w:hAnsi="Times New Roman" w:cs="Times New Roman"/>
          <w:color w:val="000000"/>
          <w:kern w:val="0"/>
          <w:sz w:val="28"/>
          <w:szCs w:val="28"/>
          <w14:ligatures w14:val="none"/>
        </w:rPr>
        <w:t>overnment could not prove its burden.</w:t>
      </w:r>
      <w:r w:rsidRPr="000C57AC">
        <w:rPr>
          <w:rFonts w:ascii="Times New Roman" w:eastAsia="Times New Roman" w:hAnsi="Times New Roman" w:cs="Times New Roman"/>
          <w:i/>
          <w:iCs/>
          <w:color w:val="000000"/>
          <w:kern w:val="0"/>
          <w:sz w:val="28"/>
          <w:szCs w:val="28"/>
          <w14:ligatures w14:val="none"/>
        </w:rPr>
        <w:t xml:space="preserve"> Id.</w:t>
      </w:r>
      <w:r w:rsidR="00264A10" w:rsidRPr="000C57AC">
        <w:rPr>
          <w:rFonts w:ascii="Times New Roman" w:eastAsia="Times New Roman" w:hAnsi="Times New Roman" w:cs="Times New Roman"/>
          <w:i/>
          <w:iCs/>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Harris, 973 F.2d 333 (4th Cir. 1992)." </w:instrText>
      </w:r>
      <w:r w:rsidR="00264A10" w:rsidRPr="000C57AC">
        <w:rPr>
          <w:rFonts w:ascii="Times New Roman" w:eastAsia="Times New Roman" w:hAnsi="Times New Roman" w:cs="Times New Roman"/>
          <w:i/>
          <w:iCs/>
          <w:color w:val="000000"/>
          <w:kern w:val="0"/>
          <w:sz w:val="28"/>
          <w:szCs w:val="28"/>
          <w14:ligatures w14:val="none"/>
        </w:rPr>
        <w:fldChar w:fldCharType="end"/>
      </w:r>
      <w:r w:rsidRPr="000C57AC">
        <w:rPr>
          <w:rFonts w:ascii="Times New Roman" w:eastAsia="Times New Roman" w:hAnsi="Times New Roman" w:cs="Times New Roman"/>
          <w:i/>
          <w:iCs/>
          <w:color w:val="000000"/>
          <w:kern w:val="0"/>
          <w:sz w:val="28"/>
          <w:szCs w:val="28"/>
          <w14:ligatures w14:val="none"/>
        </w:rPr>
        <w:t> </w:t>
      </w:r>
    </w:p>
    <w:p w14:paraId="26421F44" w14:textId="36776CFC"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Here, the Government cannot prove that the testimony was not used as an investigatory lead given the continued conversations between Nolan and Sinclair and the highly publicized nature of the trial. Unlike this case, the original agent assigned to the case in </w:t>
      </w:r>
      <w:r w:rsidRPr="000C57AC">
        <w:rPr>
          <w:rFonts w:ascii="Times New Roman" w:eastAsia="Times New Roman" w:hAnsi="Times New Roman" w:cs="Times New Roman"/>
          <w:i/>
          <w:iCs/>
          <w:color w:val="000000"/>
          <w:kern w:val="0"/>
          <w:sz w:val="28"/>
          <w:szCs w:val="28"/>
          <w14:ligatures w14:val="none"/>
        </w:rPr>
        <w:t>Harris</w:t>
      </w:r>
      <w:r w:rsidRPr="000C57AC">
        <w:rPr>
          <w:rFonts w:ascii="Times New Roman" w:eastAsia="Times New Roman" w:hAnsi="Times New Roman" w:cs="Times New Roman"/>
          <w:color w:val="000000"/>
          <w:kern w:val="0"/>
          <w:sz w:val="28"/>
          <w:szCs w:val="28"/>
          <w14:ligatures w14:val="none"/>
        </w:rPr>
        <w:t xml:space="preserve"> was replaced, which is consistent with best practice. Although Nolan specifically denied exposure to the testimony, mere denials are not enough. Throughout the trial, Nolan and Sinclair continued the “strong friendship” they’ve always had. </w:t>
      </w:r>
      <w:r w:rsidR="00474C0D" w:rsidRPr="000C57AC">
        <w:rPr>
          <w:rFonts w:ascii="Times New Roman" w:eastAsia="Times New Roman" w:hAnsi="Times New Roman" w:cs="Times New Roman"/>
          <w:color w:val="000000"/>
          <w:kern w:val="0"/>
          <w:sz w:val="28"/>
          <w:szCs w:val="28"/>
          <w14:ligatures w14:val="none"/>
        </w:rPr>
        <w:t xml:space="preserve">(Sinclair Dep. 22:583–86). </w:t>
      </w:r>
      <w:r w:rsidRPr="000C57AC">
        <w:rPr>
          <w:rFonts w:ascii="Times New Roman" w:eastAsia="Times New Roman" w:hAnsi="Times New Roman" w:cs="Times New Roman"/>
          <w:color w:val="000000"/>
          <w:kern w:val="0"/>
          <w:sz w:val="28"/>
          <w:szCs w:val="28"/>
          <w14:ligatures w14:val="none"/>
        </w:rPr>
        <w:t xml:space="preserve">There is no evidence as to what their conversations entailed. Like Stein in </w:t>
      </w:r>
      <w:r w:rsidRPr="000C57AC">
        <w:rPr>
          <w:rFonts w:ascii="Times New Roman" w:eastAsia="Times New Roman" w:hAnsi="Times New Roman" w:cs="Times New Roman"/>
          <w:i/>
          <w:iCs/>
          <w:color w:val="000000"/>
          <w:kern w:val="0"/>
          <w:sz w:val="28"/>
          <w:szCs w:val="28"/>
          <w14:ligatures w14:val="none"/>
        </w:rPr>
        <w:t>Harris</w:t>
      </w:r>
      <w:r w:rsidRPr="000C57AC">
        <w:rPr>
          <w:rFonts w:ascii="Times New Roman" w:eastAsia="Times New Roman" w:hAnsi="Times New Roman" w:cs="Times New Roman"/>
          <w:color w:val="000000"/>
          <w:kern w:val="0"/>
          <w:sz w:val="28"/>
          <w:szCs w:val="28"/>
          <w14:ligatures w14:val="none"/>
        </w:rPr>
        <w:t xml:space="preserve">, Sinclair knew Parker was relevant because of the immunized testimony. Further, the testimony occurred in an open courtroom in a town where “everyone knows everyone” and was heavily covered by local press. </w:t>
      </w:r>
      <w:r w:rsidR="00474C0D" w:rsidRPr="000C57AC">
        <w:rPr>
          <w:rFonts w:ascii="Times New Roman" w:eastAsia="Times New Roman" w:hAnsi="Times New Roman" w:cs="Times New Roman"/>
          <w:color w:val="000000"/>
          <w:kern w:val="0"/>
          <w:sz w:val="28"/>
          <w:szCs w:val="28"/>
          <w14:ligatures w14:val="none"/>
        </w:rPr>
        <w:t xml:space="preserve">(Sinclair Dep. 9:32–38; 23:593–96). </w:t>
      </w:r>
      <w:r w:rsidRPr="000C57AC">
        <w:rPr>
          <w:rFonts w:ascii="Times New Roman" w:eastAsia="Times New Roman" w:hAnsi="Times New Roman" w:cs="Times New Roman"/>
          <w:color w:val="000000"/>
          <w:kern w:val="0"/>
          <w:sz w:val="28"/>
          <w:szCs w:val="28"/>
          <w14:ligatures w14:val="none"/>
        </w:rPr>
        <w:t xml:space="preserve">Like </w:t>
      </w:r>
      <w:r w:rsidRPr="000C57AC">
        <w:rPr>
          <w:rFonts w:ascii="Times New Roman" w:eastAsia="Times New Roman" w:hAnsi="Times New Roman" w:cs="Times New Roman"/>
          <w:i/>
          <w:iCs/>
          <w:color w:val="000000"/>
          <w:kern w:val="0"/>
          <w:sz w:val="28"/>
          <w:szCs w:val="28"/>
          <w14:ligatures w14:val="none"/>
        </w:rPr>
        <w:t>Harris</w:t>
      </w:r>
      <w:r w:rsidRPr="000C57AC">
        <w:rPr>
          <w:rFonts w:ascii="Times New Roman" w:eastAsia="Times New Roman" w:hAnsi="Times New Roman" w:cs="Times New Roman"/>
          <w:color w:val="000000"/>
          <w:kern w:val="0"/>
          <w:sz w:val="28"/>
          <w:szCs w:val="28"/>
          <w14:ligatures w14:val="none"/>
        </w:rPr>
        <w:t>, the Government in this case cannot eliminate the possibility that Sinclair, or anyone else exposed to the testimony through the media, shared enough knowledge for Nolan to understand that Parker was a key witness. The Government did not construct a proper wall and cannot meet its burden. </w:t>
      </w:r>
    </w:p>
    <w:p w14:paraId="51B63796" w14:textId="6F1B2C64" w:rsidR="006D1C37" w:rsidRPr="000C57AC" w:rsidRDefault="006D1C37" w:rsidP="007C59DF">
      <w:pPr>
        <w:pStyle w:val="Heading3"/>
      </w:pPr>
      <w:bookmarkStart w:id="14" w:name="_Toc239145426"/>
      <w:r w:rsidRPr="000C57AC">
        <w:lastRenderedPageBreak/>
        <w:t>There is no legitimate independent source for the identity of Kennedy Parker or Exhibit 19.</w:t>
      </w:r>
      <w:bookmarkEnd w:id="14"/>
    </w:p>
    <w:p w14:paraId="567F650F" w14:textId="77777777" w:rsidR="006D1C37" w:rsidRPr="000C57AC" w:rsidRDefault="006D1C37" w:rsidP="006D1C37">
      <w:pPr>
        <w:rPr>
          <w:rFonts w:ascii="Times New Roman" w:eastAsia="Times New Roman" w:hAnsi="Times New Roman" w:cs="Times New Roman"/>
          <w:color w:val="000000"/>
          <w:kern w:val="0"/>
          <w:sz w:val="28"/>
          <w:szCs w:val="28"/>
          <w14:ligatures w14:val="none"/>
        </w:rPr>
      </w:pPr>
    </w:p>
    <w:p w14:paraId="7054DC0B" w14:textId="5652BE00"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proofErr w:type="gramStart"/>
      <w:r w:rsidRPr="000C57AC">
        <w:rPr>
          <w:rFonts w:ascii="Times New Roman" w:eastAsia="Times New Roman" w:hAnsi="Times New Roman" w:cs="Times New Roman"/>
          <w:color w:val="000000"/>
          <w:kern w:val="0"/>
          <w:sz w:val="28"/>
          <w:szCs w:val="28"/>
          <w14:ligatures w14:val="none"/>
        </w:rPr>
        <w:t>In order to</w:t>
      </w:r>
      <w:proofErr w:type="gramEnd"/>
      <w:r w:rsidRPr="000C57AC">
        <w:rPr>
          <w:rFonts w:ascii="Times New Roman" w:eastAsia="Times New Roman" w:hAnsi="Times New Roman" w:cs="Times New Roman"/>
          <w:color w:val="000000"/>
          <w:kern w:val="0"/>
          <w:sz w:val="28"/>
          <w:szCs w:val="28"/>
          <w14:ligatures w14:val="none"/>
        </w:rPr>
        <w:t xml:space="preserve"> satisfy its burden, the Government must prove that each step of the investigative chain by which the evidence was obtained is accounted for. </w:t>
      </w:r>
      <w:r w:rsidRPr="000C57AC">
        <w:rPr>
          <w:rFonts w:ascii="Times New Roman" w:eastAsia="Times New Roman" w:hAnsi="Times New Roman" w:cs="Times New Roman"/>
          <w:i/>
          <w:iCs/>
          <w:color w:val="000000"/>
          <w:kern w:val="0"/>
          <w:sz w:val="28"/>
          <w:szCs w:val="28"/>
          <w14:ligatures w14:val="none"/>
        </w:rPr>
        <w:t>Hampton</w:t>
      </w:r>
      <w:r w:rsidRPr="000C57AC">
        <w:rPr>
          <w:rFonts w:ascii="Times New Roman" w:eastAsia="Times New Roman" w:hAnsi="Times New Roman" w:cs="Times New Roman"/>
          <w:color w:val="000000"/>
          <w:kern w:val="0"/>
          <w:sz w:val="28"/>
          <w:szCs w:val="28"/>
          <w14:ligatures w14:val="none"/>
        </w:rPr>
        <w:t>, 775 F.2d at 1490.</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Hampton, 775 F.2d 1479 (11th Cir. 1985)"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While the Government can meet its burden by demonstrating that the prosecutor had prior knowledge of “substantially all the information” in the defendant’s testimony, it must also demonstrate that any new information obtained directly or indirectly from the immunized testimony did not facilitate the discovery of other evidence. </w:t>
      </w:r>
      <w:r w:rsidRPr="000C57AC">
        <w:rPr>
          <w:rFonts w:ascii="Times New Roman" w:eastAsia="Times New Roman" w:hAnsi="Times New Roman" w:cs="Times New Roman"/>
          <w:i/>
          <w:iCs/>
          <w:color w:val="000000"/>
          <w:kern w:val="0"/>
          <w:sz w:val="28"/>
          <w:szCs w:val="28"/>
          <w14:ligatures w14:val="none"/>
        </w:rPr>
        <w:t>United States v. Byrd</w:t>
      </w:r>
      <w:r w:rsidRPr="000C57AC">
        <w:rPr>
          <w:rFonts w:ascii="Times New Roman" w:eastAsia="Times New Roman" w:hAnsi="Times New Roman" w:cs="Times New Roman"/>
          <w:color w:val="000000"/>
          <w:kern w:val="0"/>
          <w:sz w:val="28"/>
          <w:szCs w:val="28"/>
          <w14:ligatures w14:val="none"/>
        </w:rPr>
        <w:t>, 765 F.2d 1524, 1531 (11th Cir. 1985).</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United States v. Byrd</w:instrText>
      </w:r>
      <w:r w:rsidR="00264A10" w:rsidRPr="000C57AC">
        <w:rPr>
          <w:rFonts w:ascii="Times New Roman" w:eastAsia="Times New Roman" w:hAnsi="Times New Roman" w:cs="Times New Roman"/>
          <w:color w:val="000000"/>
          <w:kern w:val="0"/>
          <w:sz w:val="28"/>
          <w:szCs w:val="28"/>
          <w14:ligatures w14:val="none"/>
        </w:rPr>
        <w:instrText>, 765 F.2d 1524 (11th Cir. 1985).</w:instrText>
      </w:r>
      <w:r w:rsidR="00264A10" w:rsidRPr="000C57AC">
        <w:rPr>
          <w:rFonts w:ascii="Times New Roman" w:hAnsi="Times New Roman" w:cs="Times New Roman"/>
          <w:sz w:val="28"/>
          <w:szCs w:val="28"/>
        </w:rPr>
        <w:instrText xml:space="preserve">" \s "United States v. Byrd, 765 F.2d 1524 (11th Cir. 1985)." \c 1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The burden is not on the defendant to show a relation between the compelled testimony and the information used in the investigation or the evidence presented. </w:t>
      </w:r>
      <w:r w:rsidRPr="000C57AC">
        <w:rPr>
          <w:rFonts w:ascii="Times New Roman" w:eastAsia="Times New Roman" w:hAnsi="Times New Roman" w:cs="Times New Roman"/>
          <w:i/>
          <w:iCs/>
          <w:color w:val="000000"/>
          <w:kern w:val="0"/>
          <w:sz w:val="28"/>
          <w:szCs w:val="28"/>
          <w14:ligatures w14:val="none"/>
        </w:rPr>
        <w:t>Hubbell</w:t>
      </w:r>
      <w:r w:rsidRPr="000C57AC">
        <w:rPr>
          <w:rFonts w:ascii="Times New Roman" w:eastAsia="Times New Roman" w:hAnsi="Times New Roman" w:cs="Times New Roman"/>
          <w:color w:val="000000"/>
          <w:kern w:val="0"/>
          <w:sz w:val="28"/>
          <w:szCs w:val="28"/>
          <w14:ligatures w14:val="none"/>
        </w:rPr>
        <w:t>, 530 U.S. at 45.</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Hubbell, 530 U.S. 27 (2000)."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w:t>
      </w:r>
    </w:p>
    <w:p w14:paraId="028A8BE9" w14:textId="788C5FA5"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In </w:t>
      </w:r>
      <w:r w:rsidRPr="000C57AC">
        <w:rPr>
          <w:rFonts w:ascii="Times New Roman" w:eastAsia="Times New Roman" w:hAnsi="Times New Roman" w:cs="Times New Roman"/>
          <w:i/>
          <w:iCs/>
          <w:color w:val="000000"/>
          <w:kern w:val="0"/>
          <w:sz w:val="28"/>
          <w:szCs w:val="28"/>
          <w14:ligatures w14:val="none"/>
        </w:rPr>
        <w:t>United States v. Hubbell</w:t>
      </w:r>
      <w:r w:rsidRPr="000C57AC">
        <w:rPr>
          <w:rFonts w:ascii="Times New Roman" w:eastAsia="Times New Roman" w:hAnsi="Times New Roman" w:cs="Times New Roman"/>
          <w:color w:val="000000"/>
          <w:kern w:val="0"/>
          <w:sz w:val="28"/>
          <w:szCs w:val="28"/>
          <w14:ligatures w14:val="none"/>
        </w:rPr>
        <w:t>, the Court found that a prosecutor’s use of the production of certain incriminating documents as an investigatory lead violated § 6002</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"18 U.S.C. § 6002"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t>
      </w:r>
      <w:r w:rsidR="00474C0D"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45–46.</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Hubbell, 530 U.S. 27 (2000)."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In </w:t>
      </w:r>
      <w:r w:rsidRPr="000C57AC">
        <w:rPr>
          <w:rFonts w:ascii="Times New Roman" w:eastAsia="Times New Roman" w:hAnsi="Times New Roman" w:cs="Times New Roman"/>
          <w:i/>
          <w:iCs/>
          <w:color w:val="000000"/>
          <w:kern w:val="0"/>
          <w:sz w:val="28"/>
          <w:szCs w:val="28"/>
          <w14:ligatures w14:val="none"/>
        </w:rPr>
        <w:t>Hubbell</w:t>
      </w:r>
      <w:r w:rsidRPr="000C57AC">
        <w:rPr>
          <w:rFonts w:ascii="Times New Roman" w:eastAsia="Times New Roman" w:hAnsi="Times New Roman" w:cs="Times New Roman"/>
          <w:color w:val="000000"/>
          <w:kern w:val="0"/>
          <w:sz w:val="28"/>
          <w:szCs w:val="28"/>
          <w14:ligatures w14:val="none"/>
        </w:rPr>
        <w:t xml:space="preserve">, the prosecution subpoenaed the production of </w:t>
      </w:r>
      <w:r w:rsidR="00C12EBD" w:rsidRPr="000C57AC">
        <w:rPr>
          <w:rFonts w:ascii="Times New Roman" w:eastAsia="Times New Roman" w:hAnsi="Times New Roman" w:cs="Times New Roman"/>
          <w:color w:val="000000"/>
          <w:kern w:val="0"/>
          <w:sz w:val="28"/>
          <w:szCs w:val="28"/>
          <w14:ligatures w14:val="none"/>
        </w:rPr>
        <w:t>documents,</w:t>
      </w:r>
      <w:r w:rsidRPr="000C57AC">
        <w:rPr>
          <w:rFonts w:ascii="Times New Roman" w:eastAsia="Times New Roman" w:hAnsi="Times New Roman" w:cs="Times New Roman"/>
          <w:color w:val="000000"/>
          <w:kern w:val="0"/>
          <w:sz w:val="28"/>
          <w:szCs w:val="28"/>
          <w14:ligatures w14:val="none"/>
        </w:rPr>
        <w:t xml:space="preserve"> and the defendant </w:t>
      </w:r>
      <w:r w:rsidR="00C12EBD" w:rsidRPr="000C57AC">
        <w:rPr>
          <w:rFonts w:ascii="Times New Roman" w:eastAsia="Times New Roman" w:hAnsi="Times New Roman" w:cs="Times New Roman"/>
          <w:color w:val="000000"/>
          <w:kern w:val="0"/>
          <w:sz w:val="28"/>
          <w:szCs w:val="28"/>
          <w14:ligatures w14:val="none"/>
        </w:rPr>
        <w:t xml:space="preserve">refused to acknowledge whether the documents existed by </w:t>
      </w:r>
      <w:r w:rsidRPr="000C57AC">
        <w:rPr>
          <w:rFonts w:ascii="Times New Roman" w:eastAsia="Times New Roman" w:hAnsi="Times New Roman" w:cs="Times New Roman"/>
          <w:color w:val="000000"/>
          <w:kern w:val="0"/>
          <w:sz w:val="28"/>
          <w:szCs w:val="28"/>
          <w14:ligatures w14:val="none"/>
        </w:rPr>
        <w:t>invok</w:t>
      </w:r>
      <w:r w:rsidR="00C12EBD" w:rsidRPr="000C57AC">
        <w:rPr>
          <w:rFonts w:ascii="Times New Roman" w:eastAsia="Times New Roman" w:hAnsi="Times New Roman" w:cs="Times New Roman"/>
          <w:color w:val="000000"/>
          <w:kern w:val="0"/>
          <w:sz w:val="28"/>
          <w:szCs w:val="28"/>
          <w14:ligatures w14:val="none"/>
        </w:rPr>
        <w:t xml:space="preserve">ing the </w:t>
      </w:r>
      <w:r w:rsidRPr="000C57AC">
        <w:rPr>
          <w:rFonts w:ascii="Times New Roman" w:eastAsia="Times New Roman" w:hAnsi="Times New Roman" w:cs="Times New Roman"/>
          <w:color w:val="000000"/>
          <w:kern w:val="0"/>
          <w:sz w:val="28"/>
          <w:szCs w:val="28"/>
          <w14:ligatures w14:val="none"/>
        </w:rPr>
        <w:t xml:space="preserve">Fifth Amendment.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31</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Hubbell, 530 U.S. 27 (2000)."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Hubbell, 530 U.S. 27 (2000)."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The lower court compelled the production of the documents, and the prosecution used them to indict Hubbell. </w:t>
      </w:r>
      <w:r w:rsidRPr="000C57AC">
        <w:rPr>
          <w:rFonts w:ascii="Times New Roman" w:eastAsia="Times New Roman" w:hAnsi="Times New Roman" w:cs="Times New Roman"/>
          <w:i/>
          <w:iCs/>
          <w:color w:val="000000"/>
          <w:kern w:val="0"/>
          <w:sz w:val="28"/>
          <w:szCs w:val="28"/>
          <w14:ligatures w14:val="none"/>
        </w:rPr>
        <w:t>Id.</w:t>
      </w:r>
      <w:r w:rsidR="00264A10" w:rsidRPr="000C57AC">
        <w:rPr>
          <w:rFonts w:ascii="Times New Roman" w:eastAsia="Times New Roman" w:hAnsi="Times New Roman" w:cs="Times New Roman"/>
          <w:i/>
          <w:iCs/>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Hubbell, 530 U.S. 27 (2000)." </w:instrText>
      </w:r>
      <w:r w:rsidR="00264A10" w:rsidRPr="000C57AC">
        <w:rPr>
          <w:rFonts w:ascii="Times New Roman" w:eastAsia="Times New Roman" w:hAnsi="Times New Roman" w:cs="Times New Roman"/>
          <w:i/>
          <w:iCs/>
          <w:color w:val="000000"/>
          <w:kern w:val="0"/>
          <w:sz w:val="28"/>
          <w:szCs w:val="28"/>
          <w14:ligatures w14:val="none"/>
        </w:rPr>
        <w:fldChar w:fldCharType="end"/>
      </w:r>
      <w:r w:rsidRPr="000C57AC">
        <w:rPr>
          <w:rFonts w:ascii="Times New Roman" w:eastAsia="Times New Roman" w:hAnsi="Times New Roman" w:cs="Times New Roman"/>
          <w:i/>
          <w:iCs/>
          <w:color w:val="000000"/>
          <w:kern w:val="0"/>
          <w:sz w:val="28"/>
          <w:szCs w:val="28"/>
          <w14:ligatures w14:val="none"/>
        </w:rPr>
        <w:t xml:space="preserve"> </w:t>
      </w:r>
      <w:r w:rsidRPr="000C57AC">
        <w:rPr>
          <w:rFonts w:ascii="Times New Roman" w:eastAsia="Times New Roman" w:hAnsi="Times New Roman" w:cs="Times New Roman"/>
          <w:color w:val="000000"/>
          <w:kern w:val="0"/>
          <w:sz w:val="28"/>
          <w:szCs w:val="28"/>
          <w14:ligatures w14:val="none"/>
        </w:rPr>
        <w:t xml:space="preserve">Hubbell appealed, and the Court found that the act of production was protected “use” and the </w:t>
      </w:r>
      <w:r w:rsidR="00C12EBD" w:rsidRPr="000C57AC">
        <w:rPr>
          <w:rFonts w:ascii="Times New Roman" w:eastAsia="Times New Roman" w:hAnsi="Times New Roman" w:cs="Times New Roman"/>
          <w:color w:val="000000"/>
          <w:kern w:val="0"/>
          <w:sz w:val="28"/>
          <w:szCs w:val="28"/>
          <w14:ligatures w14:val="none"/>
        </w:rPr>
        <w:t xml:space="preserve">documents’ </w:t>
      </w:r>
      <w:r w:rsidRPr="000C57AC">
        <w:rPr>
          <w:rFonts w:ascii="Times New Roman" w:eastAsia="Times New Roman" w:hAnsi="Times New Roman" w:cs="Times New Roman"/>
          <w:color w:val="000000"/>
          <w:kern w:val="0"/>
          <w:sz w:val="28"/>
          <w:szCs w:val="28"/>
          <w14:ligatures w14:val="none"/>
        </w:rPr>
        <w:t xml:space="preserve">contents were “derivative use.”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45–46.</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Hubbell, 530 U.S. 27 (2000)."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The Court held that because the </w:t>
      </w:r>
      <w:r w:rsidR="00474C0D" w:rsidRPr="000C57AC">
        <w:rPr>
          <w:rFonts w:ascii="Times New Roman" w:eastAsia="Times New Roman" w:hAnsi="Times New Roman" w:cs="Times New Roman"/>
          <w:color w:val="000000"/>
          <w:kern w:val="0"/>
          <w:sz w:val="28"/>
          <w:szCs w:val="28"/>
          <w14:ligatures w14:val="none"/>
        </w:rPr>
        <w:t>g</w:t>
      </w:r>
      <w:r w:rsidRPr="000C57AC">
        <w:rPr>
          <w:rFonts w:ascii="Times New Roman" w:eastAsia="Times New Roman" w:hAnsi="Times New Roman" w:cs="Times New Roman"/>
          <w:color w:val="000000"/>
          <w:kern w:val="0"/>
          <w:sz w:val="28"/>
          <w:szCs w:val="28"/>
          <w14:ligatures w14:val="none"/>
        </w:rPr>
        <w:t xml:space="preserve">overnment did not know about the existence or whereabouts of the </w:t>
      </w:r>
      <w:r w:rsidRPr="000C57AC">
        <w:rPr>
          <w:rFonts w:ascii="Times New Roman" w:eastAsia="Times New Roman" w:hAnsi="Times New Roman" w:cs="Times New Roman"/>
          <w:color w:val="000000"/>
          <w:kern w:val="0"/>
          <w:sz w:val="28"/>
          <w:szCs w:val="28"/>
          <w14:ligatures w14:val="none"/>
        </w:rPr>
        <w:lastRenderedPageBreak/>
        <w:t>documents before the subpoena, the Court could not eliminate the possibility that the act of production provided the prosecution with a lead to incriminating evidence.</w:t>
      </w:r>
      <w:r w:rsidRPr="000C57AC">
        <w:rPr>
          <w:rFonts w:ascii="Times New Roman" w:eastAsia="Times New Roman" w:hAnsi="Times New Roman" w:cs="Times New Roman"/>
          <w:i/>
          <w:iCs/>
          <w:color w:val="000000"/>
          <w:kern w:val="0"/>
          <w:sz w:val="28"/>
          <w:szCs w:val="28"/>
          <w14:ligatures w14:val="none"/>
        </w:rPr>
        <w:t xml:space="preserve"> Id.</w:t>
      </w:r>
      <w:r w:rsidRPr="000C57AC">
        <w:rPr>
          <w:rFonts w:ascii="Times New Roman" w:eastAsia="Times New Roman" w:hAnsi="Times New Roman" w:cs="Times New Roman"/>
          <w:color w:val="000000"/>
          <w:kern w:val="0"/>
          <w:sz w:val="28"/>
          <w:szCs w:val="28"/>
          <w14:ligatures w14:val="none"/>
        </w:rPr>
        <w:t xml:space="preserve"> at 43–45.</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Hubbell, 530 U.S. 27 (2000)."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The lack of incriminating nature of the production itself did not affect the amount of protection received under the statute.</w:t>
      </w:r>
      <w:r w:rsidRPr="000C57AC">
        <w:rPr>
          <w:rFonts w:ascii="Times New Roman" w:eastAsia="Times New Roman" w:hAnsi="Times New Roman" w:cs="Times New Roman"/>
          <w:i/>
          <w:iCs/>
          <w:color w:val="000000"/>
          <w:kern w:val="0"/>
          <w:sz w:val="28"/>
          <w:szCs w:val="28"/>
          <w14:ligatures w14:val="none"/>
        </w:rPr>
        <w:t xml:space="preserve"> Id.</w:t>
      </w:r>
      <w:r w:rsidRPr="000C57AC">
        <w:rPr>
          <w:rFonts w:ascii="Times New Roman" w:eastAsia="Times New Roman" w:hAnsi="Times New Roman" w:cs="Times New Roman"/>
          <w:color w:val="000000"/>
          <w:kern w:val="0"/>
          <w:sz w:val="28"/>
          <w:szCs w:val="28"/>
          <w14:ligatures w14:val="none"/>
        </w:rPr>
        <w:t xml:space="preserve"> at 38</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Hubbell, 530 U.S. 27 (2000)."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w:t>
      </w:r>
    </w:p>
    <w:p w14:paraId="18260B24" w14:textId="09622E4F"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In this case, because the Government did not know the contents of Parker’s testimony nor the existence of Exhibit 19 prior to the wall, the Court cannot eliminate the possibility that the immunized testimony provided a lead to the incriminating evidence. While the Government knew Parker’s name, Sinclair and Nolan agreed that they had not focused on Parker. </w:t>
      </w:r>
      <w:r w:rsidR="00474C0D" w:rsidRPr="000C57AC">
        <w:rPr>
          <w:rFonts w:ascii="Times New Roman" w:eastAsia="Times New Roman" w:hAnsi="Times New Roman" w:cs="Times New Roman"/>
          <w:color w:val="000000"/>
          <w:kern w:val="0"/>
          <w:sz w:val="28"/>
          <w:szCs w:val="28"/>
          <w14:ligatures w14:val="none"/>
        </w:rPr>
        <w:t xml:space="preserve">(Nolan 33:366–72; Sinclair Dep. 22:570–73). </w:t>
      </w:r>
      <w:r w:rsidRPr="000C57AC">
        <w:rPr>
          <w:rFonts w:ascii="Times New Roman" w:eastAsia="Times New Roman" w:hAnsi="Times New Roman" w:cs="Times New Roman"/>
          <w:color w:val="000000"/>
          <w:kern w:val="0"/>
          <w:sz w:val="28"/>
          <w:szCs w:val="28"/>
          <w14:ligatures w14:val="none"/>
        </w:rPr>
        <w:t xml:space="preserve">Therefore, they did not know about Parker’s “existence” as a relevant witness. No evidence explains why the Government decided to interview Lawson before Parker, nor why Nolan wrote names on their to-do list other than witnesses who worked more often in 2023. Like </w:t>
      </w:r>
      <w:r w:rsidRPr="000C57AC">
        <w:rPr>
          <w:rFonts w:ascii="Times New Roman" w:eastAsia="Times New Roman" w:hAnsi="Times New Roman" w:cs="Times New Roman"/>
          <w:i/>
          <w:iCs/>
          <w:color w:val="000000"/>
          <w:kern w:val="0"/>
          <w:sz w:val="28"/>
          <w:szCs w:val="28"/>
          <w14:ligatures w14:val="none"/>
        </w:rPr>
        <w:t>Hubbell</w:t>
      </w:r>
      <w:r w:rsidRPr="000C57AC">
        <w:rPr>
          <w:rFonts w:ascii="Times New Roman" w:eastAsia="Times New Roman" w:hAnsi="Times New Roman" w:cs="Times New Roman"/>
          <w:color w:val="000000"/>
          <w:kern w:val="0"/>
          <w:sz w:val="28"/>
          <w:szCs w:val="28"/>
          <w14:ligatures w14:val="none"/>
        </w:rPr>
        <w:t xml:space="preserve">, in which the </w:t>
      </w:r>
      <w:r w:rsidR="00474C0D" w:rsidRPr="000C57AC">
        <w:rPr>
          <w:rFonts w:ascii="Times New Roman" w:eastAsia="Times New Roman" w:hAnsi="Times New Roman" w:cs="Times New Roman"/>
          <w:color w:val="000000"/>
          <w:kern w:val="0"/>
          <w:sz w:val="28"/>
          <w:szCs w:val="28"/>
          <w14:ligatures w14:val="none"/>
        </w:rPr>
        <w:t>g</w:t>
      </w:r>
      <w:r w:rsidRPr="000C57AC">
        <w:rPr>
          <w:rFonts w:ascii="Times New Roman" w:eastAsia="Times New Roman" w:hAnsi="Times New Roman" w:cs="Times New Roman"/>
          <w:color w:val="000000"/>
          <w:kern w:val="0"/>
          <w:sz w:val="28"/>
          <w:szCs w:val="28"/>
          <w14:ligatures w14:val="none"/>
        </w:rPr>
        <w:t xml:space="preserve">overnment needed </w:t>
      </w:r>
      <w:r w:rsidR="00474C0D" w:rsidRPr="000C57AC">
        <w:rPr>
          <w:rFonts w:ascii="Times New Roman" w:eastAsia="Times New Roman" w:hAnsi="Times New Roman" w:cs="Times New Roman"/>
          <w:color w:val="000000"/>
          <w:kern w:val="0"/>
          <w:sz w:val="28"/>
          <w:szCs w:val="28"/>
          <w14:ligatures w14:val="none"/>
        </w:rPr>
        <w:t xml:space="preserve">to “use” </w:t>
      </w:r>
      <w:r w:rsidRPr="000C57AC">
        <w:rPr>
          <w:rFonts w:ascii="Times New Roman" w:eastAsia="Times New Roman" w:hAnsi="Times New Roman" w:cs="Times New Roman"/>
          <w:color w:val="000000"/>
          <w:kern w:val="0"/>
          <w:sz w:val="28"/>
          <w:szCs w:val="28"/>
          <w14:ligatures w14:val="none"/>
        </w:rPr>
        <w:t xml:space="preserve">the immunized production to lead them to the documents, the prosecution in this case needed </w:t>
      </w:r>
      <w:r w:rsidR="00474C0D" w:rsidRPr="000C57AC">
        <w:rPr>
          <w:rFonts w:ascii="Times New Roman" w:eastAsia="Times New Roman" w:hAnsi="Times New Roman" w:cs="Times New Roman"/>
          <w:color w:val="000000"/>
          <w:kern w:val="0"/>
          <w:sz w:val="28"/>
          <w:szCs w:val="28"/>
          <w14:ligatures w14:val="none"/>
        </w:rPr>
        <w:t xml:space="preserve">to “use” </w:t>
      </w:r>
      <w:r w:rsidRPr="000C57AC">
        <w:rPr>
          <w:rFonts w:ascii="Times New Roman" w:eastAsia="Times New Roman" w:hAnsi="Times New Roman" w:cs="Times New Roman"/>
          <w:color w:val="000000"/>
          <w:kern w:val="0"/>
          <w:sz w:val="28"/>
          <w:szCs w:val="28"/>
          <w14:ligatures w14:val="none"/>
        </w:rPr>
        <w:t xml:space="preserve">the immunized testimony to lead them to Parker. This dependent nature demonstrates a lack of an independent source. Further, Sinclair and Nolan agree that the owner of Coastal was unknown and they had no leads to discover that information. </w:t>
      </w:r>
      <w:r w:rsidR="00474C0D" w:rsidRPr="000C57AC">
        <w:rPr>
          <w:rFonts w:ascii="Times New Roman" w:eastAsia="Times New Roman" w:hAnsi="Times New Roman" w:cs="Times New Roman"/>
          <w:color w:val="000000"/>
          <w:kern w:val="0"/>
          <w:sz w:val="28"/>
          <w:szCs w:val="28"/>
          <w14:ligatures w14:val="none"/>
        </w:rPr>
        <w:t xml:space="preserve">(Sinclair Dep. 22:561–76). </w:t>
      </w:r>
      <w:r w:rsidRPr="000C57AC">
        <w:rPr>
          <w:rFonts w:ascii="Times New Roman" w:eastAsia="Times New Roman" w:hAnsi="Times New Roman" w:cs="Times New Roman"/>
          <w:color w:val="000000"/>
          <w:kern w:val="0"/>
          <w:sz w:val="28"/>
          <w:szCs w:val="28"/>
          <w14:ligatures w14:val="none"/>
        </w:rPr>
        <w:t xml:space="preserve">Because they needed Parker’s testimony as a “link in the chain,” </w:t>
      </w:r>
      <w:r w:rsidR="00474C0D" w:rsidRPr="000C57AC">
        <w:rPr>
          <w:rFonts w:ascii="Times New Roman" w:eastAsia="Times New Roman" w:hAnsi="Times New Roman" w:cs="Times New Roman"/>
          <w:color w:val="000000"/>
          <w:kern w:val="0"/>
          <w:sz w:val="28"/>
          <w:szCs w:val="28"/>
          <w14:ligatures w14:val="none"/>
        </w:rPr>
        <w:t xml:space="preserve">or “derivative use,” </w:t>
      </w:r>
      <w:r w:rsidRPr="000C57AC">
        <w:rPr>
          <w:rFonts w:ascii="Times New Roman" w:eastAsia="Times New Roman" w:hAnsi="Times New Roman" w:cs="Times New Roman"/>
          <w:color w:val="000000"/>
          <w:kern w:val="0"/>
          <w:sz w:val="28"/>
          <w:szCs w:val="28"/>
          <w14:ligatures w14:val="none"/>
        </w:rPr>
        <w:t>Exhibit 19 does not have an independent source. </w:t>
      </w:r>
    </w:p>
    <w:p w14:paraId="06861EFA" w14:textId="55522D7F" w:rsidR="006D1C37" w:rsidRPr="000C57AC" w:rsidRDefault="006D1C37" w:rsidP="007C59DF">
      <w:pPr>
        <w:pStyle w:val="Heading2"/>
      </w:pPr>
      <w:bookmarkStart w:id="15" w:name="_Toc239145427"/>
      <w:r w:rsidRPr="000C57AC">
        <w:lastRenderedPageBreak/>
        <w:t>For the criminal justice system to function properly, the Court must grant the motion to quash because the subpoena duces tecum seeks material protected by the work product privilege.</w:t>
      </w:r>
      <w:bookmarkEnd w:id="15"/>
    </w:p>
    <w:p w14:paraId="625F1E75" w14:textId="77777777" w:rsidR="006D1C37" w:rsidRPr="000C57AC" w:rsidRDefault="006D1C37" w:rsidP="006D1C37">
      <w:pPr>
        <w:rPr>
          <w:rFonts w:ascii="Times New Roman" w:eastAsia="Times New Roman" w:hAnsi="Times New Roman" w:cs="Times New Roman"/>
          <w:color w:val="000000"/>
          <w:kern w:val="0"/>
          <w:sz w:val="28"/>
          <w:szCs w:val="28"/>
          <w14:ligatures w14:val="none"/>
        </w:rPr>
      </w:pPr>
    </w:p>
    <w:p w14:paraId="76204CD6" w14:textId="2C5784A7" w:rsidR="006D1C37" w:rsidRPr="000C57AC" w:rsidRDefault="001D2DB2" w:rsidP="006D1C37">
      <w:pPr>
        <w:spacing w:line="480" w:lineRule="auto"/>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ab/>
      </w:r>
      <w:r w:rsidR="006D1C37" w:rsidRPr="000C57AC">
        <w:rPr>
          <w:rFonts w:ascii="Times New Roman" w:eastAsia="Times New Roman" w:hAnsi="Times New Roman" w:cs="Times New Roman"/>
          <w:color w:val="000000"/>
          <w:kern w:val="0"/>
          <w:sz w:val="28"/>
          <w:szCs w:val="28"/>
          <w14:ligatures w14:val="none"/>
        </w:rPr>
        <w:t xml:space="preserve">“Not even the most liberal of discovery theories can justify unwarranted inquiries into the files and the mental impressions of an attorney.” </w:t>
      </w:r>
      <w:r w:rsidR="006D1C37" w:rsidRPr="000C57AC">
        <w:rPr>
          <w:rFonts w:ascii="Times New Roman" w:eastAsia="Times New Roman" w:hAnsi="Times New Roman" w:cs="Times New Roman"/>
          <w:i/>
          <w:iCs/>
          <w:color w:val="000000"/>
          <w:kern w:val="0"/>
          <w:sz w:val="28"/>
          <w:szCs w:val="28"/>
          <w14:ligatures w14:val="none"/>
        </w:rPr>
        <w:t xml:space="preserve">American Oversight v. United States </w:t>
      </w:r>
      <w:proofErr w:type="spellStart"/>
      <w:r w:rsidR="006D1C37" w:rsidRPr="000C57AC">
        <w:rPr>
          <w:rFonts w:ascii="Times New Roman" w:eastAsia="Times New Roman" w:hAnsi="Times New Roman" w:cs="Times New Roman"/>
          <w:i/>
          <w:iCs/>
          <w:color w:val="000000"/>
          <w:kern w:val="0"/>
          <w:sz w:val="28"/>
          <w:szCs w:val="28"/>
          <w14:ligatures w14:val="none"/>
        </w:rPr>
        <w:t>Dep’t</w:t>
      </w:r>
      <w:proofErr w:type="spellEnd"/>
      <w:r w:rsidR="006D1C37" w:rsidRPr="000C57AC">
        <w:rPr>
          <w:rFonts w:ascii="Times New Roman" w:eastAsia="Times New Roman" w:hAnsi="Times New Roman" w:cs="Times New Roman"/>
          <w:i/>
          <w:iCs/>
          <w:color w:val="000000"/>
          <w:kern w:val="0"/>
          <w:sz w:val="28"/>
          <w:szCs w:val="28"/>
          <w14:ligatures w14:val="none"/>
        </w:rPr>
        <w:t xml:space="preserve"> of Just.</w:t>
      </w:r>
      <w:r w:rsidR="006D1C37" w:rsidRPr="000C57AC">
        <w:rPr>
          <w:rFonts w:ascii="Times New Roman" w:eastAsia="Times New Roman" w:hAnsi="Times New Roman" w:cs="Times New Roman"/>
          <w:color w:val="000000"/>
          <w:kern w:val="0"/>
          <w:sz w:val="28"/>
          <w:szCs w:val="28"/>
          <w14:ligatures w14:val="none"/>
        </w:rPr>
        <w:t>, 45 F.4th 579, 589 (2d Cir. 2022)</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American Oversight v. United States Dep’t of Just.</w:instrText>
      </w:r>
      <w:r w:rsidR="00264A10" w:rsidRPr="000C57AC">
        <w:rPr>
          <w:rFonts w:ascii="Times New Roman" w:eastAsia="Times New Roman" w:hAnsi="Times New Roman" w:cs="Times New Roman"/>
          <w:color w:val="000000"/>
          <w:kern w:val="0"/>
          <w:sz w:val="28"/>
          <w:szCs w:val="28"/>
          <w14:ligatures w14:val="none"/>
        </w:rPr>
        <w:instrText>, 45 F.4th 579 (2d Cir. 2022)</w:instrText>
      </w:r>
      <w:r w:rsidR="00264A10" w:rsidRPr="000C57AC">
        <w:rPr>
          <w:rFonts w:ascii="Times New Roman" w:hAnsi="Times New Roman" w:cs="Times New Roman"/>
          <w:sz w:val="28"/>
          <w:szCs w:val="28"/>
        </w:rPr>
        <w:instrText xml:space="preserve">" \s "American Oversight v. United States Dep’t of Just., 45 F.4th 579 (2d Cir. 2022)" \c 1 </w:instrText>
      </w:r>
      <w:r w:rsidR="00264A10" w:rsidRPr="000C57AC">
        <w:rPr>
          <w:rFonts w:ascii="Times New Roman" w:eastAsia="Times New Roman" w:hAnsi="Times New Roman" w:cs="Times New Roman"/>
          <w:color w:val="000000"/>
          <w:kern w:val="0"/>
          <w:sz w:val="28"/>
          <w:szCs w:val="28"/>
          <w14:ligatures w14:val="none"/>
        </w:rPr>
        <w:fldChar w:fldCharType="end"/>
      </w:r>
      <w:r w:rsidR="006D1C37" w:rsidRPr="000C57AC">
        <w:rPr>
          <w:rFonts w:ascii="Times New Roman" w:eastAsia="Times New Roman" w:hAnsi="Times New Roman" w:cs="Times New Roman"/>
          <w:color w:val="000000"/>
          <w:kern w:val="0"/>
          <w:sz w:val="28"/>
          <w:szCs w:val="28"/>
          <w14:ligatures w14:val="none"/>
        </w:rPr>
        <w:t xml:space="preserve"> (quoting </w:t>
      </w:r>
      <w:r w:rsidR="006D1C37" w:rsidRPr="000C57AC">
        <w:rPr>
          <w:rFonts w:ascii="Times New Roman" w:eastAsia="Times New Roman" w:hAnsi="Times New Roman" w:cs="Times New Roman"/>
          <w:i/>
          <w:iCs/>
          <w:color w:val="000000"/>
          <w:kern w:val="0"/>
          <w:sz w:val="28"/>
          <w:szCs w:val="28"/>
          <w14:ligatures w14:val="none"/>
        </w:rPr>
        <w:t>Hickman v. Taylor</w:t>
      </w:r>
      <w:r w:rsidR="006D1C37" w:rsidRPr="000C57AC">
        <w:rPr>
          <w:rFonts w:ascii="Times New Roman" w:eastAsia="Times New Roman" w:hAnsi="Times New Roman" w:cs="Times New Roman"/>
          <w:color w:val="000000"/>
          <w:kern w:val="0"/>
          <w:sz w:val="28"/>
          <w:szCs w:val="28"/>
          <w14:ligatures w14:val="none"/>
        </w:rPr>
        <w:t>, 329 U.S. 495, 510 (1947)</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Hickman v. Taylor</w:instrText>
      </w:r>
      <w:r w:rsidR="00264A10" w:rsidRPr="000C57AC">
        <w:rPr>
          <w:rFonts w:ascii="Times New Roman" w:eastAsia="Times New Roman" w:hAnsi="Times New Roman" w:cs="Times New Roman"/>
          <w:color w:val="000000"/>
          <w:kern w:val="0"/>
          <w:sz w:val="28"/>
          <w:szCs w:val="28"/>
          <w14:ligatures w14:val="none"/>
        </w:rPr>
        <w:instrText>, 329 U.S. 495</w:instrText>
      </w:r>
      <w:r w:rsidR="00A9273E" w:rsidRPr="000C57AC">
        <w:rPr>
          <w:rFonts w:ascii="Times New Roman" w:eastAsia="Times New Roman" w:hAnsi="Times New Roman" w:cs="Times New Roman"/>
          <w:color w:val="000000"/>
          <w:kern w:val="0"/>
          <w:sz w:val="28"/>
          <w:szCs w:val="28"/>
          <w14:ligatures w14:val="none"/>
        </w:rPr>
        <w:instrText xml:space="preserve"> </w:instrText>
      </w:r>
      <w:r w:rsidR="00264A10" w:rsidRPr="000C57AC">
        <w:rPr>
          <w:rFonts w:ascii="Times New Roman" w:eastAsia="Times New Roman" w:hAnsi="Times New Roman" w:cs="Times New Roman"/>
          <w:color w:val="000000"/>
          <w:kern w:val="0"/>
          <w:sz w:val="28"/>
          <w:szCs w:val="28"/>
          <w14:ligatures w14:val="none"/>
        </w:rPr>
        <w:instrText>(1947)</w:instrText>
      </w:r>
      <w:r w:rsidR="00264A10" w:rsidRPr="000C57AC">
        <w:rPr>
          <w:rFonts w:ascii="Times New Roman" w:hAnsi="Times New Roman" w:cs="Times New Roman"/>
          <w:sz w:val="28"/>
          <w:szCs w:val="28"/>
        </w:rPr>
        <w:instrText xml:space="preserve">" \s "Hickman v. Taylor, 329 U.S. 495 (1947)" \c 8 </w:instrText>
      </w:r>
      <w:r w:rsidR="00264A10" w:rsidRPr="000C57AC">
        <w:rPr>
          <w:rFonts w:ascii="Times New Roman" w:eastAsia="Times New Roman" w:hAnsi="Times New Roman" w:cs="Times New Roman"/>
          <w:color w:val="000000"/>
          <w:kern w:val="0"/>
          <w:sz w:val="28"/>
          <w:szCs w:val="28"/>
          <w14:ligatures w14:val="none"/>
        </w:rPr>
        <w:fldChar w:fldCharType="end"/>
      </w:r>
      <w:r w:rsidR="006D1C37" w:rsidRPr="000C57AC">
        <w:rPr>
          <w:rFonts w:ascii="Times New Roman" w:eastAsia="Times New Roman" w:hAnsi="Times New Roman" w:cs="Times New Roman"/>
          <w:color w:val="000000"/>
          <w:kern w:val="0"/>
          <w:sz w:val="28"/>
          <w:szCs w:val="28"/>
          <w14:ligatures w14:val="none"/>
        </w:rPr>
        <w:t xml:space="preserve">). The Supreme Court first recognized the work-product doctrine to support the strong public policy surrounding orderly prosecution and the defense of legal claims. </w:t>
      </w:r>
      <w:r w:rsidR="006D1C37" w:rsidRPr="000C57AC">
        <w:rPr>
          <w:rFonts w:ascii="Times New Roman" w:eastAsia="Times New Roman" w:hAnsi="Times New Roman" w:cs="Times New Roman"/>
          <w:i/>
          <w:iCs/>
          <w:color w:val="000000"/>
          <w:kern w:val="0"/>
          <w:sz w:val="28"/>
          <w:szCs w:val="28"/>
          <w14:ligatures w14:val="none"/>
        </w:rPr>
        <w:t>Hickman</w:t>
      </w:r>
      <w:r w:rsidR="006D1C37" w:rsidRPr="000C57AC">
        <w:rPr>
          <w:rFonts w:ascii="Times New Roman" w:eastAsia="Times New Roman" w:hAnsi="Times New Roman" w:cs="Times New Roman"/>
          <w:color w:val="000000"/>
          <w:kern w:val="0"/>
          <w:sz w:val="28"/>
          <w:szCs w:val="28"/>
          <w14:ligatures w14:val="none"/>
        </w:rPr>
        <w:t>, 329 U.S. at 510.</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"Hickman v. Taylor, 329 U.S. 495 (1947)" </w:instrText>
      </w:r>
      <w:r w:rsidR="00264A10" w:rsidRPr="000C57AC">
        <w:rPr>
          <w:rFonts w:ascii="Times New Roman" w:eastAsia="Times New Roman" w:hAnsi="Times New Roman" w:cs="Times New Roman"/>
          <w:color w:val="000000"/>
          <w:kern w:val="0"/>
          <w:sz w:val="28"/>
          <w:szCs w:val="28"/>
          <w14:ligatures w14:val="none"/>
        </w:rPr>
        <w:fldChar w:fldCharType="end"/>
      </w:r>
      <w:r w:rsidR="006D1C37" w:rsidRPr="000C57AC">
        <w:rPr>
          <w:rFonts w:ascii="Times New Roman" w:eastAsia="Times New Roman" w:hAnsi="Times New Roman" w:cs="Times New Roman"/>
          <w:color w:val="000000"/>
          <w:kern w:val="0"/>
          <w:sz w:val="28"/>
          <w:szCs w:val="28"/>
          <w14:ligatures w14:val="none"/>
        </w:rPr>
        <w:t xml:space="preserve"> Its purpose is to uphold an attorney’s ability to assemble and sift through information and prepare legal theories without undue and needless interference. </w:t>
      </w:r>
      <w:r w:rsidR="006D1C37" w:rsidRPr="000C57AC">
        <w:rPr>
          <w:rFonts w:ascii="Times New Roman" w:eastAsia="Times New Roman" w:hAnsi="Times New Roman" w:cs="Times New Roman"/>
          <w:i/>
          <w:iCs/>
          <w:color w:val="000000"/>
          <w:kern w:val="0"/>
          <w:sz w:val="28"/>
          <w:szCs w:val="28"/>
          <w14:ligatures w14:val="none"/>
        </w:rPr>
        <w:t>Id.</w:t>
      </w:r>
      <w:r w:rsidR="00264A10" w:rsidRPr="000C57AC">
        <w:rPr>
          <w:rFonts w:ascii="Times New Roman" w:eastAsia="Times New Roman" w:hAnsi="Times New Roman" w:cs="Times New Roman"/>
          <w:i/>
          <w:iCs/>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"Hickman v. Taylor, 329 U.S. 495 (1947)" </w:instrText>
      </w:r>
      <w:r w:rsidR="00264A10" w:rsidRPr="000C57AC">
        <w:rPr>
          <w:rFonts w:ascii="Times New Roman" w:eastAsia="Times New Roman" w:hAnsi="Times New Roman" w:cs="Times New Roman"/>
          <w:i/>
          <w:iCs/>
          <w:color w:val="000000"/>
          <w:kern w:val="0"/>
          <w:sz w:val="28"/>
          <w:szCs w:val="28"/>
          <w14:ligatures w14:val="none"/>
        </w:rPr>
        <w:fldChar w:fldCharType="end"/>
      </w:r>
      <w:r w:rsidR="006D1C37" w:rsidRPr="000C57AC">
        <w:rPr>
          <w:rFonts w:ascii="Times New Roman" w:eastAsia="Times New Roman" w:hAnsi="Times New Roman" w:cs="Times New Roman"/>
          <w:i/>
          <w:iCs/>
          <w:color w:val="000000"/>
          <w:kern w:val="0"/>
          <w:sz w:val="28"/>
          <w:szCs w:val="28"/>
          <w14:ligatures w14:val="none"/>
        </w:rPr>
        <w:t xml:space="preserve"> </w:t>
      </w:r>
      <w:r w:rsidR="006D1C37" w:rsidRPr="000C57AC">
        <w:rPr>
          <w:rFonts w:ascii="Times New Roman" w:eastAsia="Times New Roman" w:hAnsi="Times New Roman" w:cs="Times New Roman"/>
          <w:color w:val="000000"/>
          <w:kern w:val="0"/>
          <w:sz w:val="28"/>
          <w:szCs w:val="28"/>
          <w14:ligatures w14:val="none"/>
        </w:rPr>
        <w:t xml:space="preserve">These necessary efforts take the form of interviews, statements, memoranda, mental impressions, and countless other ways deemed attorney “work product.” </w:t>
      </w:r>
      <w:r w:rsidR="006D1C37" w:rsidRPr="000C57AC">
        <w:rPr>
          <w:rFonts w:ascii="Times New Roman" w:eastAsia="Times New Roman" w:hAnsi="Times New Roman" w:cs="Times New Roman"/>
          <w:i/>
          <w:iCs/>
          <w:color w:val="000000"/>
          <w:kern w:val="0"/>
          <w:sz w:val="28"/>
          <w:szCs w:val="28"/>
          <w14:ligatures w14:val="none"/>
        </w:rPr>
        <w:t>Id.</w:t>
      </w:r>
      <w:r w:rsidR="00264A10" w:rsidRPr="000C57AC">
        <w:rPr>
          <w:rFonts w:ascii="Times New Roman" w:eastAsia="Times New Roman" w:hAnsi="Times New Roman" w:cs="Times New Roman"/>
          <w:i/>
          <w:iCs/>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"Hickman v. Taylor, 329 U.S. 495 (1947)" </w:instrText>
      </w:r>
      <w:r w:rsidR="00264A10" w:rsidRPr="000C57AC">
        <w:rPr>
          <w:rFonts w:ascii="Times New Roman" w:eastAsia="Times New Roman" w:hAnsi="Times New Roman" w:cs="Times New Roman"/>
          <w:i/>
          <w:iCs/>
          <w:color w:val="000000"/>
          <w:kern w:val="0"/>
          <w:sz w:val="28"/>
          <w:szCs w:val="28"/>
          <w14:ligatures w14:val="none"/>
        </w:rPr>
        <w:fldChar w:fldCharType="end"/>
      </w:r>
      <w:r w:rsidR="006D1C37" w:rsidRPr="000C57AC">
        <w:rPr>
          <w:rFonts w:ascii="Times New Roman" w:eastAsia="Times New Roman" w:hAnsi="Times New Roman" w:cs="Times New Roman"/>
          <w:i/>
          <w:iCs/>
          <w:color w:val="000000"/>
          <w:kern w:val="0"/>
          <w:sz w:val="28"/>
          <w:szCs w:val="28"/>
          <w14:ligatures w14:val="none"/>
        </w:rPr>
        <w:t xml:space="preserve"> </w:t>
      </w:r>
      <w:r w:rsidR="006D1C37" w:rsidRPr="000C57AC">
        <w:rPr>
          <w:rFonts w:ascii="Times New Roman" w:eastAsia="Times New Roman" w:hAnsi="Times New Roman" w:cs="Times New Roman"/>
          <w:color w:val="000000"/>
          <w:kern w:val="0"/>
          <w:sz w:val="28"/>
          <w:szCs w:val="28"/>
          <w14:ligatures w14:val="none"/>
        </w:rPr>
        <w:t xml:space="preserve">Once the party invoking the privilege establishes its applicability, the “burden rests on the one who would invade that privacy … to justify production.” </w:t>
      </w:r>
      <w:r w:rsidR="006D1C37" w:rsidRPr="000C57AC">
        <w:rPr>
          <w:rFonts w:ascii="Times New Roman" w:eastAsia="Times New Roman" w:hAnsi="Times New Roman" w:cs="Times New Roman"/>
          <w:i/>
          <w:iCs/>
          <w:color w:val="000000"/>
          <w:kern w:val="0"/>
          <w:sz w:val="28"/>
          <w:szCs w:val="28"/>
          <w14:ligatures w14:val="none"/>
        </w:rPr>
        <w:t>Id.</w:t>
      </w:r>
      <w:r w:rsidR="006D1C37" w:rsidRPr="000C57AC">
        <w:rPr>
          <w:rFonts w:ascii="Times New Roman" w:eastAsia="Times New Roman" w:hAnsi="Times New Roman" w:cs="Times New Roman"/>
          <w:color w:val="000000"/>
          <w:kern w:val="0"/>
          <w:sz w:val="28"/>
          <w:szCs w:val="28"/>
          <w14:ligatures w14:val="none"/>
        </w:rPr>
        <w:t xml:space="preserve"> at 512.</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"Hickman v. Taylor, 329 U.S. 495 (1947)" </w:instrText>
      </w:r>
      <w:r w:rsidR="00264A10" w:rsidRPr="000C57AC">
        <w:rPr>
          <w:rFonts w:ascii="Times New Roman" w:eastAsia="Times New Roman" w:hAnsi="Times New Roman" w:cs="Times New Roman"/>
          <w:color w:val="000000"/>
          <w:kern w:val="0"/>
          <w:sz w:val="28"/>
          <w:szCs w:val="28"/>
          <w14:ligatures w14:val="none"/>
        </w:rPr>
        <w:fldChar w:fldCharType="end"/>
      </w:r>
    </w:p>
    <w:p w14:paraId="5030A1E1" w14:textId="0FD0F786"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The privilege is essential for a lawyer to retain privacy without unnecessary intrusion by opposing parties. </w:t>
      </w:r>
      <w:r w:rsidRPr="000C57AC">
        <w:rPr>
          <w:rFonts w:ascii="Times New Roman" w:eastAsia="Times New Roman" w:hAnsi="Times New Roman" w:cs="Times New Roman"/>
          <w:i/>
          <w:iCs/>
          <w:color w:val="000000"/>
          <w:kern w:val="0"/>
          <w:sz w:val="28"/>
          <w:szCs w:val="28"/>
          <w14:ligatures w14:val="none"/>
        </w:rPr>
        <w:t>United States v. Nobles</w:t>
      </w:r>
      <w:r w:rsidRPr="000C57AC">
        <w:rPr>
          <w:rFonts w:ascii="Times New Roman" w:eastAsia="Times New Roman" w:hAnsi="Times New Roman" w:cs="Times New Roman"/>
          <w:color w:val="000000"/>
          <w:kern w:val="0"/>
          <w:sz w:val="28"/>
          <w:szCs w:val="28"/>
          <w14:ligatures w14:val="none"/>
        </w:rPr>
        <w:t>, 422 U.S. 225, 237 (1975).</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United States v. Nobles</w:instrText>
      </w:r>
      <w:r w:rsidR="00264A10" w:rsidRPr="000C57AC">
        <w:rPr>
          <w:rFonts w:ascii="Times New Roman" w:eastAsia="Times New Roman" w:hAnsi="Times New Roman" w:cs="Times New Roman"/>
          <w:color w:val="000000"/>
          <w:kern w:val="0"/>
          <w:sz w:val="28"/>
          <w:szCs w:val="28"/>
          <w14:ligatures w14:val="none"/>
        </w:rPr>
        <w:instrText>, 422 U.S. 225</w:instrText>
      </w:r>
      <w:r w:rsidR="00A9273E" w:rsidRPr="000C57AC">
        <w:rPr>
          <w:rFonts w:ascii="Times New Roman" w:eastAsia="Times New Roman" w:hAnsi="Times New Roman" w:cs="Times New Roman"/>
          <w:color w:val="000000"/>
          <w:kern w:val="0"/>
          <w:sz w:val="28"/>
          <w:szCs w:val="28"/>
          <w14:ligatures w14:val="none"/>
        </w:rPr>
        <w:instrText xml:space="preserve"> </w:instrText>
      </w:r>
      <w:r w:rsidR="00264A10" w:rsidRPr="000C57AC">
        <w:rPr>
          <w:rFonts w:ascii="Times New Roman" w:eastAsia="Times New Roman" w:hAnsi="Times New Roman" w:cs="Times New Roman"/>
          <w:color w:val="000000"/>
          <w:kern w:val="0"/>
          <w:sz w:val="28"/>
          <w:szCs w:val="28"/>
          <w14:ligatures w14:val="none"/>
        </w:rPr>
        <w:instrText>(1975).</w:instrText>
      </w:r>
      <w:r w:rsidR="00264A10" w:rsidRPr="000C57AC">
        <w:rPr>
          <w:rFonts w:ascii="Times New Roman" w:hAnsi="Times New Roman" w:cs="Times New Roman"/>
          <w:sz w:val="28"/>
          <w:szCs w:val="28"/>
        </w:rPr>
        <w:instrText xml:space="preserve">" \s "United States v. Nobles, 422 U.S. 225 (1975)." \c 8 </w:instrText>
      </w:r>
      <w:r w:rsidR="00264A10" w:rsidRPr="000C57AC">
        <w:rPr>
          <w:rFonts w:ascii="Times New Roman" w:eastAsia="Times New Roman" w:hAnsi="Times New Roman" w:cs="Times New Roman"/>
          <w:color w:val="000000"/>
          <w:kern w:val="0"/>
          <w:sz w:val="28"/>
          <w:szCs w:val="28"/>
          <w14:ligatures w14:val="none"/>
        </w:rPr>
        <w:fldChar w:fldCharType="end"/>
      </w:r>
      <w:r w:rsidR="001D2DB2"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color w:val="000000"/>
          <w:kern w:val="0"/>
          <w:sz w:val="28"/>
          <w:szCs w:val="28"/>
          <w14:ligatures w14:val="none"/>
        </w:rPr>
        <w:t xml:space="preserve">In </w:t>
      </w:r>
      <w:r w:rsidRPr="000C57AC">
        <w:rPr>
          <w:rFonts w:ascii="Times New Roman" w:eastAsia="Times New Roman" w:hAnsi="Times New Roman" w:cs="Times New Roman"/>
          <w:i/>
          <w:iCs/>
          <w:color w:val="000000"/>
          <w:kern w:val="0"/>
          <w:sz w:val="28"/>
          <w:szCs w:val="28"/>
          <w14:ligatures w14:val="none"/>
        </w:rPr>
        <w:t>Nobles</w:t>
      </w:r>
      <w:r w:rsidRPr="000C57AC">
        <w:rPr>
          <w:rFonts w:ascii="Times New Roman" w:eastAsia="Times New Roman" w:hAnsi="Times New Roman" w:cs="Times New Roman"/>
          <w:color w:val="000000"/>
          <w:kern w:val="0"/>
          <w:sz w:val="28"/>
          <w:szCs w:val="28"/>
          <w14:ligatures w14:val="none"/>
        </w:rPr>
        <w:t xml:space="preserve">, the Court emphasized the privilege’s role as “even more vital” in the criminal justice system and applied the privilege to material prepared by an attorney’s agent in preparation for trial.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238–39</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Nobles, 422 U.S. 225 (1975)."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Without this privilege, unfair</w:t>
      </w:r>
      <w:r w:rsidR="003A736D">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color w:val="000000"/>
          <w:kern w:val="0"/>
          <w:sz w:val="28"/>
          <w:szCs w:val="28"/>
          <w14:ligatures w14:val="none"/>
        </w:rPr>
        <w:lastRenderedPageBreak/>
        <w:t xml:space="preserve">practices would “inevitably” replace the actions lawyers need to take to “promote justice and to protect their clients’ interests.”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237.</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Nobles, 422 U.S. 225 (1975)."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w:t>
      </w:r>
    </w:p>
    <w:p w14:paraId="74BF2368" w14:textId="5AD00013"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“[R]</w:t>
      </w:r>
      <w:proofErr w:type="spellStart"/>
      <w:r w:rsidRPr="000C57AC">
        <w:rPr>
          <w:rFonts w:ascii="Times New Roman" w:eastAsia="Times New Roman" w:hAnsi="Times New Roman" w:cs="Times New Roman"/>
          <w:color w:val="000000"/>
          <w:kern w:val="0"/>
          <w:sz w:val="28"/>
          <w:szCs w:val="28"/>
          <w14:ligatures w14:val="none"/>
        </w:rPr>
        <w:t>eports</w:t>
      </w:r>
      <w:proofErr w:type="spellEnd"/>
      <w:r w:rsidRPr="000C57AC">
        <w:rPr>
          <w:rFonts w:ascii="Times New Roman" w:eastAsia="Times New Roman" w:hAnsi="Times New Roman" w:cs="Times New Roman"/>
          <w:color w:val="000000"/>
          <w:kern w:val="0"/>
          <w:sz w:val="28"/>
          <w:szCs w:val="28"/>
          <w14:ligatures w14:val="none"/>
        </w:rPr>
        <w:t xml:space="preserve">, memoranda, or other documents made by the … the defendant’s attorney or agent, during the case’s investigation or defense; or … a statement made to the defendant, or the defendant’s attorney or agent, by … a … defense witness” are exempted from disclosure. </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color w:val="000000"/>
          <w:kern w:val="0"/>
          <w:sz w:val="28"/>
          <w:szCs w:val="28"/>
          <w14:ligatures w14:val="none"/>
        </w:rPr>
        <w:instrText>Fed. R. Crim. P. 16</w:instrText>
      </w:r>
      <w:r w:rsidR="00264A10" w:rsidRPr="000C57AC">
        <w:rPr>
          <w:rFonts w:ascii="Times New Roman" w:hAnsi="Times New Roman" w:cs="Times New Roman"/>
          <w:sz w:val="28"/>
          <w:szCs w:val="28"/>
        </w:rPr>
        <w:instrText xml:space="preserve">" \s "Fed. R. Crim. P. 16" \c 3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Fed. R. Crim. P. 16(b)(2). And the privilege is even stricter in criminal prosecutions. </w:t>
      </w:r>
      <w:r w:rsidR="00264A10" w:rsidRPr="000C57AC">
        <w:rPr>
          <w:rFonts w:ascii="Times New Roman" w:eastAsia="Times New Roman" w:hAnsi="Times New Roman" w:cs="Times New Roman"/>
          <w:i/>
          <w:iCs/>
          <w:color w:val="000000"/>
          <w:kern w:val="0"/>
          <w:sz w:val="28"/>
          <w:szCs w:val="28"/>
          <w14:ligatures w14:val="none"/>
        </w:rPr>
        <w:t>Mercator Corp. v. United States (</w:t>
      </w:r>
      <w:r w:rsidRPr="000C57AC">
        <w:rPr>
          <w:rFonts w:ascii="Times New Roman" w:eastAsia="Times New Roman" w:hAnsi="Times New Roman" w:cs="Times New Roman"/>
          <w:i/>
          <w:iCs/>
          <w:color w:val="000000"/>
          <w:kern w:val="0"/>
          <w:sz w:val="28"/>
          <w:szCs w:val="28"/>
          <w14:ligatures w14:val="none"/>
        </w:rPr>
        <w:t>In re Grand Jury Subpoenas Dated Mar. 19, 2002 &amp; Aug. 2, 2002</w:t>
      </w:r>
      <w:r w:rsidR="00264A10" w:rsidRPr="000C57AC">
        <w:rPr>
          <w:rFonts w:ascii="Times New Roman" w:eastAsia="Times New Roman" w:hAnsi="Times New Roman" w:cs="Times New Roman"/>
          <w:i/>
          <w:iCs/>
          <w:color w:val="000000"/>
          <w:kern w:val="0"/>
          <w:sz w:val="28"/>
          <w:szCs w:val="28"/>
          <w14:ligatures w14:val="none"/>
        </w:rPr>
        <w:t>)</w:t>
      </w:r>
      <w:r w:rsidRPr="000C57AC">
        <w:rPr>
          <w:rFonts w:ascii="Times New Roman" w:eastAsia="Times New Roman" w:hAnsi="Times New Roman" w:cs="Times New Roman"/>
          <w:color w:val="000000"/>
          <w:kern w:val="0"/>
          <w:sz w:val="28"/>
          <w:szCs w:val="28"/>
          <w14:ligatures w14:val="none"/>
        </w:rPr>
        <w:t>, 318 F.3d 379, 383 (2d Cir. 2003</w:t>
      </w:r>
      <w:r w:rsidR="00264A10" w:rsidRPr="000C57AC">
        <w:rPr>
          <w:rFonts w:ascii="Times New Roman" w:eastAsia="Times New Roman" w:hAnsi="Times New Roman" w:cs="Times New Roman"/>
          <w:color w:val="000000"/>
          <w:kern w:val="0"/>
          <w:sz w:val="28"/>
          <w:szCs w:val="28"/>
          <w14:ligatures w14:val="none"/>
        </w:rPr>
        <w:t>).</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Mercator Corp. v. United States (In re Grand Jury Subpoenas Dated Mar. 19, 2002 &amp; Aug. 2, 2002)</w:instrText>
      </w:r>
      <w:r w:rsidR="00264A10" w:rsidRPr="000C57AC">
        <w:rPr>
          <w:rFonts w:ascii="Times New Roman" w:eastAsia="Times New Roman" w:hAnsi="Times New Roman" w:cs="Times New Roman"/>
          <w:color w:val="000000"/>
          <w:kern w:val="0"/>
          <w:sz w:val="28"/>
          <w:szCs w:val="28"/>
          <w14:ligatures w14:val="none"/>
        </w:rPr>
        <w:instrText>, 318 F.3d 379 (2d Cir. 2003).</w:instrText>
      </w:r>
      <w:r w:rsidR="00264A10" w:rsidRPr="000C57AC">
        <w:rPr>
          <w:rFonts w:ascii="Times New Roman" w:hAnsi="Times New Roman" w:cs="Times New Roman"/>
          <w:sz w:val="28"/>
          <w:szCs w:val="28"/>
        </w:rPr>
        <w:instrText xml:space="preserve">" \s "Mercator Corp. v. United States (In re Grand Jury Subpoenas Dated Mar. 19, 2002 &amp; Aug. 2, 2002), 318 F.3d 379 (2d Cir. 2003)." \c </w:instrText>
      </w:r>
      <w:r w:rsidR="00A16E1A" w:rsidRPr="000C57AC">
        <w:rPr>
          <w:rFonts w:ascii="Times New Roman" w:hAnsi="Times New Roman" w:cs="Times New Roman"/>
          <w:sz w:val="28"/>
          <w:szCs w:val="28"/>
        </w:rPr>
        <w:instrText>1</w:instrText>
      </w:r>
      <w:r w:rsidR="00264A10" w:rsidRPr="000C57AC">
        <w:rPr>
          <w:rFonts w:ascii="Times New Roman" w:hAnsi="Times New Roman" w:cs="Times New Roman"/>
          <w:sz w:val="28"/>
          <w:szCs w:val="28"/>
        </w:rPr>
        <w:instrText xml:space="preserve">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Thus, the work-product privilege strictly protects “materials prepared by or at the behest of counsel in anticipation of litigation or for trial.” </w:t>
      </w:r>
      <w:r w:rsidRPr="000C57AC">
        <w:rPr>
          <w:rFonts w:ascii="Times New Roman" w:eastAsia="Times New Roman" w:hAnsi="Times New Roman" w:cs="Times New Roman"/>
          <w:i/>
          <w:iCs/>
          <w:color w:val="000000"/>
          <w:kern w:val="0"/>
          <w:sz w:val="28"/>
          <w:szCs w:val="28"/>
          <w14:ligatures w14:val="none"/>
        </w:rPr>
        <w:t>Id.</w:t>
      </w:r>
      <w:r w:rsidR="00264A10" w:rsidRPr="000C57AC">
        <w:rPr>
          <w:rFonts w:ascii="Times New Roman" w:eastAsia="Times New Roman" w:hAnsi="Times New Roman" w:cs="Times New Roman"/>
          <w:i/>
          <w:iCs/>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"In re Grand Jury Subpoenas Dated Mar. 19, 2002 &amp; Aug. 2, 2002, 318 F.3d 379 (2d Cir. 2003)." </w:instrText>
      </w:r>
      <w:r w:rsidR="00264A10" w:rsidRPr="000C57AC">
        <w:rPr>
          <w:rFonts w:ascii="Times New Roman" w:eastAsia="Times New Roman" w:hAnsi="Times New Roman" w:cs="Times New Roman"/>
          <w:i/>
          <w:iCs/>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w:t>
      </w:r>
    </w:p>
    <w:p w14:paraId="63BE317C" w14:textId="2AF78F86"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As an “extension of the legal team, [and] not a free agent,” Maddox Armana’s work product demands protection. (Armana Dep. 43:31–32). Armana was specifically “retained by counsel for Ms. Emily Calloway” and worked under their direction and supervision. (Armana Dep. 43:27</w:t>
      </w:r>
      <w:r w:rsidR="00A9273E" w:rsidRPr="000C57AC">
        <w:rPr>
          <w:rFonts w:ascii="Times New Roman" w:eastAsia="Times New Roman" w:hAnsi="Times New Roman" w:cs="Times New Roman"/>
          <w:color w:val="000000"/>
          <w:kern w:val="0"/>
          <w:sz w:val="28"/>
          <w:szCs w:val="28"/>
          <w14:ligatures w14:val="none"/>
        </w:rPr>
        <w:t>–</w:t>
      </w:r>
      <w:r w:rsidRPr="000C57AC">
        <w:rPr>
          <w:rFonts w:ascii="Times New Roman" w:eastAsia="Times New Roman" w:hAnsi="Times New Roman" w:cs="Times New Roman"/>
          <w:color w:val="000000"/>
          <w:kern w:val="0"/>
          <w:sz w:val="28"/>
          <w:szCs w:val="28"/>
          <w14:ligatures w14:val="none"/>
        </w:rPr>
        <w:t>30, 33–35). Armana testified that their entire involvement was “specifically for Ms. Calloway’s defense.” (Armana Dep. 44:46–50). </w:t>
      </w:r>
    </w:p>
    <w:p w14:paraId="127D40AF" w14:textId="6234C59F"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Thus, Armana’s interview notes of Sierra Seton are protected work product.</w:t>
      </w:r>
      <w:r w:rsidR="00940546" w:rsidRPr="000C57AC">
        <w:rPr>
          <w:rStyle w:val="FootnoteReference"/>
          <w:rFonts w:ascii="Times New Roman" w:eastAsia="Times New Roman" w:hAnsi="Times New Roman" w:cs="Times New Roman"/>
          <w:color w:val="000000"/>
          <w:kern w:val="0"/>
          <w:sz w:val="28"/>
          <w:szCs w:val="28"/>
          <w14:ligatures w14:val="none"/>
        </w:rPr>
        <w:footnoteReference w:id="2"/>
      </w:r>
      <w:r w:rsidRPr="000C57AC">
        <w:rPr>
          <w:rFonts w:ascii="Times New Roman" w:eastAsia="Times New Roman" w:hAnsi="Times New Roman" w:cs="Times New Roman"/>
          <w:color w:val="000000"/>
          <w:kern w:val="0"/>
          <w:sz w:val="28"/>
          <w:szCs w:val="28"/>
          <w14:ligatures w14:val="none"/>
        </w:rPr>
        <w:t xml:space="preserve"> Made in the anticipation of Ms. Calloway’s defense, the interview notes are exactly what the privilege protect</w:t>
      </w:r>
      <w:r w:rsidR="00832B69" w:rsidRPr="000C57AC">
        <w:rPr>
          <w:rFonts w:ascii="Times New Roman" w:eastAsia="Times New Roman" w:hAnsi="Times New Roman" w:cs="Times New Roman"/>
          <w:color w:val="000000"/>
          <w:kern w:val="0"/>
          <w:sz w:val="28"/>
          <w:szCs w:val="28"/>
          <w14:ligatures w14:val="none"/>
        </w:rPr>
        <w:t>s</w:t>
      </w:r>
      <w:r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i/>
          <w:iCs/>
          <w:color w:val="000000"/>
          <w:kern w:val="0"/>
          <w:sz w:val="28"/>
          <w:szCs w:val="28"/>
          <w14:ligatures w14:val="none"/>
        </w:rPr>
        <w:t>See Nobles</w:t>
      </w:r>
      <w:r w:rsidRPr="000C57AC">
        <w:rPr>
          <w:rFonts w:ascii="Times New Roman" w:eastAsia="Times New Roman" w:hAnsi="Times New Roman" w:cs="Times New Roman"/>
          <w:color w:val="000000"/>
          <w:kern w:val="0"/>
          <w:sz w:val="28"/>
          <w:szCs w:val="28"/>
          <w14:ligatures w14:val="none"/>
        </w:rPr>
        <w:t>, 422 U.S. at 238–39.</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"United States v. Nobles, 422 U.S. 225 (1975)."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The notes are </w:t>
      </w:r>
      <w:r w:rsidRPr="000C57AC">
        <w:rPr>
          <w:rFonts w:ascii="Times New Roman" w:eastAsia="Times New Roman" w:hAnsi="Times New Roman" w:cs="Times New Roman"/>
          <w:color w:val="000000"/>
          <w:kern w:val="0"/>
          <w:sz w:val="28"/>
          <w:szCs w:val="28"/>
          <w14:ligatures w14:val="none"/>
        </w:rPr>
        <w:lastRenderedPageBreak/>
        <w:t xml:space="preserve">memoranda the attorney’s agent made during the case’s investigation, reflecting a statement a defense witness made to the agent. </w:t>
      </w:r>
      <w:r w:rsidRPr="000C57AC">
        <w:rPr>
          <w:rFonts w:ascii="Times New Roman" w:eastAsia="Times New Roman" w:hAnsi="Times New Roman" w:cs="Times New Roman"/>
          <w:i/>
          <w:iCs/>
          <w:color w:val="000000"/>
          <w:kern w:val="0"/>
          <w:sz w:val="28"/>
          <w:szCs w:val="28"/>
          <w14:ligatures w14:val="none"/>
        </w:rPr>
        <w:t xml:space="preserve">See </w:t>
      </w:r>
      <w:r w:rsidRPr="000C57AC">
        <w:rPr>
          <w:rFonts w:ascii="Times New Roman" w:eastAsia="Times New Roman" w:hAnsi="Times New Roman" w:cs="Times New Roman"/>
          <w:color w:val="000000"/>
          <w:kern w:val="0"/>
          <w:sz w:val="28"/>
          <w:szCs w:val="28"/>
          <w14:ligatures w14:val="none"/>
        </w:rPr>
        <w:t>Fed. R. Crim. P. 16(b)(2)</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\s "Fed. R. Crim. P. 16"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Armana identified Seton “in the course of </w:t>
      </w:r>
      <w:proofErr w:type="spellStart"/>
      <w:r w:rsidRPr="000C57AC">
        <w:rPr>
          <w:rFonts w:ascii="Times New Roman" w:eastAsia="Times New Roman" w:hAnsi="Times New Roman" w:cs="Times New Roman"/>
          <w:color w:val="000000"/>
          <w:kern w:val="0"/>
          <w:sz w:val="28"/>
          <w:szCs w:val="28"/>
          <w14:ligatures w14:val="none"/>
        </w:rPr>
        <w:t>th</w:t>
      </w:r>
      <w:proofErr w:type="spellEnd"/>
      <w:r w:rsidRPr="000C57AC">
        <w:rPr>
          <w:rFonts w:ascii="Times New Roman" w:eastAsia="Times New Roman" w:hAnsi="Times New Roman" w:cs="Times New Roman"/>
          <w:color w:val="000000"/>
          <w:kern w:val="0"/>
          <w:sz w:val="28"/>
          <w:szCs w:val="28"/>
          <w14:ligatures w14:val="none"/>
        </w:rPr>
        <w:t>[e] work” as a person of interest for Ms. Calloway’s counsel. (Armana Dep. 44:51–53). Armana located Seton through this “unglamorous work,” and conducted an interview to further understand “Coastal from the inside.” (Armana Dep. 44:73–74, 45:86–88). Armana’s interview notes of Seton’s statements, along with their “own thoughts,” are the core of what the work product privilege protects. (Armana Dep. 46:123).</w:t>
      </w:r>
    </w:p>
    <w:p w14:paraId="6A273CDC" w14:textId="1BB7A82E" w:rsidR="006D1C37" w:rsidRPr="000C57AC" w:rsidRDefault="006D1C37" w:rsidP="007C59DF">
      <w:pPr>
        <w:pStyle w:val="Heading4"/>
      </w:pPr>
      <w:bookmarkStart w:id="16" w:name="_Toc239145428"/>
      <w:r w:rsidRPr="000C57AC">
        <w:t>The interview notes are protected opinion work product because they are Armana’s mental impressions of the interview in the form of memoranda and are consequently entitled to nearly absolute immunity.</w:t>
      </w:r>
      <w:bookmarkEnd w:id="16"/>
      <w:r w:rsidRPr="000C57AC">
        <w:t> </w:t>
      </w:r>
    </w:p>
    <w:p w14:paraId="7E56A21A" w14:textId="77777777" w:rsidR="006D1C37" w:rsidRPr="000C57AC" w:rsidRDefault="006D1C37" w:rsidP="00940546">
      <w:pPr>
        <w:ind w:left="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w:t>
      </w:r>
    </w:p>
    <w:p w14:paraId="5C95CC02" w14:textId="70A0FC93"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While the privilege applies to all work product, opinion work product</w:t>
      </w:r>
      <w:r w:rsidR="00832B69" w:rsidRPr="000C57AC">
        <w:rPr>
          <w:rFonts w:ascii="Times New Roman" w:eastAsia="Times New Roman" w:hAnsi="Times New Roman" w:cs="Times New Roman"/>
          <w:color w:val="000000"/>
          <w:kern w:val="0"/>
          <w:sz w:val="28"/>
          <w:szCs w:val="28"/>
          <w14:ligatures w14:val="none"/>
        </w:rPr>
        <w:t xml:space="preserve"> is afforded the greatest protection</w:t>
      </w:r>
      <w:r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i/>
          <w:iCs/>
          <w:color w:val="000000"/>
          <w:kern w:val="0"/>
          <w:sz w:val="28"/>
          <w:szCs w:val="28"/>
          <w14:ligatures w14:val="none"/>
        </w:rPr>
        <w:t>In re Grand Jury Subpoena</w:t>
      </w:r>
      <w:r w:rsidRPr="000C57AC">
        <w:rPr>
          <w:rFonts w:ascii="Times New Roman" w:eastAsia="Times New Roman" w:hAnsi="Times New Roman" w:cs="Times New Roman"/>
          <w:color w:val="000000"/>
          <w:kern w:val="0"/>
          <w:sz w:val="28"/>
          <w:szCs w:val="28"/>
          <w14:ligatures w14:val="none"/>
        </w:rPr>
        <w:t>, 870 F.3d 312, 316 (4th Cir. 2017).</w:t>
      </w:r>
      <w:r w:rsidR="00264A10" w:rsidRPr="000C57AC">
        <w:rPr>
          <w:rFonts w:ascii="Times New Roman" w:eastAsia="Times New Roman" w:hAnsi="Times New Roman" w:cs="Times New Roman"/>
          <w:color w:val="000000"/>
          <w:kern w:val="0"/>
          <w:sz w:val="28"/>
          <w:szCs w:val="28"/>
          <w14:ligatures w14:val="none"/>
        </w:rPr>
        <w:fldChar w:fldCharType="begin"/>
      </w:r>
      <w:r w:rsidR="00264A10" w:rsidRPr="000C57AC">
        <w:rPr>
          <w:rFonts w:ascii="Times New Roman" w:hAnsi="Times New Roman" w:cs="Times New Roman"/>
          <w:sz w:val="28"/>
          <w:szCs w:val="28"/>
        </w:rPr>
        <w:instrText xml:space="preserve"> TA \l "</w:instrText>
      </w:r>
      <w:r w:rsidR="00264A10" w:rsidRPr="000C57AC">
        <w:rPr>
          <w:rFonts w:ascii="Times New Roman" w:eastAsia="Times New Roman" w:hAnsi="Times New Roman" w:cs="Times New Roman"/>
          <w:i/>
          <w:iCs/>
          <w:color w:val="000000"/>
          <w:kern w:val="0"/>
          <w:sz w:val="28"/>
          <w:szCs w:val="28"/>
          <w14:ligatures w14:val="none"/>
        </w:rPr>
        <w:instrText>In re Grand Jury Subpoena</w:instrText>
      </w:r>
      <w:r w:rsidR="00264A10" w:rsidRPr="000C57AC">
        <w:rPr>
          <w:rFonts w:ascii="Times New Roman" w:eastAsia="Times New Roman" w:hAnsi="Times New Roman" w:cs="Times New Roman"/>
          <w:color w:val="000000"/>
          <w:kern w:val="0"/>
          <w:sz w:val="28"/>
          <w:szCs w:val="28"/>
          <w14:ligatures w14:val="none"/>
        </w:rPr>
        <w:instrText>, 870 F.3d 312 (4th Cir. 2017).</w:instrText>
      </w:r>
      <w:r w:rsidR="00264A10" w:rsidRPr="000C57AC">
        <w:rPr>
          <w:rFonts w:ascii="Times New Roman" w:hAnsi="Times New Roman" w:cs="Times New Roman"/>
          <w:sz w:val="28"/>
          <w:szCs w:val="28"/>
        </w:rPr>
        <w:instrText xml:space="preserve">" \s "In re Grand Jury Subpoena, 870 F.3d 312 (4th Cir. 2017)." \c 1 </w:instrText>
      </w:r>
      <w:r w:rsidR="00264A10"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Fact work product is a transaction of the factual events involved</w:t>
      </w:r>
      <w:r w:rsidR="00832B69" w:rsidRPr="000C57AC">
        <w:rPr>
          <w:rFonts w:ascii="Times New Roman" w:eastAsia="Times New Roman" w:hAnsi="Times New Roman" w:cs="Times New Roman"/>
          <w:color w:val="000000"/>
          <w:kern w:val="0"/>
          <w:sz w:val="28"/>
          <w:szCs w:val="28"/>
          <w14:ligatures w14:val="none"/>
        </w:rPr>
        <w:t>,</w:t>
      </w:r>
      <w:r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i/>
          <w:iCs/>
          <w:color w:val="000000"/>
          <w:kern w:val="0"/>
          <w:sz w:val="28"/>
          <w:szCs w:val="28"/>
          <w14:ligatures w14:val="none"/>
        </w:rPr>
        <w:t>See</w:t>
      </w:r>
      <w:r w:rsidRPr="000C57AC">
        <w:rPr>
          <w:rFonts w:ascii="Times New Roman" w:eastAsia="Times New Roman" w:hAnsi="Times New Roman" w:cs="Times New Roman"/>
          <w:color w:val="000000"/>
          <w:kern w:val="0"/>
          <w:sz w:val="28"/>
          <w:szCs w:val="28"/>
          <w14:ligatures w14:val="none"/>
        </w:rPr>
        <w:t xml:space="preserve"> </w:t>
      </w:r>
      <w:r w:rsidR="00264A10" w:rsidRPr="000C57AC">
        <w:rPr>
          <w:rFonts w:ascii="Times New Roman" w:eastAsia="Times New Roman" w:hAnsi="Times New Roman" w:cs="Times New Roman"/>
          <w:i/>
          <w:iCs/>
          <w:color w:val="000000"/>
          <w:kern w:val="0"/>
          <w:sz w:val="28"/>
          <w:szCs w:val="28"/>
          <w14:ligatures w14:val="none"/>
        </w:rPr>
        <w:t>Mercator Corp.</w:t>
      </w:r>
      <w:r w:rsidRPr="000C57AC">
        <w:rPr>
          <w:rFonts w:ascii="Times New Roman" w:eastAsia="Times New Roman" w:hAnsi="Times New Roman" w:cs="Times New Roman"/>
          <w:color w:val="000000"/>
          <w:kern w:val="0"/>
          <w:sz w:val="28"/>
          <w:szCs w:val="28"/>
          <w14:ligatures w14:val="none"/>
        </w:rPr>
        <w:t>, 318 F.3d at 383</w:t>
      </w:r>
      <w:r w:rsidR="00832B69" w:rsidRPr="000C57AC">
        <w:rPr>
          <w:rFonts w:ascii="Times New Roman" w:eastAsia="Times New Roman" w:hAnsi="Times New Roman" w:cs="Times New Roman"/>
          <w:color w:val="000000"/>
          <w:kern w:val="0"/>
          <w:sz w:val="28"/>
          <w:szCs w:val="28"/>
          <w14:ligatures w14:val="none"/>
        </w:rPr>
        <w:t xml:space="preserve">, </w:t>
      </w:r>
      <w:r w:rsidR="00D12C97" w:rsidRPr="000C57AC">
        <w:rPr>
          <w:rFonts w:ascii="Times New Roman" w:eastAsia="Times New Roman" w:hAnsi="Times New Roman" w:cs="Times New Roman"/>
          <w:color w:val="000000"/>
          <w:kern w:val="0"/>
          <w:sz w:val="28"/>
          <w:szCs w:val="28"/>
          <w14:ligatures w14:val="none"/>
        </w:rPr>
        <w:t>whereas</w:t>
      </w:r>
      <w:r w:rsidRPr="000C57AC">
        <w:rPr>
          <w:rFonts w:ascii="Times New Roman" w:eastAsia="Times New Roman" w:hAnsi="Times New Roman" w:cs="Times New Roman"/>
          <w:color w:val="000000"/>
          <w:kern w:val="0"/>
          <w:sz w:val="28"/>
          <w:szCs w:val="28"/>
          <w14:ligatures w14:val="none"/>
        </w:rPr>
        <w:t xml:space="preserve"> opinion work product is meticulously protected because it “reveals the ‘mental impressions, conclusions, opinions, or legal theories of an attorney or other representative.’” </w:t>
      </w:r>
      <w:r w:rsidRPr="000C57AC">
        <w:rPr>
          <w:rFonts w:ascii="Times New Roman" w:eastAsia="Times New Roman" w:hAnsi="Times New Roman" w:cs="Times New Roman"/>
          <w:i/>
          <w:iCs/>
          <w:color w:val="000000"/>
          <w:kern w:val="0"/>
          <w:sz w:val="28"/>
          <w:szCs w:val="28"/>
          <w14:ligatures w14:val="none"/>
        </w:rPr>
        <w:t>In re Grand Jury Subpoena Dated July 6, 2005</w:t>
      </w:r>
      <w:r w:rsidRPr="000C57AC">
        <w:rPr>
          <w:rFonts w:ascii="Times New Roman" w:eastAsia="Times New Roman" w:hAnsi="Times New Roman" w:cs="Times New Roman"/>
          <w:color w:val="000000"/>
          <w:kern w:val="0"/>
          <w:sz w:val="28"/>
          <w:szCs w:val="28"/>
          <w14:ligatures w14:val="none"/>
        </w:rPr>
        <w:t>, 510 F.3d 180, 183 (2d Cir. 2007).</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\l "</w:instrText>
      </w:r>
      <w:r w:rsidR="00A16E1A" w:rsidRPr="000C57AC">
        <w:rPr>
          <w:rFonts w:ascii="Times New Roman" w:eastAsia="Times New Roman" w:hAnsi="Times New Roman" w:cs="Times New Roman"/>
          <w:i/>
          <w:iCs/>
          <w:color w:val="000000"/>
          <w:kern w:val="0"/>
          <w:sz w:val="28"/>
          <w:szCs w:val="28"/>
          <w14:ligatures w14:val="none"/>
        </w:rPr>
        <w:instrText>In re Grand Jury Subpoena Dated July 6, 2005</w:instrText>
      </w:r>
      <w:r w:rsidR="00A16E1A" w:rsidRPr="000C57AC">
        <w:rPr>
          <w:rFonts w:ascii="Times New Roman" w:eastAsia="Times New Roman" w:hAnsi="Times New Roman" w:cs="Times New Roman"/>
          <w:color w:val="000000"/>
          <w:kern w:val="0"/>
          <w:sz w:val="28"/>
          <w:szCs w:val="28"/>
          <w14:ligatures w14:val="none"/>
        </w:rPr>
        <w:instrText>, 510 F.3d 180</w:instrText>
      </w:r>
      <w:r w:rsidR="00A9273E" w:rsidRPr="000C57AC">
        <w:rPr>
          <w:rFonts w:ascii="Times New Roman" w:eastAsia="Times New Roman" w:hAnsi="Times New Roman" w:cs="Times New Roman"/>
          <w:color w:val="000000"/>
          <w:kern w:val="0"/>
          <w:sz w:val="28"/>
          <w:szCs w:val="28"/>
          <w14:ligatures w14:val="none"/>
        </w:rPr>
        <w:instrText xml:space="preserve"> </w:instrText>
      </w:r>
      <w:r w:rsidR="00A16E1A" w:rsidRPr="000C57AC">
        <w:rPr>
          <w:rFonts w:ascii="Times New Roman" w:eastAsia="Times New Roman" w:hAnsi="Times New Roman" w:cs="Times New Roman"/>
          <w:color w:val="000000"/>
          <w:kern w:val="0"/>
          <w:sz w:val="28"/>
          <w:szCs w:val="28"/>
          <w14:ligatures w14:val="none"/>
        </w:rPr>
        <w:instrText>(2d Cir. 2007).</w:instrText>
      </w:r>
      <w:r w:rsidR="00A16E1A" w:rsidRPr="000C57AC">
        <w:rPr>
          <w:rFonts w:ascii="Times New Roman" w:hAnsi="Times New Roman" w:cs="Times New Roman"/>
          <w:sz w:val="28"/>
          <w:szCs w:val="28"/>
        </w:rPr>
        <w:instrText xml:space="preserve">" \s "In re Grand Jury Subpoena Dated July 6, 2005, 510 F.3d 180 (2d Cir. 2007)." \c 1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Thus, opinion work product enjoys “nearly absolute immunity” and is discoverable only in “very rare and extraordinary circumstances.” </w:t>
      </w:r>
      <w:r w:rsidRPr="000C57AC">
        <w:rPr>
          <w:rFonts w:ascii="Times New Roman" w:eastAsia="Times New Roman" w:hAnsi="Times New Roman" w:cs="Times New Roman"/>
          <w:i/>
          <w:iCs/>
          <w:color w:val="000000"/>
          <w:kern w:val="0"/>
          <w:sz w:val="28"/>
          <w:szCs w:val="28"/>
          <w14:ligatures w14:val="none"/>
        </w:rPr>
        <w:t>In re Grand Jury Subpoena</w:t>
      </w:r>
      <w:r w:rsidRPr="000C57AC">
        <w:rPr>
          <w:rFonts w:ascii="Times New Roman" w:eastAsia="Times New Roman" w:hAnsi="Times New Roman" w:cs="Times New Roman"/>
          <w:color w:val="000000"/>
          <w:kern w:val="0"/>
          <w:sz w:val="28"/>
          <w:szCs w:val="28"/>
          <w14:ligatures w14:val="none"/>
        </w:rPr>
        <w:t>, 870 F.3d at 316</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"In re Grand Jury Subpoena, 870 F.3d 312 (4th Cir. 2017)."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i/>
          <w:iCs/>
          <w:color w:val="000000"/>
          <w:kern w:val="0"/>
          <w:sz w:val="28"/>
          <w:szCs w:val="28"/>
          <w14:ligatures w14:val="none"/>
        </w:rPr>
        <w:t>In re Green Grand Jury Proc.</w:t>
      </w:r>
      <w:r w:rsidRPr="000C57AC">
        <w:rPr>
          <w:rFonts w:ascii="Times New Roman" w:eastAsia="Times New Roman" w:hAnsi="Times New Roman" w:cs="Times New Roman"/>
          <w:color w:val="000000"/>
          <w:kern w:val="0"/>
          <w:sz w:val="28"/>
          <w:szCs w:val="28"/>
          <w14:ligatures w14:val="none"/>
        </w:rPr>
        <w:t>, 492 F.3d 976, 980 (8th Cir. 2007).</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\l "</w:instrText>
      </w:r>
      <w:r w:rsidR="00A16E1A" w:rsidRPr="000C57AC">
        <w:rPr>
          <w:rFonts w:ascii="Times New Roman" w:eastAsia="Times New Roman" w:hAnsi="Times New Roman" w:cs="Times New Roman"/>
          <w:i/>
          <w:iCs/>
          <w:color w:val="000000"/>
          <w:kern w:val="0"/>
          <w:sz w:val="28"/>
          <w:szCs w:val="28"/>
          <w14:ligatures w14:val="none"/>
        </w:rPr>
        <w:instrText>In re Green Grand Jury Proc.</w:instrText>
      </w:r>
      <w:r w:rsidR="00A16E1A" w:rsidRPr="000C57AC">
        <w:rPr>
          <w:rFonts w:ascii="Times New Roman" w:eastAsia="Times New Roman" w:hAnsi="Times New Roman" w:cs="Times New Roman"/>
          <w:color w:val="000000"/>
          <w:kern w:val="0"/>
          <w:sz w:val="28"/>
          <w:szCs w:val="28"/>
          <w14:ligatures w14:val="none"/>
        </w:rPr>
        <w:instrText>, 492 F.3d 976 (8th Cir. 2007).</w:instrText>
      </w:r>
      <w:r w:rsidR="00A16E1A" w:rsidRPr="000C57AC">
        <w:rPr>
          <w:rFonts w:ascii="Times New Roman" w:hAnsi="Times New Roman" w:cs="Times New Roman"/>
          <w:sz w:val="28"/>
          <w:szCs w:val="28"/>
        </w:rPr>
        <w:instrText xml:space="preserve">" \s "In re Green Grand Jury Proc., 492 F.3d 976 (8th Cir. 2007)." \c 1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w:t>
      </w:r>
    </w:p>
    <w:p w14:paraId="79C05FA2" w14:textId="790371EE"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lastRenderedPageBreak/>
        <w:t>In</w:t>
      </w:r>
      <w:r w:rsidRPr="000C57AC">
        <w:rPr>
          <w:rFonts w:ascii="Times New Roman" w:eastAsia="Times New Roman" w:hAnsi="Times New Roman" w:cs="Times New Roman"/>
          <w:i/>
          <w:iCs/>
          <w:color w:val="000000"/>
          <w:kern w:val="0"/>
          <w:sz w:val="28"/>
          <w:szCs w:val="28"/>
          <w14:ligatures w14:val="none"/>
        </w:rPr>
        <w:t xml:space="preserve"> Upjohn Co. v. United States</w:t>
      </w:r>
      <w:r w:rsidRPr="000C57AC">
        <w:rPr>
          <w:rFonts w:ascii="Times New Roman" w:eastAsia="Times New Roman" w:hAnsi="Times New Roman" w:cs="Times New Roman"/>
          <w:color w:val="000000"/>
          <w:kern w:val="0"/>
          <w:sz w:val="28"/>
          <w:szCs w:val="28"/>
          <w14:ligatures w14:val="none"/>
        </w:rPr>
        <w:t>,</w:t>
      </w:r>
      <w:r w:rsidR="00A63624" w:rsidRPr="000C57AC">
        <w:rPr>
          <w:rFonts w:ascii="Times New Roman" w:eastAsia="Times New Roman" w:hAnsi="Times New Roman" w:cs="Times New Roman"/>
          <w:color w:val="000000"/>
          <w:kern w:val="0"/>
          <w:sz w:val="28"/>
          <w:szCs w:val="28"/>
          <w14:ligatures w14:val="none"/>
        </w:rPr>
        <w:t xml:space="preserve"> 449 U.S. 383, 400–01 (1981),</w:t>
      </w:r>
      <w:r w:rsidR="00A63624" w:rsidRPr="000C57AC">
        <w:rPr>
          <w:rFonts w:ascii="Times New Roman" w:eastAsia="Times New Roman" w:hAnsi="Times New Roman" w:cs="Times New Roman"/>
          <w:color w:val="000000"/>
          <w:kern w:val="0"/>
          <w:sz w:val="28"/>
          <w:szCs w:val="28"/>
          <w14:ligatures w14:val="none"/>
        </w:rPr>
        <w:fldChar w:fldCharType="begin"/>
      </w:r>
      <w:r w:rsidR="00A63624" w:rsidRPr="000C57AC">
        <w:rPr>
          <w:rFonts w:ascii="Times New Roman" w:hAnsi="Times New Roman" w:cs="Times New Roman"/>
          <w:sz w:val="28"/>
          <w:szCs w:val="28"/>
        </w:rPr>
        <w:instrText xml:space="preserve"> TA \l "</w:instrText>
      </w:r>
      <w:r w:rsidR="00A63624" w:rsidRPr="000C57AC">
        <w:rPr>
          <w:rFonts w:ascii="Times New Roman" w:eastAsia="Times New Roman" w:hAnsi="Times New Roman" w:cs="Times New Roman"/>
          <w:i/>
          <w:iCs/>
          <w:color w:val="000000"/>
          <w:kern w:val="0"/>
          <w:sz w:val="28"/>
          <w:szCs w:val="28"/>
          <w14:ligatures w14:val="none"/>
        </w:rPr>
        <w:instrText>Upjohn Co. v. United States</w:instrText>
      </w:r>
      <w:r w:rsidR="00A63624" w:rsidRPr="000C57AC">
        <w:rPr>
          <w:rFonts w:ascii="Times New Roman" w:eastAsia="Times New Roman" w:hAnsi="Times New Roman" w:cs="Times New Roman"/>
          <w:color w:val="000000"/>
          <w:kern w:val="0"/>
          <w:sz w:val="28"/>
          <w:szCs w:val="28"/>
          <w14:ligatures w14:val="none"/>
        </w:rPr>
        <w:instrText>, 449 U.S. 383 (1981).</w:instrText>
      </w:r>
      <w:r w:rsidR="00A63624" w:rsidRPr="000C57AC">
        <w:rPr>
          <w:rFonts w:ascii="Times New Roman" w:hAnsi="Times New Roman" w:cs="Times New Roman"/>
          <w:sz w:val="28"/>
          <w:szCs w:val="28"/>
        </w:rPr>
        <w:instrText xml:space="preserve">" \s "Upjohn Co. v. United States, 449 U.S. 383 (1981)." \c 8 </w:instrText>
      </w:r>
      <w:r w:rsidR="00A63624"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the Supreme Court held that “memoranda based on oral statements of witnesses that would reveal the attorney’s mental processes…deserve special protection.” </w:t>
      </w:r>
      <w:r w:rsidR="00A63624" w:rsidRPr="000C57AC">
        <w:rPr>
          <w:rFonts w:ascii="Times New Roman" w:eastAsia="Times New Roman" w:hAnsi="Times New Roman" w:cs="Times New Roman"/>
          <w:color w:val="000000"/>
          <w:kern w:val="0"/>
          <w:sz w:val="28"/>
          <w:szCs w:val="28"/>
          <w14:ligatures w14:val="none"/>
        </w:rPr>
        <w:t>The court held the w</w:t>
      </w:r>
      <w:r w:rsidRPr="000C57AC">
        <w:rPr>
          <w:rFonts w:ascii="Times New Roman" w:eastAsia="Times New Roman" w:hAnsi="Times New Roman" w:cs="Times New Roman"/>
          <w:color w:val="000000"/>
          <w:kern w:val="0"/>
          <w:sz w:val="28"/>
          <w:szCs w:val="28"/>
          <w14:ligatures w14:val="none"/>
        </w:rPr>
        <w:t xml:space="preserve">itness statements were </w:t>
      </w:r>
      <w:r w:rsidR="00A63624" w:rsidRPr="000C57AC">
        <w:rPr>
          <w:rFonts w:ascii="Times New Roman" w:eastAsia="Times New Roman" w:hAnsi="Times New Roman" w:cs="Times New Roman"/>
          <w:color w:val="000000"/>
          <w:kern w:val="0"/>
          <w:sz w:val="28"/>
          <w:szCs w:val="28"/>
          <w14:ligatures w14:val="none"/>
        </w:rPr>
        <w:t>in the form of the</w:t>
      </w:r>
      <w:r w:rsidRPr="000C57AC">
        <w:rPr>
          <w:rFonts w:ascii="Times New Roman" w:eastAsia="Times New Roman" w:hAnsi="Times New Roman" w:cs="Times New Roman"/>
          <w:color w:val="000000"/>
          <w:kern w:val="0"/>
          <w:sz w:val="28"/>
          <w:szCs w:val="28"/>
          <w14:ligatures w14:val="none"/>
        </w:rPr>
        <w:t xml:space="preserve"> attorney’s mental impressions.</w:t>
      </w:r>
      <w:r w:rsidRPr="000C57AC">
        <w:rPr>
          <w:rFonts w:ascii="Times New Roman" w:eastAsia="Times New Roman" w:hAnsi="Times New Roman" w:cs="Times New Roman"/>
          <w:i/>
          <w:iCs/>
          <w:color w:val="000000"/>
          <w:kern w:val="0"/>
          <w:sz w:val="28"/>
          <w:szCs w:val="28"/>
          <w14:ligatures w14:val="none"/>
        </w:rPr>
        <w:t xml:space="preserve"> Id.</w:t>
      </w:r>
      <w:r w:rsidRPr="000C57AC">
        <w:rPr>
          <w:rFonts w:ascii="Times New Roman" w:eastAsia="Times New Roman" w:hAnsi="Times New Roman" w:cs="Times New Roman"/>
          <w:color w:val="000000"/>
          <w:kern w:val="0"/>
          <w:sz w:val="28"/>
          <w:szCs w:val="28"/>
          <w14:ligatures w14:val="none"/>
        </w:rPr>
        <w:t xml:space="preserve"> at 400</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"Upjohn Co. v. United States, 449 U.S. 383 (1981)."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i/>
          <w:iCs/>
          <w:color w:val="000000"/>
          <w:kern w:val="0"/>
          <w:sz w:val="28"/>
          <w:szCs w:val="28"/>
          <w14:ligatures w14:val="none"/>
        </w:rPr>
        <w:t>see</w:t>
      </w:r>
      <w:r w:rsidRPr="000C57AC">
        <w:rPr>
          <w:rFonts w:ascii="Times New Roman" w:eastAsia="Times New Roman" w:hAnsi="Times New Roman" w:cs="Times New Roman"/>
          <w:color w:val="000000"/>
          <w:kern w:val="0"/>
          <w:sz w:val="28"/>
          <w:szCs w:val="28"/>
          <w14:ligatures w14:val="none"/>
        </w:rPr>
        <w:t xml:space="preserve"> </w:t>
      </w:r>
      <w:proofErr w:type="gramStart"/>
      <w:r w:rsidRPr="000C57AC">
        <w:rPr>
          <w:rFonts w:ascii="Times New Roman" w:eastAsia="Times New Roman" w:hAnsi="Times New Roman" w:cs="Times New Roman"/>
          <w:i/>
          <w:iCs/>
          <w:color w:val="000000"/>
          <w:kern w:val="0"/>
          <w:sz w:val="28"/>
          <w:szCs w:val="28"/>
          <w14:ligatures w14:val="none"/>
        </w:rPr>
        <w:t>In</w:t>
      </w:r>
      <w:proofErr w:type="gramEnd"/>
      <w:r w:rsidRPr="000C57AC">
        <w:rPr>
          <w:rFonts w:ascii="Times New Roman" w:eastAsia="Times New Roman" w:hAnsi="Times New Roman" w:cs="Times New Roman"/>
          <w:i/>
          <w:iCs/>
          <w:color w:val="000000"/>
          <w:kern w:val="0"/>
          <w:sz w:val="28"/>
          <w:szCs w:val="28"/>
          <w14:ligatures w14:val="none"/>
        </w:rPr>
        <w:t xml:space="preserve"> re Grand Jury Subpoena</w:t>
      </w:r>
      <w:r w:rsidRPr="000C57AC">
        <w:rPr>
          <w:rFonts w:ascii="Times New Roman" w:eastAsia="Times New Roman" w:hAnsi="Times New Roman" w:cs="Times New Roman"/>
          <w:color w:val="000000"/>
          <w:kern w:val="0"/>
          <w:sz w:val="28"/>
          <w:szCs w:val="28"/>
          <w14:ligatures w14:val="none"/>
        </w:rPr>
        <w:t xml:space="preserve">, 870 F.3d at 317 (concluding the greater protection accorded to opinion work product applies to interview notes using the </w:t>
      </w:r>
      <w:r w:rsidRPr="000C57AC">
        <w:rPr>
          <w:rFonts w:ascii="Times New Roman" w:eastAsia="Times New Roman" w:hAnsi="Times New Roman" w:cs="Times New Roman"/>
          <w:i/>
          <w:iCs/>
          <w:color w:val="000000"/>
          <w:kern w:val="0"/>
          <w:sz w:val="28"/>
          <w:szCs w:val="28"/>
          <w14:ligatures w14:val="none"/>
        </w:rPr>
        <w:t>Upjohn</w:t>
      </w:r>
      <w:r w:rsidRPr="000C57AC">
        <w:rPr>
          <w:rFonts w:ascii="Times New Roman" w:eastAsia="Times New Roman" w:hAnsi="Times New Roman" w:cs="Times New Roman"/>
          <w:color w:val="000000"/>
          <w:kern w:val="0"/>
          <w:sz w:val="28"/>
          <w:szCs w:val="28"/>
          <w14:ligatures w14:val="none"/>
        </w:rPr>
        <w:t xml:space="preserve"> framework).</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"In re Grand Jury Subpoena, 870 F.3d 312 (4th Cir. 2017)."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w:t>
      </w:r>
    </w:p>
    <w:p w14:paraId="6421D42B" w14:textId="5E206BA6"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The Court also emphasized the need to protect an attorney against discovery of “memoranda prepared from recollection of oral interviews.” </w:t>
      </w:r>
      <w:r w:rsidRPr="000C57AC">
        <w:rPr>
          <w:rFonts w:ascii="Times New Roman" w:eastAsia="Times New Roman" w:hAnsi="Times New Roman" w:cs="Times New Roman"/>
          <w:i/>
          <w:iCs/>
          <w:color w:val="000000"/>
          <w:kern w:val="0"/>
          <w:sz w:val="28"/>
          <w:szCs w:val="28"/>
          <w14:ligatures w14:val="none"/>
        </w:rPr>
        <w:t>Upjohn</w:t>
      </w:r>
      <w:r w:rsidRPr="000C57AC">
        <w:rPr>
          <w:rFonts w:ascii="Times New Roman" w:eastAsia="Times New Roman" w:hAnsi="Times New Roman" w:cs="Times New Roman"/>
          <w:color w:val="000000"/>
          <w:kern w:val="0"/>
          <w:sz w:val="28"/>
          <w:szCs w:val="28"/>
          <w14:ligatures w14:val="none"/>
        </w:rPr>
        <w:t>, 449 U.S. at 400.</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"Upjohn Co. v. United States, 449 U.S. 383 (1981)."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It recognized that some courts even conclude that “</w:t>
      </w:r>
      <w:r w:rsidRPr="000C57AC">
        <w:rPr>
          <w:rFonts w:ascii="Times New Roman" w:eastAsia="Times New Roman" w:hAnsi="Times New Roman" w:cs="Times New Roman"/>
          <w:i/>
          <w:iCs/>
          <w:color w:val="000000"/>
          <w:kern w:val="0"/>
          <w:sz w:val="28"/>
          <w:szCs w:val="28"/>
          <w14:ligatures w14:val="none"/>
        </w:rPr>
        <w:t>no</w:t>
      </w:r>
      <w:r w:rsidRPr="000C57AC">
        <w:rPr>
          <w:rFonts w:ascii="Times New Roman" w:eastAsia="Times New Roman" w:hAnsi="Times New Roman" w:cs="Times New Roman"/>
          <w:color w:val="000000"/>
          <w:kern w:val="0"/>
          <w:sz w:val="28"/>
          <w:szCs w:val="28"/>
          <w14:ligatures w14:val="none"/>
        </w:rPr>
        <w:t xml:space="preserve"> showing of necessity can overcome protection of work product which is based on oral statements from witnesses” because such notes are “so much a product of the lawyer’s thinking and so little probative of the witness’s actual words that they are absolutely protected from disclosure.”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401</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"Upjohn Co. v. United States, 449 U.S. 383 (1981)."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w:t>
      </w:r>
    </w:p>
    <w:p w14:paraId="00D55B4E" w14:textId="662FB08A"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Under this framework, it is imperative to protect an attorney’s contemporaneous notes of a witness’s statement, which are written </w:t>
      </w:r>
      <w:r w:rsidRPr="000C57AC">
        <w:rPr>
          <w:rFonts w:ascii="Times New Roman" w:eastAsia="Times New Roman" w:hAnsi="Times New Roman" w:cs="Times New Roman"/>
          <w:i/>
          <w:iCs/>
          <w:color w:val="000000"/>
          <w:kern w:val="0"/>
          <w:sz w:val="28"/>
          <w:szCs w:val="28"/>
          <w14:ligatures w14:val="none"/>
        </w:rPr>
        <w:t>to document the portions</w:t>
      </w:r>
      <w:r w:rsidRPr="000C57AC">
        <w:rPr>
          <w:rFonts w:ascii="Times New Roman" w:eastAsia="Times New Roman" w:hAnsi="Times New Roman" w:cs="Times New Roman"/>
          <w:color w:val="000000"/>
          <w:kern w:val="0"/>
          <w:sz w:val="28"/>
          <w:szCs w:val="28"/>
          <w14:ligatures w14:val="none"/>
        </w:rPr>
        <w:t xml:space="preserve"> of the statement “she considered relevant to her client’s case…</w:t>
      </w:r>
      <w:r w:rsidRPr="000C57AC">
        <w:rPr>
          <w:rFonts w:ascii="Times New Roman" w:eastAsia="Times New Roman" w:hAnsi="Times New Roman" w:cs="Times New Roman"/>
          <w:i/>
          <w:iCs/>
          <w:color w:val="000000"/>
          <w:kern w:val="0"/>
          <w:sz w:val="28"/>
          <w:szCs w:val="28"/>
          <w14:ligatures w14:val="none"/>
        </w:rPr>
        <w:t>i.e.</w:t>
      </w:r>
      <w:r w:rsidRPr="000C57AC">
        <w:rPr>
          <w:rFonts w:ascii="Times New Roman" w:eastAsia="Times New Roman" w:hAnsi="Times New Roman" w:cs="Times New Roman"/>
          <w:color w:val="000000"/>
          <w:kern w:val="0"/>
          <w:sz w:val="28"/>
          <w:szCs w:val="28"/>
          <w14:ligatures w14:val="none"/>
        </w:rPr>
        <w:t xml:space="preserve"> what she ‘saw fit to write down.’” </w:t>
      </w:r>
      <w:r w:rsidRPr="000C57AC">
        <w:rPr>
          <w:rFonts w:ascii="Times New Roman" w:eastAsia="Times New Roman" w:hAnsi="Times New Roman" w:cs="Times New Roman"/>
          <w:i/>
          <w:iCs/>
          <w:color w:val="000000"/>
          <w:kern w:val="0"/>
          <w:sz w:val="28"/>
          <w:szCs w:val="28"/>
          <w14:ligatures w14:val="none"/>
        </w:rPr>
        <w:t>In re Grand Jury Subpoena</w:t>
      </w:r>
      <w:r w:rsidRPr="000C57AC">
        <w:rPr>
          <w:rFonts w:ascii="Times New Roman" w:eastAsia="Times New Roman" w:hAnsi="Times New Roman" w:cs="Times New Roman"/>
          <w:color w:val="000000"/>
          <w:kern w:val="0"/>
          <w:sz w:val="28"/>
          <w:szCs w:val="28"/>
          <w14:ligatures w14:val="none"/>
        </w:rPr>
        <w:t xml:space="preserve">, 870 F.3d at 322 (Neimeyer, J., concurring in part and dissenting in part) (quoting </w:t>
      </w:r>
      <w:r w:rsidRPr="000C57AC">
        <w:rPr>
          <w:rFonts w:ascii="Times New Roman" w:eastAsia="Times New Roman" w:hAnsi="Times New Roman" w:cs="Times New Roman"/>
          <w:i/>
          <w:iCs/>
          <w:color w:val="000000"/>
          <w:kern w:val="0"/>
          <w:sz w:val="28"/>
          <w:szCs w:val="28"/>
          <w14:ligatures w14:val="none"/>
        </w:rPr>
        <w:t>Upjohn</w:t>
      </w:r>
      <w:r w:rsidRPr="000C57AC">
        <w:rPr>
          <w:rFonts w:ascii="Times New Roman" w:eastAsia="Times New Roman" w:hAnsi="Times New Roman" w:cs="Times New Roman"/>
          <w:color w:val="000000"/>
          <w:kern w:val="0"/>
          <w:sz w:val="28"/>
          <w:szCs w:val="28"/>
          <w14:ligatures w14:val="none"/>
        </w:rPr>
        <w:t>, 449 U.S. at 399–400</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"Upjohn Co. v. United States, 449 U.S. 383 (1981)."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"In re Grand Jury Subpoena, 870 F.3d 312 (4th Cir. 2017)."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Revealing which witness statements an attorney deemed important enough to </w:t>
      </w:r>
      <w:r w:rsidRPr="000C57AC">
        <w:rPr>
          <w:rFonts w:ascii="Times New Roman" w:eastAsia="Times New Roman" w:hAnsi="Times New Roman" w:cs="Times New Roman"/>
          <w:color w:val="000000"/>
          <w:kern w:val="0"/>
          <w:sz w:val="28"/>
          <w:szCs w:val="28"/>
          <w14:ligatures w14:val="none"/>
        </w:rPr>
        <w:lastRenderedPageBreak/>
        <w:t xml:space="preserve">commit to memory exposes the attorney’s mental process and is therefore protected as opinion work product. </w:t>
      </w:r>
      <w:r w:rsidRPr="000C57AC">
        <w:rPr>
          <w:rFonts w:ascii="Times New Roman" w:eastAsia="Times New Roman" w:hAnsi="Times New Roman" w:cs="Times New Roman"/>
          <w:i/>
          <w:iCs/>
          <w:color w:val="000000"/>
          <w:kern w:val="0"/>
          <w:sz w:val="28"/>
          <w:szCs w:val="28"/>
          <w14:ligatures w14:val="none"/>
        </w:rPr>
        <w:t>I</w:t>
      </w:r>
      <w:r w:rsidR="00A16E1A" w:rsidRPr="000C57AC">
        <w:rPr>
          <w:rFonts w:ascii="Times New Roman" w:eastAsia="Times New Roman" w:hAnsi="Times New Roman" w:cs="Times New Roman"/>
          <w:i/>
          <w:iCs/>
          <w:color w:val="000000"/>
          <w:kern w:val="0"/>
          <w:sz w:val="28"/>
          <w:szCs w:val="28"/>
          <w14:ligatures w14:val="none"/>
        </w:rPr>
        <w:t xml:space="preserve">d. </w:t>
      </w:r>
      <w:r w:rsidRPr="000C57AC">
        <w:rPr>
          <w:rFonts w:ascii="Times New Roman" w:eastAsia="Times New Roman" w:hAnsi="Times New Roman" w:cs="Times New Roman"/>
          <w:color w:val="000000"/>
          <w:kern w:val="0"/>
          <w:sz w:val="28"/>
          <w:szCs w:val="28"/>
          <w14:ligatures w14:val="none"/>
        </w:rPr>
        <w:t>at 317–18.</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"In re Grand Jury Subpoena, 870 F.3d 312 (4th Cir. 2017)."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Consequently, an attorney’s agent’s notes and memoranda from a witness interview are opinion work product, entitled to almost absolute immunity. </w:t>
      </w:r>
      <w:r w:rsidRPr="000C57AC">
        <w:rPr>
          <w:rFonts w:ascii="Times New Roman" w:eastAsia="Times New Roman" w:hAnsi="Times New Roman" w:cs="Times New Roman"/>
          <w:i/>
          <w:iCs/>
          <w:color w:val="000000"/>
          <w:kern w:val="0"/>
          <w:sz w:val="28"/>
          <w:szCs w:val="28"/>
          <w14:ligatures w14:val="none"/>
        </w:rPr>
        <w:t>In re Green Grand Jury Proc.</w:t>
      </w:r>
      <w:r w:rsidRPr="000C57AC">
        <w:rPr>
          <w:rFonts w:ascii="Times New Roman" w:eastAsia="Times New Roman" w:hAnsi="Times New Roman" w:cs="Times New Roman"/>
          <w:color w:val="000000"/>
          <w:kern w:val="0"/>
          <w:sz w:val="28"/>
          <w:szCs w:val="28"/>
          <w14:ligatures w14:val="none"/>
        </w:rPr>
        <w:t>, 492 F.3d at 981–82.</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"In re Green Grand Jury Proc., 492 F.3d 976 (8th Cir. 2007)." </w:instrText>
      </w:r>
      <w:r w:rsidR="00A16E1A" w:rsidRPr="000C57AC">
        <w:rPr>
          <w:rFonts w:ascii="Times New Roman" w:eastAsia="Times New Roman" w:hAnsi="Times New Roman" w:cs="Times New Roman"/>
          <w:color w:val="000000"/>
          <w:kern w:val="0"/>
          <w:sz w:val="28"/>
          <w:szCs w:val="28"/>
          <w14:ligatures w14:val="none"/>
        </w:rPr>
        <w:fldChar w:fldCharType="end"/>
      </w:r>
    </w:p>
    <w:p w14:paraId="141C5F1C" w14:textId="578C04AE"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Armana’s interview notes of Sierra Seton are opinion work product, entitled to nearly absolute immunity. </w:t>
      </w:r>
      <w:r w:rsidR="00A16E1A" w:rsidRPr="000C57AC">
        <w:rPr>
          <w:rFonts w:ascii="Times New Roman" w:eastAsia="Times New Roman" w:hAnsi="Times New Roman" w:cs="Times New Roman"/>
          <w:i/>
          <w:iCs/>
          <w:color w:val="000000"/>
          <w:kern w:val="0"/>
          <w:sz w:val="28"/>
          <w:szCs w:val="28"/>
          <w14:ligatures w14:val="none"/>
        </w:rPr>
        <w:t xml:space="preserve">See </w:t>
      </w:r>
      <w:r w:rsidRPr="000C57AC">
        <w:rPr>
          <w:rFonts w:ascii="Times New Roman" w:eastAsia="Times New Roman" w:hAnsi="Times New Roman" w:cs="Times New Roman"/>
          <w:i/>
          <w:iCs/>
          <w:color w:val="000000"/>
          <w:kern w:val="0"/>
          <w:sz w:val="28"/>
          <w:szCs w:val="28"/>
          <w14:ligatures w14:val="none"/>
        </w:rPr>
        <w:t>Id.</w:t>
      </w:r>
      <w:r w:rsidR="00A16E1A" w:rsidRPr="000C57AC">
        <w:rPr>
          <w:rFonts w:ascii="Times New Roman" w:eastAsia="Times New Roman" w:hAnsi="Times New Roman" w:cs="Times New Roman"/>
          <w:i/>
          <w:iCs/>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"In re Green Grand Jury Proc., 492 F.3d 976 (8th Cir. 2007)." </w:instrText>
      </w:r>
      <w:r w:rsidR="00A16E1A" w:rsidRPr="000C57AC">
        <w:rPr>
          <w:rFonts w:ascii="Times New Roman" w:eastAsia="Times New Roman" w:hAnsi="Times New Roman" w:cs="Times New Roman"/>
          <w:i/>
          <w:iCs/>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Armana testified that the notes contain Armana’s own thoughts, theories, questions, and potential topics to follow up on. (Armana Dep. 46:123–24, 142–43). Those notes contain specific snapshots of what Seton said and Armana’s personal annotations. (Armana Dep. 46:138–39). Just like the protected notes in </w:t>
      </w:r>
      <w:r w:rsidRPr="000C57AC">
        <w:rPr>
          <w:rFonts w:ascii="Times New Roman" w:eastAsia="Times New Roman" w:hAnsi="Times New Roman" w:cs="Times New Roman"/>
          <w:i/>
          <w:iCs/>
          <w:color w:val="000000"/>
          <w:kern w:val="0"/>
          <w:sz w:val="28"/>
          <w:szCs w:val="28"/>
          <w14:ligatures w14:val="none"/>
        </w:rPr>
        <w:t xml:space="preserve">Upjohn, </w:t>
      </w:r>
      <w:r w:rsidRPr="000C57AC">
        <w:rPr>
          <w:rFonts w:ascii="Times New Roman" w:eastAsia="Times New Roman" w:hAnsi="Times New Roman" w:cs="Times New Roman"/>
          <w:color w:val="000000"/>
          <w:kern w:val="0"/>
          <w:sz w:val="28"/>
          <w:szCs w:val="28"/>
          <w14:ligatures w14:val="none"/>
        </w:rPr>
        <w:t xml:space="preserve">Armana’s interview notes of Seton should be “absolutely protected from disclosure” because they reveal what Armana saw fit to write down. </w:t>
      </w:r>
      <w:r w:rsidRPr="000C57AC">
        <w:rPr>
          <w:rFonts w:ascii="Times New Roman" w:eastAsia="Times New Roman" w:hAnsi="Times New Roman" w:cs="Times New Roman"/>
          <w:i/>
          <w:iCs/>
          <w:color w:val="000000"/>
          <w:kern w:val="0"/>
          <w:sz w:val="28"/>
          <w:szCs w:val="28"/>
          <w14:ligatures w14:val="none"/>
        </w:rPr>
        <w:t>Upjohn</w:t>
      </w:r>
      <w:r w:rsidRPr="000C57AC">
        <w:rPr>
          <w:rFonts w:ascii="Times New Roman" w:eastAsia="Times New Roman" w:hAnsi="Times New Roman" w:cs="Times New Roman"/>
          <w:color w:val="000000"/>
          <w:kern w:val="0"/>
          <w:sz w:val="28"/>
          <w:szCs w:val="28"/>
          <w14:ligatures w14:val="none"/>
        </w:rPr>
        <w:t>, 449 U.S. at 401.</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"Upjohn Co. v. United States, 449 U.S. 383 (1981)."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w:t>
      </w:r>
    </w:p>
    <w:p w14:paraId="1F796940" w14:textId="76D0F1F4"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The notes inherently deserve special protection because they are “permeated with [Armana’s] inferences” from Armana </w:t>
      </w:r>
      <w:r w:rsidRPr="000C57AC">
        <w:rPr>
          <w:rFonts w:ascii="Times New Roman" w:eastAsia="Times New Roman" w:hAnsi="Times New Roman" w:cs="Times New Roman"/>
          <w:i/>
          <w:iCs/>
          <w:color w:val="000000"/>
          <w:kern w:val="0"/>
          <w:sz w:val="28"/>
          <w:szCs w:val="28"/>
          <w14:ligatures w14:val="none"/>
        </w:rPr>
        <w:t>choosing</w:t>
      </w:r>
      <w:r w:rsidRPr="000C57AC">
        <w:rPr>
          <w:rFonts w:ascii="Times New Roman" w:eastAsia="Times New Roman" w:hAnsi="Times New Roman" w:cs="Times New Roman"/>
          <w:color w:val="000000"/>
          <w:kern w:val="0"/>
          <w:sz w:val="28"/>
          <w:szCs w:val="28"/>
          <w14:ligatures w14:val="none"/>
        </w:rPr>
        <w:t xml:space="preserve"> which of Seton’s factual observations to include in the notes</w:t>
      </w:r>
      <w:r w:rsidRPr="000C57AC">
        <w:rPr>
          <w:rFonts w:ascii="Times New Roman" w:eastAsia="Times New Roman" w:hAnsi="Times New Roman" w:cs="Times New Roman"/>
          <w:i/>
          <w:iCs/>
          <w:color w:val="000000"/>
          <w:kern w:val="0"/>
          <w:sz w:val="28"/>
          <w:szCs w:val="28"/>
          <w14:ligatures w14:val="none"/>
        </w:rPr>
        <w:t xml:space="preserve"> along with</w:t>
      </w:r>
      <w:r w:rsidRPr="000C57AC">
        <w:rPr>
          <w:rFonts w:ascii="Times New Roman" w:eastAsia="Times New Roman" w:hAnsi="Times New Roman" w:cs="Times New Roman"/>
          <w:color w:val="000000"/>
          <w:kern w:val="0"/>
          <w:sz w:val="28"/>
          <w:szCs w:val="28"/>
          <w14:ligatures w14:val="none"/>
        </w:rPr>
        <w:t xml:space="preserve"> their own thoughts.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400</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"Upjohn Co. v. United States, 449 U.S. 383 (1981)."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(quoting </w:t>
      </w:r>
      <w:r w:rsidRPr="000C57AC">
        <w:rPr>
          <w:rFonts w:ascii="Times New Roman" w:eastAsia="Times New Roman" w:hAnsi="Times New Roman" w:cs="Times New Roman"/>
          <w:i/>
          <w:iCs/>
          <w:color w:val="000000"/>
          <w:kern w:val="0"/>
          <w:sz w:val="28"/>
          <w:szCs w:val="28"/>
          <w14:ligatures w14:val="none"/>
        </w:rPr>
        <w:t>Hickman</w:t>
      </w:r>
      <w:r w:rsidRPr="000C57AC">
        <w:rPr>
          <w:rFonts w:ascii="Times New Roman" w:eastAsia="Times New Roman" w:hAnsi="Times New Roman" w:cs="Times New Roman"/>
          <w:color w:val="000000"/>
          <w:kern w:val="0"/>
          <w:sz w:val="28"/>
          <w:szCs w:val="28"/>
          <w14:ligatures w14:val="none"/>
        </w:rPr>
        <w:t>, 329 U.S. at 516–17</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"Hickman v. Taylor, 329 U.S. 495 (1947)"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(Armana Dep. 46:130–133, 142–43). They are the fruit of Armana’s labor, the mental impressions and legal theories for Ms. Calloway’s </w:t>
      </w:r>
      <w:proofErr w:type="gramStart"/>
      <w:r w:rsidRPr="000C57AC">
        <w:rPr>
          <w:rFonts w:ascii="Times New Roman" w:eastAsia="Times New Roman" w:hAnsi="Times New Roman" w:cs="Times New Roman"/>
          <w:color w:val="000000"/>
          <w:kern w:val="0"/>
          <w:sz w:val="28"/>
          <w:szCs w:val="28"/>
          <w14:ligatures w14:val="none"/>
        </w:rPr>
        <w:t>defense, and</w:t>
      </w:r>
      <w:proofErr w:type="gramEnd"/>
      <w:r w:rsidRPr="000C57AC">
        <w:rPr>
          <w:rFonts w:ascii="Times New Roman" w:eastAsia="Times New Roman" w:hAnsi="Times New Roman" w:cs="Times New Roman"/>
          <w:color w:val="000000"/>
          <w:kern w:val="0"/>
          <w:sz w:val="28"/>
          <w:szCs w:val="28"/>
          <w14:ligatures w14:val="none"/>
        </w:rPr>
        <w:t xml:space="preserve"> thus demand the nearly absolute immunity afforded to opinion work product. </w:t>
      </w:r>
    </w:p>
    <w:p w14:paraId="0FC78472" w14:textId="7389E6E2" w:rsidR="006D1C37" w:rsidRPr="000C57AC" w:rsidRDefault="006D1C37" w:rsidP="007C59DF">
      <w:pPr>
        <w:pStyle w:val="Heading4"/>
      </w:pPr>
      <w:bookmarkStart w:id="17" w:name="_Toc239145429"/>
      <w:r w:rsidRPr="000C57AC">
        <w:lastRenderedPageBreak/>
        <w:t>Even if the interview notes are considered fact work product, the Government cannot satisfy its burden to overcome the protection by showing a substantial need and undue hardship.</w:t>
      </w:r>
      <w:bookmarkEnd w:id="17"/>
      <w:r w:rsidRPr="000C57AC">
        <w:t> </w:t>
      </w:r>
    </w:p>
    <w:p w14:paraId="7430D07B" w14:textId="77777777" w:rsidR="006D1C37" w:rsidRPr="000C57AC" w:rsidRDefault="006D1C37" w:rsidP="006D1C37">
      <w:pPr>
        <w:ind w:left="720"/>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w:t>
      </w:r>
    </w:p>
    <w:p w14:paraId="0FBAF6AF" w14:textId="5BE06777"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The work product privilege protects fact work product. </w:t>
      </w:r>
      <w:r w:rsidRPr="000C57AC">
        <w:rPr>
          <w:rFonts w:ascii="Times New Roman" w:eastAsia="Times New Roman" w:hAnsi="Times New Roman" w:cs="Times New Roman"/>
          <w:i/>
          <w:iCs/>
          <w:color w:val="000000"/>
          <w:kern w:val="0"/>
          <w:sz w:val="28"/>
          <w:szCs w:val="28"/>
          <w14:ligatures w14:val="none"/>
        </w:rPr>
        <w:t>See</w:t>
      </w:r>
      <w:r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i/>
          <w:iCs/>
          <w:color w:val="000000"/>
          <w:kern w:val="0"/>
          <w:sz w:val="28"/>
          <w:szCs w:val="28"/>
          <w14:ligatures w14:val="none"/>
        </w:rPr>
        <w:t>Upjohn</w:t>
      </w:r>
      <w:r w:rsidRPr="000C57AC">
        <w:rPr>
          <w:rFonts w:ascii="Times New Roman" w:eastAsia="Times New Roman" w:hAnsi="Times New Roman" w:cs="Times New Roman"/>
          <w:color w:val="000000"/>
          <w:kern w:val="0"/>
          <w:sz w:val="28"/>
          <w:szCs w:val="28"/>
          <w14:ligatures w14:val="none"/>
        </w:rPr>
        <w:t>, 449 U.S. at 400.</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"Upjohn Co. v. United States, 449 U.S. 383 (1981)."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To overcome this protection, the party seeking discovery must demonstrate a “substantial need” of the materials and an inability to obtain the substantial equivalent without “undue hardship.” </w:t>
      </w:r>
      <w:r w:rsidR="007B06B7" w:rsidRPr="000C57AC">
        <w:rPr>
          <w:rFonts w:ascii="Times New Roman" w:eastAsia="Times New Roman" w:hAnsi="Times New Roman" w:cs="Times New Roman"/>
          <w:i/>
          <w:iCs/>
          <w:color w:val="000000"/>
          <w:kern w:val="0"/>
          <w:sz w:val="28"/>
          <w:szCs w:val="28"/>
          <w14:ligatures w14:val="none"/>
        </w:rPr>
        <w:t>Mercator Corp.</w:t>
      </w:r>
      <w:r w:rsidRPr="000C57AC">
        <w:rPr>
          <w:rFonts w:ascii="Times New Roman" w:eastAsia="Times New Roman" w:hAnsi="Times New Roman" w:cs="Times New Roman"/>
          <w:color w:val="000000"/>
          <w:kern w:val="0"/>
          <w:sz w:val="28"/>
          <w:szCs w:val="28"/>
          <w14:ligatures w14:val="none"/>
        </w:rPr>
        <w:t>, 318 F.3d at 383</w:t>
      </w:r>
      <w:r w:rsidR="00264A10" w:rsidRPr="000C57AC">
        <w:rPr>
          <w:rFonts w:ascii="Times New Roman" w:eastAsia="Times New Roman" w:hAnsi="Times New Roman" w:cs="Times New Roman"/>
          <w:color w:val="000000"/>
          <w:kern w:val="0"/>
          <w:sz w:val="28"/>
          <w:szCs w:val="28"/>
          <w14:ligatures w14:val="none"/>
        </w:rPr>
        <w:t>.</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\s "Mercator Corp. v. United States (In re Grand Jury Subpoenas Dated Mar. 19, 2002 &amp; Aug. 2, 2002), 318 F.3d 379 (2d Cir. 2003)." </w:instrText>
      </w:r>
      <w:r w:rsidR="00A16E1A"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t>
      </w:r>
      <w:r w:rsidR="00A16E1A" w:rsidRPr="000C57AC">
        <w:rPr>
          <w:rFonts w:ascii="Times New Roman" w:eastAsia="Times New Roman" w:hAnsi="Times New Roman" w:cs="Times New Roman"/>
          <w:color w:val="000000"/>
          <w:kern w:val="0"/>
          <w:sz w:val="28"/>
          <w:szCs w:val="28"/>
          <w14:ligatures w14:val="none"/>
        </w:rPr>
        <w:t xml:space="preserve">This is </w:t>
      </w:r>
      <w:r w:rsidRPr="000C57AC">
        <w:rPr>
          <w:rFonts w:ascii="Times New Roman" w:eastAsia="Times New Roman" w:hAnsi="Times New Roman" w:cs="Times New Roman"/>
          <w:color w:val="000000"/>
          <w:kern w:val="0"/>
          <w:sz w:val="28"/>
          <w:szCs w:val="28"/>
          <w14:ligatures w14:val="none"/>
        </w:rPr>
        <w:t xml:space="preserve">a heavy burden. </w:t>
      </w:r>
      <w:r w:rsidRPr="000C57AC">
        <w:rPr>
          <w:rFonts w:ascii="Times New Roman" w:eastAsia="Times New Roman" w:hAnsi="Times New Roman" w:cs="Times New Roman"/>
          <w:i/>
          <w:iCs/>
          <w:color w:val="000000"/>
          <w:kern w:val="0"/>
          <w:sz w:val="28"/>
          <w:szCs w:val="28"/>
          <w14:ligatures w14:val="none"/>
        </w:rPr>
        <w:t>United States ex rel. Bibby v. Wells Fargo, N.A.</w:t>
      </w:r>
      <w:r w:rsidRPr="000C57AC">
        <w:rPr>
          <w:rFonts w:ascii="Times New Roman" w:eastAsia="Times New Roman" w:hAnsi="Times New Roman" w:cs="Times New Roman"/>
          <w:color w:val="000000"/>
          <w:kern w:val="0"/>
          <w:sz w:val="28"/>
          <w:szCs w:val="28"/>
          <w14:ligatures w14:val="none"/>
        </w:rPr>
        <w:t>, 165 F. Supp. 1319, 1327 (N.D. Ga. 2015).</w:t>
      </w:r>
      <w:r w:rsidR="00A16E1A" w:rsidRPr="000C57AC">
        <w:rPr>
          <w:rFonts w:ascii="Times New Roman" w:eastAsia="Times New Roman" w:hAnsi="Times New Roman" w:cs="Times New Roman"/>
          <w:color w:val="000000"/>
          <w:kern w:val="0"/>
          <w:sz w:val="28"/>
          <w:szCs w:val="28"/>
          <w14:ligatures w14:val="none"/>
        </w:rPr>
        <w:fldChar w:fldCharType="begin"/>
      </w:r>
      <w:r w:rsidR="00A16E1A" w:rsidRPr="000C57AC">
        <w:rPr>
          <w:rFonts w:ascii="Times New Roman" w:hAnsi="Times New Roman" w:cs="Times New Roman"/>
          <w:sz w:val="28"/>
          <w:szCs w:val="28"/>
        </w:rPr>
        <w:instrText xml:space="preserve"> TA \l "</w:instrText>
      </w:r>
      <w:r w:rsidR="00A16E1A" w:rsidRPr="000C57AC">
        <w:rPr>
          <w:rFonts w:ascii="Times New Roman" w:eastAsia="Times New Roman" w:hAnsi="Times New Roman" w:cs="Times New Roman"/>
          <w:i/>
          <w:iCs/>
          <w:color w:val="000000"/>
          <w:kern w:val="0"/>
          <w:sz w:val="28"/>
          <w:szCs w:val="28"/>
          <w14:ligatures w14:val="none"/>
        </w:rPr>
        <w:instrText>United States ex rel. Bibby v. Wells Fargo, N.A.</w:instrText>
      </w:r>
      <w:r w:rsidR="00A16E1A" w:rsidRPr="000C57AC">
        <w:rPr>
          <w:rFonts w:ascii="Times New Roman" w:eastAsia="Times New Roman" w:hAnsi="Times New Roman" w:cs="Times New Roman"/>
          <w:color w:val="000000"/>
          <w:kern w:val="0"/>
          <w:sz w:val="28"/>
          <w:szCs w:val="28"/>
          <w14:ligatures w14:val="none"/>
        </w:rPr>
        <w:instrText>, 165 F. Supp. 1319</w:instrText>
      </w:r>
      <w:r w:rsidR="00963160" w:rsidRPr="000C57AC">
        <w:rPr>
          <w:rFonts w:ascii="Times New Roman" w:eastAsia="Times New Roman" w:hAnsi="Times New Roman" w:cs="Times New Roman"/>
          <w:color w:val="000000"/>
          <w:kern w:val="0"/>
          <w:sz w:val="28"/>
          <w:szCs w:val="28"/>
          <w14:ligatures w14:val="none"/>
        </w:rPr>
        <w:instrText xml:space="preserve"> </w:instrText>
      </w:r>
      <w:r w:rsidR="00A16E1A" w:rsidRPr="000C57AC">
        <w:rPr>
          <w:rFonts w:ascii="Times New Roman" w:eastAsia="Times New Roman" w:hAnsi="Times New Roman" w:cs="Times New Roman"/>
          <w:color w:val="000000"/>
          <w:kern w:val="0"/>
          <w:sz w:val="28"/>
          <w:szCs w:val="28"/>
          <w14:ligatures w14:val="none"/>
        </w:rPr>
        <w:instrText>(N.D. Ga. 2015).</w:instrText>
      </w:r>
      <w:r w:rsidR="00A16E1A" w:rsidRPr="000C57AC">
        <w:rPr>
          <w:rFonts w:ascii="Times New Roman" w:hAnsi="Times New Roman" w:cs="Times New Roman"/>
          <w:sz w:val="28"/>
          <w:szCs w:val="28"/>
        </w:rPr>
        <w:instrText xml:space="preserve">" \s "United States ex rel. Bibby v. Wells Fargo, N.A., 165 F. Supp. 1319 (N.D. Ga. 2015)." \c 10 </w:instrText>
      </w:r>
      <w:r w:rsidR="00A16E1A" w:rsidRPr="000C57AC">
        <w:rPr>
          <w:rFonts w:ascii="Times New Roman" w:eastAsia="Times New Roman" w:hAnsi="Times New Roman" w:cs="Times New Roman"/>
          <w:color w:val="000000"/>
          <w:kern w:val="0"/>
          <w:sz w:val="28"/>
          <w:szCs w:val="28"/>
          <w14:ligatures w14:val="none"/>
        </w:rPr>
        <w:fldChar w:fldCharType="end"/>
      </w:r>
    </w:p>
    <w:p w14:paraId="12965A57" w14:textId="05514259"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In </w:t>
      </w:r>
      <w:r w:rsidRPr="000C57AC">
        <w:rPr>
          <w:rFonts w:ascii="Times New Roman" w:eastAsia="Times New Roman" w:hAnsi="Times New Roman" w:cs="Times New Roman"/>
          <w:i/>
          <w:iCs/>
          <w:color w:val="000000"/>
          <w:kern w:val="0"/>
          <w:sz w:val="28"/>
          <w:szCs w:val="28"/>
          <w14:ligatures w14:val="none"/>
        </w:rPr>
        <w:t>In re Grand Jury Subpoena Dated July 6, 2005</w:t>
      </w:r>
      <w:r w:rsidRPr="000C57AC">
        <w:rPr>
          <w:rFonts w:ascii="Times New Roman" w:eastAsia="Times New Roman" w:hAnsi="Times New Roman" w:cs="Times New Roman"/>
          <w:color w:val="000000"/>
          <w:kern w:val="0"/>
          <w:sz w:val="28"/>
          <w:szCs w:val="28"/>
          <w14:ligatures w14:val="none"/>
        </w:rPr>
        <w:t>, the court found a substantial need where the information sought was contained in recordings taken without the defendant’s knowledge. 510 F.3d at 187.</w:t>
      </w:r>
      <w:r w:rsidR="003F1CD1" w:rsidRPr="000C57AC">
        <w:rPr>
          <w:rFonts w:ascii="Times New Roman" w:eastAsia="Times New Roman" w:hAnsi="Times New Roman" w:cs="Times New Roman"/>
          <w:color w:val="000000"/>
          <w:kern w:val="0"/>
          <w:sz w:val="28"/>
          <w:szCs w:val="28"/>
          <w14:ligatures w14:val="none"/>
        </w:rPr>
        <w:fldChar w:fldCharType="begin"/>
      </w:r>
      <w:r w:rsidR="003F1CD1" w:rsidRPr="000C57AC">
        <w:rPr>
          <w:rFonts w:ascii="Times New Roman" w:hAnsi="Times New Roman" w:cs="Times New Roman"/>
          <w:sz w:val="28"/>
          <w:szCs w:val="28"/>
        </w:rPr>
        <w:instrText xml:space="preserve"> TA \s "In re Grand Jury Subpoena Dated July 6, 2005, 510 F.3d 180 (2d Cir. 2007)." </w:instrText>
      </w:r>
      <w:r w:rsidR="003F1CD1"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t>
      </w:r>
      <w:r w:rsidR="00230A3E" w:rsidRPr="000C57AC">
        <w:rPr>
          <w:rFonts w:ascii="Times New Roman" w:eastAsia="Times New Roman" w:hAnsi="Times New Roman" w:cs="Times New Roman"/>
          <w:color w:val="000000"/>
          <w:kern w:val="0"/>
          <w:sz w:val="28"/>
          <w:szCs w:val="28"/>
          <w14:ligatures w14:val="none"/>
        </w:rPr>
        <w:t>T</w:t>
      </w:r>
      <w:r w:rsidRPr="000C57AC">
        <w:rPr>
          <w:rFonts w:ascii="Times New Roman" w:eastAsia="Times New Roman" w:hAnsi="Times New Roman" w:cs="Times New Roman"/>
          <w:color w:val="000000"/>
          <w:kern w:val="0"/>
          <w:sz w:val="28"/>
          <w:szCs w:val="28"/>
          <w14:ligatures w14:val="none"/>
        </w:rPr>
        <w:t>he surreptitious nature of the recordings</w:t>
      </w:r>
      <w:r w:rsidR="00230A3E" w:rsidRPr="000C57AC">
        <w:rPr>
          <w:rFonts w:ascii="Times New Roman" w:eastAsia="Times New Roman" w:hAnsi="Times New Roman" w:cs="Times New Roman"/>
          <w:color w:val="000000"/>
          <w:kern w:val="0"/>
          <w:sz w:val="28"/>
          <w:szCs w:val="28"/>
          <w14:ligatures w14:val="none"/>
        </w:rPr>
        <w:t xml:space="preserve"> was key</w:t>
      </w:r>
      <w:r w:rsidRPr="000C57AC">
        <w:rPr>
          <w:rFonts w:ascii="Times New Roman" w:eastAsia="Times New Roman" w:hAnsi="Times New Roman" w:cs="Times New Roman"/>
          <w:color w:val="000000"/>
          <w:kern w:val="0"/>
          <w:sz w:val="28"/>
          <w:szCs w:val="28"/>
          <w14:ligatures w14:val="none"/>
        </w:rPr>
        <w:t xml:space="preserve"> because it provided “an unvarnished, unique insight into [the defendant’s] role” for the criminal investigation.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186, 188.</w:t>
      </w:r>
      <w:r w:rsidR="001D2DB2"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color w:val="000000"/>
          <w:kern w:val="0"/>
          <w:sz w:val="28"/>
          <w:szCs w:val="28"/>
          <w14:ligatures w14:val="none"/>
        </w:rPr>
        <w:t>The recordings were considered “unique evidenc</w:t>
      </w:r>
      <w:r w:rsidR="00230A3E" w:rsidRPr="000C57AC">
        <w:rPr>
          <w:rFonts w:ascii="Times New Roman" w:eastAsia="Times New Roman" w:hAnsi="Times New Roman" w:cs="Times New Roman"/>
          <w:color w:val="000000"/>
          <w:kern w:val="0"/>
          <w:sz w:val="28"/>
          <w:szCs w:val="28"/>
          <w14:ligatures w14:val="none"/>
        </w:rPr>
        <w:t>e,”</w:t>
      </w:r>
      <w:r w:rsidRPr="000C57AC">
        <w:rPr>
          <w:rFonts w:ascii="Times New Roman" w:eastAsia="Times New Roman" w:hAnsi="Times New Roman" w:cs="Times New Roman"/>
          <w:color w:val="000000"/>
          <w:kern w:val="0"/>
          <w:sz w:val="28"/>
          <w:szCs w:val="28"/>
          <w14:ligatures w14:val="none"/>
        </w:rPr>
        <w:t xml:space="preserve"> </w:t>
      </w:r>
      <w:r w:rsidR="00230A3E" w:rsidRPr="000C57AC">
        <w:rPr>
          <w:rFonts w:ascii="Times New Roman" w:eastAsia="Times New Roman" w:hAnsi="Times New Roman" w:cs="Times New Roman"/>
          <w:color w:val="000000"/>
          <w:kern w:val="0"/>
          <w:sz w:val="28"/>
          <w:szCs w:val="28"/>
          <w14:ligatures w14:val="none"/>
        </w:rPr>
        <w:t>unattainable</w:t>
      </w:r>
      <w:r w:rsidRPr="000C57AC">
        <w:rPr>
          <w:rFonts w:ascii="Times New Roman" w:eastAsia="Times New Roman" w:hAnsi="Times New Roman" w:cs="Times New Roman"/>
          <w:color w:val="000000"/>
          <w:kern w:val="0"/>
          <w:sz w:val="28"/>
          <w:szCs w:val="28"/>
          <w14:ligatures w14:val="none"/>
        </w:rPr>
        <w:t xml:space="preserve"> through other means only because the discussions </w:t>
      </w:r>
      <w:r w:rsidR="00230A3E" w:rsidRPr="000C57AC">
        <w:rPr>
          <w:rFonts w:ascii="Times New Roman" w:eastAsia="Times New Roman" w:hAnsi="Times New Roman" w:cs="Times New Roman"/>
          <w:color w:val="000000"/>
          <w:kern w:val="0"/>
          <w:sz w:val="28"/>
          <w:szCs w:val="28"/>
          <w14:ligatures w14:val="none"/>
        </w:rPr>
        <w:t xml:space="preserve">could not be recreated </w:t>
      </w:r>
      <w:r w:rsidRPr="000C57AC">
        <w:rPr>
          <w:rFonts w:ascii="Times New Roman" w:eastAsia="Times New Roman" w:hAnsi="Times New Roman" w:cs="Times New Roman"/>
          <w:color w:val="000000"/>
          <w:kern w:val="0"/>
          <w:sz w:val="28"/>
          <w:szCs w:val="28"/>
          <w14:ligatures w14:val="none"/>
        </w:rPr>
        <w:t xml:space="preserve">and the defendant </w:t>
      </w:r>
      <w:r w:rsidR="00230A3E" w:rsidRPr="000C57AC">
        <w:rPr>
          <w:rFonts w:ascii="Times New Roman" w:eastAsia="Times New Roman" w:hAnsi="Times New Roman" w:cs="Times New Roman"/>
          <w:color w:val="000000"/>
          <w:kern w:val="0"/>
          <w:sz w:val="28"/>
          <w:szCs w:val="28"/>
          <w14:ligatures w14:val="none"/>
        </w:rPr>
        <w:t>was very unlikely to reveal the information contained within.</w:t>
      </w:r>
      <w:r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187–88.</w:t>
      </w:r>
      <w:r w:rsidR="003F1CD1" w:rsidRPr="000C57AC">
        <w:rPr>
          <w:rFonts w:ascii="Times New Roman" w:eastAsia="Times New Roman" w:hAnsi="Times New Roman" w:cs="Times New Roman"/>
          <w:color w:val="000000"/>
          <w:kern w:val="0"/>
          <w:sz w:val="28"/>
          <w:szCs w:val="28"/>
          <w14:ligatures w14:val="none"/>
        </w:rPr>
        <w:fldChar w:fldCharType="begin"/>
      </w:r>
      <w:r w:rsidR="003F1CD1" w:rsidRPr="000C57AC">
        <w:rPr>
          <w:rFonts w:ascii="Times New Roman" w:hAnsi="Times New Roman" w:cs="Times New Roman"/>
          <w:sz w:val="28"/>
          <w:szCs w:val="28"/>
        </w:rPr>
        <w:instrText xml:space="preserve"> TA \s "In re Grand Jury Subpoena Dated July 6, 2005, 510 F.3d 180 (2d Cir. 2007)." </w:instrText>
      </w:r>
      <w:r w:rsidR="003F1CD1"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Similarly, when documents would merely reinforce supposed inconsistencies and the Government does not identify</w:t>
      </w:r>
      <w:r w:rsidR="00230A3E"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color w:val="000000"/>
          <w:kern w:val="0"/>
          <w:sz w:val="28"/>
          <w:szCs w:val="28"/>
          <w14:ligatures w14:val="none"/>
        </w:rPr>
        <w:t xml:space="preserve">new information it hopes to find, there is no substantial need. </w:t>
      </w:r>
      <w:r w:rsidRPr="000C57AC">
        <w:rPr>
          <w:rFonts w:ascii="Times New Roman" w:eastAsia="Times New Roman" w:hAnsi="Times New Roman" w:cs="Times New Roman"/>
          <w:i/>
          <w:iCs/>
          <w:color w:val="000000"/>
          <w:kern w:val="0"/>
          <w:sz w:val="28"/>
          <w:szCs w:val="28"/>
          <w14:ligatures w14:val="none"/>
        </w:rPr>
        <w:t>Director, Office of Thrift Supervision v. Vinson &amp; Elkins, LLP</w:t>
      </w:r>
      <w:r w:rsidRPr="000C57AC">
        <w:rPr>
          <w:rFonts w:ascii="Times New Roman" w:eastAsia="Times New Roman" w:hAnsi="Times New Roman" w:cs="Times New Roman"/>
          <w:color w:val="000000"/>
          <w:kern w:val="0"/>
          <w:sz w:val="28"/>
          <w:szCs w:val="28"/>
          <w14:ligatures w14:val="none"/>
        </w:rPr>
        <w:t>, 124 F.3d 1304, 1308 (D.C. Cir. 1997).</w:t>
      </w:r>
      <w:r w:rsidR="003F1CD1" w:rsidRPr="000C57AC">
        <w:rPr>
          <w:rFonts w:ascii="Times New Roman" w:eastAsia="Times New Roman" w:hAnsi="Times New Roman" w:cs="Times New Roman"/>
          <w:color w:val="000000"/>
          <w:kern w:val="0"/>
          <w:sz w:val="28"/>
          <w:szCs w:val="28"/>
          <w14:ligatures w14:val="none"/>
        </w:rPr>
        <w:fldChar w:fldCharType="begin"/>
      </w:r>
      <w:r w:rsidR="003F1CD1" w:rsidRPr="000C57AC">
        <w:rPr>
          <w:rFonts w:ascii="Times New Roman" w:hAnsi="Times New Roman" w:cs="Times New Roman"/>
          <w:sz w:val="28"/>
          <w:szCs w:val="28"/>
        </w:rPr>
        <w:instrText xml:space="preserve"> TA \l "</w:instrText>
      </w:r>
      <w:r w:rsidR="003F1CD1" w:rsidRPr="000C57AC">
        <w:rPr>
          <w:rFonts w:ascii="Times New Roman" w:eastAsia="Times New Roman" w:hAnsi="Times New Roman" w:cs="Times New Roman"/>
          <w:i/>
          <w:iCs/>
          <w:color w:val="000000"/>
          <w:kern w:val="0"/>
          <w:sz w:val="28"/>
          <w:szCs w:val="28"/>
          <w14:ligatures w14:val="none"/>
        </w:rPr>
        <w:instrText>Director, Office of Thrift Supervision v. Vinson &amp; Elkins, LLP</w:instrText>
      </w:r>
      <w:r w:rsidR="003F1CD1" w:rsidRPr="000C57AC">
        <w:rPr>
          <w:rFonts w:ascii="Times New Roman" w:eastAsia="Times New Roman" w:hAnsi="Times New Roman" w:cs="Times New Roman"/>
          <w:color w:val="000000"/>
          <w:kern w:val="0"/>
          <w:sz w:val="28"/>
          <w:szCs w:val="28"/>
          <w14:ligatures w14:val="none"/>
        </w:rPr>
        <w:instrText>, 124 F.3d 1304</w:instrText>
      </w:r>
      <w:r w:rsidR="00A9273E" w:rsidRPr="000C57AC">
        <w:rPr>
          <w:rFonts w:ascii="Times New Roman" w:eastAsia="Times New Roman" w:hAnsi="Times New Roman" w:cs="Times New Roman"/>
          <w:color w:val="000000"/>
          <w:kern w:val="0"/>
          <w:sz w:val="28"/>
          <w:szCs w:val="28"/>
          <w14:ligatures w14:val="none"/>
        </w:rPr>
        <w:instrText xml:space="preserve"> </w:instrText>
      </w:r>
      <w:r w:rsidR="003F1CD1" w:rsidRPr="000C57AC">
        <w:rPr>
          <w:rFonts w:ascii="Times New Roman" w:eastAsia="Times New Roman" w:hAnsi="Times New Roman" w:cs="Times New Roman"/>
          <w:color w:val="000000"/>
          <w:kern w:val="0"/>
          <w:sz w:val="28"/>
          <w:szCs w:val="28"/>
          <w14:ligatures w14:val="none"/>
        </w:rPr>
        <w:instrText>(D.C. Cir. 1997).</w:instrText>
      </w:r>
      <w:r w:rsidR="003F1CD1" w:rsidRPr="000C57AC">
        <w:rPr>
          <w:rFonts w:ascii="Times New Roman" w:hAnsi="Times New Roman" w:cs="Times New Roman"/>
          <w:sz w:val="28"/>
          <w:szCs w:val="28"/>
        </w:rPr>
        <w:instrText xml:space="preserve">" \s "Director, Office of Thrift Supervision v. Vinson &amp; Elkins, LLP, 124 F.3d 1304 (D.C. Cir. 1997)." \c 1 </w:instrText>
      </w:r>
      <w:r w:rsidR="003F1CD1"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w:t>
      </w:r>
    </w:p>
    <w:p w14:paraId="2D146903" w14:textId="0353F093"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lastRenderedPageBreak/>
        <w:t xml:space="preserve">Even when </w:t>
      </w:r>
      <w:proofErr w:type="gramStart"/>
      <w:r w:rsidRPr="000C57AC">
        <w:rPr>
          <w:rFonts w:ascii="Times New Roman" w:eastAsia="Times New Roman" w:hAnsi="Times New Roman" w:cs="Times New Roman"/>
          <w:color w:val="000000"/>
          <w:kern w:val="0"/>
          <w:sz w:val="28"/>
          <w:szCs w:val="28"/>
          <w14:ligatures w14:val="none"/>
        </w:rPr>
        <w:t>considered</w:t>
      </w:r>
      <w:proofErr w:type="gramEnd"/>
      <w:r w:rsidRPr="000C57AC">
        <w:rPr>
          <w:rFonts w:ascii="Times New Roman" w:eastAsia="Times New Roman" w:hAnsi="Times New Roman" w:cs="Times New Roman"/>
          <w:color w:val="000000"/>
          <w:kern w:val="0"/>
          <w:sz w:val="28"/>
          <w:szCs w:val="28"/>
          <w14:ligatures w14:val="none"/>
        </w:rPr>
        <w:t xml:space="preserve"> fact work </w:t>
      </w:r>
      <w:proofErr w:type="gramStart"/>
      <w:r w:rsidRPr="000C57AC">
        <w:rPr>
          <w:rFonts w:ascii="Times New Roman" w:eastAsia="Times New Roman" w:hAnsi="Times New Roman" w:cs="Times New Roman"/>
          <w:color w:val="000000"/>
          <w:kern w:val="0"/>
          <w:sz w:val="28"/>
          <w:szCs w:val="28"/>
          <w14:ligatures w14:val="none"/>
        </w:rPr>
        <w:t>product</w:t>
      </w:r>
      <w:proofErr w:type="gramEnd"/>
      <w:r w:rsidRPr="000C57AC">
        <w:rPr>
          <w:rFonts w:ascii="Times New Roman" w:eastAsia="Times New Roman" w:hAnsi="Times New Roman" w:cs="Times New Roman"/>
          <w:color w:val="000000"/>
          <w:kern w:val="0"/>
          <w:sz w:val="28"/>
          <w:szCs w:val="28"/>
          <w14:ligatures w14:val="none"/>
        </w:rPr>
        <w:t xml:space="preserve">, interview memoranda </w:t>
      </w:r>
      <w:proofErr w:type="gramStart"/>
      <w:r w:rsidRPr="000C57AC">
        <w:rPr>
          <w:rFonts w:ascii="Times New Roman" w:eastAsia="Times New Roman" w:hAnsi="Times New Roman" w:cs="Times New Roman"/>
          <w:color w:val="000000"/>
          <w:kern w:val="0"/>
          <w:sz w:val="28"/>
          <w:szCs w:val="28"/>
          <w14:ligatures w14:val="none"/>
        </w:rPr>
        <w:t>is</w:t>
      </w:r>
      <w:proofErr w:type="gramEnd"/>
      <w:r w:rsidRPr="000C57AC">
        <w:rPr>
          <w:rFonts w:ascii="Times New Roman" w:eastAsia="Times New Roman" w:hAnsi="Times New Roman" w:cs="Times New Roman"/>
          <w:color w:val="000000"/>
          <w:kern w:val="0"/>
          <w:sz w:val="28"/>
          <w:szCs w:val="28"/>
          <w14:ligatures w14:val="none"/>
        </w:rPr>
        <w:t xml:space="preserve"> protected by the privilege. </w:t>
      </w:r>
      <w:r w:rsidRPr="000C57AC">
        <w:rPr>
          <w:rFonts w:ascii="Times New Roman" w:eastAsia="Times New Roman" w:hAnsi="Times New Roman" w:cs="Times New Roman"/>
          <w:i/>
          <w:iCs/>
          <w:color w:val="000000"/>
          <w:kern w:val="0"/>
          <w:sz w:val="28"/>
          <w:szCs w:val="28"/>
          <w14:ligatures w14:val="none"/>
        </w:rPr>
        <w:t>In re Grand Jury Investigation</w:t>
      </w:r>
      <w:r w:rsidRPr="000C57AC">
        <w:rPr>
          <w:rFonts w:ascii="Times New Roman" w:eastAsia="Times New Roman" w:hAnsi="Times New Roman" w:cs="Times New Roman"/>
          <w:color w:val="000000"/>
          <w:kern w:val="0"/>
          <w:sz w:val="28"/>
          <w:szCs w:val="28"/>
          <w14:ligatures w14:val="none"/>
        </w:rPr>
        <w:t>, 599 F.2d 1224, 1228–33 (3d Cir. 1979).</w:t>
      </w:r>
      <w:r w:rsidR="003F1CD1" w:rsidRPr="000C57AC">
        <w:rPr>
          <w:rFonts w:ascii="Times New Roman" w:eastAsia="Times New Roman" w:hAnsi="Times New Roman" w:cs="Times New Roman"/>
          <w:color w:val="000000"/>
          <w:kern w:val="0"/>
          <w:sz w:val="28"/>
          <w:szCs w:val="28"/>
          <w14:ligatures w14:val="none"/>
        </w:rPr>
        <w:fldChar w:fldCharType="begin"/>
      </w:r>
      <w:r w:rsidR="003F1CD1" w:rsidRPr="000C57AC">
        <w:rPr>
          <w:rFonts w:ascii="Times New Roman" w:hAnsi="Times New Roman" w:cs="Times New Roman"/>
          <w:sz w:val="28"/>
          <w:szCs w:val="28"/>
        </w:rPr>
        <w:instrText xml:space="preserve"> TA \l "</w:instrText>
      </w:r>
      <w:r w:rsidR="003F1CD1" w:rsidRPr="000C57AC">
        <w:rPr>
          <w:rFonts w:ascii="Times New Roman" w:eastAsia="Times New Roman" w:hAnsi="Times New Roman" w:cs="Times New Roman"/>
          <w:i/>
          <w:iCs/>
          <w:color w:val="000000"/>
          <w:kern w:val="0"/>
          <w:sz w:val="28"/>
          <w:szCs w:val="28"/>
          <w14:ligatures w14:val="none"/>
        </w:rPr>
        <w:instrText>In re Grand Jury Investigation</w:instrText>
      </w:r>
      <w:r w:rsidR="003F1CD1" w:rsidRPr="000C57AC">
        <w:rPr>
          <w:rFonts w:ascii="Times New Roman" w:eastAsia="Times New Roman" w:hAnsi="Times New Roman" w:cs="Times New Roman"/>
          <w:color w:val="000000"/>
          <w:kern w:val="0"/>
          <w:sz w:val="28"/>
          <w:szCs w:val="28"/>
          <w14:ligatures w14:val="none"/>
        </w:rPr>
        <w:instrText>, 599 F.2d 1224 (3d Cir. 1979).</w:instrText>
      </w:r>
      <w:r w:rsidR="003F1CD1" w:rsidRPr="000C57AC">
        <w:rPr>
          <w:rFonts w:ascii="Times New Roman" w:hAnsi="Times New Roman" w:cs="Times New Roman"/>
          <w:sz w:val="28"/>
          <w:szCs w:val="28"/>
        </w:rPr>
        <w:instrText xml:space="preserve">" \s "In re Grand Jury Investigation, 599 F.2d 1224 (3d Cir. 1979)." \c 1 </w:instrText>
      </w:r>
      <w:r w:rsidR="003F1CD1"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t>
      </w:r>
      <w:r w:rsidR="00230A3E" w:rsidRPr="000C57AC">
        <w:rPr>
          <w:rFonts w:ascii="Times New Roman" w:eastAsia="Times New Roman" w:hAnsi="Times New Roman" w:cs="Times New Roman"/>
          <w:color w:val="000000"/>
          <w:kern w:val="0"/>
          <w:sz w:val="28"/>
          <w:szCs w:val="28"/>
          <w14:ligatures w14:val="none"/>
        </w:rPr>
        <w:t xml:space="preserve">In </w:t>
      </w:r>
      <w:r w:rsidR="00230A3E" w:rsidRPr="000C57AC">
        <w:rPr>
          <w:rFonts w:ascii="Times New Roman" w:eastAsia="Times New Roman" w:hAnsi="Times New Roman" w:cs="Times New Roman"/>
          <w:i/>
          <w:iCs/>
          <w:color w:val="000000"/>
          <w:kern w:val="0"/>
          <w:sz w:val="28"/>
          <w:szCs w:val="28"/>
          <w14:ligatures w14:val="none"/>
        </w:rPr>
        <w:t>In re Grand Jury Investigation</w:t>
      </w:r>
      <w:r w:rsidR="00230A3E" w:rsidRPr="000C57AC">
        <w:rPr>
          <w:rFonts w:ascii="Times New Roman" w:eastAsia="Times New Roman" w:hAnsi="Times New Roman" w:cs="Times New Roman"/>
          <w:color w:val="000000"/>
          <w:kern w:val="0"/>
          <w:sz w:val="28"/>
          <w:szCs w:val="28"/>
          <w14:ligatures w14:val="none"/>
        </w:rPr>
        <w:t>,</w:t>
      </w:r>
      <w:r w:rsidRPr="000C57AC">
        <w:rPr>
          <w:rFonts w:ascii="Times New Roman" w:eastAsia="Times New Roman" w:hAnsi="Times New Roman" w:cs="Times New Roman"/>
          <w:color w:val="000000"/>
          <w:kern w:val="0"/>
          <w:sz w:val="28"/>
          <w:szCs w:val="28"/>
          <w14:ligatures w14:val="none"/>
        </w:rPr>
        <w:t xml:space="preserve"> the court held that the </w:t>
      </w:r>
      <w:r w:rsidR="00474C0D" w:rsidRPr="000C57AC">
        <w:rPr>
          <w:rFonts w:ascii="Times New Roman" w:eastAsia="Times New Roman" w:hAnsi="Times New Roman" w:cs="Times New Roman"/>
          <w:color w:val="000000"/>
          <w:kern w:val="0"/>
          <w:sz w:val="28"/>
          <w:szCs w:val="28"/>
          <w14:ligatures w14:val="none"/>
        </w:rPr>
        <w:t>g</w:t>
      </w:r>
      <w:r w:rsidRPr="000C57AC">
        <w:rPr>
          <w:rFonts w:ascii="Times New Roman" w:eastAsia="Times New Roman" w:hAnsi="Times New Roman" w:cs="Times New Roman"/>
          <w:color w:val="000000"/>
          <w:kern w:val="0"/>
          <w:sz w:val="28"/>
          <w:szCs w:val="28"/>
          <w14:ligatures w14:val="none"/>
        </w:rPr>
        <w:t xml:space="preserve">overnment overcame the protection only for memoranda generated by a now-deceased interviewee.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1233.</w:t>
      </w:r>
      <w:r w:rsidR="003F1CD1" w:rsidRPr="000C57AC">
        <w:rPr>
          <w:rFonts w:ascii="Times New Roman" w:eastAsia="Times New Roman" w:hAnsi="Times New Roman" w:cs="Times New Roman"/>
          <w:color w:val="000000"/>
          <w:kern w:val="0"/>
          <w:sz w:val="28"/>
          <w:szCs w:val="28"/>
          <w14:ligatures w14:val="none"/>
        </w:rPr>
        <w:fldChar w:fldCharType="begin"/>
      </w:r>
      <w:r w:rsidR="003F1CD1" w:rsidRPr="000C57AC">
        <w:rPr>
          <w:rFonts w:ascii="Times New Roman" w:hAnsi="Times New Roman" w:cs="Times New Roman"/>
          <w:sz w:val="28"/>
          <w:szCs w:val="28"/>
        </w:rPr>
        <w:instrText xml:space="preserve"> TA \s "In re Grand Jury Investigation, 599 F.2d 1224 (3d Cir. 1979)." </w:instrText>
      </w:r>
      <w:r w:rsidR="003F1CD1"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w:t>
      </w:r>
      <w:r w:rsidR="00230A3E" w:rsidRPr="000C57AC">
        <w:rPr>
          <w:rFonts w:ascii="Times New Roman" w:eastAsia="Times New Roman" w:hAnsi="Times New Roman" w:cs="Times New Roman"/>
          <w:color w:val="000000"/>
          <w:kern w:val="0"/>
          <w:sz w:val="28"/>
          <w:szCs w:val="28"/>
          <w14:ligatures w14:val="none"/>
        </w:rPr>
        <w:t>T</w:t>
      </w:r>
      <w:r w:rsidRPr="000C57AC">
        <w:rPr>
          <w:rFonts w:ascii="Times New Roman" w:eastAsia="Times New Roman" w:hAnsi="Times New Roman" w:cs="Times New Roman"/>
          <w:color w:val="000000"/>
          <w:kern w:val="0"/>
          <w:sz w:val="28"/>
          <w:szCs w:val="28"/>
          <w14:ligatures w14:val="none"/>
        </w:rPr>
        <w:t xml:space="preserve">he </w:t>
      </w:r>
      <w:r w:rsidR="00474C0D" w:rsidRPr="000C57AC">
        <w:rPr>
          <w:rFonts w:ascii="Times New Roman" w:eastAsia="Times New Roman" w:hAnsi="Times New Roman" w:cs="Times New Roman"/>
          <w:color w:val="000000"/>
          <w:kern w:val="0"/>
          <w:sz w:val="28"/>
          <w:szCs w:val="28"/>
          <w14:ligatures w14:val="none"/>
        </w:rPr>
        <w:t>g</w:t>
      </w:r>
      <w:r w:rsidRPr="000C57AC">
        <w:rPr>
          <w:rFonts w:ascii="Times New Roman" w:eastAsia="Times New Roman" w:hAnsi="Times New Roman" w:cs="Times New Roman"/>
          <w:color w:val="000000"/>
          <w:kern w:val="0"/>
          <w:sz w:val="28"/>
          <w:szCs w:val="28"/>
          <w14:ligatures w14:val="none"/>
        </w:rPr>
        <w:t xml:space="preserve">overnment </w:t>
      </w:r>
      <w:r w:rsidR="00230A3E" w:rsidRPr="000C57AC">
        <w:rPr>
          <w:rFonts w:ascii="Times New Roman" w:eastAsia="Times New Roman" w:hAnsi="Times New Roman" w:cs="Times New Roman"/>
          <w:color w:val="000000"/>
          <w:kern w:val="0"/>
          <w:sz w:val="28"/>
          <w:szCs w:val="28"/>
          <w14:ligatures w14:val="none"/>
        </w:rPr>
        <w:t>did not persuade the court of</w:t>
      </w:r>
      <w:r w:rsidRPr="000C57AC">
        <w:rPr>
          <w:rFonts w:ascii="Times New Roman" w:eastAsia="Times New Roman" w:hAnsi="Times New Roman" w:cs="Times New Roman"/>
          <w:color w:val="000000"/>
          <w:kern w:val="0"/>
          <w:sz w:val="28"/>
          <w:szCs w:val="28"/>
          <w14:ligatures w14:val="none"/>
        </w:rPr>
        <w:t xml:space="preserve"> a similar necessity when the interviewee “might be unavailable or unwilling to testify” and the </w:t>
      </w:r>
      <w:r w:rsidR="00474C0D" w:rsidRPr="000C57AC">
        <w:rPr>
          <w:rFonts w:ascii="Times New Roman" w:eastAsia="Times New Roman" w:hAnsi="Times New Roman" w:cs="Times New Roman"/>
          <w:color w:val="000000"/>
          <w:kern w:val="0"/>
          <w:sz w:val="28"/>
          <w:szCs w:val="28"/>
          <w14:ligatures w14:val="none"/>
        </w:rPr>
        <w:t>g</w:t>
      </w:r>
      <w:r w:rsidRPr="000C57AC">
        <w:rPr>
          <w:rFonts w:ascii="Times New Roman" w:eastAsia="Times New Roman" w:hAnsi="Times New Roman" w:cs="Times New Roman"/>
          <w:color w:val="000000"/>
          <w:kern w:val="0"/>
          <w:sz w:val="28"/>
          <w:szCs w:val="28"/>
          <w14:ligatures w14:val="none"/>
        </w:rPr>
        <w:t>overnment ma</w:t>
      </w:r>
      <w:r w:rsidR="00230A3E" w:rsidRPr="000C57AC">
        <w:rPr>
          <w:rFonts w:ascii="Times New Roman" w:eastAsia="Times New Roman" w:hAnsi="Times New Roman" w:cs="Times New Roman"/>
          <w:color w:val="000000"/>
          <w:kern w:val="0"/>
          <w:sz w:val="28"/>
          <w:szCs w:val="28"/>
          <w14:ligatures w14:val="none"/>
        </w:rPr>
        <w:t>de</w:t>
      </w:r>
      <w:r w:rsidRPr="000C57AC">
        <w:rPr>
          <w:rFonts w:ascii="Times New Roman" w:eastAsia="Times New Roman" w:hAnsi="Times New Roman" w:cs="Times New Roman"/>
          <w:color w:val="000000"/>
          <w:kern w:val="0"/>
          <w:sz w:val="28"/>
          <w:szCs w:val="28"/>
          <w14:ligatures w14:val="none"/>
        </w:rPr>
        <w:t xml:space="preserve"> “no effort to secure their testimony.” </w:t>
      </w:r>
      <w:r w:rsidRPr="000C57AC">
        <w:rPr>
          <w:rFonts w:ascii="Times New Roman" w:eastAsia="Times New Roman" w:hAnsi="Times New Roman" w:cs="Times New Roman"/>
          <w:i/>
          <w:iCs/>
          <w:color w:val="000000"/>
          <w:kern w:val="0"/>
          <w:sz w:val="28"/>
          <w:szCs w:val="28"/>
          <w14:ligatures w14:val="none"/>
        </w:rPr>
        <w:t>Id.</w:t>
      </w:r>
      <w:r w:rsidRPr="000C57AC">
        <w:rPr>
          <w:rFonts w:ascii="Times New Roman" w:eastAsia="Times New Roman" w:hAnsi="Times New Roman" w:cs="Times New Roman"/>
          <w:color w:val="000000"/>
          <w:kern w:val="0"/>
          <w:sz w:val="28"/>
          <w:szCs w:val="28"/>
          <w14:ligatures w14:val="none"/>
        </w:rPr>
        <w:t xml:space="preserve"> at 1232</w:t>
      </w:r>
      <w:r w:rsidR="00230A3E"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color w:val="000000"/>
          <w:kern w:val="0"/>
          <w:sz w:val="28"/>
          <w:szCs w:val="28"/>
          <w14:ligatures w14:val="none"/>
        </w:rPr>
        <w:t xml:space="preserve">The court classified the </w:t>
      </w:r>
      <w:r w:rsidR="00474C0D" w:rsidRPr="000C57AC">
        <w:rPr>
          <w:rFonts w:ascii="Times New Roman" w:eastAsia="Times New Roman" w:hAnsi="Times New Roman" w:cs="Times New Roman"/>
          <w:color w:val="000000"/>
          <w:kern w:val="0"/>
          <w:sz w:val="28"/>
          <w:szCs w:val="28"/>
          <w14:ligatures w14:val="none"/>
        </w:rPr>
        <w:t>g</w:t>
      </w:r>
      <w:r w:rsidRPr="000C57AC">
        <w:rPr>
          <w:rFonts w:ascii="Times New Roman" w:eastAsia="Times New Roman" w:hAnsi="Times New Roman" w:cs="Times New Roman"/>
          <w:color w:val="000000"/>
          <w:kern w:val="0"/>
          <w:sz w:val="28"/>
          <w:szCs w:val="28"/>
          <w14:ligatures w14:val="none"/>
        </w:rPr>
        <w:t>overnment’s showing as a “naked assertion</w:t>
      </w:r>
      <w:r w:rsidR="00230A3E" w:rsidRPr="000C57AC">
        <w:rPr>
          <w:rFonts w:ascii="Times New Roman" w:eastAsia="Times New Roman" w:hAnsi="Times New Roman" w:cs="Times New Roman"/>
          <w:color w:val="000000"/>
          <w:kern w:val="0"/>
          <w:sz w:val="28"/>
          <w:szCs w:val="28"/>
          <w14:ligatures w14:val="none"/>
        </w:rPr>
        <w:t>,</w:t>
      </w:r>
      <w:r w:rsidRPr="000C57AC">
        <w:rPr>
          <w:rFonts w:ascii="Times New Roman" w:eastAsia="Times New Roman" w:hAnsi="Times New Roman" w:cs="Times New Roman"/>
          <w:color w:val="000000"/>
          <w:kern w:val="0"/>
          <w:sz w:val="28"/>
          <w:szCs w:val="28"/>
          <w14:ligatures w14:val="none"/>
        </w:rPr>
        <w:t xml:space="preserve">” insufficient to overcome the </w:t>
      </w:r>
      <w:r w:rsidR="00230A3E" w:rsidRPr="000C57AC">
        <w:rPr>
          <w:rFonts w:ascii="Times New Roman" w:eastAsia="Times New Roman" w:hAnsi="Times New Roman" w:cs="Times New Roman"/>
          <w:color w:val="000000"/>
          <w:kern w:val="0"/>
          <w:sz w:val="28"/>
          <w:szCs w:val="28"/>
          <w14:ligatures w14:val="none"/>
        </w:rPr>
        <w:t>memoranda’s protection</w:t>
      </w:r>
      <w:r w:rsidRPr="000C57AC">
        <w:rPr>
          <w:rFonts w:ascii="Times New Roman" w:eastAsia="Times New Roman" w:hAnsi="Times New Roman" w:cs="Times New Roman"/>
          <w:color w:val="000000"/>
          <w:kern w:val="0"/>
          <w:sz w:val="28"/>
          <w:szCs w:val="28"/>
          <w14:ligatures w14:val="none"/>
        </w:rPr>
        <w:t xml:space="preserve"> when </w:t>
      </w:r>
      <w:r w:rsidR="00230A3E" w:rsidRPr="000C57AC">
        <w:rPr>
          <w:rFonts w:ascii="Times New Roman" w:eastAsia="Times New Roman" w:hAnsi="Times New Roman" w:cs="Times New Roman"/>
          <w:color w:val="000000"/>
          <w:kern w:val="0"/>
          <w:sz w:val="28"/>
          <w:szCs w:val="28"/>
          <w14:ligatures w14:val="none"/>
        </w:rPr>
        <w:t xml:space="preserve">it </w:t>
      </w:r>
      <w:r w:rsidRPr="000C57AC">
        <w:rPr>
          <w:rFonts w:ascii="Times New Roman" w:eastAsia="Times New Roman" w:hAnsi="Times New Roman" w:cs="Times New Roman"/>
          <w:color w:val="000000"/>
          <w:kern w:val="0"/>
          <w:sz w:val="28"/>
          <w:szCs w:val="28"/>
          <w14:ligatures w14:val="none"/>
        </w:rPr>
        <w:t xml:space="preserve">“might have relevance apart from the bare facts.” </w:t>
      </w:r>
      <w:r w:rsidRPr="000C57AC">
        <w:rPr>
          <w:rFonts w:ascii="Times New Roman" w:eastAsia="Times New Roman" w:hAnsi="Times New Roman" w:cs="Times New Roman"/>
          <w:i/>
          <w:iCs/>
          <w:color w:val="000000"/>
          <w:kern w:val="0"/>
          <w:sz w:val="28"/>
          <w:szCs w:val="28"/>
          <w14:ligatures w14:val="none"/>
        </w:rPr>
        <w:t>Id.</w:t>
      </w:r>
      <w:r w:rsidR="003F1CD1" w:rsidRPr="000C57AC">
        <w:rPr>
          <w:rFonts w:ascii="Times New Roman" w:eastAsia="Times New Roman" w:hAnsi="Times New Roman" w:cs="Times New Roman"/>
          <w:color w:val="000000"/>
          <w:kern w:val="0"/>
          <w:sz w:val="28"/>
          <w:szCs w:val="28"/>
          <w14:ligatures w14:val="none"/>
        </w:rPr>
        <w:fldChar w:fldCharType="begin"/>
      </w:r>
      <w:r w:rsidR="003F1CD1" w:rsidRPr="000C57AC">
        <w:rPr>
          <w:rFonts w:ascii="Times New Roman" w:hAnsi="Times New Roman" w:cs="Times New Roman"/>
          <w:sz w:val="28"/>
          <w:szCs w:val="28"/>
        </w:rPr>
        <w:instrText xml:space="preserve"> TA \s "In re Grand Jury Investigation, 599 F.2d 1224 (3d Cir. 1979)." </w:instrText>
      </w:r>
      <w:r w:rsidR="003F1CD1" w:rsidRPr="000C57AC">
        <w:rPr>
          <w:rFonts w:ascii="Times New Roman" w:eastAsia="Times New Roman" w:hAnsi="Times New Roman" w:cs="Times New Roman"/>
          <w:color w:val="000000"/>
          <w:kern w:val="0"/>
          <w:sz w:val="28"/>
          <w:szCs w:val="28"/>
          <w14:ligatures w14:val="none"/>
        </w:rPr>
        <w:fldChar w:fldCharType="end"/>
      </w:r>
    </w:p>
    <w:p w14:paraId="030D74C8" w14:textId="23D76833"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Before attempting to “invade an attorney’s files,” the Government should make a “reasonable effort” to secure witness testimony, even</w:t>
      </w:r>
      <w:r w:rsidR="00230A3E" w:rsidRPr="000C57AC">
        <w:rPr>
          <w:rFonts w:ascii="Times New Roman" w:eastAsia="Times New Roman" w:hAnsi="Times New Roman" w:cs="Times New Roman"/>
          <w:color w:val="000000"/>
          <w:kern w:val="0"/>
          <w:sz w:val="28"/>
          <w:szCs w:val="28"/>
          <w14:ligatures w14:val="none"/>
        </w:rPr>
        <w:t xml:space="preserve"> when</w:t>
      </w:r>
      <w:r w:rsidRPr="000C57AC">
        <w:rPr>
          <w:rFonts w:ascii="Times New Roman" w:eastAsia="Times New Roman" w:hAnsi="Times New Roman" w:cs="Times New Roman"/>
          <w:color w:val="000000"/>
          <w:kern w:val="0"/>
          <w:sz w:val="28"/>
          <w:szCs w:val="28"/>
          <w14:ligatures w14:val="none"/>
        </w:rPr>
        <w:t xml:space="preserve"> interviewee</w:t>
      </w:r>
      <w:r w:rsidR="00230A3E" w:rsidRPr="000C57AC">
        <w:rPr>
          <w:rFonts w:ascii="Times New Roman" w:eastAsia="Times New Roman" w:hAnsi="Times New Roman" w:cs="Times New Roman"/>
          <w:color w:val="000000"/>
          <w:kern w:val="0"/>
          <w:sz w:val="28"/>
          <w:szCs w:val="28"/>
          <w14:ligatures w14:val="none"/>
        </w:rPr>
        <w:t>s are</w:t>
      </w:r>
      <w:r w:rsidRPr="000C57AC">
        <w:rPr>
          <w:rFonts w:ascii="Times New Roman" w:eastAsia="Times New Roman" w:hAnsi="Times New Roman" w:cs="Times New Roman"/>
          <w:color w:val="000000"/>
          <w:kern w:val="0"/>
          <w:sz w:val="28"/>
          <w:szCs w:val="28"/>
          <w14:ligatures w14:val="none"/>
        </w:rPr>
        <w:t xml:space="preserve"> outside of the country. </w:t>
      </w:r>
      <w:r w:rsidRPr="000C57AC">
        <w:rPr>
          <w:rFonts w:ascii="Times New Roman" w:eastAsia="Times New Roman" w:hAnsi="Times New Roman" w:cs="Times New Roman"/>
          <w:i/>
          <w:iCs/>
          <w:color w:val="000000"/>
          <w:kern w:val="0"/>
          <w:sz w:val="28"/>
          <w:szCs w:val="28"/>
          <w14:ligatures w14:val="none"/>
        </w:rPr>
        <w:t>Id.</w:t>
      </w:r>
      <w:r w:rsidR="003F1CD1" w:rsidRPr="000C57AC">
        <w:rPr>
          <w:rFonts w:ascii="Times New Roman" w:eastAsia="Times New Roman" w:hAnsi="Times New Roman" w:cs="Times New Roman"/>
          <w:i/>
          <w:iCs/>
          <w:color w:val="000000"/>
          <w:kern w:val="0"/>
          <w:sz w:val="28"/>
          <w:szCs w:val="28"/>
          <w14:ligatures w14:val="none"/>
        </w:rPr>
        <w:fldChar w:fldCharType="begin"/>
      </w:r>
      <w:r w:rsidR="003F1CD1" w:rsidRPr="000C57AC">
        <w:rPr>
          <w:rFonts w:ascii="Times New Roman" w:hAnsi="Times New Roman" w:cs="Times New Roman"/>
          <w:sz w:val="28"/>
          <w:szCs w:val="28"/>
        </w:rPr>
        <w:instrText xml:space="preserve"> TA \s "In re Grand Jury Investigation, 599 F.2d 1224 (3d Cir. 1979)." </w:instrText>
      </w:r>
      <w:r w:rsidR="003F1CD1" w:rsidRPr="000C57AC">
        <w:rPr>
          <w:rFonts w:ascii="Times New Roman" w:eastAsia="Times New Roman" w:hAnsi="Times New Roman" w:cs="Times New Roman"/>
          <w:i/>
          <w:iCs/>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Otherwise, </w:t>
      </w:r>
      <w:r w:rsidR="00230A3E" w:rsidRPr="000C57AC">
        <w:rPr>
          <w:rFonts w:ascii="Times New Roman" w:eastAsia="Times New Roman" w:hAnsi="Times New Roman" w:cs="Times New Roman"/>
          <w:color w:val="000000"/>
          <w:kern w:val="0"/>
          <w:sz w:val="28"/>
          <w:szCs w:val="28"/>
          <w14:ligatures w14:val="none"/>
        </w:rPr>
        <w:t>their</w:t>
      </w:r>
      <w:r w:rsidRPr="000C57AC">
        <w:rPr>
          <w:rFonts w:ascii="Times New Roman" w:eastAsia="Times New Roman" w:hAnsi="Times New Roman" w:cs="Times New Roman"/>
          <w:color w:val="000000"/>
          <w:kern w:val="0"/>
          <w:sz w:val="28"/>
          <w:szCs w:val="28"/>
          <w14:ligatures w14:val="none"/>
        </w:rPr>
        <w:t xml:space="preserve"> “unavailability is purely conjectural.” </w:t>
      </w:r>
      <w:r w:rsidRPr="000C57AC">
        <w:rPr>
          <w:rFonts w:ascii="Times New Roman" w:eastAsia="Times New Roman" w:hAnsi="Times New Roman" w:cs="Times New Roman"/>
          <w:i/>
          <w:iCs/>
          <w:color w:val="000000"/>
          <w:kern w:val="0"/>
          <w:sz w:val="28"/>
          <w:szCs w:val="28"/>
          <w14:ligatures w14:val="none"/>
        </w:rPr>
        <w:t>Id.</w:t>
      </w:r>
      <w:r w:rsidR="003F1CD1" w:rsidRPr="000C57AC">
        <w:rPr>
          <w:rFonts w:ascii="Times New Roman" w:eastAsia="Times New Roman" w:hAnsi="Times New Roman" w:cs="Times New Roman"/>
          <w:i/>
          <w:iCs/>
          <w:color w:val="000000"/>
          <w:kern w:val="0"/>
          <w:sz w:val="28"/>
          <w:szCs w:val="28"/>
          <w14:ligatures w14:val="none"/>
        </w:rPr>
        <w:fldChar w:fldCharType="begin"/>
      </w:r>
      <w:r w:rsidR="003F1CD1" w:rsidRPr="000C57AC">
        <w:rPr>
          <w:rFonts w:ascii="Times New Roman" w:hAnsi="Times New Roman" w:cs="Times New Roman"/>
          <w:sz w:val="28"/>
          <w:szCs w:val="28"/>
        </w:rPr>
        <w:instrText xml:space="preserve"> TA \s "In re Grand Jury Investigation, 599 F.2d 1224 (3d Cir. 1979)." </w:instrText>
      </w:r>
      <w:r w:rsidR="003F1CD1" w:rsidRPr="000C57AC">
        <w:rPr>
          <w:rFonts w:ascii="Times New Roman" w:eastAsia="Times New Roman" w:hAnsi="Times New Roman" w:cs="Times New Roman"/>
          <w:i/>
          <w:iCs/>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Conversely, when repeated attempts to locate an interviewee</w:t>
      </w:r>
      <w:r w:rsidR="00230A3E" w:rsidRPr="000C57AC">
        <w:rPr>
          <w:rFonts w:ascii="Times New Roman" w:eastAsia="Times New Roman" w:hAnsi="Times New Roman" w:cs="Times New Roman"/>
          <w:color w:val="000000"/>
          <w:kern w:val="0"/>
          <w:sz w:val="28"/>
          <w:szCs w:val="28"/>
          <w14:ligatures w14:val="none"/>
        </w:rPr>
        <w:t xml:space="preserve"> fail</w:t>
      </w:r>
      <w:r w:rsidRPr="000C57AC">
        <w:rPr>
          <w:rFonts w:ascii="Times New Roman" w:eastAsia="Times New Roman" w:hAnsi="Times New Roman" w:cs="Times New Roman"/>
          <w:color w:val="000000"/>
          <w:kern w:val="0"/>
          <w:sz w:val="28"/>
          <w:szCs w:val="28"/>
          <w14:ligatures w14:val="none"/>
        </w:rPr>
        <w:t xml:space="preserve">, </w:t>
      </w:r>
      <w:r w:rsidR="00230A3E" w:rsidRPr="000C57AC">
        <w:rPr>
          <w:rFonts w:ascii="Times New Roman" w:eastAsia="Times New Roman" w:hAnsi="Times New Roman" w:cs="Times New Roman"/>
          <w:color w:val="000000"/>
          <w:kern w:val="0"/>
          <w:sz w:val="28"/>
          <w:szCs w:val="28"/>
          <w14:ligatures w14:val="none"/>
        </w:rPr>
        <w:t>their</w:t>
      </w:r>
      <w:r w:rsidRPr="000C57AC">
        <w:rPr>
          <w:rFonts w:ascii="Times New Roman" w:eastAsia="Times New Roman" w:hAnsi="Times New Roman" w:cs="Times New Roman"/>
          <w:color w:val="000000"/>
          <w:kern w:val="0"/>
          <w:sz w:val="28"/>
          <w:szCs w:val="28"/>
          <w14:ligatures w14:val="none"/>
        </w:rPr>
        <w:t xml:space="preserve"> unavailability </w:t>
      </w:r>
      <w:r w:rsidR="00230A3E" w:rsidRPr="000C57AC">
        <w:rPr>
          <w:rFonts w:ascii="Times New Roman" w:eastAsia="Times New Roman" w:hAnsi="Times New Roman" w:cs="Times New Roman"/>
          <w:color w:val="000000"/>
          <w:kern w:val="0"/>
          <w:sz w:val="28"/>
          <w:szCs w:val="28"/>
          <w14:ligatures w14:val="none"/>
        </w:rPr>
        <w:t xml:space="preserve">could </w:t>
      </w:r>
      <w:r w:rsidRPr="000C57AC">
        <w:rPr>
          <w:rFonts w:ascii="Times New Roman" w:eastAsia="Times New Roman" w:hAnsi="Times New Roman" w:cs="Times New Roman"/>
          <w:color w:val="000000"/>
          <w:kern w:val="0"/>
          <w:sz w:val="28"/>
          <w:szCs w:val="28"/>
          <w14:ligatures w14:val="none"/>
        </w:rPr>
        <w:t xml:space="preserve">give rise to </w:t>
      </w:r>
      <w:r w:rsidR="00230A3E" w:rsidRPr="000C57AC">
        <w:rPr>
          <w:rFonts w:ascii="Times New Roman" w:eastAsia="Times New Roman" w:hAnsi="Times New Roman" w:cs="Times New Roman"/>
          <w:color w:val="000000"/>
          <w:kern w:val="0"/>
          <w:sz w:val="28"/>
          <w:szCs w:val="28"/>
          <w14:ligatures w14:val="none"/>
        </w:rPr>
        <w:t>claims</w:t>
      </w:r>
      <w:r w:rsidRPr="000C57AC">
        <w:rPr>
          <w:rFonts w:ascii="Times New Roman" w:eastAsia="Times New Roman" w:hAnsi="Times New Roman" w:cs="Times New Roman"/>
          <w:color w:val="000000"/>
          <w:kern w:val="0"/>
          <w:sz w:val="28"/>
          <w:szCs w:val="28"/>
          <w14:ligatures w14:val="none"/>
        </w:rPr>
        <w:t xml:space="preserve"> of undue hardship. </w:t>
      </w:r>
      <w:r w:rsidRPr="000C57AC">
        <w:rPr>
          <w:rFonts w:ascii="Times New Roman" w:eastAsia="Times New Roman" w:hAnsi="Times New Roman" w:cs="Times New Roman"/>
          <w:i/>
          <w:iCs/>
          <w:color w:val="000000"/>
          <w:kern w:val="0"/>
          <w:sz w:val="28"/>
          <w:szCs w:val="28"/>
          <w14:ligatures w14:val="none"/>
        </w:rPr>
        <w:t>In re Omega Protein Inc.</w:t>
      </w:r>
      <w:r w:rsidRPr="000C57AC">
        <w:rPr>
          <w:rFonts w:ascii="Times New Roman" w:eastAsia="Times New Roman" w:hAnsi="Times New Roman" w:cs="Times New Roman"/>
          <w:color w:val="000000"/>
          <w:kern w:val="0"/>
          <w:sz w:val="28"/>
          <w:szCs w:val="28"/>
          <w14:ligatures w14:val="none"/>
        </w:rPr>
        <w:t xml:space="preserve">, No. 2:04-CV-2071, 2007 WL 165494, at *3 (W.D. La. Jan. 17, 2007) (mem.) (concluding key witnesses’ unavailability </w:t>
      </w:r>
      <w:r w:rsidR="00E91DAC" w:rsidRPr="000C57AC">
        <w:rPr>
          <w:rFonts w:ascii="Times New Roman" w:eastAsia="Times New Roman" w:hAnsi="Times New Roman" w:cs="Times New Roman"/>
          <w:color w:val="000000"/>
          <w:kern w:val="0"/>
          <w:sz w:val="28"/>
          <w:szCs w:val="28"/>
          <w14:ligatures w14:val="none"/>
        </w:rPr>
        <w:t>constituted</w:t>
      </w:r>
      <w:r w:rsidRPr="000C57AC">
        <w:rPr>
          <w:rFonts w:ascii="Times New Roman" w:eastAsia="Times New Roman" w:hAnsi="Times New Roman" w:cs="Times New Roman"/>
          <w:color w:val="000000"/>
          <w:kern w:val="0"/>
          <w:sz w:val="28"/>
          <w:szCs w:val="28"/>
          <w14:ligatures w14:val="none"/>
        </w:rPr>
        <w:t xml:space="preserve"> undue hardship w</w:t>
      </w:r>
      <w:r w:rsidR="00E91DAC" w:rsidRPr="000C57AC">
        <w:rPr>
          <w:rFonts w:ascii="Times New Roman" w:eastAsia="Times New Roman" w:hAnsi="Times New Roman" w:cs="Times New Roman"/>
          <w:color w:val="000000"/>
          <w:kern w:val="0"/>
          <w:sz w:val="28"/>
          <w:szCs w:val="28"/>
          <w14:ligatures w14:val="none"/>
        </w:rPr>
        <w:t>hen</w:t>
      </w:r>
      <w:r w:rsidRPr="000C57AC">
        <w:rPr>
          <w:rFonts w:ascii="Times New Roman" w:eastAsia="Times New Roman" w:hAnsi="Times New Roman" w:cs="Times New Roman"/>
          <w:color w:val="000000"/>
          <w:kern w:val="0"/>
          <w:sz w:val="28"/>
          <w:szCs w:val="28"/>
          <w14:ligatures w14:val="none"/>
        </w:rPr>
        <w:t xml:space="preserve"> </w:t>
      </w:r>
      <w:r w:rsidR="00E91DAC" w:rsidRPr="000C57AC">
        <w:rPr>
          <w:rFonts w:ascii="Times New Roman" w:eastAsia="Times New Roman" w:hAnsi="Times New Roman" w:cs="Times New Roman"/>
          <w:color w:val="000000"/>
          <w:kern w:val="0"/>
          <w:sz w:val="28"/>
          <w:szCs w:val="28"/>
          <w14:ligatures w14:val="none"/>
        </w:rPr>
        <w:t>“</w:t>
      </w:r>
      <w:r w:rsidRPr="000C57AC">
        <w:rPr>
          <w:rFonts w:ascii="Times New Roman" w:eastAsia="Times New Roman" w:hAnsi="Times New Roman" w:cs="Times New Roman"/>
          <w:color w:val="000000"/>
          <w:kern w:val="0"/>
          <w:sz w:val="28"/>
          <w:szCs w:val="28"/>
          <w14:ligatures w14:val="none"/>
        </w:rPr>
        <w:t xml:space="preserve">three separate investigators </w:t>
      </w:r>
      <w:r w:rsidR="00E91DAC" w:rsidRPr="000C57AC">
        <w:rPr>
          <w:rFonts w:ascii="Times New Roman" w:eastAsia="Times New Roman" w:hAnsi="Times New Roman" w:cs="Times New Roman"/>
          <w:color w:val="000000"/>
          <w:kern w:val="0"/>
          <w:sz w:val="28"/>
          <w:szCs w:val="28"/>
          <w14:ligatures w14:val="none"/>
        </w:rPr>
        <w:t xml:space="preserve">and </w:t>
      </w:r>
      <w:r w:rsidRPr="000C57AC">
        <w:rPr>
          <w:rFonts w:ascii="Times New Roman" w:eastAsia="Times New Roman" w:hAnsi="Times New Roman" w:cs="Times New Roman"/>
          <w:color w:val="000000"/>
          <w:kern w:val="0"/>
          <w:sz w:val="28"/>
          <w:szCs w:val="28"/>
          <w14:ligatures w14:val="none"/>
        </w:rPr>
        <w:t xml:space="preserve">$4,800 </w:t>
      </w:r>
      <w:r w:rsidR="00E91DAC" w:rsidRPr="000C57AC">
        <w:rPr>
          <w:rFonts w:ascii="Times New Roman" w:eastAsia="Times New Roman" w:hAnsi="Times New Roman" w:cs="Times New Roman"/>
          <w:color w:val="000000"/>
          <w:kern w:val="0"/>
          <w:sz w:val="28"/>
          <w:szCs w:val="28"/>
          <w14:ligatures w14:val="none"/>
        </w:rPr>
        <w:t>failed</w:t>
      </w:r>
      <w:r w:rsidRPr="000C57AC">
        <w:rPr>
          <w:rFonts w:ascii="Times New Roman" w:eastAsia="Times New Roman" w:hAnsi="Times New Roman" w:cs="Times New Roman"/>
          <w:color w:val="000000"/>
          <w:kern w:val="0"/>
          <w:sz w:val="28"/>
          <w:szCs w:val="28"/>
          <w14:ligatures w14:val="none"/>
        </w:rPr>
        <w:t>).</w:t>
      </w:r>
      <w:r w:rsidR="003F1CD1" w:rsidRPr="000C57AC">
        <w:rPr>
          <w:rFonts w:ascii="Times New Roman" w:eastAsia="Times New Roman" w:hAnsi="Times New Roman" w:cs="Times New Roman"/>
          <w:color w:val="000000"/>
          <w:kern w:val="0"/>
          <w:sz w:val="28"/>
          <w:szCs w:val="28"/>
          <w14:ligatures w14:val="none"/>
        </w:rPr>
        <w:fldChar w:fldCharType="begin"/>
      </w:r>
      <w:r w:rsidR="003F1CD1" w:rsidRPr="000C57AC">
        <w:rPr>
          <w:rFonts w:ascii="Times New Roman" w:hAnsi="Times New Roman" w:cs="Times New Roman"/>
          <w:sz w:val="28"/>
          <w:szCs w:val="28"/>
        </w:rPr>
        <w:instrText xml:space="preserve"> TA \l "</w:instrText>
      </w:r>
      <w:r w:rsidR="003F1CD1" w:rsidRPr="000C57AC">
        <w:rPr>
          <w:rFonts w:ascii="Times New Roman" w:eastAsia="Times New Roman" w:hAnsi="Times New Roman" w:cs="Times New Roman"/>
          <w:i/>
          <w:iCs/>
          <w:color w:val="000000"/>
          <w:kern w:val="0"/>
          <w:sz w:val="28"/>
          <w:szCs w:val="28"/>
          <w14:ligatures w14:val="none"/>
        </w:rPr>
        <w:instrText>In re Omega Protein Inc.</w:instrText>
      </w:r>
      <w:r w:rsidR="003F1CD1" w:rsidRPr="000C57AC">
        <w:rPr>
          <w:rFonts w:ascii="Times New Roman" w:eastAsia="Times New Roman" w:hAnsi="Times New Roman" w:cs="Times New Roman"/>
          <w:color w:val="000000"/>
          <w:kern w:val="0"/>
          <w:sz w:val="28"/>
          <w:szCs w:val="28"/>
          <w14:ligatures w14:val="none"/>
        </w:rPr>
        <w:instrText>, No. 2:04-CV-2071, 2007 WL 165494 (W.D. La. Jan. 17, 2007)</w:instrText>
      </w:r>
      <w:r w:rsidR="003F1CD1" w:rsidRPr="000C57AC">
        <w:rPr>
          <w:rFonts w:ascii="Times New Roman" w:hAnsi="Times New Roman" w:cs="Times New Roman"/>
          <w:sz w:val="28"/>
          <w:szCs w:val="28"/>
        </w:rPr>
        <w:instrText xml:space="preserve">" \s "In re Omega Protein Inc., No. 2:04-CV-2071, 2007 WL 165494 (W.D. La. Jan. 17, 2007)" \c 10 </w:instrText>
      </w:r>
      <w:r w:rsidR="003F1CD1" w:rsidRPr="000C57AC">
        <w:rPr>
          <w:rFonts w:ascii="Times New Roman" w:eastAsia="Times New Roman" w:hAnsi="Times New Roman" w:cs="Times New Roman"/>
          <w:color w:val="000000"/>
          <w:kern w:val="0"/>
          <w:sz w:val="28"/>
          <w:szCs w:val="28"/>
          <w14:ligatures w14:val="none"/>
        </w:rPr>
        <w:fldChar w:fldCharType="end"/>
      </w:r>
    </w:p>
    <w:p w14:paraId="3645C438" w14:textId="071D5112" w:rsidR="006D1C37" w:rsidRPr="000C57AC" w:rsidRDefault="006D1C37"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 xml:space="preserve">Even if this Court concludes the interview notes are fact work product, the Government cannot prove its “heavy burden” to overcome the privilege. </w:t>
      </w:r>
      <w:r w:rsidRPr="000C57AC">
        <w:rPr>
          <w:rFonts w:ascii="Times New Roman" w:eastAsia="Times New Roman" w:hAnsi="Times New Roman" w:cs="Times New Roman"/>
          <w:i/>
          <w:iCs/>
          <w:color w:val="000000"/>
          <w:kern w:val="0"/>
          <w:sz w:val="28"/>
          <w:szCs w:val="28"/>
          <w14:ligatures w14:val="none"/>
        </w:rPr>
        <w:t>Bibby</w:t>
      </w:r>
      <w:r w:rsidRPr="000C57AC">
        <w:rPr>
          <w:rFonts w:ascii="Times New Roman" w:eastAsia="Times New Roman" w:hAnsi="Times New Roman" w:cs="Times New Roman"/>
          <w:color w:val="000000"/>
          <w:kern w:val="0"/>
          <w:sz w:val="28"/>
          <w:szCs w:val="28"/>
          <w14:ligatures w14:val="none"/>
        </w:rPr>
        <w:t xml:space="preserve">, 165 </w:t>
      </w:r>
      <w:r w:rsidRPr="000C57AC">
        <w:rPr>
          <w:rFonts w:ascii="Times New Roman" w:eastAsia="Times New Roman" w:hAnsi="Times New Roman" w:cs="Times New Roman"/>
          <w:color w:val="000000"/>
          <w:kern w:val="0"/>
          <w:sz w:val="28"/>
          <w:szCs w:val="28"/>
          <w14:ligatures w14:val="none"/>
        </w:rPr>
        <w:lastRenderedPageBreak/>
        <w:t>F. Supp. at 1327.</w:t>
      </w:r>
      <w:r w:rsidR="003F1CD1" w:rsidRPr="000C57AC">
        <w:rPr>
          <w:rFonts w:ascii="Times New Roman" w:eastAsia="Times New Roman" w:hAnsi="Times New Roman" w:cs="Times New Roman"/>
          <w:color w:val="000000"/>
          <w:kern w:val="0"/>
          <w:sz w:val="28"/>
          <w:szCs w:val="28"/>
          <w14:ligatures w14:val="none"/>
        </w:rPr>
        <w:fldChar w:fldCharType="begin"/>
      </w:r>
      <w:r w:rsidR="003F1CD1" w:rsidRPr="000C57AC">
        <w:rPr>
          <w:rFonts w:ascii="Times New Roman" w:hAnsi="Times New Roman" w:cs="Times New Roman"/>
          <w:sz w:val="28"/>
          <w:szCs w:val="28"/>
        </w:rPr>
        <w:instrText xml:space="preserve"> TA \s "United States ex rel. Bibby v. Wells Fargo, N.A., 165 F. Supp. 1319 (N.D. Ga. 2015)." </w:instrText>
      </w:r>
      <w:r w:rsidR="003F1CD1"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xml:space="preserve"> Unlike the surreptitious recordings in </w:t>
      </w:r>
      <w:r w:rsidRPr="000C57AC">
        <w:rPr>
          <w:rFonts w:ascii="Times New Roman" w:eastAsia="Times New Roman" w:hAnsi="Times New Roman" w:cs="Times New Roman"/>
          <w:i/>
          <w:iCs/>
          <w:color w:val="000000"/>
          <w:kern w:val="0"/>
          <w:sz w:val="28"/>
          <w:szCs w:val="28"/>
          <w14:ligatures w14:val="none"/>
        </w:rPr>
        <w:t>Grand Jury Subpoena Dated July 6, 2005</w:t>
      </w:r>
      <w:r w:rsidRPr="000C57AC">
        <w:rPr>
          <w:rFonts w:ascii="Times New Roman" w:eastAsia="Times New Roman" w:hAnsi="Times New Roman" w:cs="Times New Roman"/>
          <w:color w:val="000000"/>
          <w:kern w:val="0"/>
          <w:sz w:val="28"/>
          <w:szCs w:val="28"/>
          <w14:ligatures w14:val="none"/>
        </w:rPr>
        <w:t xml:space="preserve">, nothing in Seton’s interview was in an unrepeatable form to show an unvarnished, unique perspective about Ms. Calloway’s role. Seton was “careful, but forthcoming” and once they got going, “Sierra opened up more than </w:t>
      </w:r>
      <w:proofErr w:type="gramStart"/>
      <w:r w:rsidRPr="000C57AC">
        <w:rPr>
          <w:rFonts w:ascii="Times New Roman" w:eastAsia="Times New Roman" w:hAnsi="Times New Roman" w:cs="Times New Roman"/>
          <w:color w:val="000000"/>
          <w:kern w:val="0"/>
          <w:sz w:val="28"/>
          <w:szCs w:val="28"/>
          <w14:ligatures w14:val="none"/>
        </w:rPr>
        <w:t>[ ]</w:t>
      </w:r>
      <w:proofErr w:type="gramEnd"/>
      <w:r w:rsidRPr="000C57AC">
        <w:rPr>
          <w:rFonts w:ascii="Times New Roman" w:eastAsia="Times New Roman" w:hAnsi="Times New Roman" w:cs="Times New Roman"/>
          <w:color w:val="000000"/>
          <w:kern w:val="0"/>
          <w:sz w:val="28"/>
          <w:szCs w:val="28"/>
          <w14:ligatures w14:val="none"/>
        </w:rPr>
        <w:t xml:space="preserve"> expected.” (Armana Dep. 45:107–108, 110). Nothing suggests Seton would </w:t>
      </w:r>
      <w:r w:rsidR="005E1A0B" w:rsidRPr="000C57AC">
        <w:rPr>
          <w:rFonts w:ascii="Times New Roman" w:eastAsia="Times New Roman" w:hAnsi="Times New Roman" w:cs="Times New Roman"/>
          <w:color w:val="000000"/>
          <w:kern w:val="0"/>
          <w:sz w:val="28"/>
          <w:szCs w:val="28"/>
          <w14:ligatures w14:val="none"/>
        </w:rPr>
        <w:t>not</w:t>
      </w:r>
      <w:r w:rsidRPr="000C57AC">
        <w:rPr>
          <w:rFonts w:ascii="Times New Roman" w:eastAsia="Times New Roman" w:hAnsi="Times New Roman" w:cs="Times New Roman"/>
          <w:color w:val="000000"/>
          <w:kern w:val="0"/>
          <w:sz w:val="28"/>
          <w:szCs w:val="28"/>
          <w14:ligatures w14:val="none"/>
        </w:rPr>
        <w:t xml:space="preserve"> coopera</w:t>
      </w:r>
      <w:r w:rsidR="005E1A0B" w:rsidRPr="000C57AC">
        <w:rPr>
          <w:rFonts w:ascii="Times New Roman" w:eastAsia="Times New Roman" w:hAnsi="Times New Roman" w:cs="Times New Roman"/>
          <w:color w:val="000000"/>
          <w:kern w:val="0"/>
          <w:sz w:val="28"/>
          <w:szCs w:val="28"/>
          <w14:ligatures w14:val="none"/>
        </w:rPr>
        <w:t>t</w:t>
      </w:r>
      <w:r w:rsidRPr="000C57AC">
        <w:rPr>
          <w:rFonts w:ascii="Times New Roman" w:eastAsia="Times New Roman" w:hAnsi="Times New Roman" w:cs="Times New Roman"/>
          <w:color w:val="000000"/>
          <w:kern w:val="0"/>
          <w:sz w:val="28"/>
          <w:szCs w:val="28"/>
          <w14:ligatures w14:val="none"/>
        </w:rPr>
        <w:t>e</w:t>
      </w:r>
      <w:r w:rsidR="005E1A0B" w:rsidRPr="000C57AC">
        <w:rPr>
          <w:rFonts w:ascii="Times New Roman" w:eastAsia="Times New Roman" w:hAnsi="Times New Roman" w:cs="Times New Roman"/>
          <w:color w:val="000000"/>
          <w:kern w:val="0"/>
          <w:sz w:val="28"/>
          <w:szCs w:val="28"/>
          <w14:ligatures w14:val="none"/>
        </w:rPr>
        <w:t xml:space="preserve"> again,</w:t>
      </w:r>
      <w:r w:rsidRPr="000C57AC">
        <w:rPr>
          <w:rFonts w:ascii="Times New Roman" w:eastAsia="Times New Roman" w:hAnsi="Times New Roman" w:cs="Times New Roman"/>
          <w:color w:val="000000"/>
          <w:kern w:val="0"/>
          <w:sz w:val="28"/>
          <w:szCs w:val="28"/>
          <w14:ligatures w14:val="none"/>
        </w:rPr>
        <w:t xml:space="preserve"> and the Government has never identified “new information” it hopes to find in the interview notes. </w:t>
      </w:r>
      <w:r w:rsidRPr="000C57AC">
        <w:rPr>
          <w:rFonts w:ascii="Times New Roman" w:eastAsia="Times New Roman" w:hAnsi="Times New Roman" w:cs="Times New Roman"/>
          <w:i/>
          <w:iCs/>
          <w:color w:val="000000"/>
          <w:kern w:val="0"/>
          <w:sz w:val="28"/>
          <w:szCs w:val="28"/>
          <w14:ligatures w14:val="none"/>
        </w:rPr>
        <w:t>Vinson &amp; Elkins</w:t>
      </w:r>
      <w:r w:rsidRPr="000C57AC">
        <w:rPr>
          <w:rFonts w:ascii="Times New Roman" w:eastAsia="Times New Roman" w:hAnsi="Times New Roman" w:cs="Times New Roman"/>
          <w:color w:val="000000"/>
          <w:kern w:val="0"/>
          <w:sz w:val="28"/>
          <w:szCs w:val="28"/>
          <w14:ligatures w14:val="none"/>
        </w:rPr>
        <w:t>, 124 F.3d at 1308.</w:t>
      </w:r>
      <w:r w:rsidR="003F1CD1" w:rsidRPr="000C57AC">
        <w:rPr>
          <w:rFonts w:ascii="Times New Roman" w:eastAsia="Times New Roman" w:hAnsi="Times New Roman" w:cs="Times New Roman"/>
          <w:color w:val="000000"/>
          <w:kern w:val="0"/>
          <w:sz w:val="28"/>
          <w:szCs w:val="28"/>
          <w14:ligatures w14:val="none"/>
        </w:rPr>
        <w:fldChar w:fldCharType="begin"/>
      </w:r>
      <w:r w:rsidR="003F1CD1" w:rsidRPr="000C57AC">
        <w:rPr>
          <w:rFonts w:ascii="Times New Roman" w:hAnsi="Times New Roman" w:cs="Times New Roman"/>
          <w:sz w:val="28"/>
          <w:szCs w:val="28"/>
        </w:rPr>
        <w:instrText xml:space="preserve"> TA \s "Director, Office of Thrift Supervision v. Vinson &amp; Elkins, LLP, 124 F.3d 1304 (D.C. Cir. 1997)." </w:instrText>
      </w:r>
      <w:r w:rsidR="003F1CD1" w:rsidRPr="000C57AC">
        <w:rPr>
          <w:rFonts w:ascii="Times New Roman" w:eastAsia="Times New Roman" w:hAnsi="Times New Roman" w:cs="Times New Roman"/>
          <w:color w:val="000000"/>
          <w:kern w:val="0"/>
          <w:sz w:val="28"/>
          <w:szCs w:val="28"/>
          <w14:ligatures w14:val="none"/>
        </w:rPr>
        <w:fldChar w:fldCharType="end"/>
      </w:r>
      <w:r w:rsidRPr="000C57AC">
        <w:rPr>
          <w:rFonts w:ascii="Times New Roman" w:eastAsia="Times New Roman" w:hAnsi="Times New Roman" w:cs="Times New Roman"/>
          <w:color w:val="000000"/>
          <w:kern w:val="0"/>
          <w:sz w:val="28"/>
          <w:szCs w:val="28"/>
          <w14:ligatures w14:val="none"/>
        </w:rPr>
        <w:t> </w:t>
      </w:r>
    </w:p>
    <w:p w14:paraId="1A35E5B0" w14:textId="20B96184" w:rsidR="00726D46" w:rsidRPr="000C57AC" w:rsidRDefault="005E1A0B" w:rsidP="006D1C37">
      <w:pPr>
        <w:spacing w:line="480" w:lineRule="auto"/>
        <w:ind w:firstLine="720"/>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Pursuant to</w:t>
      </w:r>
      <w:r w:rsidR="006D1C37" w:rsidRPr="000C57AC">
        <w:rPr>
          <w:rFonts w:ascii="Times New Roman" w:eastAsia="Times New Roman" w:hAnsi="Times New Roman" w:cs="Times New Roman"/>
          <w:color w:val="000000"/>
          <w:kern w:val="0"/>
          <w:sz w:val="28"/>
          <w:szCs w:val="28"/>
          <w14:ligatures w14:val="none"/>
        </w:rPr>
        <w:t xml:space="preserve"> </w:t>
      </w:r>
      <w:proofErr w:type="gramStart"/>
      <w:r w:rsidR="006D1C37" w:rsidRPr="000C57AC">
        <w:rPr>
          <w:rFonts w:ascii="Times New Roman" w:eastAsia="Times New Roman" w:hAnsi="Times New Roman" w:cs="Times New Roman"/>
          <w:i/>
          <w:iCs/>
          <w:color w:val="000000"/>
          <w:kern w:val="0"/>
          <w:sz w:val="28"/>
          <w:szCs w:val="28"/>
          <w14:ligatures w14:val="none"/>
        </w:rPr>
        <w:t>In</w:t>
      </w:r>
      <w:proofErr w:type="gramEnd"/>
      <w:r w:rsidR="006D1C37" w:rsidRPr="000C57AC">
        <w:rPr>
          <w:rFonts w:ascii="Times New Roman" w:eastAsia="Times New Roman" w:hAnsi="Times New Roman" w:cs="Times New Roman"/>
          <w:i/>
          <w:iCs/>
          <w:color w:val="000000"/>
          <w:kern w:val="0"/>
          <w:sz w:val="28"/>
          <w:szCs w:val="28"/>
          <w14:ligatures w14:val="none"/>
        </w:rPr>
        <w:t xml:space="preserve"> </w:t>
      </w:r>
      <w:proofErr w:type="gramStart"/>
      <w:r w:rsidR="006D1C37" w:rsidRPr="000C57AC">
        <w:rPr>
          <w:rFonts w:ascii="Times New Roman" w:eastAsia="Times New Roman" w:hAnsi="Times New Roman" w:cs="Times New Roman"/>
          <w:i/>
          <w:iCs/>
          <w:color w:val="000000"/>
          <w:kern w:val="0"/>
          <w:sz w:val="28"/>
          <w:szCs w:val="28"/>
          <w14:ligatures w14:val="none"/>
        </w:rPr>
        <w:t>re</w:t>
      </w:r>
      <w:proofErr w:type="gramEnd"/>
      <w:r w:rsidR="006D1C37" w:rsidRPr="000C57AC">
        <w:rPr>
          <w:rFonts w:ascii="Times New Roman" w:eastAsia="Times New Roman" w:hAnsi="Times New Roman" w:cs="Times New Roman"/>
          <w:i/>
          <w:iCs/>
          <w:color w:val="000000"/>
          <w:kern w:val="0"/>
          <w:sz w:val="28"/>
          <w:szCs w:val="28"/>
          <w14:ligatures w14:val="none"/>
        </w:rPr>
        <w:t xml:space="preserve"> Grand Jury Investigation</w:t>
      </w:r>
      <w:r w:rsidR="006D1C37" w:rsidRPr="000C57AC">
        <w:rPr>
          <w:rFonts w:ascii="Times New Roman" w:eastAsia="Times New Roman" w:hAnsi="Times New Roman" w:cs="Times New Roman"/>
          <w:color w:val="000000"/>
          <w:kern w:val="0"/>
          <w:sz w:val="28"/>
          <w:szCs w:val="28"/>
          <w14:ligatures w14:val="none"/>
        </w:rPr>
        <w:t xml:space="preserve">, the </w:t>
      </w:r>
      <w:r w:rsidRPr="000C57AC">
        <w:rPr>
          <w:rFonts w:ascii="Times New Roman" w:eastAsia="Times New Roman" w:hAnsi="Times New Roman" w:cs="Times New Roman"/>
          <w:color w:val="000000"/>
          <w:kern w:val="0"/>
          <w:sz w:val="28"/>
          <w:szCs w:val="28"/>
          <w14:ligatures w14:val="none"/>
        </w:rPr>
        <w:t>G</w:t>
      </w:r>
      <w:r w:rsidR="006D1C37" w:rsidRPr="000C57AC">
        <w:rPr>
          <w:rFonts w:ascii="Times New Roman" w:eastAsia="Times New Roman" w:hAnsi="Times New Roman" w:cs="Times New Roman"/>
          <w:color w:val="000000"/>
          <w:kern w:val="0"/>
          <w:sz w:val="28"/>
          <w:szCs w:val="28"/>
          <w14:ligatures w14:val="none"/>
        </w:rPr>
        <w:t>overnment should have made reasonable effort</w:t>
      </w:r>
      <w:r w:rsidRPr="000C57AC">
        <w:rPr>
          <w:rFonts w:ascii="Times New Roman" w:eastAsia="Times New Roman" w:hAnsi="Times New Roman" w:cs="Times New Roman"/>
          <w:color w:val="000000"/>
          <w:kern w:val="0"/>
          <w:sz w:val="28"/>
          <w:szCs w:val="28"/>
          <w14:ligatures w14:val="none"/>
        </w:rPr>
        <w:t>s</w:t>
      </w:r>
      <w:r w:rsidR="006D1C37" w:rsidRPr="000C57AC">
        <w:rPr>
          <w:rFonts w:ascii="Times New Roman" w:eastAsia="Times New Roman" w:hAnsi="Times New Roman" w:cs="Times New Roman"/>
          <w:color w:val="000000"/>
          <w:kern w:val="0"/>
          <w:sz w:val="28"/>
          <w:szCs w:val="28"/>
          <w14:ligatures w14:val="none"/>
        </w:rPr>
        <w:t xml:space="preserve"> to secure Seton’s testimony before attempting to invade </w:t>
      </w:r>
      <w:proofErr w:type="gramStart"/>
      <w:r w:rsidR="006D1C37" w:rsidRPr="000C57AC">
        <w:rPr>
          <w:rFonts w:ascii="Times New Roman" w:eastAsia="Times New Roman" w:hAnsi="Times New Roman" w:cs="Times New Roman"/>
          <w:color w:val="000000"/>
          <w:kern w:val="0"/>
          <w:sz w:val="28"/>
          <w:szCs w:val="28"/>
          <w14:ligatures w14:val="none"/>
        </w:rPr>
        <w:t xml:space="preserve">an </w:t>
      </w:r>
      <w:r w:rsidRPr="000C57AC">
        <w:rPr>
          <w:rFonts w:ascii="Times New Roman" w:eastAsia="Times New Roman" w:hAnsi="Times New Roman" w:cs="Times New Roman"/>
          <w:color w:val="000000"/>
          <w:kern w:val="0"/>
          <w:sz w:val="28"/>
          <w:szCs w:val="28"/>
          <w14:ligatures w14:val="none"/>
        </w:rPr>
        <w:t>the</w:t>
      </w:r>
      <w:proofErr w:type="gramEnd"/>
      <w:r w:rsidRPr="000C57AC">
        <w:rPr>
          <w:rFonts w:ascii="Times New Roman" w:eastAsia="Times New Roman" w:hAnsi="Times New Roman" w:cs="Times New Roman"/>
          <w:color w:val="000000"/>
          <w:kern w:val="0"/>
          <w:sz w:val="28"/>
          <w:szCs w:val="28"/>
          <w14:ligatures w14:val="none"/>
        </w:rPr>
        <w:t xml:space="preserve"> </w:t>
      </w:r>
      <w:r w:rsidR="006D1C37" w:rsidRPr="000C57AC">
        <w:rPr>
          <w:rFonts w:ascii="Times New Roman" w:eastAsia="Times New Roman" w:hAnsi="Times New Roman" w:cs="Times New Roman"/>
          <w:color w:val="000000"/>
          <w:kern w:val="0"/>
          <w:sz w:val="28"/>
          <w:szCs w:val="28"/>
          <w14:ligatures w14:val="none"/>
        </w:rPr>
        <w:t>files.</w:t>
      </w:r>
      <w:r w:rsidRPr="000C57AC">
        <w:rPr>
          <w:rFonts w:ascii="Times New Roman" w:eastAsia="Times New Roman" w:hAnsi="Times New Roman" w:cs="Times New Roman"/>
          <w:color w:val="000000"/>
          <w:kern w:val="0"/>
          <w:sz w:val="28"/>
          <w:szCs w:val="28"/>
          <w14:ligatures w14:val="none"/>
        </w:rPr>
        <w:t xml:space="preserve"> </w:t>
      </w:r>
      <w:r w:rsidR="006D1C37" w:rsidRPr="000C57AC">
        <w:rPr>
          <w:rFonts w:ascii="Times New Roman" w:eastAsia="Times New Roman" w:hAnsi="Times New Roman" w:cs="Times New Roman"/>
          <w:color w:val="000000"/>
          <w:kern w:val="0"/>
          <w:sz w:val="28"/>
          <w:szCs w:val="28"/>
          <w14:ligatures w14:val="none"/>
        </w:rPr>
        <w:t>Even though Seton “allegedly” ran away, the Government has not confirmed her location. (Sinclair Dep. 18:394–96). They can</w:t>
      </w:r>
      <w:r w:rsidRPr="000C57AC">
        <w:rPr>
          <w:rFonts w:ascii="Times New Roman" w:eastAsia="Times New Roman" w:hAnsi="Times New Roman" w:cs="Times New Roman"/>
          <w:color w:val="000000"/>
          <w:kern w:val="0"/>
          <w:sz w:val="28"/>
          <w:szCs w:val="28"/>
          <w14:ligatures w14:val="none"/>
        </w:rPr>
        <w:t>not</w:t>
      </w:r>
      <w:r w:rsidR="006D1C37" w:rsidRPr="000C57AC">
        <w:rPr>
          <w:rFonts w:ascii="Times New Roman" w:eastAsia="Times New Roman" w:hAnsi="Times New Roman" w:cs="Times New Roman"/>
          <w:color w:val="000000"/>
          <w:kern w:val="0"/>
          <w:sz w:val="28"/>
          <w:szCs w:val="28"/>
          <w14:ligatures w14:val="none"/>
        </w:rPr>
        <w:t xml:space="preserve"> claim that Seton is unavailable when “last [they] heard [S</w:t>
      </w:r>
      <w:r w:rsidRPr="000C57AC">
        <w:rPr>
          <w:rFonts w:ascii="Times New Roman" w:eastAsia="Times New Roman" w:hAnsi="Times New Roman" w:cs="Times New Roman"/>
          <w:color w:val="000000"/>
          <w:kern w:val="0"/>
          <w:sz w:val="28"/>
          <w:szCs w:val="28"/>
          <w14:ligatures w14:val="none"/>
        </w:rPr>
        <w:t>eton</w:t>
      </w:r>
      <w:r w:rsidR="006D1C37" w:rsidRPr="000C57AC">
        <w:rPr>
          <w:rFonts w:ascii="Times New Roman" w:eastAsia="Times New Roman" w:hAnsi="Times New Roman" w:cs="Times New Roman"/>
          <w:color w:val="000000"/>
          <w:kern w:val="0"/>
          <w:sz w:val="28"/>
          <w:szCs w:val="28"/>
          <w14:ligatures w14:val="none"/>
        </w:rPr>
        <w:t xml:space="preserve"> is] somewhere off the coast of Spain.” (Sinclair Dep. 18:394–95). </w:t>
      </w:r>
      <w:r w:rsidRPr="000C57AC">
        <w:rPr>
          <w:rFonts w:ascii="Times New Roman" w:eastAsia="Times New Roman" w:hAnsi="Times New Roman" w:cs="Times New Roman"/>
          <w:color w:val="000000"/>
          <w:kern w:val="0"/>
          <w:sz w:val="28"/>
          <w:szCs w:val="28"/>
          <w14:ligatures w14:val="none"/>
        </w:rPr>
        <w:t>Utilizing</w:t>
      </w:r>
      <w:r w:rsidR="006D1C37" w:rsidRPr="000C57AC">
        <w:rPr>
          <w:rFonts w:ascii="Times New Roman" w:eastAsia="Times New Roman" w:hAnsi="Times New Roman" w:cs="Times New Roman"/>
          <w:color w:val="000000"/>
          <w:kern w:val="0"/>
          <w:sz w:val="28"/>
          <w:szCs w:val="28"/>
          <w14:ligatures w14:val="none"/>
        </w:rPr>
        <w:t xml:space="preserve"> three separate investigators and $4,800</w:t>
      </w:r>
      <w:r w:rsidRPr="000C57AC">
        <w:rPr>
          <w:rFonts w:ascii="Times New Roman" w:eastAsia="Times New Roman" w:hAnsi="Times New Roman" w:cs="Times New Roman"/>
          <w:color w:val="000000"/>
          <w:kern w:val="0"/>
          <w:sz w:val="28"/>
          <w:szCs w:val="28"/>
          <w14:ligatures w14:val="none"/>
        </w:rPr>
        <w:t xml:space="preserve"> to pursue a key witness</w:t>
      </w:r>
      <w:r w:rsidR="006D1C37" w:rsidRPr="000C57AC">
        <w:rPr>
          <w:rFonts w:ascii="Times New Roman" w:eastAsia="Times New Roman" w:hAnsi="Times New Roman" w:cs="Times New Roman"/>
          <w:color w:val="000000"/>
          <w:kern w:val="0"/>
          <w:sz w:val="28"/>
          <w:szCs w:val="28"/>
          <w14:ligatures w14:val="none"/>
        </w:rPr>
        <w:t xml:space="preserve"> in </w:t>
      </w:r>
      <w:r w:rsidR="006D1C37" w:rsidRPr="000C57AC">
        <w:rPr>
          <w:rFonts w:ascii="Times New Roman" w:eastAsia="Times New Roman" w:hAnsi="Times New Roman" w:cs="Times New Roman"/>
          <w:i/>
          <w:iCs/>
          <w:color w:val="000000"/>
          <w:kern w:val="0"/>
          <w:sz w:val="28"/>
          <w:szCs w:val="28"/>
          <w14:ligatures w14:val="none"/>
        </w:rPr>
        <w:t>Omega Protein</w:t>
      </w:r>
      <w:r w:rsidR="006D1C37"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color w:val="000000"/>
          <w:kern w:val="0"/>
          <w:sz w:val="28"/>
          <w:szCs w:val="28"/>
          <w14:ligatures w14:val="none"/>
        </w:rPr>
        <w:t xml:space="preserve">far exceeds the </w:t>
      </w:r>
      <w:r w:rsidR="006F6949" w:rsidRPr="000C57AC">
        <w:rPr>
          <w:rFonts w:ascii="Times New Roman" w:eastAsia="Times New Roman" w:hAnsi="Times New Roman" w:cs="Times New Roman"/>
          <w:color w:val="000000"/>
          <w:kern w:val="0"/>
          <w:sz w:val="28"/>
          <w:szCs w:val="28"/>
          <w14:ligatures w14:val="none"/>
        </w:rPr>
        <w:t>Government’s efforts</w:t>
      </w:r>
      <w:r w:rsidRPr="000C57AC">
        <w:rPr>
          <w:rFonts w:ascii="Times New Roman" w:eastAsia="Times New Roman" w:hAnsi="Times New Roman" w:cs="Times New Roman"/>
          <w:color w:val="000000"/>
          <w:kern w:val="0"/>
          <w:sz w:val="28"/>
          <w:szCs w:val="28"/>
          <w14:ligatures w14:val="none"/>
        </w:rPr>
        <w:t xml:space="preserve"> in</w:t>
      </w:r>
      <w:r w:rsidR="006D1C37" w:rsidRPr="000C57AC">
        <w:rPr>
          <w:rFonts w:ascii="Times New Roman" w:eastAsia="Times New Roman" w:hAnsi="Times New Roman" w:cs="Times New Roman"/>
          <w:color w:val="000000"/>
          <w:kern w:val="0"/>
          <w:sz w:val="28"/>
          <w:szCs w:val="28"/>
          <w14:ligatures w14:val="none"/>
        </w:rPr>
        <w:t xml:space="preserve"> th</w:t>
      </w:r>
      <w:r w:rsidR="003F1CD1" w:rsidRPr="000C57AC">
        <w:rPr>
          <w:rFonts w:ascii="Times New Roman" w:eastAsia="Times New Roman" w:hAnsi="Times New Roman" w:cs="Times New Roman"/>
          <w:color w:val="000000"/>
          <w:kern w:val="0"/>
          <w:sz w:val="28"/>
          <w:szCs w:val="28"/>
          <w14:ligatures w14:val="none"/>
        </w:rPr>
        <w:t>is case</w:t>
      </w:r>
      <w:r w:rsidR="006D1C37" w:rsidRPr="000C57AC">
        <w:rPr>
          <w:rFonts w:ascii="Times New Roman" w:eastAsia="Times New Roman" w:hAnsi="Times New Roman" w:cs="Times New Roman"/>
          <w:color w:val="000000"/>
          <w:kern w:val="0"/>
          <w:sz w:val="28"/>
          <w:szCs w:val="28"/>
          <w14:ligatures w14:val="none"/>
        </w:rPr>
        <w:t>. Neither Sinclair nor Nolan described any efforts to confirm Seton’s “alleged” location, and even if Seton is still out of the country, they are</w:t>
      </w:r>
      <w:r w:rsidR="00726D46" w:rsidRPr="000C57AC">
        <w:rPr>
          <w:rFonts w:ascii="Times New Roman" w:eastAsia="Times New Roman" w:hAnsi="Times New Roman" w:cs="Times New Roman"/>
          <w:color w:val="000000"/>
          <w:kern w:val="0"/>
          <w:sz w:val="28"/>
          <w:szCs w:val="28"/>
          <w14:ligatures w14:val="none"/>
        </w:rPr>
        <w:t xml:space="preserve"> </w:t>
      </w:r>
      <w:r w:rsidR="006D1C37" w:rsidRPr="000C57AC">
        <w:rPr>
          <w:rFonts w:ascii="Times New Roman" w:eastAsia="Times New Roman" w:hAnsi="Times New Roman" w:cs="Times New Roman"/>
          <w:color w:val="000000"/>
          <w:kern w:val="0"/>
          <w:sz w:val="28"/>
          <w:szCs w:val="28"/>
          <w14:ligatures w14:val="none"/>
        </w:rPr>
        <w:t xml:space="preserve">required to put “reasonable effort” into securing her testimony. </w:t>
      </w:r>
    </w:p>
    <w:p w14:paraId="65B59B77" w14:textId="03F64807" w:rsidR="006D1C37" w:rsidRPr="000C57AC" w:rsidRDefault="006D1C37" w:rsidP="001D2DB2">
      <w:pPr>
        <w:spacing w:line="480" w:lineRule="auto"/>
        <w:ind w:firstLine="720"/>
        <w:contextualSpacing/>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Thus, any suggestion from the Government that they have a substantial need or undue hardship in obtaining the substantial equivalent from Seton being unavailable would be “purely conjectural.”</w:t>
      </w:r>
      <w:r w:rsidR="00726D46" w:rsidRPr="000C57AC">
        <w:rPr>
          <w:rFonts w:ascii="Times New Roman" w:eastAsia="Times New Roman" w:hAnsi="Times New Roman" w:cs="Times New Roman"/>
          <w:color w:val="000000"/>
          <w:kern w:val="0"/>
          <w:sz w:val="28"/>
          <w:szCs w:val="28"/>
          <w14:ligatures w14:val="none"/>
        </w:rPr>
        <w:t xml:space="preserve"> </w:t>
      </w:r>
      <w:r w:rsidRPr="000C57AC">
        <w:rPr>
          <w:rFonts w:ascii="Times New Roman" w:eastAsia="Times New Roman" w:hAnsi="Times New Roman" w:cs="Times New Roman"/>
          <w:color w:val="000000"/>
          <w:kern w:val="0"/>
          <w:sz w:val="28"/>
          <w:szCs w:val="28"/>
          <w14:ligatures w14:val="none"/>
        </w:rPr>
        <w:t xml:space="preserve">In fact, the only person who described </w:t>
      </w:r>
      <w:r w:rsidRPr="000C57AC">
        <w:rPr>
          <w:rFonts w:ascii="Times New Roman" w:eastAsia="Times New Roman" w:hAnsi="Times New Roman" w:cs="Times New Roman"/>
          <w:color w:val="000000"/>
          <w:kern w:val="0"/>
          <w:sz w:val="28"/>
          <w:szCs w:val="28"/>
          <w14:ligatures w14:val="none"/>
        </w:rPr>
        <w:lastRenderedPageBreak/>
        <w:t>any efforts to confirm Seton’s location was Armana. (Armana Dep. 46:151–158). The Government cannot satisfy either the substantial need or undue hardship requirements necessary to overcome the protection of fact work product. </w:t>
      </w:r>
    </w:p>
    <w:p w14:paraId="07AAEA68" w14:textId="56DD8892" w:rsidR="006D1C37" w:rsidRPr="000C57AC" w:rsidRDefault="006D1C37" w:rsidP="001D2DB2">
      <w:pPr>
        <w:pStyle w:val="Heading1"/>
      </w:pPr>
      <w:bookmarkStart w:id="18" w:name="_Toc239122226"/>
      <w:bookmarkStart w:id="19" w:name="_Toc239122340"/>
      <w:bookmarkStart w:id="20" w:name="_Toc239145430"/>
      <w:r w:rsidRPr="000C57AC">
        <w:t>CONCLUSION</w:t>
      </w:r>
      <w:bookmarkEnd w:id="18"/>
      <w:bookmarkEnd w:id="19"/>
      <w:bookmarkEnd w:id="20"/>
    </w:p>
    <w:p w14:paraId="17DDBE9B" w14:textId="77777777" w:rsidR="006D1C37" w:rsidRPr="000C57AC" w:rsidRDefault="006D1C37" w:rsidP="001D2DB2">
      <w:pPr>
        <w:spacing w:line="480" w:lineRule="auto"/>
        <w:ind w:firstLine="720"/>
        <w:contextualSpacing/>
        <w:jc w:val="both"/>
        <w:rPr>
          <w:rFonts w:ascii="Times New Roman" w:eastAsia="Times New Roman" w:hAnsi="Times New Roman" w:cs="Times New Roman"/>
          <w:color w:val="000000"/>
          <w:kern w:val="0"/>
          <w:sz w:val="28"/>
          <w:szCs w:val="28"/>
          <w14:ligatures w14:val="none"/>
        </w:rPr>
      </w:pPr>
      <w:r w:rsidRPr="000C57AC">
        <w:rPr>
          <w:rFonts w:ascii="Times New Roman" w:eastAsia="Times New Roman" w:hAnsi="Times New Roman" w:cs="Times New Roman"/>
          <w:color w:val="000000"/>
          <w:kern w:val="0"/>
          <w:sz w:val="28"/>
          <w:szCs w:val="28"/>
          <w14:ligatures w14:val="none"/>
        </w:rPr>
        <w:t>For the foregoing reasons, Defendant respectfully requests that this Court grant their Motion to Suppress Evidence and the Motion to Quash. The Government derivatively used Ms. Calloway’s immunized testimony as an investigatory lead to discover the importance of Parker’s testimony and the Coastal account information. Therefore, the Government has failed to prove by a preponderance of the evidence that it had a legitimate, independent source for that evidence. Additionally, Maddox Armana’s notes from his interview with Sierra Seton are protected opinion work product. The Government cannot prove its burden of a substantial need and undue hardship in obtaining the equivalent of any information deemed otherwise. </w:t>
      </w:r>
    </w:p>
    <w:p w14:paraId="5EEB9BC2" w14:textId="77777777" w:rsidR="006D1C37" w:rsidRDefault="006D1C37" w:rsidP="006D1C37">
      <w:pPr>
        <w:spacing w:line="480" w:lineRule="auto"/>
        <w:ind w:firstLine="720"/>
        <w:jc w:val="both"/>
        <w:rPr>
          <w:rFonts w:ascii="Times New Roman" w:eastAsia="Times New Roman" w:hAnsi="Times New Roman" w:cs="Times New Roman"/>
          <w:color w:val="000000"/>
          <w:kern w:val="0"/>
          <w:sz w:val="26"/>
          <w:szCs w:val="26"/>
          <w14:ligatures w14:val="none"/>
        </w:rPr>
      </w:pPr>
    </w:p>
    <w:p w14:paraId="10A5EE7B" w14:textId="77777777" w:rsidR="006D1C37" w:rsidRPr="006D1C37" w:rsidRDefault="006D1C37" w:rsidP="006D1C37">
      <w:pPr>
        <w:jc w:val="right"/>
        <w:rPr>
          <w:rFonts w:ascii="Times New Roman" w:eastAsia="Times New Roman" w:hAnsi="Times New Roman" w:cs="Times New Roman"/>
          <w:color w:val="000000"/>
          <w:kern w:val="0"/>
          <w14:ligatures w14:val="none"/>
        </w:rPr>
      </w:pPr>
      <w:r w:rsidRPr="006D1C37">
        <w:rPr>
          <w:rFonts w:ascii="Times New Roman" w:eastAsia="Times New Roman" w:hAnsi="Times New Roman" w:cs="Times New Roman"/>
          <w:color w:val="000000"/>
          <w:kern w:val="0"/>
          <w:sz w:val="26"/>
          <w:szCs w:val="26"/>
          <w14:ligatures w14:val="none"/>
        </w:rPr>
        <w:br/>
        <w:t>Respectfully submitted, </w:t>
      </w:r>
    </w:p>
    <w:p w14:paraId="48BAAA84" w14:textId="77777777" w:rsidR="006D1C37" w:rsidRPr="006D1C37" w:rsidRDefault="006D1C37" w:rsidP="006D1C37">
      <w:pPr>
        <w:rPr>
          <w:rFonts w:ascii="Times New Roman" w:eastAsia="Times New Roman" w:hAnsi="Times New Roman" w:cs="Times New Roman"/>
          <w:color w:val="000000"/>
          <w:kern w:val="0"/>
          <w14:ligatures w14:val="none"/>
        </w:rPr>
      </w:pPr>
    </w:p>
    <w:p w14:paraId="3C2C6EE2" w14:textId="0BFF0BF3" w:rsidR="006D1C37" w:rsidRPr="006D1C37" w:rsidRDefault="006D1C37" w:rsidP="006D1C37">
      <w:pPr>
        <w:jc w:val="right"/>
        <w:rPr>
          <w:rFonts w:ascii="Times New Roman" w:eastAsia="Times New Roman" w:hAnsi="Times New Roman" w:cs="Times New Roman"/>
          <w:color w:val="000000"/>
          <w:kern w:val="0"/>
          <w14:ligatures w14:val="none"/>
        </w:rPr>
      </w:pPr>
      <w:r w:rsidRPr="006D1C37">
        <w:rPr>
          <w:rFonts w:ascii="Times New Roman" w:eastAsia="Times New Roman" w:hAnsi="Times New Roman" w:cs="Times New Roman"/>
          <w:color w:val="000000"/>
          <w:kern w:val="0"/>
          <w:sz w:val="26"/>
          <w:szCs w:val="26"/>
          <w:u w:val="single"/>
          <w14:ligatures w14:val="none"/>
        </w:rPr>
        <w:t xml:space="preserve">      /s/ Team </w:t>
      </w:r>
      <w:r>
        <w:rPr>
          <w:rFonts w:ascii="Times New Roman" w:eastAsia="Times New Roman" w:hAnsi="Times New Roman" w:cs="Times New Roman"/>
          <w:color w:val="000000"/>
          <w:kern w:val="0"/>
          <w:sz w:val="26"/>
          <w:szCs w:val="26"/>
          <w:u w:val="single"/>
          <w14:ligatures w14:val="none"/>
        </w:rPr>
        <w:t>310</w:t>
      </w:r>
    </w:p>
    <w:p w14:paraId="0FA6A148" w14:textId="77777777" w:rsidR="006D1C37" w:rsidRPr="006D1C37" w:rsidRDefault="006D1C37" w:rsidP="006D1C37">
      <w:pPr>
        <w:rPr>
          <w:rFonts w:ascii="Times New Roman" w:eastAsia="Times New Roman" w:hAnsi="Times New Roman" w:cs="Times New Roman"/>
          <w:color w:val="000000"/>
          <w:kern w:val="0"/>
          <w14:ligatures w14:val="none"/>
        </w:rPr>
      </w:pPr>
    </w:p>
    <w:p w14:paraId="0685FE15" w14:textId="77777777" w:rsidR="006D1C37" w:rsidRPr="006D1C37" w:rsidRDefault="006D1C37" w:rsidP="006D1C37">
      <w:pPr>
        <w:jc w:val="right"/>
        <w:rPr>
          <w:rFonts w:ascii="Times New Roman" w:eastAsia="Times New Roman" w:hAnsi="Times New Roman" w:cs="Times New Roman"/>
          <w:color w:val="000000"/>
          <w:kern w:val="0"/>
          <w14:ligatures w14:val="none"/>
        </w:rPr>
      </w:pPr>
      <w:r w:rsidRPr="006D1C37">
        <w:rPr>
          <w:rFonts w:ascii="Times New Roman" w:eastAsia="Times New Roman" w:hAnsi="Times New Roman" w:cs="Times New Roman"/>
          <w:i/>
          <w:iCs/>
          <w:color w:val="000000"/>
          <w:kern w:val="0"/>
          <w:sz w:val="26"/>
          <w:szCs w:val="26"/>
          <w14:ligatures w14:val="none"/>
        </w:rPr>
        <w:t>Attorneys for the Defense</w:t>
      </w:r>
    </w:p>
    <w:p w14:paraId="5D712493" w14:textId="77777777" w:rsidR="006D1C37" w:rsidRPr="006D1C37" w:rsidRDefault="006D1C37" w:rsidP="006D1C37">
      <w:pPr>
        <w:spacing w:after="240"/>
        <w:rPr>
          <w:rFonts w:ascii="Times New Roman" w:eastAsia="Times New Roman" w:hAnsi="Times New Roman" w:cs="Times New Roman"/>
          <w:kern w:val="0"/>
          <w14:ligatures w14:val="none"/>
        </w:rPr>
      </w:pPr>
    </w:p>
    <w:p w14:paraId="5894F70A" w14:textId="77777777" w:rsidR="006D1C37" w:rsidRPr="006D1C37" w:rsidRDefault="006D1C37" w:rsidP="006D1C37">
      <w:pPr>
        <w:rPr>
          <w:rFonts w:ascii="Times New Roman" w:eastAsia="Times New Roman" w:hAnsi="Times New Roman" w:cs="Times New Roman"/>
          <w:kern w:val="0"/>
          <w14:ligatures w14:val="none"/>
        </w:rPr>
      </w:pPr>
    </w:p>
    <w:p w14:paraId="51C42D35" w14:textId="77777777" w:rsidR="006D1C37" w:rsidRPr="006D1C37" w:rsidRDefault="006D1C37" w:rsidP="006D1C37">
      <w:pPr>
        <w:spacing w:line="480" w:lineRule="auto"/>
        <w:ind w:firstLine="720"/>
        <w:jc w:val="both"/>
        <w:rPr>
          <w:rFonts w:ascii="Times New Roman" w:eastAsia="Times New Roman" w:hAnsi="Times New Roman" w:cs="Times New Roman"/>
          <w:color w:val="000000"/>
          <w:kern w:val="0"/>
          <w14:ligatures w14:val="none"/>
        </w:rPr>
      </w:pPr>
    </w:p>
    <w:p w14:paraId="30E60039" w14:textId="77777777" w:rsidR="006D1C37" w:rsidRPr="006D1C37" w:rsidRDefault="006D1C37" w:rsidP="006D1C37">
      <w:pPr>
        <w:spacing w:after="240"/>
        <w:rPr>
          <w:rFonts w:ascii="Times New Roman" w:eastAsia="Times New Roman" w:hAnsi="Times New Roman" w:cs="Times New Roman"/>
          <w:kern w:val="0"/>
          <w14:ligatures w14:val="none"/>
        </w:rPr>
      </w:pPr>
    </w:p>
    <w:p w14:paraId="23DFB8E2" w14:textId="4A51CDCC" w:rsidR="006D1C37" w:rsidRPr="006D1C37" w:rsidRDefault="006D1C37" w:rsidP="000C57AC">
      <w:pPr>
        <w:tabs>
          <w:tab w:val="left" w:pos="3693"/>
        </w:tabs>
        <w:spacing w:line="480" w:lineRule="auto"/>
        <w:contextualSpacing/>
        <w:rPr>
          <w:rFonts w:ascii="Times New Roman" w:hAnsi="Times New Roman" w:cs="Times New Roman"/>
          <w:sz w:val="28"/>
          <w:szCs w:val="28"/>
        </w:rPr>
      </w:pPr>
    </w:p>
    <w:sectPr w:rsidR="006D1C37" w:rsidRPr="006D1C37" w:rsidSect="006D1C3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46B45" w14:textId="77777777" w:rsidR="00963DB4" w:rsidRDefault="00963DB4" w:rsidP="006D1C37">
      <w:r>
        <w:separator/>
      </w:r>
    </w:p>
  </w:endnote>
  <w:endnote w:type="continuationSeparator" w:id="0">
    <w:p w14:paraId="66304A30" w14:textId="77777777" w:rsidR="00963DB4" w:rsidRDefault="00963DB4" w:rsidP="006D1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9266854"/>
      <w:docPartObj>
        <w:docPartGallery w:val="Page Numbers (Bottom of Page)"/>
        <w:docPartUnique/>
      </w:docPartObj>
    </w:sdtPr>
    <w:sdtEndPr>
      <w:rPr>
        <w:rStyle w:val="PageNumber"/>
      </w:rPr>
    </w:sdtEndPr>
    <w:sdtContent>
      <w:p w14:paraId="0D6363F3" w14:textId="77777777" w:rsidR="006D1C37" w:rsidRDefault="006D1C37" w:rsidP="00964AE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FE0EAF" w14:textId="77777777" w:rsidR="006D1C37" w:rsidRDefault="006D1C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8"/>
        <w:szCs w:val="28"/>
      </w:rPr>
      <w:id w:val="-2059084923"/>
      <w:docPartObj>
        <w:docPartGallery w:val="Page Numbers (Bottom of Page)"/>
        <w:docPartUnique/>
      </w:docPartObj>
    </w:sdtPr>
    <w:sdtEndPr>
      <w:rPr>
        <w:rStyle w:val="PageNumber"/>
      </w:rPr>
    </w:sdtEndPr>
    <w:sdtContent>
      <w:p w14:paraId="075CD445" w14:textId="77777777" w:rsidR="006D1C37" w:rsidRPr="0077549C" w:rsidRDefault="006D1C37" w:rsidP="4494D3DD">
        <w:pPr>
          <w:pStyle w:val="Footer"/>
          <w:framePr w:wrap="none" w:vAnchor="text" w:hAnchor="margin" w:xAlign="center" w:y="1"/>
          <w:jc w:val="center"/>
          <w:rPr>
            <w:rStyle w:val="PageNumber"/>
            <w:sz w:val="28"/>
            <w:szCs w:val="28"/>
          </w:rPr>
        </w:pPr>
        <w:r w:rsidRPr="0077549C">
          <w:rPr>
            <w:rStyle w:val="PageNumber"/>
            <w:rFonts w:ascii="Times New Roman" w:hAnsi="Times New Roman" w:cs="Times New Roman"/>
            <w:sz w:val="28"/>
            <w:szCs w:val="28"/>
          </w:rPr>
          <w:fldChar w:fldCharType="begin"/>
        </w:r>
        <w:r w:rsidRPr="0077549C">
          <w:rPr>
            <w:rStyle w:val="PageNumber"/>
            <w:rFonts w:ascii="Times New Roman" w:hAnsi="Times New Roman" w:cs="Times New Roman"/>
            <w:sz w:val="28"/>
            <w:szCs w:val="28"/>
          </w:rPr>
          <w:instrText xml:space="preserve"> PAGE </w:instrText>
        </w:r>
        <w:r w:rsidRPr="0077549C">
          <w:rPr>
            <w:rStyle w:val="PageNumber"/>
            <w:rFonts w:ascii="Times New Roman" w:hAnsi="Times New Roman" w:cs="Times New Roman"/>
            <w:sz w:val="28"/>
            <w:szCs w:val="28"/>
          </w:rPr>
          <w:fldChar w:fldCharType="separate"/>
        </w:r>
        <w:r w:rsidRPr="0077549C">
          <w:rPr>
            <w:rStyle w:val="PageNumber"/>
            <w:rFonts w:ascii="Times New Roman" w:hAnsi="Times New Roman" w:cs="Times New Roman"/>
            <w:noProof/>
            <w:sz w:val="28"/>
            <w:szCs w:val="28"/>
          </w:rPr>
          <w:t>i</w:t>
        </w:r>
        <w:r w:rsidRPr="0077549C">
          <w:rPr>
            <w:rStyle w:val="PageNumber"/>
            <w:rFonts w:ascii="Times New Roman" w:hAnsi="Times New Roman" w:cs="Times New Roman"/>
            <w:sz w:val="28"/>
            <w:szCs w:val="28"/>
          </w:rPr>
          <w:fldChar w:fldCharType="end"/>
        </w:r>
      </w:p>
    </w:sdtContent>
  </w:sdt>
  <w:p w14:paraId="0F480AF3" w14:textId="77777777" w:rsidR="006D1C37" w:rsidRDefault="006D1C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311A4" w14:textId="77777777" w:rsidR="00963DB4" w:rsidRDefault="00963DB4" w:rsidP="006D1C37">
      <w:r>
        <w:separator/>
      </w:r>
    </w:p>
  </w:footnote>
  <w:footnote w:type="continuationSeparator" w:id="0">
    <w:p w14:paraId="73F2EBB1" w14:textId="77777777" w:rsidR="00963DB4" w:rsidRDefault="00963DB4" w:rsidP="006D1C37">
      <w:r>
        <w:continuationSeparator/>
      </w:r>
    </w:p>
  </w:footnote>
  <w:footnote w:id="1">
    <w:p w14:paraId="29A6ABF5" w14:textId="6B371E29" w:rsidR="00963160" w:rsidRPr="003E207F" w:rsidRDefault="00963160">
      <w:pPr>
        <w:pStyle w:val="FootnoteText"/>
        <w:rPr>
          <w:rFonts w:ascii="Times New Roman" w:hAnsi="Times New Roman" w:cs="Times New Roman"/>
          <w:sz w:val="26"/>
          <w:szCs w:val="26"/>
        </w:rPr>
      </w:pPr>
      <w:r w:rsidRPr="003E207F">
        <w:rPr>
          <w:rStyle w:val="FootnoteReference"/>
          <w:rFonts w:ascii="Times New Roman" w:hAnsi="Times New Roman" w:cs="Times New Roman"/>
          <w:sz w:val="26"/>
          <w:szCs w:val="26"/>
        </w:rPr>
        <w:footnoteRef/>
      </w:r>
      <w:r w:rsidRPr="003E207F">
        <w:rPr>
          <w:rFonts w:ascii="Times New Roman" w:hAnsi="Times New Roman" w:cs="Times New Roman"/>
          <w:sz w:val="26"/>
          <w:szCs w:val="26"/>
        </w:rPr>
        <w:t xml:space="preserve"> The inevitable discovery doctrine does not provide </w:t>
      </w:r>
      <w:r w:rsidR="00C12EBD" w:rsidRPr="003E207F">
        <w:rPr>
          <w:rFonts w:ascii="Times New Roman" w:hAnsi="Times New Roman" w:cs="Times New Roman"/>
          <w:sz w:val="26"/>
          <w:szCs w:val="26"/>
        </w:rPr>
        <w:t xml:space="preserve">commensurate </w:t>
      </w:r>
      <w:r w:rsidRPr="003E207F">
        <w:rPr>
          <w:rFonts w:ascii="Times New Roman" w:hAnsi="Times New Roman" w:cs="Times New Roman"/>
          <w:sz w:val="26"/>
          <w:szCs w:val="26"/>
        </w:rPr>
        <w:t>protection because it</w:t>
      </w:r>
      <w:r w:rsidR="00C12EBD" w:rsidRPr="003E207F">
        <w:rPr>
          <w:rFonts w:ascii="Times New Roman" w:hAnsi="Times New Roman" w:cs="Times New Roman"/>
          <w:sz w:val="26"/>
          <w:szCs w:val="26"/>
        </w:rPr>
        <w:t xml:space="preserve"> </w:t>
      </w:r>
      <w:r w:rsidRPr="003E207F">
        <w:rPr>
          <w:rFonts w:ascii="Times New Roman" w:hAnsi="Times New Roman" w:cs="Times New Roman"/>
          <w:sz w:val="26"/>
          <w:szCs w:val="26"/>
        </w:rPr>
        <w:t xml:space="preserve">admits the immunized statements have been </w:t>
      </w:r>
      <w:r w:rsidR="00C12EBD" w:rsidRPr="003E207F">
        <w:rPr>
          <w:rFonts w:ascii="Times New Roman" w:hAnsi="Times New Roman" w:cs="Times New Roman"/>
          <w:sz w:val="26"/>
          <w:szCs w:val="26"/>
        </w:rPr>
        <w:t>used but</w:t>
      </w:r>
      <w:r w:rsidRPr="003E207F">
        <w:rPr>
          <w:rFonts w:ascii="Times New Roman" w:hAnsi="Times New Roman" w:cs="Times New Roman"/>
          <w:sz w:val="26"/>
          <w:szCs w:val="26"/>
        </w:rPr>
        <w:t xml:space="preserve"> argues they are excused because of public policy. Charles J. Walsh &amp; Steven R. Rowland, </w:t>
      </w:r>
      <w:r w:rsidRPr="003E207F">
        <w:rPr>
          <w:rFonts w:ascii="Times New Roman" w:hAnsi="Times New Roman" w:cs="Times New Roman"/>
          <w:i/>
          <w:iCs/>
          <w:sz w:val="26"/>
          <w:szCs w:val="26"/>
        </w:rPr>
        <w:t>Immunized Testimony and the Inevitable Discovery Doctrine: An Appropriate Transplant of the Exclusionary Rule or an Excuse for a Broken Promise</w:t>
      </w:r>
      <w:r w:rsidRPr="003E207F">
        <w:rPr>
          <w:rFonts w:ascii="Times New Roman" w:hAnsi="Times New Roman" w:cs="Times New Roman"/>
          <w:sz w:val="26"/>
          <w:szCs w:val="26"/>
        </w:rPr>
        <w:t>, 23 Seton Hall L. Rev. 967, 1004 (1993).</w:t>
      </w:r>
      <w:r w:rsidRPr="003E207F">
        <w:rPr>
          <w:rFonts w:ascii="Times New Roman" w:hAnsi="Times New Roman" w:cs="Times New Roman"/>
          <w:sz w:val="26"/>
          <w:szCs w:val="26"/>
        </w:rPr>
        <w:fldChar w:fldCharType="begin"/>
      </w:r>
      <w:r w:rsidRPr="003E207F">
        <w:rPr>
          <w:rFonts w:ascii="Times New Roman" w:hAnsi="Times New Roman" w:cs="Times New Roman"/>
          <w:sz w:val="26"/>
          <w:szCs w:val="26"/>
        </w:rPr>
        <w:instrText xml:space="preserve"> TA \l "Charles J. Walsh &amp; Steven R. Rowland, </w:instrText>
      </w:r>
      <w:r w:rsidRPr="003E207F">
        <w:rPr>
          <w:rFonts w:ascii="Times New Roman" w:hAnsi="Times New Roman" w:cs="Times New Roman"/>
          <w:i/>
          <w:iCs/>
          <w:sz w:val="26"/>
          <w:szCs w:val="26"/>
        </w:rPr>
        <w:instrText>Immunized Testimony and the Inevitable Discovery Doctrine: An Appropriate Transplant of the Exclusionary Rule or an Excuse for a Broken Promise</w:instrText>
      </w:r>
      <w:r w:rsidRPr="003E207F">
        <w:rPr>
          <w:rFonts w:ascii="Times New Roman" w:hAnsi="Times New Roman" w:cs="Times New Roman"/>
          <w:sz w:val="26"/>
          <w:szCs w:val="26"/>
        </w:rPr>
        <w:instrText xml:space="preserve">, 23 Seton Hall L. Rev. 967 (1993)." \s "Charles J. Walsh &amp; Steven R. Rowland, Immunized Testimony and the Inevitable Discovery Doctrine: An Appropriate Transplant of the Exclusionary Rule or an Excuse for a Broken Promise, 23 Seton Hall L. Rev. 967 (1993)." \c 3 </w:instrText>
      </w:r>
      <w:r w:rsidRPr="003E207F">
        <w:rPr>
          <w:rFonts w:ascii="Times New Roman" w:hAnsi="Times New Roman" w:cs="Times New Roman"/>
          <w:sz w:val="26"/>
          <w:szCs w:val="26"/>
        </w:rPr>
        <w:fldChar w:fldCharType="end"/>
      </w:r>
      <w:r w:rsidRPr="003E207F">
        <w:rPr>
          <w:rFonts w:ascii="Times New Roman" w:hAnsi="Times New Roman" w:cs="Times New Roman"/>
          <w:sz w:val="26"/>
          <w:szCs w:val="26"/>
        </w:rPr>
        <w:t xml:space="preserve"> </w:t>
      </w:r>
    </w:p>
  </w:footnote>
  <w:footnote w:id="2">
    <w:p w14:paraId="140BB23F" w14:textId="7F806CF0" w:rsidR="00940546" w:rsidRPr="003E207F" w:rsidRDefault="00940546">
      <w:pPr>
        <w:pStyle w:val="FootnoteText"/>
        <w:rPr>
          <w:rFonts w:ascii="Times New Roman" w:hAnsi="Times New Roman" w:cs="Times New Roman"/>
          <w:sz w:val="26"/>
          <w:szCs w:val="26"/>
        </w:rPr>
      </w:pPr>
      <w:r w:rsidRPr="003E207F">
        <w:rPr>
          <w:rStyle w:val="FootnoteReference"/>
          <w:rFonts w:ascii="Times New Roman" w:hAnsi="Times New Roman" w:cs="Times New Roman"/>
          <w:sz w:val="26"/>
          <w:szCs w:val="26"/>
        </w:rPr>
        <w:footnoteRef/>
      </w:r>
      <w:r w:rsidRPr="003E207F">
        <w:rPr>
          <w:rFonts w:ascii="Times New Roman" w:hAnsi="Times New Roman" w:cs="Times New Roman"/>
          <w:sz w:val="26"/>
          <w:szCs w:val="26"/>
        </w:rPr>
        <w:t xml:space="preserve"> The Defense does not waive the attorney work product privilege at any time.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110A"/>
    <w:multiLevelType w:val="multilevel"/>
    <w:tmpl w:val="9DC05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AC1EE4"/>
    <w:multiLevelType w:val="hybridMultilevel"/>
    <w:tmpl w:val="94D437DC"/>
    <w:lvl w:ilvl="0" w:tplc="3B2C5F60">
      <w:start w:val="2"/>
      <w:numFmt w:val="upperRoman"/>
      <w:lvlText w:val="%1."/>
      <w:lvlJc w:val="right"/>
      <w:pPr>
        <w:tabs>
          <w:tab w:val="num" w:pos="720"/>
        </w:tabs>
        <w:ind w:left="720" w:hanging="360"/>
      </w:pPr>
    </w:lvl>
    <w:lvl w:ilvl="1" w:tplc="40C06D1C" w:tentative="1">
      <w:start w:val="1"/>
      <w:numFmt w:val="decimal"/>
      <w:lvlText w:val="%2."/>
      <w:lvlJc w:val="left"/>
      <w:pPr>
        <w:tabs>
          <w:tab w:val="num" w:pos="1440"/>
        </w:tabs>
        <w:ind w:left="1440" w:hanging="360"/>
      </w:pPr>
    </w:lvl>
    <w:lvl w:ilvl="2" w:tplc="572CCB46" w:tentative="1">
      <w:start w:val="1"/>
      <w:numFmt w:val="decimal"/>
      <w:lvlText w:val="%3."/>
      <w:lvlJc w:val="left"/>
      <w:pPr>
        <w:tabs>
          <w:tab w:val="num" w:pos="2160"/>
        </w:tabs>
        <w:ind w:left="2160" w:hanging="360"/>
      </w:pPr>
    </w:lvl>
    <w:lvl w:ilvl="3" w:tplc="F5C05160" w:tentative="1">
      <w:start w:val="1"/>
      <w:numFmt w:val="decimal"/>
      <w:lvlText w:val="%4."/>
      <w:lvlJc w:val="left"/>
      <w:pPr>
        <w:tabs>
          <w:tab w:val="num" w:pos="2880"/>
        </w:tabs>
        <w:ind w:left="2880" w:hanging="360"/>
      </w:pPr>
    </w:lvl>
    <w:lvl w:ilvl="4" w:tplc="6754A176" w:tentative="1">
      <w:start w:val="1"/>
      <w:numFmt w:val="decimal"/>
      <w:lvlText w:val="%5."/>
      <w:lvlJc w:val="left"/>
      <w:pPr>
        <w:tabs>
          <w:tab w:val="num" w:pos="3600"/>
        </w:tabs>
        <w:ind w:left="3600" w:hanging="360"/>
      </w:pPr>
    </w:lvl>
    <w:lvl w:ilvl="5" w:tplc="DD06E68C" w:tentative="1">
      <w:start w:val="1"/>
      <w:numFmt w:val="decimal"/>
      <w:lvlText w:val="%6."/>
      <w:lvlJc w:val="left"/>
      <w:pPr>
        <w:tabs>
          <w:tab w:val="num" w:pos="4320"/>
        </w:tabs>
        <w:ind w:left="4320" w:hanging="360"/>
      </w:pPr>
    </w:lvl>
    <w:lvl w:ilvl="6" w:tplc="22E627F8" w:tentative="1">
      <w:start w:val="1"/>
      <w:numFmt w:val="decimal"/>
      <w:lvlText w:val="%7."/>
      <w:lvlJc w:val="left"/>
      <w:pPr>
        <w:tabs>
          <w:tab w:val="num" w:pos="5040"/>
        </w:tabs>
        <w:ind w:left="5040" w:hanging="360"/>
      </w:pPr>
    </w:lvl>
    <w:lvl w:ilvl="7" w:tplc="AE08F45A" w:tentative="1">
      <w:start w:val="1"/>
      <w:numFmt w:val="decimal"/>
      <w:lvlText w:val="%8."/>
      <w:lvlJc w:val="left"/>
      <w:pPr>
        <w:tabs>
          <w:tab w:val="num" w:pos="5760"/>
        </w:tabs>
        <w:ind w:left="5760" w:hanging="360"/>
      </w:pPr>
    </w:lvl>
    <w:lvl w:ilvl="8" w:tplc="AB8ED11A" w:tentative="1">
      <w:start w:val="1"/>
      <w:numFmt w:val="decimal"/>
      <w:lvlText w:val="%9."/>
      <w:lvlJc w:val="left"/>
      <w:pPr>
        <w:tabs>
          <w:tab w:val="num" w:pos="6480"/>
        </w:tabs>
        <w:ind w:left="6480" w:hanging="360"/>
      </w:pPr>
    </w:lvl>
  </w:abstractNum>
  <w:abstractNum w:abstractNumId="2" w15:restartNumberingAfterBreak="0">
    <w:nsid w:val="14106E38"/>
    <w:multiLevelType w:val="hybridMultilevel"/>
    <w:tmpl w:val="5D18E720"/>
    <w:lvl w:ilvl="0" w:tplc="5756EEBA">
      <w:start w:val="1"/>
      <w:numFmt w:val="upperLetter"/>
      <w:pStyle w:val="Heading3"/>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7833204"/>
    <w:multiLevelType w:val="hybridMultilevel"/>
    <w:tmpl w:val="DBB4108A"/>
    <w:lvl w:ilvl="0" w:tplc="BBE612A2">
      <w:start w:val="1"/>
      <w:numFmt w:val="upperLetter"/>
      <w:pStyle w:val="Heading4"/>
      <w:lvlText w:val="%1."/>
      <w:lvlJc w:val="left"/>
      <w:pPr>
        <w:ind w:left="1080" w:hanging="360"/>
      </w:pPr>
      <w:rPr>
        <w:rFonts w:hint="default"/>
        <w:b/>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092740"/>
    <w:multiLevelType w:val="hybridMultilevel"/>
    <w:tmpl w:val="4B4C0646"/>
    <w:lvl w:ilvl="0" w:tplc="1564F54C">
      <w:start w:val="1"/>
      <w:numFmt w:val="upperRoman"/>
      <w:pStyle w:val="Heading2"/>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0B497D"/>
    <w:multiLevelType w:val="multilevel"/>
    <w:tmpl w:val="09266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1C54E4"/>
    <w:multiLevelType w:val="hybridMultilevel"/>
    <w:tmpl w:val="EE6899F2"/>
    <w:lvl w:ilvl="0" w:tplc="7174CA06">
      <w:start w:val="2"/>
      <w:numFmt w:val="upperLetter"/>
      <w:lvlText w:val="%1."/>
      <w:lvlJc w:val="left"/>
      <w:pPr>
        <w:tabs>
          <w:tab w:val="num" w:pos="720"/>
        </w:tabs>
        <w:ind w:left="720" w:hanging="360"/>
      </w:pPr>
    </w:lvl>
    <w:lvl w:ilvl="1" w:tplc="DDBE4CDA" w:tentative="1">
      <w:start w:val="1"/>
      <w:numFmt w:val="decimal"/>
      <w:lvlText w:val="%2."/>
      <w:lvlJc w:val="left"/>
      <w:pPr>
        <w:tabs>
          <w:tab w:val="num" w:pos="1440"/>
        </w:tabs>
        <w:ind w:left="1440" w:hanging="360"/>
      </w:pPr>
    </w:lvl>
    <w:lvl w:ilvl="2" w:tplc="A532D8BE" w:tentative="1">
      <w:start w:val="1"/>
      <w:numFmt w:val="decimal"/>
      <w:lvlText w:val="%3."/>
      <w:lvlJc w:val="left"/>
      <w:pPr>
        <w:tabs>
          <w:tab w:val="num" w:pos="2160"/>
        </w:tabs>
        <w:ind w:left="2160" w:hanging="360"/>
      </w:pPr>
    </w:lvl>
    <w:lvl w:ilvl="3" w:tplc="8A9AB262" w:tentative="1">
      <w:start w:val="1"/>
      <w:numFmt w:val="decimal"/>
      <w:lvlText w:val="%4."/>
      <w:lvlJc w:val="left"/>
      <w:pPr>
        <w:tabs>
          <w:tab w:val="num" w:pos="2880"/>
        </w:tabs>
        <w:ind w:left="2880" w:hanging="360"/>
      </w:pPr>
    </w:lvl>
    <w:lvl w:ilvl="4" w:tplc="EA6A759E" w:tentative="1">
      <w:start w:val="1"/>
      <w:numFmt w:val="decimal"/>
      <w:lvlText w:val="%5."/>
      <w:lvlJc w:val="left"/>
      <w:pPr>
        <w:tabs>
          <w:tab w:val="num" w:pos="3600"/>
        </w:tabs>
        <w:ind w:left="3600" w:hanging="360"/>
      </w:pPr>
    </w:lvl>
    <w:lvl w:ilvl="5" w:tplc="D0946BBA" w:tentative="1">
      <w:start w:val="1"/>
      <w:numFmt w:val="decimal"/>
      <w:lvlText w:val="%6."/>
      <w:lvlJc w:val="left"/>
      <w:pPr>
        <w:tabs>
          <w:tab w:val="num" w:pos="4320"/>
        </w:tabs>
        <w:ind w:left="4320" w:hanging="360"/>
      </w:pPr>
    </w:lvl>
    <w:lvl w:ilvl="6" w:tplc="1AD47956" w:tentative="1">
      <w:start w:val="1"/>
      <w:numFmt w:val="decimal"/>
      <w:lvlText w:val="%7."/>
      <w:lvlJc w:val="left"/>
      <w:pPr>
        <w:tabs>
          <w:tab w:val="num" w:pos="5040"/>
        </w:tabs>
        <w:ind w:left="5040" w:hanging="360"/>
      </w:pPr>
    </w:lvl>
    <w:lvl w:ilvl="7" w:tplc="742084F8" w:tentative="1">
      <w:start w:val="1"/>
      <w:numFmt w:val="decimal"/>
      <w:lvlText w:val="%8."/>
      <w:lvlJc w:val="left"/>
      <w:pPr>
        <w:tabs>
          <w:tab w:val="num" w:pos="5760"/>
        </w:tabs>
        <w:ind w:left="5760" w:hanging="360"/>
      </w:pPr>
    </w:lvl>
    <w:lvl w:ilvl="8" w:tplc="8A26501E" w:tentative="1">
      <w:start w:val="1"/>
      <w:numFmt w:val="decimal"/>
      <w:lvlText w:val="%9."/>
      <w:lvlJc w:val="left"/>
      <w:pPr>
        <w:tabs>
          <w:tab w:val="num" w:pos="6480"/>
        </w:tabs>
        <w:ind w:left="6480" w:hanging="360"/>
      </w:pPr>
    </w:lvl>
  </w:abstractNum>
  <w:num w:numId="1" w16cid:durableId="1456673216">
    <w:abstractNumId w:val="0"/>
    <w:lvlOverride w:ilvl="0">
      <w:lvl w:ilvl="0">
        <w:numFmt w:val="upperRoman"/>
        <w:lvlText w:val="%1."/>
        <w:lvlJc w:val="right"/>
      </w:lvl>
    </w:lvlOverride>
  </w:num>
  <w:num w:numId="2" w16cid:durableId="324355819">
    <w:abstractNumId w:val="5"/>
    <w:lvlOverride w:ilvl="0">
      <w:lvl w:ilvl="0">
        <w:numFmt w:val="upperLetter"/>
        <w:lvlText w:val="%1."/>
        <w:lvlJc w:val="left"/>
      </w:lvl>
    </w:lvlOverride>
  </w:num>
  <w:num w:numId="3" w16cid:durableId="2012751508">
    <w:abstractNumId w:val="6"/>
  </w:num>
  <w:num w:numId="4" w16cid:durableId="1027678755">
    <w:abstractNumId w:val="1"/>
  </w:num>
  <w:num w:numId="5" w16cid:durableId="939527975">
    <w:abstractNumId w:val="4"/>
  </w:num>
  <w:num w:numId="6" w16cid:durableId="32078838">
    <w:abstractNumId w:val="2"/>
  </w:num>
  <w:num w:numId="7" w16cid:durableId="17624895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4A9"/>
    <w:rsid w:val="000C57AC"/>
    <w:rsid w:val="001B44A9"/>
    <w:rsid w:val="001D2DB2"/>
    <w:rsid w:val="00230A3E"/>
    <w:rsid w:val="00264A10"/>
    <w:rsid w:val="002838C5"/>
    <w:rsid w:val="002A0B3B"/>
    <w:rsid w:val="003A736D"/>
    <w:rsid w:val="003E207F"/>
    <w:rsid w:val="003F1CD1"/>
    <w:rsid w:val="00474C0D"/>
    <w:rsid w:val="005E1A0B"/>
    <w:rsid w:val="006D1C37"/>
    <w:rsid w:val="006F6949"/>
    <w:rsid w:val="00726D46"/>
    <w:rsid w:val="00750933"/>
    <w:rsid w:val="007B06B7"/>
    <w:rsid w:val="007C59DF"/>
    <w:rsid w:val="00832B69"/>
    <w:rsid w:val="00940546"/>
    <w:rsid w:val="00963160"/>
    <w:rsid w:val="00963DB4"/>
    <w:rsid w:val="009F1ADC"/>
    <w:rsid w:val="00A16E1A"/>
    <w:rsid w:val="00A17957"/>
    <w:rsid w:val="00A63624"/>
    <w:rsid w:val="00A9273E"/>
    <w:rsid w:val="00AC0C91"/>
    <w:rsid w:val="00C12EBD"/>
    <w:rsid w:val="00D12C97"/>
    <w:rsid w:val="00E324B4"/>
    <w:rsid w:val="00E60E7D"/>
    <w:rsid w:val="00E91DAC"/>
    <w:rsid w:val="00F81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6F4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4A9"/>
    <w:pPr>
      <w:spacing w:after="0" w:line="240" w:lineRule="auto"/>
    </w:pPr>
  </w:style>
  <w:style w:type="paragraph" w:styleId="Heading1">
    <w:name w:val="heading 1"/>
    <w:basedOn w:val="Normal"/>
    <w:next w:val="Normal"/>
    <w:link w:val="Heading1Char"/>
    <w:uiPriority w:val="9"/>
    <w:qFormat/>
    <w:rsid w:val="007C59DF"/>
    <w:pPr>
      <w:spacing w:line="480" w:lineRule="auto"/>
      <w:contextualSpacing/>
      <w:jc w:val="center"/>
      <w:outlineLvl w:val="0"/>
    </w:pPr>
    <w:rPr>
      <w:rFonts w:ascii="Times New Roman" w:hAnsi="Times New Roman" w:cs="Times New Roman"/>
      <w:b/>
      <w:bCs/>
      <w:spacing w:val="-5"/>
      <w:sz w:val="28"/>
      <w:szCs w:val="28"/>
    </w:rPr>
  </w:style>
  <w:style w:type="paragraph" w:styleId="Heading2">
    <w:name w:val="heading 2"/>
    <w:basedOn w:val="ListParagraph"/>
    <w:next w:val="Normal"/>
    <w:link w:val="Heading2Char"/>
    <w:uiPriority w:val="9"/>
    <w:unhideWhenUsed/>
    <w:qFormat/>
    <w:rsid w:val="007C59DF"/>
    <w:pPr>
      <w:numPr>
        <w:numId w:val="5"/>
      </w:numPr>
      <w:ind w:left="360" w:hanging="360"/>
      <w:jc w:val="both"/>
      <w:textAlignment w:val="baseline"/>
      <w:outlineLvl w:val="1"/>
    </w:pPr>
    <w:rPr>
      <w:rFonts w:ascii="Times New Roman" w:eastAsia="Times New Roman" w:hAnsi="Times New Roman" w:cs="Times New Roman"/>
      <w:b/>
      <w:bCs/>
      <w:color w:val="000000"/>
      <w:kern w:val="0"/>
      <w:sz w:val="28"/>
      <w:szCs w:val="28"/>
      <w14:ligatures w14:val="none"/>
    </w:rPr>
  </w:style>
  <w:style w:type="paragraph" w:styleId="Heading3">
    <w:name w:val="heading 3"/>
    <w:basedOn w:val="ListParagraph"/>
    <w:next w:val="Normal"/>
    <w:link w:val="Heading3Char"/>
    <w:uiPriority w:val="9"/>
    <w:unhideWhenUsed/>
    <w:qFormat/>
    <w:rsid w:val="007C59DF"/>
    <w:pPr>
      <w:numPr>
        <w:numId w:val="6"/>
      </w:numPr>
      <w:ind w:left="720"/>
      <w:jc w:val="both"/>
      <w:textAlignment w:val="baseline"/>
      <w:outlineLvl w:val="2"/>
    </w:pPr>
    <w:rPr>
      <w:rFonts w:ascii="Times New Roman" w:eastAsia="Times New Roman" w:hAnsi="Times New Roman" w:cs="Times New Roman"/>
      <w:b/>
      <w:bCs/>
      <w:color w:val="000000"/>
      <w:kern w:val="0"/>
      <w:sz w:val="28"/>
      <w:szCs w:val="28"/>
      <w14:ligatures w14:val="none"/>
    </w:rPr>
  </w:style>
  <w:style w:type="paragraph" w:styleId="Heading4">
    <w:name w:val="heading 4"/>
    <w:basedOn w:val="ListParagraph"/>
    <w:next w:val="Normal"/>
    <w:link w:val="Heading4Char"/>
    <w:uiPriority w:val="9"/>
    <w:unhideWhenUsed/>
    <w:qFormat/>
    <w:rsid w:val="007C59DF"/>
    <w:pPr>
      <w:numPr>
        <w:numId w:val="7"/>
      </w:numPr>
      <w:ind w:left="720"/>
      <w:jc w:val="both"/>
      <w:outlineLvl w:val="3"/>
    </w:pPr>
    <w:rPr>
      <w:rFonts w:ascii="Times New Roman" w:eastAsia="Times New Roman" w:hAnsi="Times New Roman" w:cs="Times New Roman"/>
      <w:b/>
      <w:bCs/>
      <w:color w:val="000000"/>
      <w:kern w:val="0"/>
      <w:sz w:val="28"/>
      <w:szCs w:val="28"/>
      <w14:ligatures w14:val="none"/>
    </w:rPr>
  </w:style>
  <w:style w:type="paragraph" w:styleId="Heading5">
    <w:name w:val="heading 5"/>
    <w:basedOn w:val="Normal"/>
    <w:next w:val="Normal"/>
    <w:link w:val="Heading5Char"/>
    <w:uiPriority w:val="9"/>
    <w:semiHidden/>
    <w:unhideWhenUsed/>
    <w:qFormat/>
    <w:rsid w:val="001B44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44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4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4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4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9DF"/>
    <w:rPr>
      <w:rFonts w:ascii="Times New Roman" w:hAnsi="Times New Roman" w:cs="Times New Roman"/>
      <w:b/>
      <w:bCs/>
      <w:spacing w:val="-5"/>
      <w:sz w:val="28"/>
      <w:szCs w:val="28"/>
    </w:rPr>
  </w:style>
  <w:style w:type="character" w:customStyle="1" w:styleId="Heading2Char">
    <w:name w:val="Heading 2 Char"/>
    <w:basedOn w:val="DefaultParagraphFont"/>
    <w:link w:val="Heading2"/>
    <w:uiPriority w:val="9"/>
    <w:rsid w:val="007C59DF"/>
    <w:rPr>
      <w:rFonts w:ascii="Times New Roman" w:eastAsia="Times New Roman" w:hAnsi="Times New Roman" w:cs="Times New Roman"/>
      <w:b/>
      <w:bCs/>
      <w:color w:val="000000"/>
      <w:kern w:val="0"/>
      <w:sz w:val="28"/>
      <w:szCs w:val="28"/>
      <w14:ligatures w14:val="none"/>
    </w:rPr>
  </w:style>
  <w:style w:type="character" w:customStyle="1" w:styleId="Heading3Char">
    <w:name w:val="Heading 3 Char"/>
    <w:basedOn w:val="DefaultParagraphFont"/>
    <w:link w:val="Heading3"/>
    <w:uiPriority w:val="9"/>
    <w:rsid w:val="007C59DF"/>
    <w:rPr>
      <w:rFonts w:ascii="Times New Roman" w:eastAsia="Times New Roman" w:hAnsi="Times New Roman" w:cs="Times New Roman"/>
      <w:b/>
      <w:bCs/>
      <w:color w:val="000000"/>
      <w:kern w:val="0"/>
      <w:sz w:val="28"/>
      <w:szCs w:val="28"/>
      <w14:ligatures w14:val="none"/>
    </w:rPr>
  </w:style>
  <w:style w:type="character" w:customStyle="1" w:styleId="Heading4Char">
    <w:name w:val="Heading 4 Char"/>
    <w:basedOn w:val="DefaultParagraphFont"/>
    <w:link w:val="Heading4"/>
    <w:uiPriority w:val="9"/>
    <w:rsid w:val="007C59DF"/>
    <w:rPr>
      <w:rFonts w:ascii="Times New Roman" w:eastAsia="Times New Roman" w:hAnsi="Times New Roman" w:cs="Times New Roman"/>
      <w:b/>
      <w:bCs/>
      <w:color w:val="000000"/>
      <w:kern w:val="0"/>
      <w:sz w:val="28"/>
      <w:szCs w:val="28"/>
      <w14:ligatures w14:val="none"/>
    </w:rPr>
  </w:style>
  <w:style w:type="character" w:customStyle="1" w:styleId="Heading5Char">
    <w:name w:val="Heading 5 Char"/>
    <w:basedOn w:val="DefaultParagraphFont"/>
    <w:link w:val="Heading5"/>
    <w:uiPriority w:val="9"/>
    <w:semiHidden/>
    <w:rsid w:val="001B44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4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4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4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4A9"/>
    <w:rPr>
      <w:rFonts w:eastAsiaTheme="majorEastAsia" w:cstheme="majorBidi"/>
      <w:color w:val="272727" w:themeColor="text1" w:themeTint="D8"/>
    </w:rPr>
  </w:style>
  <w:style w:type="paragraph" w:styleId="Title">
    <w:name w:val="Title"/>
    <w:basedOn w:val="Normal"/>
    <w:next w:val="Normal"/>
    <w:link w:val="TitleChar"/>
    <w:uiPriority w:val="10"/>
    <w:qFormat/>
    <w:rsid w:val="001B44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4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4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4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4A9"/>
    <w:pPr>
      <w:spacing w:before="160"/>
      <w:jc w:val="center"/>
    </w:pPr>
    <w:rPr>
      <w:i/>
      <w:iCs/>
      <w:color w:val="404040" w:themeColor="text1" w:themeTint="BF"/>
    </w:rPr>
  </w:style>
  <w:style w:type="character" w:customStyle="1" w:styleId="QuoteChar">
    <w:name w:val="Quote Char"/>
    <w:basedOn w:val="DefaultParagraphFont"/>
    <w:link w:val="Quote"/>
    <w:uiPriority w:val="29"/>
    <w:rsid w:val="001B44A9"/>
    <w:rPr>
      <w:i/>
      <w:iCs/>
      <w:color w:val="404040" w:themeColor="text1" w:themeTint="BF"/>
    </w:rPr>
  </w:style>
  <w:style w:type="paragraph" w:styleId="ListParagraph">
    <w:name w:val="List Paragraph"/>
    <w:basedOn w:val="Normal"/>
    <w:uiPriority w:val="34"/>
    <w:qFormat/>
    <w:rsid w:val="001B44A9"/>
    <w:pPr>
      <w:ind w:left="720"/>
      <w:contextualSpacing/>
    </w:pPr>
  </w:style>
  <w:style w:type="character" w:styleId="IntenseEmphasis">
    <w:name w:val="Intense Emphasis"/>
    <w:basedOn w:val="DefaultParagraphFont"/>
    <w:uiPriority w:val="21"/>
    <w:qFormat/>
    <w:rsid w:val="001B44A9"/>
    <w:rPr>
      <w:i/>
      <w:iCs/>
      <w:color w:val="0F4761" w:themeColor="accent1" w:themeShade="BF"/>
    </w:rPr>
  </w:style>
  <w:style w:type="paragraph" w:styleId="IntenseQuote">
    <w:name w:val="Intense Quote"/>
    <w:basedOn w:val="Normal"/>
    <w:next w:val="Normal"/>
    <w:link w:val="IntenseQuoteChar"/>
    <w:uiPriority w:val="30"/>
    <w:qFormat/>
    <w:rsid w:val="001B44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44A9"/>
    <w:rPr>
      <w:i/>
      <w:iCs/>
      <w:color w:val="0F4761" w:themeColor="accent1" w:themeShade="BF"/>
    </w:rPr>
  </w:style>
  <w:style w:type="character" w:styleId="IntenseReference">
    <w:name w:val="Intense Reference"/>
    <w:basedOn w:val="DefaultParagraphFont"/>
    <w:uiPriority w:val="32"/>
    <w:qFormat/>
    <w:rsid w:val="001B44A9"/>
    <w:rPr>
      <w:b/>
      <w:bCs/>
      <w:smallCaps/>
      <w:color w:val="0F4761" w:themeColor="accent1" w:themeShade="BF"/>
      <w:spacing w:val="5"/>
    </w:rPr>
  </w:style>
  <w:style w:type="paragraph" w:styleId="BodyText">
    <w:name w:val="Body Text"/>
    <w:basedOn w:val="Normal"/>
    <w:link w:val="BodyTextChar"/>
    <w:uiPriority w:val="1"/>
    <w:qFormat/>
    <w:rsid w:val="001B44A9"/>
    <w:pPr>
      <w:widowControl w:val="0"/>
      <w:autoSpaceDE w:val="0"/>
      <w:autoSpaceDN w:val="0"/>
      <w:ind w:left="100"/>
    </w:pPr>
    <w:rPr>
      <w:rFonts w:ascii="Times New Roman" w:eastAsia="Times New Roman" w:hAnsi="Times New Roman" w:cs="Times New Roman"/>
      <w:kern w:val="0"/>
      <w:sz w:val="28"/>
      <w:szCs w:val="28"/>
      <w14:ligatures w14:val="none"/>
    </w:rPr>
  </w:style>
  <w:style w:type="character" w:customStyle="1" w:styleId="BodyTextChar">
    <w:name w:val="Body Text Char"/>
    <w:basedOn w:val="DefaultParagraphFont"/>
    <w:link w:val="BodyText"/>
    <w:uiPriority w:val="1"/>
    <w:rsid w:val="001B44A9"/>
    <w:rPr>
      <w:rFonts w:ascii="Times New Roman" w:eastAsia="Times New Roman" w:hAnsi="Times New Roman" w:cs="Times New Roman"/>
      <w:kern w:val="0"/>
      <w:sz w:val="28"/>
      <w:szCs w:val="28"/>
      <w14:ligatures w14:val="none"/>
    </w:rPr>
  </w:style>
  <w:style w:type="paragraph" w:styleId="Footer">
    <w:name w:val="footer"/>
    <w:basedOn w:val="Normal"/>
    <w:link w:val="FooterChar"/>
    <w:uiPriority w:val="99"/>
    <w:unhideWhenUsed/>
    <w:rsid w:val="006D1C37"/>
    <w:pPr>
      <w:tabs>
        <w:tab w:val="center" w:pos="4680"/>
        <w:tab w:val="right" w:pos="9360"/>
      </w:tabs>
    </w:pPr>
  </w:style>
  <w:style w:type="character" w:customStyle="1" w:styleId="FooterChar">
    <w:name w:val="Footer Char"/>
    <w:basedOn w:val="DefaultParagraphFont"/>
    <w:link w:val="Footer"/>
    <w:uiPriority w:val="99"/>
    <w:rsid w:val="006D1C37"/>
  </w:style>
  <w:style w:type="character" w:styleId="PageNumber">
    <w:name w:val="page number"/>
    <w:basedOn w:val="DefaultParagraphFont"/>
    <w:uiPriority w:val="99"/>
    <w:semiHidden/>
    <w:unhideWhenUsed/>
    <w:rsid w:val="006D1C37"/>
  </w:style>
  <w:style w:type="paragraph" w:styleId="Header">
    <w:name w:val="header"/>
    <w:basedOn w:val="Normal"/>
    <w:link w:val="HeaderChar"/>
    <w:uiPriority w:val="99"/>
    <w:unhideWhenUsed/>
    <w:rsid w:val="006D1C37"/>
    <w:pPr>
      <w:tabs>
        <w:tab w:val="center" w:pos="4680"/>
        <w:tab w:val="right" w:pos="9360"/>
      </w:tabs>
    </w:pPr>
  </w:style>
  <w:style w:type="character" w:customStyle="1" w:styleId="HeaderChar">
    <w:name w:val="Header Char"/>
    <w:basedOn w:val="DefaultParagraphFont"/>
    <w:link w:val="Header"/>
    <w:uiPriority w:val="99"/>
    <w:rsid w:val="006D1C37"/>
  </w:style>
  <w:style w:type="paragraph" w:styleId="NormalWeb">
    <w:name w:val="Normal (Web)"/>
    <w:basedOn w:val="Normal"/>
    <w:uiPriority w:val="99"/>
    <w:semiHidden/>
    <w:unhideWhenUsed/>
    <w:rsid w:val="006D1C37"/>
    <w:pPr>
      <w:spacing w:before="100" w:beforeAutospacing="1" w:after="100" w:afterAutospacing="1"/>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6D1C37"/>
  </w:style>
  <w:style w:type="paragraph" w:styleId="FootnoteText">
    <w:name w:val="footnote text"/>
    <w:basedOn w:val="Normal"/>
    <w:link w:val="FootnoteTextChar"/>
    <w:uiPriority w:val="99"/>
    <w:semiHidden/>
    <w:unhideWhenUsed/>
    <w:rsid w:val="00940546"/>
    <w:rPr>
      <w:sz w:val="20"/>
      <w:szCs w:val="20"/>
    </w:rPr>
  </w:style>
  <w:style w:type="character" w:customStyle="1" w:styleId="FootnoteTextChar">
    <w:name w:val="Footnote Text Char"/>
    <w:basedOn w:val="DefaultParagraphFont"/>
    <w:link w:val="FootnoteText"/>
    <w:uiPriority w:val="99"/>
    <w:semiHidden/>
    <w:rsid w:val="00940546"/>
    <w:rPr>
      <w:sz w:val="20"/>
      <w:szCs w:val="20"/>
    </w:rPr>
  </w:style>
  <w:style w:type="character" w:styleId="FootnoteReference">
    <w:name w:val="footnote reference"/>
    <w:basedOn w:val="DefaultParagraphFont"/>
    <w:uiPriority w:val="99"/>
    <w:semiHidden/>
    <w:unhideWhenUsed/>
    <w:rsid w:val="00940546"/>
    <w:rPr>
      <w:vertAlign w:val="superscript"/>
    </w:rPr>
  </w:style>
  <w:style w:type="paragraph" w:styleId="TOC3">
    <w:name w:val="toc 3"/>
    <w:basedOn w:val="Normal"/>
    <w:next w:val="Normal"/>
    <w:autoRedefine/>
    <w:uiPriority w:val="39"/>
    <w:unhideWhenUsed/>
    <w:rsid w:val="007C59DF"/>
    <w:pPr>
      <w:tabs>
        <w:tab w:val="left" w:pos="1200"/>
        <w:tab w:val="right" w:leader="dot" w:pos="9350"/>
      </w:tabs>
      <w:spacing w:after="100"/>
      <w:ind w:left="720"/>
    </w:pPr>
  </w:style>
  <w:style w:type="paragraph" w:styleId="TOC1">
    <w:name w:val="toc 1"/>
    <w:basedOn w:val="Normal"/>
    <w:next w:val="Normal"/>
    <w:autoRedefine/>
    <w:uiPriority w:val="39"/>
    <w:unhideWhenUsed/>
    <w:rsid w:val="007C59DF"/>
    <w:pPr>
      <w:spacing w:after="100"/>
    </w:pPr>
  </w:style>
  <w:style w:type="paragraph" w:styleId="TOC2">
    <w:name w:val="toc 2"/>
    <w:basedOn w:val="Normal"/>
    <w:next w:val="Normal"/>
    <w:autoRedefine/>
    <w:uiPriority w:val="39"/>
    <w:unhideWhenUsed/>
    <w:rsid w:val="007C59DF"/>
    <w:pPr>
      <w:tabs>
        <w:tab w:val="left" w:pos="720"/>
        <w:tab w:val="right" w:leader="dot" w:pos="9350"/>
      </w:tabs>
      <w:spacing w:after="100"/>
      <w:ind w:left="245"/>
    </w:pPr>
  </w:style>
  <w:style w:type="paragraph" w:styleId="TOC4">
    <w:name w:val="toc 4"/>
    <w:basedOn w:val="Normal"/>
    <w:next w:val="Normal"/>
    <w:autoRedefine/>
    <w:uiPriority w:val="39"/>
    <w:unhideWhenUsed/>
    <w:rsid w:val="007C59DF"/>
    <w:pPr>
      <w:tabs>
        <w:tab w:val="left" w:pos="1200"/>
        <w:tab w:val="right" w:leader="dot" w:pos="9350"/>
      </w:tabs>
      <w:spacing w:after="100"/>
      <w:ind w:left="720"/>
    </w:pPr>
  </w:style>
  <w:style w:type="character" w:styleId="Hyperlink">
    <w:name w:val="Hyperlink"/>
    <w:basedOn w:val="DefaultParagraphFont"/>
    <w:uiPriority w:val="99"/>
    <w:unhideWhenUsed/>
    <w:rsid w:val="007C59DF"/>
    <w:rPr>
      <w:color w:val="467886" w:themeColor="hyperlink"/>
      <w:u w:val="single"/>
    </w:rPr>
  </w:style>
  <w:style w:type="paragraph" w:styleId="TOAHeading">
    <w:name w:val="toa heading"/>
    <w:basedOn w:val="Normal"/>
    <w:next w:val="Normal"/>
    <w:uiPriority w:val="99"/>
    <w:unhideWhenUsed/>
    <w:rsid w:val="003F1CD1"/>
    <w:pPr>
      <w:spacing w:before="120"/>
    </w:pPr>
    <w:rPr>
      <w:rFonts w:asciiTheme="majorHAnsi" w:eastAsiaTheme="majorEastAsia" w:hAnsiTheme="majorHAnsi" w:cstheme="majorBidi"/>
      <w:b/>
      <w:bCs/>
    </w:rPr>
  </w:style>
  <w:style w:type="paragraph" w:styleId="TableofAuthorities">
    <w:name w:val="table of authorities"/>
    <w:basedOn w:val="Normal"/>
    <w:next w:val="Normal"/>
    <w:uiPriority w:val="99"/>
    <w:semiHidden/>
    <w:unhideWhenUsed/>
    <w:rsid w:val="003F1CD1"/>
    <w:pPr>
      <w:ind w:left="24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4D4ED9DB-00B7-4C60-B67F-A4F50F2268F6}"/>
</file>

<file path=customXml/itemProps2.xml><?xml version="1.0" encoding="utf-8"?>
<ds:datastoreItem xmlns:ds="http://schemas.openxmlformats.org/officeDocument/2006/customXml" ds:itemID="{9A0F5C76-05B8-4862-B9AB-9F2B83B15B33}"/>
</file>

<file path=customXml/itemProps3.xml><?xml version="1.0" encoding="utf-8"?>
<ds:datastoreItem xmlns:ds="http://schemas.openxmlformats.org/officeDocument/2006/customXml" ds:itemID="{1EBECE93-86B5-4783-8761-27FCE217D2A9}"/>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25</Pages>
  <Words>6069</Words>
  <Characters>34595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2026-09-09T00:38:00Z</dcterms:created>
  <dcterms:modified xsi:type="dcterms:W3CDTF">2026-09-09T00:39:00Z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