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88CC9" w14:textId="77777777" w:rsidR="00FB521A" w:rsidRPr="008D1DEC" w:rsidRDefault="00FB521A" w:rsidP="00FB521A">
      <w:pPr>
        <w:pBdr>
          <w:bottom w:val="thinThickThinMediumGap" w:sz="18" w:space="1" w:color="auto"/>
        </w:pBdr>
        <w:jc w:val="center"/>
        <w:rPr>
          <w:b/>
          <w:sz w:val="26"/>
          <w:szCs w:val="26"/>
        </w:rPr>
      </w:pPr>
    </w:p>
    <w:p w14:paraId="46ADF334" w14:textId="77777777" w:rsidR="00FB521A" w:rsidRPr="008D1DEC" w:rsidRDefault="00FB521A" w:rsidP="00FB521A">
      <w:pPr>
        <w:pBdr>
          <w:bottom w:val="thinThickThinMediumGap" w:sz="18" w:space="1" w:color="auto"/>
        </w:pBdr>
        <w:jc w:val="center"/>
        <w:rPr>
          <w:b/>
          <w:sz w:val="26"/>
          <w:szCs w:val="26"/>
        </w:rPr>
      </w:pPr>
    </w:p>
    <w:p w14:paraId="1A57F938" w14:textId="77777777" w:rsidR="00FB521A" w:rsidRPr="008D1DEC" w:rsidRDefault="00FB521A" w:rsidP="00FB521A">
      <w:pPr>
        <w:pBdr>
          <w:bottom w:val="thinThickThinMediumGap" w:sz="18" w:space="1" w:color="auto"/>
        </w:pBdr>
        <w:jc w:val="center"/>
        <w:rPr>
          <w:b/>
          <w:sz w:val="26"/>
          <w:szCs w:val="26"/>
        </w:rPr>
      </w:pPr>
    </w:p>
    <w:p w14:paraId="3C009F54" w14:textId="77777777" w:rsidR="00FB521A" w:rsidRPr="008D1DEC" w:rsidRDefault="00FB521A" w:rsidP="00FB521A">
      <w:pPr>
        <w:pBdr>
          <w:bottom w:val="thinThickThinMediumGap" w:sz="18" w:space="1" w:color="auto"/>
        </w:pBdr>
        <w:jc w:val="center"/>
        <w:rPr>
          <w:b/>
          <w:sz w:val="26"/>
          <w:szCs w:val="26"/>
        </w:rPr>
      </w:pPr>
    </w:p>
    <w:p w14:paraId="7EED2604" w14:textId="19902918" w:rsidR="00FB521A" w:rsidRPr="008D1DEC" w:rsidRDefault="00FB521A" w:rsidP="00FB521A">
      <w:pPr>
        <w:pBdr>
          <w:bottom w:val="thinThickThinMediumGap" w:sz="18" w:space="1" w:color="auto"/>
        </w:pBdr>
        <w:jc w:val="center"/>
        <w:rPr>
          <w:b/>
          <w:sz w:val="26"/>
          <w:szCs w:val="26"/>
        </w:rPr>
      </w:pPr>
      <w:bookmarkStart w:id="0" w:name="dabmch_2"/>
      <w:r w:rsidRPr="008D1DEC">
        <w:rPr>
          <w:b/>
          <w:sz w:val="26"/>
          <w:szCs w:val="26"/>
        </w:rPr>
        <w:t xml:space="preserve">No. </w:t>
      </w:r>
      <w:bookmarkEnd w:id="0"/>
      <w:r w:rsidRPr="008D1DEC">
        <w:rPr>
          <w:b/>
          <w:sz w:val="26"/>
          <w:szCs w:val="26"/>
        </w:rPr>
        <w:t>2025-CF-00417</w:t>
      </w:r>
    </w:p>
    <w:p w14:paraId="6AD852C0" w14:textId="77777777" w:rsidR="00FB521A" w:rsidRPr="008D1DEC" w:rsidRDefault="00FB521A" w:rsidP="00FB521A">
      <w:pPr>
        <w:jc w:val="center"/>
        <w:rPr>
          <w:b/>
          <w:sz w:val="26"/>
          <w:szCs w:val="26"/>
        </w:rPr>
      </w:pPr>
    </w:p>
    <w:p w14:paraId="07EB6DCA" w14:textId="77777777" w:rsidR="00FB521A" w:rsidRPr="008D1DEC" w:rsidRDefault="00FB521A" w:rsidP="00FB521A">
      <w:pPr>
        <w:jc w:val="center"/>
        <w:rPr>
          <w:b/>
          <w:sz w:val="26"/>
          <w:szCs w:val="26"/>
        </w:rPr>
      </w:pPr>
      <w:bookmarkStart w:id="1" w:name="dabmch_3"/>
      <w:r w:rsidRPr="008D1DEC">
        <w:rPr>
          <w:b/>
          <w:sz w:val="26"/>
          <w:szCs w:val="26"/>
        </w:rPr>
        <w:t xml:space="preserve">IN THE UNITED STATES DISTRICT COURT </w:t>
      </w:r>
      <w:bookmarkEnd w:id="1"/>
    </w:p>
    <w:p w14:paraId="6DDF905C" w14:textId="316EFECC" w:rsidR="00FB521A" w:rsidRPr="008D1DEC" w:rsidRDefault="00FB521A" w:rsidP="00FB521A">
      <w:pPr>
        <w:jc w:val="center"/>
        <w:rPr>
          <w:b/>
          <w:sz w:val="26"/>
          <w:szCs w:val="26"/>
        </w:rPr>
      </w:pPr>
      <w:bookmarkStart w:id="2" w:name="dabmch_4"/>
      <w:r w:rsidRPr="008D1DEC">
        <w:rPr>
          <w:b/>
          <w:sz w:val="26"/>
          <w:szCs w:val="26"/>
        </w:rPr>
        <w:t xml:space="preserve">FOR THE </w:t>
      </w:r>
      <w:r w:rsidR="00CE5E8C" w:rsidRPr="008D1DEC">
        <w:rPr>
          <w:b/>
          <w:sz w:val="26"/>
          <w:szCs w:val="26"/>
        </w:rPr>
        <w:t>FOURTEENTH JUDICIAL DISTRICT</w:t>
      </w:r>
      <w:r w:rsidRPr="008D1DEC">
        <w:rPr>
          <w:b/>
          <w:sz w:val="26"/>
          <w:szCs w:val="26"/>
        </w:rPr>
        <w:t xml:space="preserve"> </w:t>
      </w:r>
      <w:bookmarkEnd w:id="2"/>
    </w:p>
    <w:p w14:paraId="34B1F92E" w14:textId="77777777" w:rsidR="00FB521A" w:rsidRPr="008D1DEC" w:rsidRDefault="00FB521A" w:rsidP="00FB521A">
      <w:pPr>
        <w:widowControl w:val="0"/>
        <w:jc w:val="center"/>
        <w:rPr>
          <w:sz w:val="26"/>
          <w:szCs w:val="26"/>
        </w:rPr>
      </w:pPr>
      <w:bookmarkStart w:id="3" w:name="dabmch_5"/>
      <w:r w:rsidRPr="008D1DEC">
        <w:rPr>
          <w:sz w:val="26"/>
          <w:szCs w:val="26"/>
        </w:rPr>
        <w:t>___________________________________________</w:t>
      </w:r>
      <w:bookmarkEnd w:id="3"/>
    </w:p>
    <w:p w14:paraId="2AB138F2" w14:textId="77777777" w:rsidR="00FB521A" w:rsidRPr="008D1DEC" w:rsidRDefault="00FB521A" w:rsidP="00FB521A">
      <w:pPr>
        <w:widowControl w:val="0"/>
        <w:jc w:val="center"/>
        <w:rPr>
          <w:b/>
          <w:sz w:val="26"/>
          <w:szCs w:val="26"/>
        </w:rPr>
      </w:pPr>
    </w:p>
    <w:p w14:paraId="6BE27095" w14:textId="77777777" w:rsidR="00FB521A" w:rsidRPr="008D1DEC" w:rsidRDefault="00FB521A" w:rsidP="00FB521A">
      <w:pPr>
        <w:widowControl w:val="0"/>
        <w:jc w:val="center"/>
        <w:rPr>
          <w:b/>
          <w:sz w:val="26"/>
          <w:szCs w:val="26"/>
        </w:rPr>
      </w:pPr>
    </w:p>
    <w:p w14:paraId="141C9241" w14:textId="5E973BD7" w:rsidR="00FB521A" w:rsidRPr="008D1DEC" w:rsidRDefault="00FB521A" w:rsidP="00FB521A">
      <w:pPr>
        <w:widowControl w:val="0"/>
        <w:jc w:val="center"/>
        <w:rPr>
          <w:sz w:val="26"/>
          <w:szCs w:val="26"/>
        </w:rPr>
      </w:pPr>
      <w:r w:rsidRPr="008D1DEC">
        <w:rPr>
          <w:sz w:val="26"/>
          <w:szCs w:val="26"/>
        </w:rPr>
        <w:t>UNITED STATES OF AMERICA,</w:t>
      </w:r>
    </w:p>
    <w:p w14:paraId="272375B2" w14:textId="77777777" w:rsidR="00FB521A" w:rsidRPr="008D1DEC" w:rsidRDefault="00FB521A" w:rsidP="00FB521A">
      <w:pPr>
        <w:widowControl w:val="0"/>
        <w:jc w:val="center"/>
        <w:rPr>
          <w:sz w:val="26"/>
          <w:szCs w:val="26"/>
        </w:rPr>
      </w:pPr>
    </w:p>
    <w:p w14:paraId="1666FC57" w14:textId="77777777" w:rsidR="00FB521A" w:rsidRPr="008D1DEC" w:rsidRDefault="00FB521A" w:rsidP="00FB521A">
      <w:pPr>
        <w:widowControl w:val="0"/>
        <w:contextualSpacing/>
        <w:jc w:val="center"/>
        <w:rPr>
          <w:sz w:val="26"/>
          <w:szCs w:val="26"/>
        </w:rPr>
      </w:pPr>
    </w:p>
    <w:p w14:paraId="07EB64CF" w14:textId="77777777" w:rsidR="00FB521A" w:rsidRPr="008D1DEC" w:rsidRDefault="00FB521A" w:rsidP="00FB521A">
      <w:pPr>
        <w:widowControl w:val="0"/>
        <w:contextualSpacing/>
        <w:jc w:val="center"/>
        <w:rPr>
          <w:sz w:val="26"/>
          <w:szCs w:val="26"/>
        </w:rPr>
      </w:pPr>
    </w:p>
    <w:p w14:paraId="6C870C73" w14:textId="77777777" w:rsidR="00FB521A" w:rsidRPr="008D1DEC" w:rsidRDefault="00FB521A" w:rsidP="00FB521A">
      <w:pPr>
        <w:widowControl w:val="0"/>
        <w:contextualSpacing/>
        <w:jc w:val="center"/>
        <w:rPr>
          <w:sz w:val="26"/>
          <w:szCs w:val="26"/>
        </w:rPr>
      </w:pPr>
      <w:bookmarkStart w:id="4" w:name="dabmch_8"/>
      <w:r w:rsidRPr="008D1DEC">
        <w:rPr>
          <w:sz w:val="26"/>
          <w:szCs w:val="26"/>
        </w:rPr>
        <w:t>v.</w:t>
      </w:r>
      <w:bookmarkEnd w:id="4"/>
    </w:p>
    <w:p w14:paraId="13F57AE9" w14:textId="77777777" w:rsidR="00FB521A" w:rsidRPr="008D1DEC" w:rsidRDefault="00FB521A" w:rsidP="00FB521A">
      <w:pPr>
        <w:widowControl w:val="0"/>
        <w:contextualSpacing/>
        <w:jc w:val="center"/>
        <w:rPr>
          <w:sz w:val="26"/>
          <w:szCs w:val="26"/>
        </w:rPr>
      </w:pPr>
    </w:p>
    <w:p w14:paraId="4B78FC1C" w14:textId="77777777" w:rsidR="00FB521A" w:rsidRPr="008D1DEC" w:rsidRDefault="00FB521A" w:rsidP="00FB521A">
      <w:pPr>
        <w:widowControl w:val="0"/>
        <w:contextualSpacing/>
        <w:jc w:val="center"/>
        <w:rPr>
          <w:sz w:val="26"/>
          <w:szCs w:val="26"/>
        </w:rPr>
      </w:pPr>
    </w:p>
    <w:p w14:paraId="7B6C923D" w14:textId="77777777" w:rsidR="00FB521A" w:rsidRPr="008D1DEC" w:rsidRDefault="00FB521A" w:rsidP="00FB521A">
      <w:pPr>
        <w:widowControl w:val="0"/>
        <w:contextualSpacing/>
        <w:jc w:val="center"/>
        <w:rPr>
          <w:sz w:val="26"/>
          <w:szCs w:val="26"/>
        </w:rPr>
      </w:pPr>
    </w:p>
    <w:p w14:paraId="0F3326B9" w14:textId="2C5C6A7D" w:rsidR="00FB521A" w:rsidRPr="008D1DEC" w:rsidRDefault="00FB521A" w:rsidP="00FB521A">
      <w:pPr>
        <w:widowControl w:val="0"/>
        <w:contextualSpacing/>
        <w:jc w:val="center"/>
        <w:rPr>
          <w:sz w:val="26"/>
          <w:szCs w:val="26"/>
        </w:rPr>
      </w:pPr>
      <w:bookmarkStart w:id="5" w:name="dabmch_9"/>
      <w:r w:rsidRPr="008D1DEC">
        <w:rPr>
          <w:sz w:val="26"/>
          <w:szCs w:val="26"/>
        </w:rPr>
        <w:t>EMILY CALLOWAY,</w:t>
      </w:r>
      <w:bookmarkEnd w:id="5"/>
    </w:p>
    <w:p w14:paraId="386144B9" w14:textId="77777777" w:rsidR="00FB521A" w:rsidRPr="008D1DEC" w:rsidRDefault="00FB521A" w:rsidP="00FB521A">
      <w:pPr>
        <w:widowControl w:val="0"/>
        <w:contextualSpacing/>
        <w:jc w:val="center"/>
        <w:rPr>
          <w:sz w:val="26"/>
          <w:szCs w:val="26"/>
        </w:rPr>
      </w:pPr>
    </w:p>
    <w:p w14:paraId="06964BEC" w14:textId="77777777" w:rsidR="00FB521A" w:rsidRPr="008D1DEC" w:rsidRDefault="00FB521A" w:rsidP="00FB521A">
      <w:pPr>
        <w:widowControl w:val="0"/>
        <w:contextualSpacing/>
        <w:jc w:val="center"/>
        <w:rPr>
          <w:i/>
          <w:sz w:val="26"/>
          <w:szCs w:val="26"/>
        </w:rPr>
      </w:pPr>
      <w:bookmarkStart w:id="6" w:name="dabmch_10"/>
      <w:r w:rsidRPr="008D1DEC">
        <w:rPr>
          <w:i/>
          <w:sz w:val="26"/>
          <w:szCs w:val="26"/>
        </w:rPr>
        <w:t>Defendant.</w:t>
      </w:r>
      <w:bookmarkEnd w:id="6"/>
    </w:p>
    <w:p w14:paraId="4EEB40A0" w14:textId="77777777" w:rsidR="00FB521A" w:rsidRPr="008D1DEC" w:rsidRDefault="00FB521A" w:rsidP="00FB521A">
      <w:pPr>
        <w:widowControl w:val="0"/>
        <w:contextualSpacing/>
        <w:jc w:val="center"/>
        <w:rPr>
          <w:sz w:val="26"/>
          <w:szCs w:val="26"/>
        </w:rPr>
      </w:pPr>
    </w:p>
    <w:p w14:paraId="321B1431" w14:textId="77777777" w:rsidR="00FB521A" w:rsidRPr="008D1DEC" w:rsidRDefault="00FB521A" w:rsidP="00FB521A">
      <w:pPr>
        <w:contextualSpacing/>
        <w:jc w:val="center"/>
        <w:rPr>
          <w:sz w:val="26"/>
          <w:szCs w:val="26"/>
        </w:rPr>
      </w:pPr>
      <w:bookmarkStart w:id="7" w:name="dabmch_11"/>
      <w:r w:rsidRPr="008D1DEC">
        <w:rPr>
          <w:sz w:val="26"/>
          <w:szCs w:val="26"/>
        </w:rPr>
        <w:t>________________________________________</w:t>
      </w:r>
      <w:bookmarkEnd w:id="7"/>
    </w:p>
    <w:p w14:paraId="53E25C03" w14:textId="77777777" w:rsidR="00FB521A" w:rsidRPr="008D1DEC" w:rsidRDefault="00FB521A" w:rsidP="00FB521A">
      <w:pPr>
        <w:ind w:right="720"/>
        <w:contextualSpacing/>
        <w:rPr>
          <w:i/>
          <w:sz w:val="26"/>
          <w:szCs w:val="26"/>
        </w:rPr>
      </w:pPr>
    </w:p>
    <w:p w14:paraId="0CFE0A10" w14:textId="337672F9" w:rsidR="00CE5E8C" w:rsidRPr="008D1DEC" w:rsidRDefault="00CE5E8C" w:rsidP="00CE5E8C">
      <w:pPr>
        <w:ind w:left="720" w:right="720"/>
        <w:contextualSpacing/>
        <w:jc w:val="center"/>
        <w:rPr>
          <w:b/>
          <w:color w:val="000000" w:themeColor="text1"/>
          <w:sz w:val="26"/>
          <w:szCs w:val="26"/>
        </w:rPr>
      </w:pPr>
      <w:bookmarkStart w:id="8" w:name="dabmch_15"/>
      <w:r w:rsidRPr="008D1DEC">
        <w:rPr>
          <w:b/>
          <w:color w:val="000000" w:themeColor="text1"/>
          <w:sz w:val="26"/>
          <w:szCs w:val="26"/>
        </w:rPr>
        <w:t xml:space="preserve">MEMORANDUM OF LAW </w:t>
      </w:r>
      <w:r w:rsidR="008D1DEC">
        <w:rPr>
          <w:b/>
          <w:color w:val="000000" w:themeColor="text1"/>
          <w:sz w:val="26"/>
          <w:szCs w:val="26"/>
        </w:rPr>
        <w:t xml:space="preserve">IN OPPOSITION OF </w:t>
      </w:r>
    </w:p>
    <w:p w14:paraId="08D4BC0B" w14:textId="6AD19786" w:rsidR="00CE5E8C" w:rsidRPr="008D1DEC" w:rsidRDefault="00CE5E8C" w:rsidP="00CE5E8C">
      <w:pPr>
        <w:ind w:left="720" w:right="720"/>
        <w:contextualSpacing/>
        <w:jc w:val="center"/>
        <w:rPr>
          <w:b/>
          <w:color w:val="000000" w:themeColor="text1"/>
          <w:sz w:val="26"/>
          <w:szCs w:val="26"/>
        </w:rPr>
      </w:pPr>
      <w:r w:rsidRPr="008D1DEC">
        <w:rPr>
          <w:b/>
          <w:color w:val="000000" w:themeColor="text1"/>
          <w:sz w:val="26"/>
          <w:szCs w:val="26"/>
        </w:rPr>
        <w:t>DEFENDANT’S MOTION</w:t>
      </w:r>
    </w:p>
    <w:p w14:paraId="69C26C29" w14:textId="1441A9CD" w:rsidR="00CE5E8C" w:rsidRPr="008D1DEC" w:rsidRDefault="00CE5E8C" w:rsidP="00CE5E8C">
      <w:pPr>
        <w:ind w:left="720" w:right="720"/>
        <w:contextualSpacing/>
        <w:jc w:val="center"/>
        <w:rPr>
          <w:b/>
          <w:color w:val="000000" w:themeColor="text1"/>
          <w:sz w:val="26"/>
          <w:szCs w:val="26"/>
        </w:rPr>
      </w:pPr>
      <w:r w:rsidRPr="008D1DEC">
        <w:rPr>
          <w:b/>
          <w:color w:val="000000" w:themeColor="text1"/>
          <w:sz w:val="26"/>
          <w:szCs w:val="26"/>
        </w:rPr>
        <w:t>TO SUP</w:t>
      </w:r>
      <w:r w:rsidR="0020512C" w:rsidRPr="008D1DEC">
        <w:rPr>
          <w:b/>
          <w:color w:val="000000" w:themeColor="text1"/>
          <w:sz w:val="26"/>
          <w:szCs w:val="26"/>
        </w:rPr>
        <w:t>P</w:t>
      </w:r>
      <w:r w:rsidRPr="008D1DEC">
        <w:rPr>
          <w:b/>
          <w:color w:val="000000" w:themeColor="text1"/>
          <w:sz w:val="26"/>
          <w:szCs w:val="26"/>
        </w:rPr>
        <w:t xml:space="preserve">RESS EVIDENCE AND </w:t>
      </w:r>
    </w:p>
    <w:p w14:paraId="643E9642" w14:textId="7C8DDF74" w:rsidR="00CE5E8C" w:rsidRPr="008D1DEC" w:rsidRDefault="00CE5E8C" w:rsidP="00CE5E8C">
      <w:pPr>
        <w:ind w:left="720" w:right="720"/>
        <w:contextualSpacing/>
        <w:jc w:val="center"/>
        <w:rPr>
          <w:b/>
          <w:color w:val="000000" w:themeColor="text1"/>
          <w:sz w:val="26"/>
          <w:szCs w:val="26"/>
        </w:rPr>
      </w:pPr>
      <w:r w:rsidRPr="008D1DEC">
        <w:rPr>
          <w:b/>
          <w:color w:val="000000" w:themeColor="text1"/>
          <w:sz w:val="26"/>
          <w:szCs w:val="26"/>
        </w:rPr>
        <w:t>MOTION TO QUASH SUBPOENA</w:t>
      </w:r>
    </w:p>
    <w:p w14:paraId="452B9D64" w14:textId="4B8D82B0" w:rsidR="00FB521A" w:rsidRPr="008D1DEC" w:rsidRDefault="00FB521A" w:rsidP="00FB521A">
      <w:pPr>
        <w:contextualSpacing/>
        <w:jc w:val="center"/>
        <w:rPr>
          <w:sz w:val="26"/>
          <w:szCs w:val="26"/>
        </w:rPr>
      </w:pPr>
      <w:r w:rsidRPr="008D1DEC">
        <w:rPr>
          <w:sz w:val="26"/>
          <w:szCs w:val="26"/>
        </w:rPr>
        <w:t>________________________________________</w:t>
      </w:r>
      <w:bookmarkEnd w:id="8"/>
    </w:p>
    <w:p w14:paraId="3541EBD5" w14:textId="77777777" w:rsidR="00FB521A" w:rsidRPr="008D1DEC" w:rsidRDefault="00FB521A" w:rsidP="00FB521A">
      <w:pPr>
        <w:pBdr>
          <w:bottom w:val="thinThickThinMediumGap" w:sz="18" w:space="1" w:color="auto"/>
        </w:pBdr>
        <w:contextualSpacing/>
        <w:jc w:val="center"/>
        <w:rPr>
          <w:smallCaps/>
          <w:sz w:val="26"/>
          <w:szCs w:val="26"/>
        </w:rPr>
      </w:pPr>
    </w:p>
    <w:p w14:paraId="3D011070" w14:textId="5C3D70CD" w:rsidR="00FB521A" w:rsidRPr="008D1DEC" w:rsidRDefault="00FB521A" w:rsidP="00FB521A">
      <w:pPr>
        <w:pBdr>
          <w:bottom w:val="thinThickThinMediumGap" w:sz="18" w:space="1" w:color="auto"/>
        </w:pBdr>
        <w:contextualSpacing/>
        <w:jc w:val="center"/>
        <w:rPr>
          <w:iCs/>
          <w:sz w:val="26"/>
          <w:szCs w:val="26"/>
        </w:rPr>
      </w:pPr>
      <w:bookmarkStart w:id="9" w:name="dabmch_16"/>
      <w:r w:rsidRPr="008D1DEC">
        <w:rPr>
          <w:iCs/>
          <w:sz w:val="26"/>
          <w:szCs w:val="26"/>
        </w:rPr>
        <w:t xml:space="preserve">Team No. </w:t>
      </w:r>
      <w:bookmarkEnd w:id="9"/>
      <w:r w:rsidR="008D1DEC">
        <w:rPr>
          <w:iCs/>
          <w:sz w:val="26"/>
          <w:szCs w:val="26"/>
        </w:rPr>
        <w:t>309</w:t>
      </w:r>
    </w:p>
    <w:p w14:paraId="6CE06C28" w14:textId="77777777" w:rsidR="00FB521A" w:rsidRPr="008D1DEC" w:rsidRDefault="00FB521A" w:rsidP="00FB521A">
      <w:pPr>
        <w:pBdr>
          <w:bottom w:val="thinThickThinMediumGap" w:sz="18" w:space="1" w:color="auto"/>
        </w:pBdr>
        <w:contextualSpacing/>
        <w:jc w:val="center"/>
        <w:rPr>
          <w:iCs/>
          <w:sz w:val="26"/>
          <w:szCs w:val="26"/>
        </w:rPr>
      </w:pPr>
    </w:p>
    <w:p w14:paraId="78A221B4" w14:textId="4F1C85B1" w:rsidR="00FB521A" w:rsidRPr="008D1DEC" w:rsidRDefault="00FB521A" w:rsidP="00FB521A">
      <w:pPr>
        <w:pBdr>
          <w:bottom w:val="thinThickThinMediumGap" w:sz="18" w:space="1" w:color="auto"/>
        </w:pBdr>
        <w:contextualSpacing/>
        <w:jc w:val="center"/>
        <w:rPr>
          <w:i/>
          <w:sz w:val="26"/>
          <w:szCs w:val="26"/>
        </w:rPr>
      </w:pPr>
      <w:bookmarkStart w:id="10" w:name="dabmch_17"/>
      <w:r w:rsidRPr="008D1DEC">
        <w:rPr>
          <w:i/>
          <w:sz w:val="26"/>
          <w:szCs w:val="26"/>
        </w:rPr>
        <w:t xml:space="preserve">Counsel for </w:t>
      </w:r>
      <w:bookmarkEnd w:id="10"/>
      <w:r w:rsidR="0020512C" w:rsidRPr="008D1DEC">
        <w:rPr>
          <w:i/>
          <w:sz w:val="26"/>
          <w:szCs w:val="26"/>
        </w:rPr>
        <w:t xml:space="preserve">The Government </w:t>
      </w:r>
      <w:proofErr w:type="gramStart"/>
      <w:r w:rsidR="0020512C" w:rsidRPr="008D1DEC">
        <w:rPr>
          <w:i/>
          <w:sz w:val="26"/>
          <w:szCs w:val="26"/>
        </w:rPr>
        <w:t>Of</w:t>
      </w:r>
      <w:proofErr w:type="gramEnd"/>
      <w:r w:rsidR="0020512C" w:rsidRPr="008D1DEC">
        <w:rPr>
          <w:i/>
          <w:sz w:val="26"/>
          <w:szCs w:val="26"/>
        </w:rPr>
        <w:t xml:space="preserve"> </w:t>
      </w:r>
      <w:proofErr w:type="gramStart"/>
      <w:r w:rsidR="0020512C" w:rsidRPr="008D1DEC">
        <w:rPr>
          <w:i/>
          <w:sz w:val="26"/>
          <w:szCs w:val="26"/>
        </w:rPr>
        <w:t>The</w:t>
      </w:r>
      <w:proofErr w:type="gramEnd"/>
      <w:r w:rsidR="0020512C" w:rsidRPr="008D1DEC">
        <w:rPr>
          <w:i/>
          <w:sz w:val="26"/>
          <w:szCs w:val="26"/>
        </w:rPr>
        <w:t xml:space="preserve"> United States of America</w:t>
      </w:r>
    </w:p>
    <w:p w14:paraId="7EF3FB3C" w14:textId="77777777" w:rsidR="00FB521A" w:rsidRPr="008D1DEC" w:rsidRDefault="00FB521A" w:rsidP="00FB521A">
      <w:pPr>
        <w:pBdr>
          <w:bottom w:val="thinThickThinMediumGap" w:sz="18" w:space="1" w:color="auto"/>
        </w:pBdr>
        <w:contextualSpacing/>
        <w:jc w:val="center"/>
        <w:rPr>
          <w:i/>
          <w:sz w:val="26"/>
          <w:szCs w:val="26"/>
        </w:rPr>
      </w:pPr>
    </w:p>
    <w:p w14:paraId="70FA2EF2" w14:textId="77777777" w:rsidR="00FB521A" w:rsidRPr="008D1DEC" w:rsidRDefault="00FB521A" w:rsidP="00FB521A">
      <w:pPr>
        <w:pBdr>
          <w:bottom w:val="thinThickThinMediumGap" w:sz="18" w:space="1" w:color="auto"/>
        </w:pBdr>
        <w:contextualSpacing/>
        <w:jc w:val="center"/>
        <w:rPr>
          <w:i/>
          <w:sz w:val="26"/>
          <w:szCs w:val="26"/>
        </w:rPr>
      </w:pPr>
    </w:p>
    <w:p w14:paraId="48E7E762" w14:textId="77777777" w:rsidR="00FB521A" w:rsidRPr="008D1DEC" w:rsidRDefault="00FB521A" w:rsidP="00FB521A">
      <w:pPr>
        <w:contextualSpacing/>
        <w:jc w:val="both"/>
        <w:rPr>
          <w:sz w:val="26"/>
          <w:szCs w:val="26"/>
        </w:rPr>
      </w:pPr>
    </w:p>
    <w:p w14:paraId="03A482FB" w14:textId="77777777" w:rsidR="00FB521A" w:rsidRPr="008D1DEC" w:rsidRDefault="00FB521A" w:rsidP="00FB521A">
      <w:pPr>
        <w:contextualSpacing/>
        <w:jc w:val="both"/>
        <w:rPr>
          <w:sz w:val="26"/>
          <w:szCs w:val="26"/>
        </w:rPr>
      </w:pPr>
    </w:p>
    <w:p w14:paraId="10E77F95" w14:textId="351F5227" w:rsidR="00CE5E8C" w:rsidRPr="008D1DEC" w:rsidRDefault="00CE5E8C">
      <w:pPr>
        <w:spacing w:after="160" w:line="278" w:lineRule="auto"/>
        <w:rPr>
          <w:sz w:val="26"/>
          <w:szCs w:val="26"/>
        </w:rPr>
      </w:pPr>
      <w:r w:rsidRPr="008D1DEC">
        <w:rPr>
          <w:sz w:val="26"/>
          <w:szCs w:val="26"/>
        </w:rPr>
        <w:br w:type="page"/>
      </w:r>
    </w:p>
    <w:p w14:paraId="0D9F8108" w14:textId="414A7B1B" w:rsidR="00344503" w:rsidRPr="008D1DEC" w:rsidRDefault="00CE5E8C" w:rsidP="00D8298E">
      <w:pPr>
        <w:pStyle w:val="Heading1"/>
      </w:pPr>
      <w:bookmarkStart w:id="11" w:name="_Toc239017259"/>
      <w:r w:rsidRPr="008D1DEC">
        <w:lastRenderedPageBreak/>
        <w:t>TABLE OF CONTENTS</w:t>
      </w:r>
      <w:bookmarkEnd w:id="11"/>
    </w:p>
    <w:p w14:paraId="757CADE6" w14:textId="3855FC15" w:rsidR="00CE5E8C" w:rsidRPr="008D1DEC" w:rsidRDefault="00CE5E8C" w:rsidP="00024D4C">
      <w:pPr>
        <w:tabs>
          <w:tab w:val="left" w:pos="0"/>
          <w:tab w:val="right" w:leader="dot" w:pos="9360"/>
        </w:tabs>
        <w:spacing w:line="480" w:lineRule="auto"/>
        <w:rPr>
          <w:sz w:val="26"/>
          <w:szCs w:val="26"/>
        </w:rPr>
      </w:pPr>
      <w:r w:rsidRPr="008D1DEC">
        <w:rPr>
          <w:sz w:val="26"/>
          <w:szCs w:val="26"/>
        </w:rPr>
        <w:t>TABLE OF CONTENTS</w:t>
      </w:r>
      <w:r w:rsidR="00024D4C" w:rsidRPr="008D1DEC">
        <w:rPr>
          <w:sz w:val="26"/>
          <w:szCs w:val="26"/>
        </w:rPr>
        <w:tab/>
      </w:r>
      <w:r w:rsidR="00D16D77">
        <w:rPr>
          <w:sz w:val="26"/>
          <w:szCs w:val="26"/>
        </w:rPr>
        <w:t>ii</w:t>
      </w:r>
    </w:p>
    <w:p w14:paraId="5360A6B1" w14:textId="415BA0E6" w:rsidR="00CE5E8C" w:rsidRPr="008D1DEC" w:rsidRDefault="00CE5E8C" w:rsidP="00024D4C">
      <w:pPr>
        <w:tabs>
          <w:tab w:val="left" w:pos="0"/>
          <w:tab w:val="right" w:leader="dot" w:pos="9360"/>
        </w:tabs>
        <w:spacing w:line="480" w:lineRule="auto"/>
        <w:rPr>
          <w:sz w:val="26"/>
          <w:szCs w:val="26"/>
        </w:rPr>
      </w:pPr>
      <w:r w:rsidRPr="008D1DEC">
        <w:rPr>
          <w:sz w:val="26"/>
          <w:szCs w:val="26"/>
        </w:rPr>
        <w:t>TABLE OF AUTHORITIES</w:t>
      </w:r>
      <w:r w:rsidR="00024D4C" w:rsidRPr="008D1DEC">
        <w:rPr>
          <w:sz w:val="26"/>
          <w:szCs w:val="26"/>
        </w:rPr>
        <w:tab/>
      </w:r>
      <w:r w:rsidR="00D16D77">
        <w:rPr>
          <w:sz w:val="26"/>
          <w:szCs w:val="26"/>
        </w:rPr>
        <w:t>iv</w:t>
      </w:r>
    </w:p>
    <w:p w14:paraId="3C45FD63" w14:textId="559B56D2" w:rsidR="00CE5E8C" w:rsidRPr="008D1DEC" w:rsidRDefault="00024D4C" w:rsidP="00024D4C">
      <w:pPr>
        <w:tabs>
          <w:tab w:val="left" w:pos="0"/>
          <w:tab w:val="right" w:leader="dot" w:pos="9360"/>
        </w:tabs>
        <w:spacing w:line="480" w:lineRule="auto"/>
        <w:rPr>
          <w:sz w:val="26"/>
          <w:szCs w:val="26"/>
        </w:rPr>
      </w:pPr>
      <w:r w:rsidRPr="008D1DEC">
        <w:rPr>
          <w:sz w:val="26"/>
          <w:szCs w:val="26"/>
        </w:rPr>
        <w:t>INTRODUCTION</w:t>
      </w:r>
      <w:r w:rsidRPr="008D1DEC">
        <w:rPr>
          <w:sz w:val="26"/>
          <w:szCs w:val="26"/>
        </w:rPr>
        <w:tab/>
      </w:r>
      <w:r w:rsidR="00D16D77">
        <w:rPr>
          <w:sz w:val="26"/>
          <w:szCs w:val="26"/>
        </w:rPr>
        <w:t>1</w:t>
      </w:r>
    </w:p>
    <w:p w14:paraId="153594A5" w14:textId="6317CAAD" w:rsidR="00024D4C" w:rsidRPr="008D1DEC" w:rsidRDefault="00024D4C" w:rsidP="00024D4C">
      <w:pPr>
        <w:tabs>
          <w:tab w:val="left" w:pos="0"/>
          <w:tab w:val="right" w:leader="dot" w:pos="9360"/>
        </w:tabs>
        <w:spacing w:line="480" w:lineRule="auto"/>
        <w:rPr>
          <w:sz w:val="26"/>
          <w:szCs w:val="26"/>
        </w:rPr>
      </w:pPr>
      <w:r w:rsidRPr="008D1DEC">
        <w:rPr>
          <w:sz w:val="26"/>
          <w:szCs w:val="26"/>
        </w:rPr>
        <w:t>STATEMENT OF FACTS</w:t>
      </w:r>
      <w:r w:rsidRPr="008D1DEC">
        <w:rPr>
          <w:sz w:val="26"/>
          <w:szCs w:val="26"/>
        </w:rPr>
        <w:tab/>
      </w:r>
      <w:r w:rsidR="00D16D77">
        <w:rPr>
          <w:sz w:val="26"/>
          <w:szCs w:val="26"/>
        </w:rPr>
        <w:t>1</w:t>
      </w:r>
    </w:p>
    <w:p w14:paraId="00142721" w14:textId="3D833F3C" w:rsidR="00024D4C" w:rsidRPr="008D1DEC" w:rsidRDefault="00024D4C" w:rsidP="00024D4C">
      <w:pPr>
        <w:tabs>
          <w:tab w:val="left" w:pos="0"/>
          <w:tab w:val="right" w:leader="dot" w:pos="9360"/>
        </w:tabs>
        <w:spacing w:line="480" w:lineRule="auto"/>
        <w:rPr>
          <w:sz w:val="26"/>
          <w:szCs w:val="26"/>
        </w:rPr>
      </w:pPr>
      <w:r w:rsidRPr="008D1DEC">
        <w:rPr>
          <w:sz w:val="26"/>
          <w:szCs w:val="26"/>
        </w:rPr>
        <w:t>ARGUMENT</w:t>
      </w:r>
      <w:r w:rsidRPr="008D1DEC">
        <w:rPr>
          <w:sz w:val="26"/>
          <w:szCs w:val="26"/>
        </w:rPr>
        <w:tab/>
      </w:r>
      <w:r w:rsidR="00D16D77">
        <w:rPr>
          <w:sz w:val="26"/>
          <w:szCs w:val="26"/>
        </w:rPr>
        <w:t>7</w:t>
      </w:r>
    </w:p>
    <w:p w14:paraId="45D734D3" w14:textId="52394284" w:rsidR="008D1DEC" w:rsidRPr="006444AF" w:rsidRDefault="006444AF" w:rsidP="006444AF">
      <w:pPr>
        <w:pStyle w:val="ListParagraph"/>
        <w:numPr>
          <w:ilvl w:val="0"/>
          <w:numId w:val="1"/>
        </w:numPr>
        <w:tabs>
          <w:tab w:val="left" w:pos="0"/>
          <w:tab w:val="right" w:leader="dot" w:pos="9360"/>
        </w:tabs>
        <w:spacing w:line="480" w:lineRule="auto"/>
        <w:rPr>
          <w:sz w:val="26"/>
          <w:szCs w:val="26"/>
        </w:rPr>
      </w:pPr>
      <w:r w:rsidRPr="006444AF">
        <w:rPr>
          <w:sz w:val="26"/>
          <w:szCs w:val="26"/>
        </w:rPr>
        <w:t xml:space="preserve">THE GOVERNMENT HAS MET ITS BURDEN UNDER </w:t>
      </w:r>
      <w:r w:rsidRPr="006444AF">
        <w:rPr>
          <w:i/>
          <w:iCs/>
          <w:sz w:val="26"/>
          <w:szCs w:val="26"/>
        </w:rPr>
        <w:t xml:space="preserve">KASTIGAR </w:t>
      </w:r>
      <w:r w:rsidRPr="006444AF">
        <w:rPr>
          <w:sz w:val="26"/>
          <w:szCs w:val="26"/>
        </w:rPr>
        <w:t>OF ESTABLISHING THAT THE EVIDENCE DEFENDANT SEEKS TO SUPPRESS WAS DERIVED WHOLLY INDEPENDENTLY OF DEFENDANT’S TESTIMONY</w:t>
      </w:r>
      <w:r w:rsidRPr="006444AF">
        <w:rPr>
          <w:sz w:val="26"/>
          <w:szCs w:val="26"/>
        </w:rPr>
        <w:tab/>
      </w:r>
      <w:r w:rsidR="00D16D77">
        <w:rPr>
          <w:sz w:val="26"/>
          <w:szCs w:val="26"/>
        </w:rPr>
        <w:t>7</w:t>
      </w:r>
    </w:p>
    <w:p w14:paraId="799A2B9A" w14:textId="61E7FD6A" w:rsidR="006444AF" w:rsidRPr="006444AF" w:rsidRDefault="006444AF" w:rsidP="006444AF">
      <w:pPr>
        <w:pStyle w:val="ListParagraph"/>
        <w:numPr>
          <w:ilvl w:val="0"/>
          <w:numId w:val="7"/>
        </w:numPr>
        <w:tabs>
          <w:tab w:val="left" w:pos="0"/>
          <w:tab w:val="right" w:leader="dot" w:pos="9360"/>
        </w:tabs>
        <w:spacing w:line="480" w:lineRule="auto"/>
        <w:rPr>
          <w:sz w:val="26"/>
          <w:szCs w:val="26"/>
        </w:rPr>
      </w:pPr>
      <w:r>
        <w:rPr>
          <w:sz w:val="26"/>
          <w:szCs w:val="26"/>
        </w:rPr>
        <w:t xml:space="preserve">The Team Investigating </w:t>
      </w:r>
      <w:proofErr w:type="gramStart"/>
      <w:r>
        <w:rPr>
          <w:sz w:val="26"/>
          <w:szCs w:val="26"/>
        </w:rPr>
        <w:t>The</w:t>
      </w:r>
      <w:proofErr w:type="gramEnd"/>
      <w:r>
        <w:rPr>
          <w:sz w:val="26"/>
          <w:szCs w:val="26"/>
        </w:rPr>
        <w:t xml:space="preserve"> Defendant Was Insulated </w:t>
      </w:r>
      <w:proofErr w:type="gramStart"/>
      <w:r>
        <w:rPr>
          <w:sz w:val="26"/>
          <w:szCs w:val="26"/>
        </w:rPr>
        <w:t>From</w:t>
      </w:r>
      <w:proofErr w:type="gramEnd"/>
      <w:r>
        <w:rPr>
          <w:sz w:val="26"/>
          <w:szCs w:val="26"/>
        </w:rPr>
        <w:t xml:space="preserve"> All Immunized Testimony, Preventing </w:t>
      </w:r>
      <w:proofErr w:type="gramStart"/>
      <w:r>
        <w:rPr>
          <w:sz w:val="26"/>
          <w:szCs w:val="26"/>
        </w:rPr>
        <w:t>The</w:t>
      </w:r>
      <w:proofErr w:type="gramEnd"/>
      <w:r>
        <w:rPr>
          <w:sz w:val="26"/>
          <w:szCs w:val="26"/>
        </w:rPr>
        <w:t xml:space="preserve"> Testimony </w:t>
      </w:r>
      <w:proofErr w:type="gramStart"/>
      <w:r>
        <w:rPr>
          <w:sz w:val="26"/>
          <w:szCs w:val="26"/>
        </w:rPr>
        <w:t>From</w:t>
      </w:r>
      <w:proofErr w:type="gramEnd"/>
      <w:r>
        <w:rPr>
          <w:sz w:val="26"/>
          <w:szCs w:val="26"/>
        </w:rPr>
        <w:t xml:space="preserve"> Influencing </w:t>
      </w:r>
      <w:proofErr w:type="gramStart"/>
      <w:r>
        <w:rPr>
          <w:sz w:val="26"/>
          <w:szCs w:val="26"/>
        </w:rPr>
        <w:t>The</w:t>
      </w:r>
      <w:proofErr w:type="gramEnd"/>
      <w:r>
        <w:rPr>
          <w:sz w:val="26"/>
          <w:szCs w:val="26"/>
        </w:rPr>
        <w:t xml:space="preserve"> Course </w:t>
      </w:r>
      <w:proofErr w:type="gramStart"/>
      <w:r>
        <w:rPr>
          <w:sz w:val="26"/>
          <w:szCs w:val="26"/>
        </w:rPr>
        <w:t>Of</w:t>
      </w:r>
      <w:proofErr w:type="gramEnd"/>
      <w:r>
        <w:rPr>
          <w:sz w:val="26"/>
          <w:szCs w:val="26"/>
        </w:rPr>
        <w:t xml:space="preserve"> </w:t>
      </w:r>
      <w:proofErr w:type="gramStart"/>
      <w:r>
        <w:rPr>
          <w:sz w:val="26"/>
          <w:szCs w:val="26"/>
        </w:rPr>
        <w:t>The</w:t>
      </w:r>
      <w:proofErr w:type="gramEnd"/>
      <w:r>
        <w:rPr>
          <w:sz w:val="26"/>
          <w:szCs w:val="26"/>
        </w:rPr>
        <w:t xml:space="preserve"> Investigation</w:t>
      </w:r>
      <w:r w:rsidRPr="006444AF">
        <w:rPr>
          <w:sz w:val="26"/>
          <w:szCs w:val="26"/>
        </w:rPr>
        <w:tab/>
      </w:r>
      <w:r w:rsidR="00D16D77">
        <w:rPr>
          <w:sz w:val="26"/>
          <w:szCs w:val="26"/>
        </w:rPr>
        <w:t>8</w:t>
      </w:r>
    </w:p>
    <w:p w14:paraId="4165CDEF" w14:textId="164CC33C" w:rsidR="006444AF" w:rsidRPr="006444AF" w:rsidRDefault="006444AF" w:rsidP="006444AF">
      <w:pPr>
        <w:pStyle w:val="ListParagraph"/>
        <w:numPr>
          <w:ilvl w:val="0"/>
          <w:numId w:val="7"/>
        </w:numPr>
        <w:tabs>
          <w:tab w:val="left" w:pos="0"/>
          <w:tab w:val="right" w:leader="dot" w:pos="9360"/>
        </w:tabs>
        <w:spacing w:line="480" w:lineRule="auto"/>
        <w:rPr>
          <w:sz w:val="26"/>
          <w:szCs w:val="26"/>
        </w:rPr>
      </w:pPr>
      <w:r>
        <w:rPr>
          <w:sz w:val="26"/>
          <w:szCs w:val="26"/>
        </w:rPr>
        <w:t xml:space="preserve">The Government’s Investigative Path That Led </w:t>
      </w:r>
      <w:proofErr w:type="gramStart"/>
      <w:r>
        <w:rPr>
          <w:sz w:val="26"/>
          <w:szCs w:val="26"/>
        </w:rPr>
        <w:t>To</w:t>
      </w:r>
      <w:proofErr w:type="gramEnd"/>
      <w:r>
        <w:rPr>
          <w:sz w:val="26"/>
          <w:szCs w:val="26"/>
        </w:rPr>
        <w:t xml:space="preserve"> Parker Was Derived </w:t>
      </w:r>
      <w:proofErr w:type="gramStart"/>
      <w:r>
        <w:rPr>
          <w:sz w:val="26"/>
          <w:szCs w:val="26"/>
        </w:rPr>
        <w:t>From</w:t>
      </w:r>
      <w:proofErr w:type="gramEnd"/>
      <w:r>
        <w:rPr>
          <w:sz w:val="26"/>
          <w:szCs w:val="26"/>
        </w:rPr>
        <w:t xml:space="preserve"> Sources Wholly Independent </w:t>
      </w:r>
      <w:proofErr w:type="gramStart"/>
      <w:r>
        <w:rPr>
          <w:sz w:val="26"/>
          <w:szCs w:val="26"/>
        </w:rPr>
        <w:t>Of</w:t>
      </w:r>
      <w:proofErr w:type="gramEnd"/>
      <w:r>
        <w:rPr>
          <w:sz w:val="26"/>
          <w:szCs w:val="26"/>
        </w:rPr>
        <w:t xml:space="preserve"> Defendant’s Immunized Testimony</w:t>
      </w:r>
      <w:r w:rsidRPr="006444AF">
        <w:rPr>
          <w:sz w:val="26"/>
          <w:szCs w:val="26"/>
        </w:rPr>
        <w:tab/>
      </w:r>
      <w:r w:rsidR="00D16D77">
        <w:rPr>
          <w:sz w:val="26"/>
          <w:szCs w:val="26"/>
        </w:rPr>
        <w:t>10</w:t>
      </w:r>
    </w:p>
    <w:p w14:paraId="2D4B7723" w14:textId="08D7F524" w:rsidR="006444AF" w:rsidRPr="006444AF" w:rsidRDefault="006444AF" w:rsidP="006444AF">
      <w:pPr>
        <w:pStyle w:val="ListParagraph"/>
        <w:numPr>
          <w:ilvl w:val="0"/>
          <w:numId w:val="7"/>
        </w:numPr>
        <w:tabs>
          <w:tab w:val="left" w:pos="0"/>
          <w:tab w:val="right" w:leader="dot" w:pos="9360"/>
        </w:tabs>
        <w:spacing w:line="480" w:lineRule="auto"/>
        <w:rPr>
          <w:sz w:val="26"/>
          <w:szCs w:val="26"/>
        </w:rPr>
      </w:pPr>
      <w:r>
        <w:rPr>
          <w:sz w:val="26"/>
          <w:szCs w:val="26"/>
        </w:rPr>
        <w:t xml:space="preserve">Parker’s Witness Statement Was Untainted </w:t>
      </w:r>
      <w:proofErr w:type="gramStart"/>
      <w:r>
        <w:rPr>
          <w:sz w:val="26"/>
          <w:szCs w:val="26"/>
        </w:rPr>
        <w:t>By</w:t>
      </w:r>
      <w:proofErr w:type="gramEnd"/>
      <w:r>
        <w:rPr>
          <w:sz w:val="26"/>
          <w:szCs w:val="26"/>
        </w:rPr>
        <w:t xml:space="preserve"> Defendant’s Immunized Testimony</w:t>
      </w:r>
      <w:r w:rsidRPr="006444AF">
        <w:rPr>
          <w:sz w:val="26"/>
          <w:szCs w:val="26"/>
        </w:rPr>
        <w:tab/>
      </w:r>
      <w:r w:rsidR="00D16D77">
        <w:rPr>
          <w:sz w:val="26"/>
          <w:szCs w:val="26"/>
        </w:rPr>
        <w:t>13</w:t>
      </w:r>
    </w:p>
    <w:p w14:paraId="414C2151" w14:textId="597236CF" w:rsidR="006444AF" w:rsidRPr="006444AF" w:rsidRDefault="006444AF" w:rsidP="006444AF">
      <w:pPr>
        <w:pStyle w:val="ListParagraph"/>
        <w:numPr>
          <w:ilvl w:val="0"/>
          <w:numId w:val="1"/>
        </w:numPr>
        <w:tabs>
          <w:tab w:val="left" w:pos="0"/>
          <w:tab w:val="right" w:leader="dot" w:pos="9360"/>
        </w:tabs>
        <w:spacing w:line="480" w:lineRule="auto"/>
        <w:rPr>
          <w:sz w:val="26"/>
          <w:szCs w:val="26"/>
        </w:rPr>
      </w:pPr>
      <w:r>
        <w:rPr>
          <w:sz w:val="26"/>
          <w:szCs w:val="26"/>
        </w:rPr>
        <w:t>THE SUBPOENA DUCES TECUM SHOULD BE GRANTED AS THE INTERVIEW NOTES BY MADDOX ARMANA ARE DISCOVERABLE</w:t>
      </w:r>
      <w:r w:rsidRPr="006444AF">
        <w:rPr>
          <w:sz w:val="26"/>
          <w:szCs w:val="26"/>
        </w:rPr>
        <w:tab/>
      </w:r>
      <w:r w:rsidR="00D16D77">
        <w:rPr>
          <w:sz w:val="26"/>
          <w:szCs w:val="26"/>
        </w:rPr>
        <w:t>14</w:t>
      </w:r>
    </w:p>
    <w:p w14:paraId="652B520F" w14:textId="20F208A2" w:rsidR="00024D4C" w:rsidRPr="006444AF" w:rsidRDefault="006444AF" w:rsidP="006444AF">
      <w:pPr>
        <w:pStyle w:val="ListParagraph"/>
        <w:numPr>
          <w:ilvl w:val="0"/>
          <w:numId w:val="11"/>
        </w:numPr>
        <w:tabs>
          <w:tab w:val="left" w:pos="0"/>
          <w:tab w:val="right" w:leader="dot" w:pos="9360"/>
        </w:tabs>
        <w:spacing w:line="480" w:lineRule="auto"/>
        <w:jc w:val="both"/>
        <w:rPr>
          <w:sz w:val="26"/>
          <w:szCs w:val="26"/>
        </w:rPr>
      </w:pPr>
      <w:r>
        <w:rPr>
          <w:sz w:val="26"/>
          <w:szCs w:val="26"/>
        </w:rPr>
        <w:t>Rule 17(c) Governs the Issued Subpoena</w:t>
      </w:r>
      <w:r w:rsidRPr="006444AF">
        <w:rPr>
          <w:sz w:val="26"/>
          <w:szCs w:val="26"/>
        </w:rPr>
        <w:tab/>
      </w:r>
      <w:r w:rsidR="00D16D77">
        <w:rPr>
          <w:sz w:val="26"/>
          <w:szCs w:val="26"/>
        </w:rPr>
        <w:t>1</w:t>
      </w:r>
      <w:r w:rsidR="005E0936">
        <w:rPr>
          <w:sz w:val="26"/>
          <w:szCs w:val="26"/>
        </w:rPr>
        <w:t>4</w:t>
      </w:r>
    </w:p>
    <w:p w14:paraId="4AB50A94" w14:textId="7C656058" w:rsidR="006444AF" w:rsidRDefault="006444AF" w:rsidP="006444AF">
      <w:pPr>
        <w:pStyle w:val="ListParagraph"/>
        <w:numPr>
          <w:ilvl w:val="0"/>
          <w:numId w:val="11"/>
        </w:numPr>
        <w:tabs>
          <w:tab w:val="left" w:pos="0"/>
          <w:tab w:val="right" w:leader="dot" w:pos="9360"/>
        </w:tabs>
        <w:spacing w:line="480" w:lineRule="auto"/>
        <w:rPr>
          <w:sz w:val="26"/>
          <w:szCs w:val="26"/>
        </w:rPr>
      </w:pPr>
      <w:r>
        <w:rPr>
          <w:sz w:val="26"/>
          <w:szCs w:val="26"/>
        </w:rPr>
        <w:lastRenderedPageBreak/>
        <w:t xml:space="preserve">The Interview Notes, As Stated </w:t>
      </w:r>
      <w:proofErr w:type="gramStart"/>
      <w:r>
        <w:rPr>
          <w:sz w:val="26"/>
          <w:szCs w:val="26"/>
        </w:rPr>
        <w:t>By</w:t>
      </w:r>
      <w:proofErr w:type="gramEnd"/>
      <w:r>
        <w:rPr>
          <w:sz w:val="26"/>
          <w:szCs w:val="26"/>
        </w:rPr>
        <w:t xml:space="preserve"> Maddox Armana, Are Fact Work Product</w:t>
      </w:r>
      <w:r w:rsidRPr="006444AF">
        <w:rPr>
          <w:sz w:val="26"/>
          <w:szCs w:val="26"/>
        </w:rPr>
        <w:tab/>
      </w:r>
      <w:r w:rsidR="00D16D77">
        <w:rPr>
          <w:sz w:val="26"/>
          <w:szCs w:val="26"/>
        </w:rPr>
        <w:t>16</w:t>
      </w:r>
    </w:p>
    <w:p w14:paraId="3A87684B" w14:textId="12F9C5F6" w:rsidR="006444AF" w:rsidRPr="006444AF" w:rsidRDefault="006444AF" w:rsidP="006444AF">
      <w:pPr>
        <w:pStyle w:val="ListParagraph"/>
        <w:numPr>
          <w:ilvl w:val="0"/>
          <w:numId w:val="11"/>
        </w:numPr>
        <w:tabs>
          <w:tab w:val="left" w:pos="0"/>
          <w:tab w:val="right" w:leader="dot" w:pos="9360"/>
        </w:tabs>
        <w:spacing w:line="480" w:lineRule="auto"/>
        <w:rPr>
          <w:sz w:val="26"/>
          <w:szCs w:val="26"/>
        </w:rPr>
      </w:pPr>
      <w:r>
        <w:rPr>
          <w:sz w:val="26"/>
          <w:szCs w:val="26"/>
        </w:rPr>
        <w:t xml:space="preserve">The Government Has </w:t>
      </w:r>
      <w:proofErr w:type="gramStart"/>
      <w:r>
        <w:rPr>
          <w:sz w:val="26"/>
          <w:szCs w:val="26"/>
        </w:rPr>
        <w:t>A</w:t>
      </w:r>
      <w:proofErr w:type="gramEnd"/>
      <w:r>
        <w:rPr>
          <w:sz w:val="26"/>
          <w:szCs w:val="26"/>
        </w:rPr>
        <w:t xml:space="preserve"> Substantial Need </w:t>
      </w:r>
      <w:proofErr w:type="gramStart"/>
      <w:r>
        <w:rPr>
          <w:sz w:val="26"/>
          <w:szCs w:val="26"/>
        </w:rPr>
        <w:t>For</w:t>
      </w:r>
      <w:proofErr w:type="gramEnd"/>
      <w:r>
        <w:rPr>
          <w:sz w:val="26"/>
          <w:szCs w:val="26"/>
        </w:rPr>
        <w:t xml:space="preserve"> </w:t>
      </w:r>
      <w:proofErr w:type="gramStart"/>
      <w:r>
        <w:rPr>
          <w:sz w:val="26"/>
          <w:szCs w:val="26"/>
        </w:rPr>
        <w:t>The</w:t>
      </w:r>
      <w:proofErr w:type="gramEnd"/>
      <w:r>
        <w:rPr>
          <w:sz w:val="26"/>
          <w:szCs w:val="26"/>
        </w:rPr>
        <w:t xml:space="preserve"> Interview Notes</w:t>
      </w:r>
      <w:r w:rsidRPr="006444AF">
        <w:rPr>
          <w:sz w:val="26"/>
          <w:szCs w:val="26"/>
        </w:rPr>
        <w:tab/>
      </w:r>
      <w:r w:rsidR="00D16D77">
        <w:rPr>
          <w:sz w:val="26"/>
          <w:szCs w:val="26"/>
        </w:rPr>
        <w:t>17</w:t>
      </w:r>
    </w:p>
    <w:p w14:paraId="77B8C83B" w14:textId="2D870729" w:rsidR="006444AF" w:rsidRPr="006444AF" w:rsidRDefault="006444AF" w:rsidP="006444AF">
      <w:pPr>
        <w:pStyle w:val="ListParagraph"/>
        <w:numPr>
          <w:ilvl w:val="0"/>
          <w:numId w:val="11"/>
        </w:numPr>
        <w:tabs>
          <w:tab w:val="left" w:pos="0"/>
          <w:tab w:val="right" w:leader="dot" w:pos="9360"/>
        </w:tabs>
        <w:spacing w:line="480" w:lineRule="auto"/>
        <w:rPr>
          <w:sz w:val="26"/>
          <w:szCs w:val="26"/>
        </w:rPr>
      </w:pPr>
      <w:r>
        <w:rPr>
          <w:sz w:val="26"/>
          <w:szCs w:val="26"/>
        </w:rPr>
        <w:t xml:space="preserve">The Case Law Points This Court </w:t>
      </w:r>
      <w:proofErr w:type="gramStart"/>
      <w:r>
        <w:rPr>
          <w:sz w:val="26"/>
          <w:szCs w:val="26"/>
        </w:rPr>
        <w:t>To</w:t>
      </w:r>
      <w:proofErr w:type="gramEnd"/>
      <w:r>
        <w:rPr>
          <w:sz w:val="26"/>
          <w:szCs w:val="26"/>
        </w:rPr>
        <w:t xml:space="preserve"> Separate Maddox Armana’s Interview Notes </w:t>
      </w:r>
      <w:proofErr w:type="gramStart"/>
      <w:r>
        <w:rPr>
          <w:sz w:val="26"/>
          <w:szCs w:val="26"/>
        </w:rPr>
        <w:t>From</w:t>
      </w:r>
      <w:proofErr w:type="gramEnd"/>
      <w:r>
        <w:rPr>
          <w:sz w:val="26"/>
          <w:szCs w:val="26"/>
        </w:rPr>
        <w:t xml:space="preserve"> Any Claimed Opinion Work Product, and Fact Work Product</w:t>
      </w:r>
      <w:r w:rsidRPr="006444AF">
        <w:rPr>
          <w:sz w:val="26"/>
          <w:szCs w:val="26"/>
        </w:rPr>
        <w:tab/>
      </w:r>
      <w:r w:rsidR="00D16D77">
        <w:rPr>
          <w:sz w:val="26"/>
          <w:szCs w:val="26"/>
        </w:rPr>
        <w:t>18</w:t>
      </w:r>
    </w:p>
    <w:p w14:paraId="511C020C" w14:textId="5D3DC6DD" w:rsidR="006444AF" w:rsidRPr="006444AF" w:rsidRDefault="006444AF" w:rsidP="006444AF">
      <w:pPr>
        <w:pStyle w:val="ListParagraph"/>
        <w:numPr>
          <w:ilvl w:val="0"/>
          <w:numId w:val="11"/>
        </w:numPr>
        <w:tabs>
          <w:tab w:val="left" w:pos="0"/>
          <w:tab w:val="right" w:leader="dot" w:pos="9360"/>
        </w:tabs>
        <w:spacing w:line="480" w:lineRule="auto"/>
        <w:rPr>
          <w:sz w:val="26"/>
          <w:szCs w:val="26"/>
        </w:rPr>
      </w:pPr>
      <w:r>
        <w:rPr>
          <w:sz w:val="26"/>
          <w:szCs w:val="26"/>
        </w:rPr>
        <w:t xml:space="preserve">Defendant Counsel’s Reliance </w:t>
      </w:r>
      <w:proofErr w:type="gramStart"/>
      <w:r>
        <w:rPr>
          <w:sz w:val="26"/>
          <w:szCs w:val="26"/>
        </w:rPr>
        <w:t>On</w:t>
      </w:r>
      <w:proofErr w:type="gramEnd"/>
      <w:r>
        <w:rPr>
          <w:sz w:val="26"/>
          <w:szCs w:val="26"/>
        </w:rPr>
        <w:t xml:space="preserve"> Maddox Armana </w:t>
      </w:r>
      <w:proofErr w:type="gramStart"/>
      <w:r>
        <w:rPr>
          <w:sz w:val="26"/>
          <w:szCs w:val="26"/>
        </w:rPr>
        <w:t>As</w:t>
      </w:r>
      <w:proofErr w:type="gramEnd"/>
      <w:r>
        <w:rPr>
          <w:sz w:val="26"/>
          <w:szCs w:val="26"/>
        </w:rPr>
        <w:t xml:space="preserve"> </w:t>
      </w:r>
      <w:proofErr w:type="gramStart"/>
      <w:r>
        <w:rPr>
          <w:sz w:val="26"/>
          <w:szCs w:val="26"/>
        </w:rPr>
        <w:t>A</w:t>
      </w:r>
      <w:proofErr w:type="gramEnd"/>
      <w:r>
        <w:rPr>
          <w:sz w:val="26"/>
          <w:szCs w:val="26"/>
        </w:rPr>
        <w:t xml:space="preserve"> Witness Independently Supports Disclosure </w:t>
      </w:r>
      <w:proofErr w:type="gramStart"/>
      <w:r>
        <w:rPr>
          <w:sz w:val="26"/>
          <w:szCs w:val="26"/>
        </w:rPr>
        <w:t>Of</w:t>
      </w:r>
      <w:proofErr w:type="gramEnd"/>
      <w:r>
        <w:rPr>
          <w:sz w:val="26"/>
          <w:szCs w:val="26"/>
        </w:rPr>
        <w:t xml:space="preserve"> </w:t>
      </w:r>
      <w:proofErr w:type="gramStart"/>
      <w:r>
        <w:rPr>
          <w:sz w:val="26"/>
          <w:szCs w:val="26"/>
        </w:rPr>
        <w:t>The</w:t>
      </w:r>
      <w:proofErr w:type="gramEnd"/>
      <w:r>
        <w:rPr>
          <w:sz w:val="26"/>
          <w:szCs w:val="26"/>
        </w:rPr>
        <w:t xml:space="preserve"> Underlying Notes</w:t>
      </w:r>
      <w:r w:rsidRPr="006444AF">
        <w:rPr>
          <w:sz w:val="26"/>
          <w:szCs w:val="26"/>
        </w:rPr>
        <w:tab/>
      </w:r>
      <w:r w:rsidR="00D16D77">
        <w:rPr>
          <w:sz w:val="26"/>
          <w:szCs w:val="26"/>
        </w:rPr>
        <w:t>19</w:t>
      </w:r>
    </w:p>
    <w:p w14:paraId="3AE156BD" w14:textId="610685E7" w:rsidR="00D8298E" w:rsidRPr="008D1DEC" w:rsidRDefault="00024D4C" w:rsidP="00024D4C">
      <w:pPr>
        <w:tabs>
          <w:tab w:val="left" w:pos="0"/>
          <w:tab w:val="right" w:leader="dot" w:pos="9360"/>
        </w:tabs>
        <w:spacing w:line="480" w:lineRule="auto"/>
        <w:rPr>
          <w:sz w:val="26"/>
          <w:szCs w:val="26"/>
        </w:rPr>
      </w:pPr>
      <w:r w:rsidRPr="008D1DEC">
        <w:rPr>
          <w:sz w:val="26"/>
          <w:szCs w:val="26"/>
        </w:rPr>
        <w:t>CONCLUSION</w:t>
      </w:r>
      <w:r w:rsidRPr="008D1DEC">
        <w:rPr>
          <w:sz w:val="26"/>
          <w:szCs w:val="26"/>
        </w:rPr>
        <w:tab/>
      </w:r>
      <w:r w:rsidR="00D16D77">
        <w:rPr>
          <w:sz w:val="26"/>
          <w:szCs w:val="26"/>
        </w:rPr>
        <w:t>20</w:t>
      </w:r>
    </w:p>
    <w:p w14:paraId="1DE1D4A7" w14:textId="77777777" w:rsidR="00D8298E" w:rsidRPr="008D1DEC" w:rsidRDefault="00D8298E">
      <w:pPr>
        <w:spacing w:after="160" w:line="278" w:lineRule="auto"/>
        <w:rPr>
          <w:sz w:val="26"/>
          <w:szCs w:val="26"/>
        </w:rPr>
      </w:pPr>
      <w:r w:rsidRPr="008D1DEC">
        <w:rPr>
          <w:sz w:val="26"/>
          <w:szCs w:val="26"/>
        </w:rPr>
        <w:br w:type="page"/>
      </w:r>
    </w:p>
    <w:p w14:paraId="53039860" w14:textId="52411E92" w:rsidR="00024D4C" w:rsidRPr="008D1DEC" w:rsidRDefault="00024D4C" w:rsidP="006144EB">
      <w:pPr>
        <w:pStyle w:val="Heading1"/>
      </w:pPr>
      <w:bookmarkStart w:id="12" w:name="_Toc239017260"/>
      <w:r w:rsidRPr="008D1DEC">
        <w:lastRenderedPageBreak/>
        <w:t>TABLE OF AUTHORITIES</w:t>
      </w:r>
      <w:bookmarkEnd w:id="12"/>
    </w:p>
    <w:p w14:paraId="43FF148C" w14:textId="701EF63A" w:rsidR="00051A2B" w:rsidRPr="00051A2B" w:rsidRDefault="00051A2B" w:rsidP="00051A2B">
      <w:pPr>
        <w:spacing w:line="480" w:lineRule="auto"/>
        <w:rPr>
          <w:b/>
          <w:bCs/>
          <w:sz w:val="26"/>
          <w:szCs w:val="26"/>
        </w:rPr>
      </w:pPr>
      <w:r w:rsidRPr="008D1DEC">
        <w:rPr>
          <w:b/>
          <w:bCs/>
          <w:sz w:val="26"/>
          <w:szCs w:val="26"/>
        </w:rPr>
        <w:t xml:space="preserve">United States Supreme Court Cases: </w:t>
      </w:r>
      <w:r w:rsidRPr="008D1DEC">
        <w:rPr>
          <w:b/>
          <w:bCs/>
          <w:sz w:val="26"/>
          <w:szCs w:val="26"/>
        </w:rPr>
        <w:tab/>
      </w:r>
      <w:r w:rsidRPr="008D1DEC">
        <w:rPr>
          <w:b/>
          <w:bCs/>
          <w:sz w:val="26"/>
          <w:szCs w:val="26"/>
        </w:rPr>
        <w:tab/>
      </w:r>
      <w:r w:rsidRPr="008D1DEC">
        <w:rPr>
          <w:b/>
          <w:bCs/>
          <w:sz w:val="26"/>
          <w:szCs w:val="26"/>
        </w:rPr>
        <w:tab/>
      </w:r>
      <w:r w:rsidRPr="008D1DEC">
        <w:rPr>
          <w:b/>
          <w:bCs/>
          <w:sz w:val="26"/>
          <w:szCs w:val="26"/>
        </w:rPr>
        <w:tab/>
      </w:r>
      <w:r w:rsidRPr="008D1DEC">
        <w:rPr>
          <w:b/>
          <w:bCs/>
          <w:sz w:val="26"/>
          <w:szCs w:val="26"/>
        </w:rPr>
        <w:tab/>
      </w:r>
      <w:r w:rsidRPr="008D1DEC">
        <w:rPr>
          <w:b/>
          <w:bCs/>
          <w:sz w:val="26"/>
          <w:szCs w:val="26"/>
        </w:rPr>
        <w:tab/>
        <w:t>Page(s)</w:t>
      </w:r>
    </w:p>
    <w:p w14:paraId="2BC42789" w14:textId="77777777" w:rsidR="00051A2B" w:rsidRPr="008D1DEC" w:rsidRDefault="00051A2B" w:rsidP="00051A2B">
      <w:pPr>
        <w:jc w:val="both"/>
        <w:rPr>
          <w:sz w:val="26"/>
          <w:szCs w:val="26"/>
        </w:rPr>
      </w:pPr>
      <w:r w:rsidRPr="008D1DEC">
        <w:rPr>
          <w:i/>
          <w:iCs/>
          <w:sz w:val="26"/>
          <w:szCs w:val="26"/>
        </w:rPr>
        <w:t>Bowman Dairy Co. v. United States</w:t>
      </w:r>
    </w:p>
    <w:p w14:paraId="1F2D8318" w14:textId="77777777" w:rsidR="00051A2B" w:rsidRPr="003F60E5" w:rsidRDefault="00051A2B" w:rsidP="00051A2B">
      <w:pPr>
        <w:tabs>
          <w:tab w:val="left" w:pos="720"/>
          <w:tab w:val="right" w:leader="dot" w:pos="9360"/>
        </w:tabs>
        <w:jc w:val="both"/>
        <w:rPr>
          <w:sz w:val="26"/>
          <w:szCs w:val="26"/>
        </w:rPr>
      </w:pPr>
      <w:r w:rsidRPr="008D1DEC">
        <w:rPr>
          <w:sz w:val="26"/>
          <w:szCs w:val="26"/>
        </w:rPr>
        <w:tab/>
      </w:r>
      <w:r w:rsidRPr="008D1DEC">
        <w:rPr>
          <w:color w:val="000000" w:themeColor="text1"/>
          <w:sz w:val="26"/>
          <w:szCs w:val="26"/>
        </w:rPr>
        <w:t>341 U.S. 214 (1951)</w:t>
      </w:r>
      <w:r w:rsidRPr="008D1DEC">
        <w:rPr>
          <w:sz w:val="26"/>
          <w:szCs w:val="26"/>
        </w:rPr>
        <w:tab/>
      </w:r>
      <w:r>
        <w:rPr>
          <w:sz w:val="26"/>
          <w:szCs w:val="26"/>
        </w:rPr>
        <w:t>15</w:t>
      </w:r>
    </w:p>
    <w:p w14:paraId="300AFEC5" w14:textId="77777777" w:rsidR="00051A2B" w:rsidRPr="008D1DEC" w:rsidRDefault="00051A2B" w:rsidP="00051A2B">
      <w:pPr>
        <w:tabs>
          <w:tab w:val="left" w:pos="720"/>
          <w:tab w:val="right" w:leader="dot" w:pos="9360"/>
        </w:tabs>
        <w:jc w:val="both"/>
        <w:rPr>
          <w:sz w:val="26"/>
          <w:szCs w:val="26"/>
        </w:rPr>
      </w:pPr>
    </w:p>
    <w:p w14:paraId="30DC973F" w14:textId="77777777" w:rsidR="00051A2B" w:rsidRPr="008D1DEC" w:rsidRDefault="00051A2B" w:rsidP="00051A2B">
      <w:pPr>
        <w:jc w:val="both"/>
        <w:rPr>
          <w:sz w:val="26"/>
          <w:szCs w:val="26"/>
        </w:rPr>
      </w:pPr>
      <w:r w:rsidRPr="008D1DEC">
        <w:rPr>
          <w:i/>
          <w:iCs/>
          <w:sz w:val="26"/>
          <w:szCs w:val="26"/>
        </w:rPr>
        <w:t>Hickman v. Taylor</w:t>
      </w:r>
    </w:p>
    <w:p w14:paraId="19A310E6" w14:textId="77777777" w:rsidR="00051A2B" w:rsidRPr="003F60E5" w:rsidRDefault="00051A2B" w:rsidP="00051A2B">
      <w:pPr>
        <w:tabs>
          <w:tab w:val="left" w:pos="720"/>
          <w:tab w:val="right" w:leader="dot" w:pos="9360"/>
        </w:tabs>
        <w:jc w:val="both"/>
        <w:rPr>
          <w:sz w:val="26"/>
          <w:szCs w:val="26"/>
        </w:rPr>
      </w:pPr>
      <w:r w:rsidRPr="008D1DEC">
        <w:rPr>
          <w:sz w:val="26"/>
          <w:szCs w:val="26"/>
        </w:rPr>
        <w:tab/>
      </w:r>
      <w:r w:rsidRPr="008D1DEC">
        <w:rPr>
          <w:color w:val="000000" w:themeColor="text1"/>
          <w:sz w:val="26"/>
          <w:szCs w:val="26"/>
        </w:rPr>
        <w:t>329 U.S. 495 (1947)</w:t>
      </w:r>
      <w:r w:rsidRPr="008D1DEC">
        <w:rPr>
          <w:sz w:val="26"/>
          <w:szCs w:val="26"/>
        </w:rPr>
        <w:tab/>
      </w:r>
      <w:r>
        <w:rPr>
          <w:sz w:val="26"/>
          <w:szCs w:val="26"/>
        </w:rPr>
        <w:t>15, 16, 17, 18, 19</w:t>
      </w:r>
    </w:p>
    <w:p w14:paraId="1FCC0632" w14:textId="77777777" w:rsidR="00051A2B" w:rsidRDefault="00051A2B" w:rsidP="00051A2B">
      <w:pPr>
        <w:jc w:val="both"/>
        <w:rPr>
          <w:i/>
          <w:iCs/>
          <w:sz w:val="26"/>
          <w:szCs w:val="26"/>
        </w:rPr>
      </w:pPr>
    </w:p>
    <w:p w14:paraId="7116804E" w14:textId="77777777" w:rsidR="00051A2B" w:rsidRPr="008D1DEC" w:rsidRDefault="00051A2B" w:rsidP="00051A2B">
      <w:pPr>
        <w:jc w:val="both"/>
        <w:rPr>
          <w:sz w:val="26"/>
          <w:szCs w:val="26"/>
        </w:rPr>
      </w:pPr>
      <w:r w:rsidRPr="008D1DEC">
        <w:rPr>
          <w:i/>
          <w:iCs/>
          <w:sz w:val="26"/>
          <w:szCs w:val="26"/>
        </w:rPr>
        <w:t>Kastigar v. United States</w:t>
      </w:r>
    </w:p>
    <w:p w14:paraId="07452FDE" w14:textId="77777777" w:rsidR="00051A2B" w:rsidRPr="008D1DEC" w:rsidRDefault="00051A2B" w:rsidP="00051A2B">
      <w:pPr>
        <w:tabs>
          <w:tab w:val="left" w:pos="720"/>
          <w:tab w:val="right" w:leader="dot" w:pos="9360"/>
        </w:tabs>
        <w:jc w:val="both"/>
        <w:rPr>
          <w:sz w:val="26"/>
          <w:szCs w:val="26"/>
        </w:rPr>
      </w:pPr>
      <w:r w:rsidRPr="008D1DEC">
        <w:rPr>
          <w:sz w:val="26"/>
          <w:szCs w:val="26"/>
        </w:rPr>
        <w:tab/>
      </w:r>
      <w:r w:rsidRPr="008D1DEC">
        <w:rPr>
          <w:color w:val="000000" w:themeColor="text1"/>
          <w:sz w:val="26"/>
          <w:szCs w:val="26"/>
        </w:rPr>
        <w:t>406 U.S. 441 (1972)</w:t>
      </w:r>
      <w:r w:rsidRPr="008D1DEC">
        <w:rPr>
          <w:sz w:val="26"/>
          <w:szCs w:val="26"/>
        </w:rPr>
        <w:tab/>
      </w:r>
      <w:r>
        <w:rPr>
          <w:sz w:val="26"/>
          <w:szCs w:val="26"/>
        </w:rPr>
        <w:t>7, 10, 12, 14</w:t>
      </w:r>
    </w:p>
    <w:p w14:paraId="044A10F9" w14:textId="77777777" w:rsidR="00051A2B" w:rsidRPr="008D1DEC" w:rsidRDefault="00051A2B" w:rsidP="00051A2B">
      <w:pPr>
        <w:jc w:val="both"/>
        <w:rPr>
          <w:sz w:val="26"/>
          <w:szCs w:val="26"/>
        </w:rPr>
      </w:pPr>
    </w:p>
    <w:p w14:paraId="2879D236" w14:textId="77777777" w:rsidR="00051A2B" w:rsidRPr="008D1DEC" w:rsidRDefault="00051A2B" w:rsidP="00051A2B">
      <w:pPr>
        <w:jc w:val="both"/>
        <w:rPr>
          <w:sz w:val="26"/>
          <w:szCs w:val="26"/>
        </w:rPr>
      </w:pPr>
      <w:r w:rsidRPr="008D1DEC">
        <w:rPr>
          <w:i/>
          <w:iCs/>
          <w:sz w:val="26"/>
          <w:szCs w:val="26"/>
        </w:rPr>
        <w:t>United States v. Nixon</w:t>
      </w:r>
    </w:p>
    <w:p w14:paraId="64822C78" w14:textId="77777777" w:rsidR="00051A2B" w:rsidRPr="008D1DEC" w:rsidRDefault="00051A2B" w:rsidP="00051A2B">
      <w:pPr>
        <w:tabs>
          <w:tab w:val="left" w:pos="720"/>
          <w:tab w:val="right" w:leader="dot" w:pos="9360"/>
        </w:tabs>
        <w:jc w:val="both"/>
        <w:rPr>
          <w:sz w:val="26"/>
          <w:szCs w:val="26"/>
        </w:rPr>
      </w:pPr>
      <w:r w:rsidRPr="008D1DEC">
        <w:rPr>
          <w:sz w:val="26"/>
          <w:szCs w:val="26"/>
        </w:rPr>
        <w:tab/>
      </w:r>
      <w:r w:rsidRPr="008D1DEC">
        <w:rPr>
          <w:color w:val="000000" w:themeColor="text1"/>
          <w:sz w:val="26"/>
          <w:szCs w:val="26"/>
        </w:rPr>
        <w:t>418 U.S. 683 (1974)</w:t>
      </w:r>
      <w:r w:rsidRPr="008D1DEC">
        <w:rPr>
          <w:sz w:val="26"/>
          <w:szCs w:val="26"/>
        </w:rPr>
        <w:tab/>
      </w:r>
      <w:r>
        <w:rPr>
          <w:sz w:val="26"/>
          <w:szCs w:val="26"/>
        </w:rPr>
        <w:t xml:space="preserve">14,15 </w:t>
      </w:r>
    </w:p>
    <w:p w14:paraId="70F0E30A" w14:textId="77777777" w:rsidR="00051A2B" w:rsidRPr="008D1DEC" w:rsidRDefault="00051A2B" w:rsidP="00051A2B">
      <w:pPr>
        <w:tabs>
          <w:tab w:val="left" w:pos="720"/>
          <w:tab w:val="right" w:leader="dot" w:pos="9360"/>
        </w:tabs>
        <w:jc w:val="both"/>
        <w:rPr>
          <w:sz w:val="26"/>
          <w:szCs w:val="26"/>
        </w:rPr>
      </w:pPr>
    </w:p>
    <w:p w14:paraId="6442E29A" w14:textId="77777777" w:rsidR="00051A2B" w:rsidRPr="008D1DEC" w:rsidRDefault="00051A2B" w:rsidP="00051A2B">
      <w:pPr>
        <w:jc w:val="both"/>
        <w:rPr>
          <w:sz w:val="26"/>
          <w:szCs w:val="26"/>
        </w:rPr>
      </w:pPr>
      <w:r w:rsidRPr="008D1DEC">
        <w:rPr>
          <w:i/>
          <w:iCs/>
          <w:sz w:val="26"/>
          <w:szCs w:val="26"/>
        </w:rPr>
        <w:t>United States v. Nobles</w:t>
      </w:r>
    </w:p>
    <w:p w14:paraId="74FC2467" w14:textId="77777777" w:rsidR="00051A2B" w:rsidRPr="003F60E5" w:rsidRDefault="00051A2B" w:rsidP="00051A2B">
      <w:pPr>
        <w:tabs>
          <w:tab w:val="left" w:pos="720"/>
          <w:tab w:val="right" w:leader="dot" w:pos="9360"/>
        </w:tabs>
        <w:jc w:val="both"/>
        <w:rPr>
          <w:sz w:val="26"/>
          <w:szCs w:val="26"/>
        </w:rPr>
      </w:pPr>
      <w:r w:rsidRPr="008D1DEC">
        <w:rPr>
          <w:sz w:val="26"/>
          <w:szCs w:val="26"/>
        </w:rPr>
        <w:tab/>
      </w:r>
      <w:r w:rsidRPr="008D1DEC">
        <w:rPr>
          <w:color w:val="000000" w:themeColor="text1"/>
          <w:sz w:val="26"/>
          <w:szCs w:val="26"/>
        </w:rPr>
        <w:t>422 U.S. 225 (1975)</w:t>
      </w:r>
      <w:r w:rsidRPr="008D1DEC">
        <w:rPr>
          <w:sz w:val="26"/>
          <w:szCs w:val="26"/>
        </w:rPr>
        <w:tab/>
      </w:r>
      <w:r>
        <w:rPr>
          <w:sz w:val="26"/>
          <w:szCs w:val="26"/>
        </w:rPr>
        <w:t>15, 16, 19, 20</w:t>
      </w:r>
    </w:p>
    <w:p w14:paraId="080D8A4B" w14:textId="77777777" w:rsidR="00051A2B" w:rsidRDefault="00051A2B" w:rsidP="00051A2B">
      <w:pPr>
        <w:jc w:val="both"/>
        <w:rPr>
          <w:i/>
          <w:iCs/>
          <w:sz w:val="26"/>
          <w:szCs w:val="26"/>
        </w:rPr>
      </w:pPr>
    </w:p>
    <w:p w14:paraId="0A7F10ED" w14:textId="77777777" w:rsidR="00051A2B" w:rsidRPr="008D1DEC" w:rsidRDefault="00051A2B" w:rsidP="00051A2B">
      <w:pPr>
        <w:jc w:val="both"/>
        <w:rPr>
          <w:sz w:val="26"/>
          <w:szCs w:val="26"/>
        </w:rPr>
      </w:pPr>
      <w:r w:rsidRPr="008D1DEC">
        <w:rPr>
          <w:i/>
          <w:iCs/>
          <w:sz w:val="26"/>
          <w:szCs w:val="26"/>
        </w:rPr>
        <w:t>Upjohn Co. v. United States</w:t>
      </w:r>
    </w:p>
    <w:p w14:paraId="47B917FC" w14:textId="77777777" w:rsidR="00051A2B" w:rsidRPr="008D1DEC" w:rsidRDefault="00051A2B" w:rsidP="00051A2B">
      <w:pPr>
        <w:tabs>
          <w:tab w:val="left" w:pos="720"/>
          <w:tab w:val="right" w:leader="dot" w:pos="9360"/>
        </w:tabs>
        <w:jc w:val="both"/>
        <w:rPr>
          <w:sz w:val="26"/>
          <w:szCs w:val="26"/>
        </w:rPr>
      </w:pPr>
      <w:r w:rsidRPr="008D1DEC">
        <w:rPr>
          <w:sz w:val="26"/>
          <w:szCs w:val="26"/>
        </w:rPr>
        <w:tab/>
      </w:r>
      <w:r w:rsidRPr="008D1DEC">
        <w:rPr>
          <w:color w:val="000000" w:themeColor="text1"/>
          <w:sz w:val="26"/>
          <w:szCs w:val="26"/>
        </w:rPr>
        <w:t>449 U.S. 383 (1981)</w:t>
      </w:r>
      <w:r w:rsidRPr="008D1DEC">
        <w:rPr>
          <w:sz w:val="26"/>
          <w:szCs w:val="26"/>
        </w:rPr>
        <w:tab/>
      </w:r>
      <w:r>
        <w:rPr>
          <w:sz w:val="26"/>
          <w:szCs w:val="26"/>
        </w:rPr>
        <w:t>16, 17, 18, 19</w:t>
      </w:r>
    </w:p>
    <w:p w14:paraId="22D9E7C1" w14:textId="77777777" w:rsidR="00051A2B" w:rsidRPr="008D1DEC" w:rsidRDefault="00051A2B" w:rsidP="00051A2B">
      <w:pPr>
        <w:tabs>
          <w:tab w:val="left" w:pos="720"/>
          <w:tab w:val="right" w:leader="dot" w:pos="9360"/>
        </w:tabs>
        <w:jc w:val="both"/>
        <w:rPr>
          <w:sz w:val="26"/>
          <w:szCs w:val="26"/>
        </w:rPr>
      </w:pPr>
    </w:p>
    <w:p w14:paraId="548363BE" w14:textId="78B48696" w:rsidR="005E0936" w:rsidRPr="005E0936" w:rsidRDefault="005E0936" w:rsidP="005E0936">
      <w:pPr>
        <w:tabs>
          <w:tab w:val="left" w:pos="0"/>
          <w:tab w:val="right" w:leader="dot" w:pos="9360"/>
        </w:tabs>
        <w:spacing w:line="480" w:lineRule="auto"/>
        <w:rPr>
          <w:b/>
          <w:bCs/>
          <w:sz w:val="26"/>
          <w:szCs w:val="26"/>
        </w:rPr>
      </w:pPr>
      <w:r>
        <w:rPr>
          <w:b/>
          <w:bCs/>
          <w:sz w:val="26"/>
          <w:szCs w:val="26"/>
        </w:rPr>
        <w:t>United States Circuit Court of Appeals Cases:</w:t>
      </w:r>
    </w:p>
    <w:p w14:paraId="4031133A" w14:textId="68C24964" w:rsidR="005E0936" w:rsidRPr="005E0936" w:rsidRDefault="005E0936" w:rsidP="005E0936">
      <w:pPr>
        <w:jc w:val="both"/>
        <w:rPr>
          <w:i/>
          <w:iCs/>
          <w:sz w:val="26"/>
          <w:szCs w:val="26"/>
        </w:rPr>
      </w:pPr>
      <w:r w:rsidRPr="008D1DEC">
        <w:rPr>
          <w:i/>
          <w:iCs/>
          <w:sz w:val="26"/>
          <w:szCs w:val="26"/>
        </w:rPr>
        <w:t>United States v. North</w:t>
      </w:r>
    </w:p>
    <w:p w14:paraId="734C631E" w14:textId="4B06D449" w:rsidR="005E0936" w:rsidRDefault="005E0936" w:rsidP="005E0936">
      <w:pPr>
        <w:tabs>
          <w:tab w:val="left" w:pos="720"/>
          <w:tab w:val="right" w:leader="dot" w:pos="9360"/>
        </w:tabs>
        <w:jc w:val="both"/>
        <w:rPr>
          <w:sz w:val="26"/>
          <w:szCs w:val="26"/>
        </w:rPr>
      </w:pPr>
      <w:r w:rsidRPr="008D1DEC">
        <w:rPr>
          <w:sz w:val="26"/>
          <w:szCs w:val="26"/>
        </w:rPr>
        <w:tab/>
        <w:t>920 F.2d 940, 942 (1990)</w:t>
      </w:r>
      <w:r w:rsidRPr="008D1DEC">
        <w:rPr>
          <w:sz w:val="26"/>
          <w:szCs w:val="26"/>
        </w:rPr>
        <w:tab/>
      </w:r>
      <w:r>
        <w:rPr>
          <w:sz w:val="26"/>
          <w:szCs w:val="26"/>
        </w:rPr>
        <w:t>13, 14</w:t>
      </w:r>
    </w:p>
    <w:p w14:paraId="3FCC9DB1" w14:textId="77777777" w:rsidR="005E0936" w:rsidRPr="005E0936" w:rsidRDefault="005E0936" w:rsidP="005E0936">
      <w:pPr>
        <w:tabs>
          <w:tab w:val="left" w:pos="720"/>
          <w:tab w:val="right" w:leader="dot" w:pos="9360"/>
        </w:tabs>
        <w:jc w:val="both"/>
        <w:rPr>
          <w:sz w:val="26"/>
          <w:szCs w:val="26"/>
        </w:rPr>
      </w:pPr>
    </w:p>
    <w:p w14:paraId="1C9C9C59" w14:textId="425D244A" w:rsidR="00051A2B" w:rsidRPr="003F60E5" w:rsidRDefault="00051A2B" w:rsidP="00051A2B">
      <w:pPr>
        <w:tabs>
          <w:tab w:val="left" w:pos="0"/>
          <w:tab w:val="right" w:leader="dot" w:pos="9360"/>
        </w:tabs>
        <w:spacing w:line="480" w:lineRule="auto"/>
        <w:rPr>
          <w:b/>
          <w:bCs/>
          <w:sz w:val="26"/>
          <w:szCs w:val="26"/>
        </w:rPr>
      </w:pPr>
      <w:r w:rsidRPr="008D1DEC">
        <w:rPr>
          <w:b/>
          <w:bCs/>
          <w:sz w:val="26"/>
          <w:szCs w:val="26"/>
        </w:rPr>
        <w:t>Federal Circuit Court Cases:</w:t>
      </w:r>
    </w:p>
    <w:p w14:paraId="3F26D5E1" w14:textId="77777777" w:rsidR="00051A2B" w:rsidRPr="008D1DEC" w:rsidRDefault="00051A2B" w:rsidP="00051A2B">
      <w:pPr>
        <w:jc w:val="both"/>
        <w:rPr>
          <w:sz w:val="26"/>
          <w:szCs w:val="26"/>
        </w:rPr>
      </w:pPr>
      <w:proofErr w:type="spellStart"/>
      <w:r w:rsidRPr="008D1DEC">
        <w:rPr>
          <w:i/>
          <w:iCs/>
          <w:sz w:val="26"/>
          <w:szCs w:val="26"/>
        </w:rPr>
        <w:t>Hatamian</w:t>
      </w:r>
      <w:proofErr w:type="spellEnd"/>
      <w:r w:rsidRPr="008D1DEC">
        <w:rPr>
          <w:i/>
          <w:iCs/>
          <w:sz w:val="26"/>
          <w:szCs w:val="26"/>
        </w:rPr>
        <w:t xml:space="preserve"> v. Advanced Micro Devices, Inc</w:t>
      </w:r>
      <w:r w:rsidRPr="008D1DEC">
        <w:rPr>
          <w:sz w:val="26"/>
          <w:szCs w:val="26"/>
        </w:rPr>
        <w:t>.</w:t>
      </w:r>
    </w:p>
    <w:p w14:paraId="4FE7E085" w14:textId="77777777" w:rsidR="00051A2B" w:rsidRPr="008D1DEC" w:rsidRDefault="00051A2B" w:rsidP="00051A2B">
      <w:pPr>
        <w:tabs>
          <w:tab w:val="left" w:pos="720"/>
          <w:tab w:val="right" w:leader="dot" w:pos="9360"/>
        </w:tabs>
        <w:jc w:val="both"/>
        <w:rPr>
          <w:sz w:val="26"/>
          <w:szCs w:val="26"/>
        </w:rPr>
      </w:pPr>
      <w:r w:rsidRPr="008D1DEC">
        <w:rPr>
          <w:sz w:val="26"/>
          <w:szCs w:val="26"/>
        </w:rPr>
        <w:tab/>
      </w:r>
      <w:r w:rsidRPr="008D1DEC">
        <w:rPr>
          <w:color w:val="000000" w:themeColor="text1"/>
          <w:sz w:val="26"/>
          <w:szCs w:val="26"/>
        </w:rPr>
        <w:t>2016 U.S. Dist</w:t>
      </w:r>
      <w:r>
        <w:rPr>
          <w:color w:val="000000" w:themeColor="text1"/>
          <w:sz w:val="26"/>
          <w:szCs w:val="26"/>
        </w:rPr>
        <w:t xml:space="preserve">. </w:t>
      </w:r>
      <w:r w:rsidRPr="008D1DEC">
        <w:rPr>
          <w:color w:val="000000" w:themeColor="text1"/>
          <w:sz w:val="26"/>
          <w:szCs w:val="26"/>
        </w:rPr>
        <w:t>LEXIS 60551 (N.D. Cal. 2016)</w:t>
      </w:r>
      <w:r w:rsidRPr="008D1DEC">
        <w:rPr>
          <w:sz w:val="26"/>
          <w:szCs w:val="26"/>
        </w:rPr>
        <w:tab/>
      </w:r>
      <w:r>
        <w:rPr>
          <w:sz w:val="26"/>
          <w:szCs w:val="26"/>
        </w:rPr>
        <w:t>19</w:t>
      </w:r>
    </w:p>
    <w:p w14:paraId="0D9D289C" w14:textId="77777777" w:rsidR="00051A2B" w:rsidRPr="008D1DEC" w:rsidRDefault="00051A2B" w:rsidP="00051A2B">
      <w:pPr>
        <w:tabs>
          <w:tab w:val="left" w:pos="720"/>
          <w:tab w:val="right" w:leader="dot" w:pos="9360"/>
        </w:tabs>
        <w:jc w:val="both"/>
        <w:rPr>
          <w:sz w:val="26"/>
          <w:szCs w:val="26"/>
        </w:rPr>
      </w:pPr>
    </w:p>
    <w:p w14:paraId="612B976D" w14:textId="77777777" w:rsidR="00051A2B" w:rsidRPr="008D1DEC" w:rsidRDefault="00051A2B" w:rsidP="00051A2B">
      <w:pPr>
        <w:jc w:val="both"/>
        <w:rPr>
          <w:sz w:val="26"/>
          <w:szCs w:val="26"/>
        </w:rPr>
      </w:pPr>
      <w:r w:rsidRPr="008D1DEC">
        <w:rPr>
          <w:i/>
          <w:iCs/>
          <w:sz w:val="26"/>
          <w:szCs w:val="26"/>
        </w:rPr>
        <w:t>People v. Perez</w:t>
      </w:r>
    </w:p>
    <w:p w14:paraId="605D179F" w14:textId="77777777" w:rsidR="00051A2B" w:rsidRPr="008D1DEC" w:rsidRDefault="00051A2B" w:rsidP="00051A2B">
      <w:pPr>
        <w:tabs>
          <w:tab w:val="left" w:pos="720"/>
          <w:tab w:val="right" w:leader="dot" w:pos="9360"/>
        </w:tabs>
        <w:jc w:val="both"/>
        <w:rPr>
          <w:sz w:val="26"/>
          <w:szCs w:val="26"/>
        </w:rPr>
      </w:pPr>
      <w:r w:rsidRPr="008D1DEC">
        <w:rPr>
          <w:sz w:val="26"/>
          <w:szCs w:val="26"/>
        </w:rPr>
        <w:tab/>
      </w:r>
      <w:r w:rsidRPr="008D1DEC">
        <w:rPr>
          <w:color w:val="000000" w:themeColor="text1"/>
          <w:sz w:val="26"/>
          <w:szCs w:val="26"/>
        </w:rPr>
        <w:t>171 Misc. 2d 75, 653 N.Y.S.2d 527 (Sup. Ct. 1996)</w:t>
      </w:r>
      <w:r w:rsidRPr="008D1DEC">
        <w:rPr>
          <w:sz w:val="26"/>
          <w:szCs w:val="26"/>
        </w:rPr>
        <w:tab/>
      </w:r>
      <w:r>
        <w:rPr>
          <w:sz w:val="26"/>
          <w:szCs w:val="26"/>
        </w:rPr>
        <w:t>19</w:t>
      </w:r>
    </w:p>
    <w:p w14:paraId="6E602598" w14:textId="77777777" w:rsidR="00051A2B" w:rsidRDefault="00051A2B" w:rsidP="00051A2B">
      <w:pPr>
        <w:jc w:val="both"/>
        <w:rPr>
          <w:i/>
          <w:iCs/>
          <w:sz w:val="26"/>
          <w:szCs w:val="26"/>
        </w:rPr>
      </w:pPr>
    </w:p>
    <w:p w14:paraId="798F3B91" w14:textId="77777777" w:rsidR="00051A2B" w:rsidRPr="008D1DEC" w:rsidRDefault="00051A2B" w:rsidP="00051A2B">
      <w:pPr>
        <w:jc w:val="both"/>
        <w:rPr>
          <w:sz w:val="26"/>
          <w:szCs w:val="26"/>
        </w:rPr>
      </w:pPr>
      <w:r w:rsidRPr="008D1DEC">
        <w:rPr>
          <w:i/>
          <w:iCs/>
          <w:sz w:val="26"/>
          <w:szCs w:val="26"/>
        </w:rPr>
        <w:t>United States v. Bartel</w:t>
      </w:r>
    </w:p>
    <w:p w14:paraId="06ED138E" w14:textId="77777777" w:rsidR="00051A2B" w:rsidRPr="003F60E5" w:rsidRDefault="00051A2B" w:rsidP="00051A2B">
      <w:pPr>
        <w:tabs>
          <w:tab w:val="left" w:pos="720"/>
          <w:tab w:val="right" w:leader="dot" w:pos="9360"/>
        </w:tabs>
        <w:jc w:val="both"/>
        <w:rPr>
          <w:sz w:val="26"/>
          <w:szCs w:val="26"/>
        </w:rPr>
      </w:pPr>
      <w:r w:rsidRPr="008D1DEC">
        <w:rPr>
          <w:sz w:val="26"/>
          <w:szCs w:val="26"/>
        </w:rPr>
        <w:tab/>
      </w:r>
      <w:r w:rsidRPr="008D1DEC">
        <w:rPr>
          <w:color w:val="000000" w:themeColor="text1"/>
          <w:sz w:val="26"/>
          <w:szCs w:val="26"/>
        </w:rPr>
        <w:t>19 F.3d 1105 (6th Cir. 1994)</w:t>
      </w:r>
      <w:r w:rsidRPr="008D1DEC">
        <w:rPr>
          <w:sz w:val="26"/>
          <w:szCs w:val="26"/>
        </w:rPr>
        <w:tab/>
      </w:r>
      <w:r>
        <w:rPr>
          <w:sz w:val="26"/>
          <w:szCs w:val="26"/>
        </w:rPr>
        <w:t>7</w:t>
      </w:r>
    </w:p>
    <w:p w14:paraId="5013D506" w14:textId="77777777" w:rsidR="00051A2B" w:rsidRPr="008D1DEC" w:rsidRDefault="00051A2B" w:rsidP="00051A2B">
      <w:pPr>
        <w:jc w:val="both"/>
        <w:rPr>
          <w:i/>
          <w:iCs/>
          <w:sz w:val="26"/>
          <w:szCs w:val="26"/>
        </w:rPr>
      </w:pPr>
    </w:p>
    <w:p w14:paraId="23E027FD" w14:textId="77777777" w:rsidR="00051A2B" w:rsidRPr="008D1DEC" w:rsidRDefault="00051A2B" w:rsidP="00051A2B">
      <w:pPr>
        <w:jc w:val="both"/>
        <w:rPr>
          <w:sz w:val="26"/>
          <w:szCs w:val="26"/>
        </w:rPr>
      </w:pPr>
      <w:r w:rsidRPr="008D1DEC">
        <w:rPr>
          <w:i/>
          <w:iCs/>
          <w:sz w:val="26"/>
          <w:szCs w:val="26"/>
        </w:rPr>
        <w:t>United States v. Mauro</w:t>
      </w:r>
    </w:p>
    <w:p w14:paraId="696AE275" w14:textId="77777777" w:rsidR="00051A2B" w:rsidRPr="008D1DEC" w:rsidRDefault="00051A2B" w:rsidP="00051A2B">
      <w:pPr>
        <w:tabs>
          <w:tab w:val="left" w:pos="720"/>
          <w:tab w:val="right" w:leader="dot" w:pos="9360"/>
        </w:tabs>
        <w:jc w:val="both"/>
        <w:rPr>
          <w:sz w:val="26"/>
          <w:szCs w:val="26"/>
        </w:rPr>
      </w:pPr>
      <w:r w:rsidRPr="008D1DEC">
        <w:rPr>
          <w:sz w:val="26"/>
          <w:szCs w:val="26"/>
        </w:rPr>
        <w:tab/>
      </w:r>
      <w:r w:rsidRPr="008D1DEC">
        <w:rPr>
          <w:color w:val="000000" w:themeColor="text1"/>
          <w:sz w:val="26"/>
          <w:szCs w:val="26"/>
        </w:rPr>
        <w:t xml:space="preserve">846 </w:t>
      </w:r>
      <w:proofErr w:type="spellStart"/>
      <w:r w:rsidRPr="008D1DEC">
        <w:rPr>
          <w:color w:val="000000" w:themeColor="text1"/>
          <w:sz w:val="26"/>
          <w:szCs w:val="26"/>
        </w:rPr>
        <w:t>F.Supp</w:t>
      </w:r>
      <w:proofErr w:type="spellEnd"/>
      <w:r>
        <w:rPr>
          <w:color w:val="000000" w:themeColor="text1"/>
          <w:sz w:val="26"/>
          <w:szCs w:val="26"/>
        </w:rPr>
        <w:t xml:space="preserve">. </w:t>
      </w:r>
      <w:r w:rsidRPr="008D1DEC">
        <w:rPr>
          <w:color w:val="000000" w:themeColor="text1"/>
          <w:sz w:val="26"/>
          <w:szCs w:val="26"/>
        </w:rPr>
        <w:t>245 (W.D.N.Y. 1994)</w:t>
      </w:r>
      <w:r w:rsidRPr="008D1DEC">
        <w:rPr>
          <w:sz w:val="26"/>
          <w:szCs w:val="26"/>
        </w:rPr>
        <w:tab/>
      </w:r>
      <w:r>
        <w:rPr>
          <w:sz w:val="26"/>
          <w:szCs w:val="26"/>
        </w:rPr>
        <w:t xml:space="preserve">10, 12 </w:t>
      </w:r>
    </w:p>
    <w:p w14:paraId="447EA2A2" w14:textId="77777777" w:rsidR="00051A2B" w:rsidRDefault="00051A2B" w:rsidP="00051A2B">
      <w:pPr>
        <w:jc w:val="both"/>
        <w:rPr>
          <w:i/>
          <w:iCs/>
          <w:sz w:val="26"/>
          <w:szCs w:val="26"/>
        </w:rPr>
      </w:pPr>
    </w:p>
    <w:p w14:paraId="4931EB8E" w14:textId="77777777" w:rsidR="00051A2B" w:rsidRPr="008D1DEC" w:rsidRDefault="00051A2B" w:rsidP="00051A2B">
      <w:pPr>
        <w:jc w:val="both"/>
        <w:rPr>
          <w:sz w:val="26"/>
          <w:szCs w:val="26"/>
        </w:rPr>
      </w:pPr>
      <w:r w:rsidRPr="008D1DEC">
        <w:rPr>
          <w:i/>
          <w:iCs/>
          <w:sz w:val="26"/>
          <w:szCs w:val="26"/>
        </w:rPr>
        <w:t>United States v. North</w:t>
      </w:r>
    </w:p>
    <w:p w14:paraId="1B268419" w14:textId="3B7F03D0" w:rsidR="00051A2B" w:rsidRPr="008D1DEC" w:rsidRDefault="00051A2B" w:rsidP="00051A2B">
      <w:pPr>
        <w:tabs>
          <w:tab w:val="left" w:pos="720"/>
          <w:tab w:val="right" w:leader="dot" w:pos="9360"/>
        </w:tabs>
        <w:jc w:val="both"/>
        <w:rPr>
          <w:sz w:val="26"/>
          <w:szCs w:val="26"/>
        </w:rPr>
      </w:pPr>
      <w:r w:rsidRPr="008D1DEC">
        <w:rPr>
          <w:sz w:val="26"/>
          <w:szCs w:val="26"/>
        </w:rPr>
        <w:tab/>
      </w:r>
      <w:r w:rsidRPr="008D1DEC">
        <w:rPr>
          <w:color w:val="000000" w:themeColor="text1"/>
          <w:sz w:val="26"/>
          <w:szCs w:val="26"/>
        </w:rPr>
        <w:t>910 F.2d 843 (D.C. Cir. 1990)</w:t>
      </w:r>
      <w:r w:rsidRPr="008D1DEC">
        <w:rPr>
          <w:sz w:val="26"/>
          <w:szCs w:val="26"/>
        </w:rPr>
        <w:tab/>
      </w:r>
      <w:r>
        <w:rPr>
          <w:sz w:val="26"/>
          <w:szCs w:val="26"/>
        </w:rPr>
        <w:t>7, 13</w:t>
      </w:r>
    </w:p>
    <w:p w14:paraId="2FA680EF" w14:textId="77777777" w:rsidR="00051A2B" w:rsidRPr="008D1DEC" w:rsidRDefault="00051A2B" w:rsidP="00051A2B">
      <w:pPr>
        <w:jc w:val="both"/>
        <w:rPr>
          <w:i/>
          <w:iCs/>
          <w:sz w:val="26"/>
          <w:szCs w:val="26"/>
        </w:rPr>
      </w:pPr>
    </w:p>
    <w:p w14:paraId="21AD201A" w14:textId="77777777" w:rsidR="00051A2B" w:rsidRPr="008D1DEC" w:rsidRDefault="00051A2B" w:rsidP="00051A2B">
      <w:pPr>
        <w:jc w:val="both"/>
        <w:rPr>
          <w:sz w:val="26"/>
          <w:szCs w:val="26"/>
        </w:rPr>
      </w:pPr>
      <w:r w:rsidRPr="008D1DEC">
        <w:rPr>
          <w:i/>
          <w:iCs/>
          <w:sz w:val="26"/>
          <w:szCs w:val="26"/>
        </w:rPr>
        <w:t>United States v. Poindexter</w:t>
      </w:r>
    </w:p>
    <w:p w14:paraId="09B53FAB" w14:textId="77777777" w:rsidR="00051A2B" w:rsidRPr="008D1DEC" w:rsidRDefault="00051A2B" w:rsidP="00051A2B">
      <w:pPr>
        <w:tabs>
          <w:tab w:val="left" w:pos="720"/>
          <w:tab w:val="right" w:leader="dot" w:pos="9360"/>
        </w:tabs>
        <w:jc w:val="both"/>
        <w:rPr>
          <w:sz w:val="26"/>
          <w:szCs w:val="26"/>
        </w:rPr>
      </w:pPr>
      <w:r w:rsidRPr="008D1DEC">
        <w:rPr>
          <w:sz w:val="26"/>
          <w:szCs w:val="26"/>
        </w:rPr>
        <w:tab/>
      </w:r>
      <w:r w:rsidRPr="008D1DEC">
        <w:rPr>
          <w:color w:val="000000" w:themeColor="text1"/>
          <w:sz w:val="26"/>
          <w:szCs w:val="26"/>
        </w:rPr>
        <w:t xml:space="preserve">698 </w:t>
      </w:r>
      <w:proofErr w:type="spellStart"/>
      <w:r w:rsidRPr="008D1DEC">
        <w:rPr>
          <w:color w:val="000000" w:themeColor="text1"/>
          <w:sz w:val="26"/>
          <w:szCs w:val="26"/>
        </w:rPr>
        <w:t>F.Supp</w:t>
      </w:r>
      <w:proofErr w:type="spellEnd"/>
      <w:r>
        <w:rPr>
          <w:color w:val="000000" w:themeColor="text1"/>
          <w:sz w:val="26"/>
          <w:szCs w:val="26"/>
        </w:rPr>
        <w:t>.</w:t>
      </w:r>
      <w:r w:rsidRPr="008D1DEC">
        <w:rPr>
          <w:color w:val="000000" w:themeColor="text1"/>
          <w:sz w:val="26"/>
          <w:szCs w:val="26"/>
        </w:rPr>
        <w:t xml:space="preserve"> 300 (D.C. Cir. 1988)</w:t>
      </w:r>
      <w:r w:rsidRPr="008D1DEC">
        <w:rPr>
          <w:sz w:val="26"/>
          <w:szCs w:val="26"/>
        </w:rPr>
        <w:tab/>
      </w:r>
      <w:r>
        <w:rPr>
          <w:sz w:val="26"/>
          <w:szCs w:val="26"/>
        </w:rPr>
        <w:t>8, 9, 10</w:t>
      </w:r>
    </w:p>
    <w:p w14:paraId="09583BC5" w14:textId="77777777" w:rsidR="00051A2B" w:rsidRPr="008D1DEC" w:rsidRDefault="00051A2B" w:rsidP="00051A2B">
      <w:pPr>
        <w:tabs>
          <w:tab w:val="left" w:pos="720"/>
          <w:tab w:val="right" w:leader="dot" w:pos="9360"/>
        </w:tabs>
        <w:jc w:val="both"/>
        <w:rPr>
          <w:sz w:val="26"/>
          <w:szCs w:val="26"/>
        </w:rPr>
      </w:pPr>
    </w:p>
    <w:p w14:paraId="18F9B455" w14:textId="77777777" w:rsidR="00051A2B" w:rsidRPr="008D1DEC" w:rsidRDefault="00051A2B" w:rsidP="00051A2B">
      <w:pPr>
        <w:jc w:val="both"/>
        <w:rPr>
          <w:sz w:val="26"/>
          <w:szCs w:val="26"/>
        </w:rPr>
      </w:pPr>
      <w:r w:rsidRPr="008D1DEC">
        <w:rPr>
          <w:i/>
          <w:iCs/>
          <w:sz w:val="26"/>
          <w:szCs w:val="26"/>
        </w:rPr>
        <w:t>United States v. Rinaldi</w:t>
      </w:r>
    </w:p>
    <w:p w14:paraId="3E87EA75" w14:textId="77777777" w:rsidR="00051A2B" w:rsidRPr="008D1DEC" w:rsidRDefault="00051A2B" w:rsidP="00051A2B">
      <w:pPr>
        <w:tabs>
          <w:tab w:val="left" w:pos="720"/>
          <w:tab w:val="right" w:leader="dot" w:pos="9360"/>
        </w:tabs>
        <w:jc w:val="both"/>
        <w:rPr>
          <w:sz w:val="26"/>
          <w:szCs w:val="26"/>
        </w:rPr>
      </w:pPr>
      <w:r w:rsidRPr="008D1DEC">
        <w:rPr>
          <w:sz w:val="26"/>
          <w:szCs w:val="26"/>
        </w:rPr>
        <w:tab/>
      </w:r>
      <w:r w:rsidRPr="008D1DEC">
        <w:rPr>
          <w:color w:val="000000" w:themeColor="text1"/>
          <w:sz w:val="26"/>
          <w:szCs w:val="26"/>
        </w:rPr>
        <w:t>808 F.2d 1579 (D.C. Cir. 1987)</w:t>
      </w:r>
      <w:r w:rsidRPr="008D1DEC">
        <w:rPr>
          <w:sz w:val="26"/>
          <w:szCs w:val="26"/>
        </w:rPr>
        <w:tab/>
      </w:r>
      <w:r>
        <w:rPr>
          <w:sz w:val="26"/>
          <w:szCs w:val="26"/>
        </w:rPr>
        <w:t>12, 13</w:t>
      </w:r>
    </w:p>
    <w:p w14:paraId="7F3A7293" w14:textId="77777777" w:rsidR="00051A2B" w:rsidRPr="008D1DEC" w:rsidRDefault="00051A2B" w:rsidP="00051A2B">
      <w:pPr>
        <w:tabs>
          <w:tab w:val="left" w:pos="720"/>
          <w:tab w:val="right" w:leader="dot" w:pos="9360"/>
        </w:tabs>
        <w:jc w:val="both"/>
        <w:rPr>
          <w:sz w:val="26"/>
          <w:szCs w:val="26"/>
        </w:rPr>
      </w:pPr>
    </w:p>
    <w:p w14:paraId="004A7D13" w14:textId="77777777" w:rsidR="00051A2B" w:rsidRPr="008D1DEC" w:rsidRDefault="00051A2B" w:rsidP="00051A2B">
      <w:pPr>
        <w:jc w:val="both"/>
        <w:rPr>
          <w:sz w:val="26"/>
          <w:szCs w:val="26"/>
        </w:rPr>
      </w:pPr>
      <w:r w:rsidRPr="008D1DEC">
        <w:rPr>
          <w:i/>
          <w:iCs/>
          <w:sz w:val="26"/>
          <w:szCs w:val="26"/>
        </w:rPr>
        <w:t>Walt Disney Parks &amp; Resorts INC. v. Alesi</w:t>
      </w:r>
    </w:p>
    <w:p w14:paraId="44ACE532" w14:textId="77777777" w:rsidR="00051A2B" w:rsidRPr="008D1DEC" w:rsidRDefault="00051A2B" w:rsidP="00051A2B">
      <w:pPr>
        <w:tabs>
          <w:tab w:val="left" w:pos="720"/>
          <w:tab w:val="right" w:leader="dot" w:pos="9360"/>
        </w:tabs>
        <w:jc w:val="both"/>
        <w:rPr>
          <w:sz w:val="26"/>
          <w:szCs w:val="26"/>
        </w:rPr>
      </w:pPr>
      <w:r w:rsidRPr="008D1DEC">
        <w:rPr>
          <w:sz w:val="26"/>
          <w:szCs w:val="26"/>
        </w:rPr>
        <w:tab/>
        <w:t>(</w:t>
      </w:r>
      <w:r w:rsidRPr="008D1DEC">
        <w:rPr>
          <w:color w:val="000000" w:themeColor="text1"/>
          <w:sz w:val="26"/>
          <w:szCs w:val="26"/>
        </w:rPr>
        <w:t>Fla. 5th DCA 2022)</w:t>
      </w:r>
      <w:r w:rsidRPr="008D1DEC">
        <w:rPr>
          <w:sz w:val="26"/>
          <w:szCs w:val="26"/>
        </w:rPr>
        <w:tab/>
      </w:r>
      <w:r>
        <w:rPr>
          <w:sz w:val="26"/>
          <w:szCs w:val="26"/>
        </w:rPr>
        <w:t>19</w:t>
      </w:r>
    </w:p>
    <w:p w14:paraId="37E177D9" w14:textId="77777777" w:rsidR="00051A2B" w:rsidRPr="008D1DEC" w:rsidRDefault="00051A2B" w:rsidP="00051A2B">
      <w:pPr>
        <w:tabs>
          <w:tab w:val="left" w:pos="720"/>
          <w:tab w:val="right" w:leader="dot" w:pos="9360"/>
        </w:tabs>
        <w:jc w:val="both"/>
        <w:rPr>
          <w:sz w:val="26"/>
          <w:szCs w:val="26"/>
        </w:rPr>
      </w:pPr>
    </w:p>
    <w:p w14:paraId="5FBF8909" w14:textId="77777777" w:rsidR="00051A2B" w:rsidRPr="008D1DEC" w:rsidRDefault="00051A2B" w:rsidP="00051A2B">
      <w:pPr>
        <w:tabs>
          <w:tab w:val="left" w:pos="0"/>
          <w:tab w:val="right" w:leader="dot" w:pos="9360"/>
        </w:tabs>
        <w:spacing w:line="480" w:lineRule="auto"/>
        <w:rPr>
          <w:b/>
          <w:bCs/>
          <w:sz w:val="26"/>
          <w:szCs w:val="26"/>
        </w:rPr>
      </w:pPr>
      <w:r w:rsidRPr="008D1DEC">
        <w:rPr>
          <w:b/>
          <w:bCs/>
          <w:sz w:val="26"/>
          <w:szCs w:val="26"/>
        </w:rPr>
        <w:t>State Court Cases:</w:t>
      </w:r>
    </w:p>
    <w:p w14:paraId="51F909DE" w14:textId="77777777" w:rsidR="00051A2B" w:rsidRPr="008D1DEC" w:rsidRDefault="00051A2B" w:rsidP="00051A2B">
      <w:pPr>
        <w:jc w:val="both"/>
        <w:rPr>
          <w:sz w:val="26"/>
          <w:szCs w:val="26"/>
        </w:rPr>
      </w:pPr>
      <w:r w:rsidRPr="008D1DEC">
        <w:rPr>
          <w:i/>
          <w:iCs/>
          <w:sz w:val="26"/>
          <w:szCs w:val="26"/>
        </w:rPr>
        <w:t>Welsh v. Commonwealth</w:t>
      </w:r>
    </w:p>
    <w:p w14:paraId="59FC5D31" w14:textId="77777777" w:rsidR="00051A2B" w:rsidRPr="008D1DEC" w:rsidRDefault="00051A2B" w:rsidP="00051A2B">
      <w:pPr>
        <w:tabs>
          <w:tab w:val="left" w:pos="720"/>
          <w:tab w:val="right" w:leader="dot" w:pos="9360"/>
        </w:tabs>
        <w:jc w:val="both"/>
        <w:rPr>
          <w:sz w:val="26"/>
          <w:szCs w:val="26"/>
        </w:rPr>
      </w:pPr>
      <w:r w:rsidRPr="008D1DEC">
        <w:rPr>
          <w:sz w:val="26"/>
          <w:szCs w:val="26"/>
        </w:rPr>
        <w:tab/>
      </w:r>
      <w:r w:rsidRPr="008D1DEC">
        <w:rPr>
          <w:color w:val="000000" w:themeColor="text1"/>
          <w:sz w:val="26"/>
          <w:szCs w:val="26"/>
        </w:rPr>
        <w:t>246 Va. 337 (1993)</w:t>
      </w:r>
      <w:r w:rsidRPr="008D1DEC">
        <w:rPr>
          <w:sz w:val="26"/>
          <w:szCs w:val="26"/>
        </w:rPr>
        <w:tab/>
      </w:r>
      <w:r>
        <w:rPr>
          <w:sz w:val="26"/>
          <w:szCs w:val="26"/>
        </w:rPr>
        <w:t>8</w:t>
      </w:r>
    </w:p>
    <w:p w14:paraId="41900EF2" w14:textId="77777777" w:rsidR="00051A2B" w:rsidRPr="008D1DEC" w:rsidRDefault="00051A2B" w:rsidP="00051A2B">
      <w:pPr>
        <w:jc w:val="both"/>
        <w:rPr>
          <w:sz w:val="26"/>
          <w:szCs w:val="26"/>
        </w:rPr>
      </w:pPr>
    </w:p>
    <w:p w14:paraId="4E9A3434" w14:textId="0B8E60A9" w:rsidR="00051A2B" w:rsidRPr="008D1DEC" w:rsidRDefault="00051A2B" w:rsidP="00051A2B">
      <w:pPr>
        <w:tabs>
          <w:tab w:val="left" w:pos="0"/>
          <w:tab w:val="right" w:leader="dot" w:pos="9360"/>
        </w:tabs>
        <w:spacing w:line="480" w:lineRule="auto"/>
        <w:rPr>
          <w:b/>
          <w:bCs/>
          <w:sz w:val="26"/>
          <w:szCs w:val="26"/>
        </w:rPr>
      </w:pPr>
      <w:r w:rsidRPr="008D1DEC">
        <w:rPr>
          <w:b/>
          <w:bCs/>
          <w:sz w:val="26"/>
          <w:szCs w:val="26"/>
        </w:rPr>
        <w:t>Statut</w:t>
      </w:r>
      <w:r>
        <w:rPr>
          <w:b/>
          <w:bCs/>
          <w:sz w:val="26"/>
          <w:szCs w:val="26"/>
        </w:rPr>
        <w:t xml:space="preserve">ory Authorities: </w:t>
      </w:r>
    </w:p>
    <w:p w14:paraId="0CD18403" w14:textId="77777777" w:rsidR="00051A2B" w:rsidRDefault="00051A2B" w:rsidP="00051A2B">
      <w:pPr>
        <w:tabs>
          <w:tab w:val="left" w:pos="720"/>
          <w:tab w:val="right" w:leader="dot" w:pos="9360"/>
        </w:tabs>
        <w:jc w:val="both"/>
        <w:rPr>
          <w:sz w:val="26"/>
          <w:szCs w:val="26"/>
        </w:rPr>
      </w:pPr>
      <w:r w:rsidRPr="008D1DEC">
        <w:rPr>
          <w:i/>
          <w:iCs/>
          <w:sz w:val="26"/>
          <w:szCs w:val="26"/>
        </w:rPr>
        <w:t>18 U.S.C. § 6002</w:t>
      </w:r>
      <w:r w:rsidRPr="008D1DEC">
        <w:rPr>
          <w:sz w:val="26"/>
          <w:szCs w:val="26"/>
        </w:rPr>
        <w:tab/>
      </w:r>
      <w:r>
        <w:rPr>
          <w:sz w:val="26"/>
          <w:szCs w:val="26"/>
        </w:rPr>
        <w:t>7</w:t>
      </w:r>
    </w:p>
    <w:p w14:paraId="5CC227C0" w14:textId="77777777" w:rsidR="00051A2B" w:rsidRPr="002015D9" w:rsidRDefault="00051A2B" w:rsidP="00051A2B">
      <w:pPr>
        <w:tabs>
          <w:tab w:val="left" w:pos="0"/>
          <w:tab w:val="right" w:leader="dot" w:pos="9360"/>
        </w:tabs>
        <w:spacing w:line="480" w:lineRule="auto"/>
        <w:rPr>
          <w:sz w:val="26"/>
          <w:szCs w:val="26"/>
        </w:rPr>
      </w:pPr>
    </w:p>
    <w:p w14:paraId="1F7BE797" w14:textId="77777777" w:rsidR="00051A2B" w:rsidRPr="009F0832" w:rsidRDefault="00051A2B" w:rsidP="00051A2B">
      <w:pPr>
        <w:tabs>
          <w:tab w:val="left" w:pos="0"/>
          <w:tab w:val="right" w:leader="dot" w:pos="9360"/>
        </w:tabs>
        <w:spacing w:line="480" w:lineRule="auto"/>
        <w:rPr>
          <w:b/>
          <w:bCs/>
          <w:sz w:val="26"/>
          <w:szCs w:val="26"/>
        </w:rPr>
      </w:pPr>
      <w:r w:rsidRPr="009F0832">
        <w:rPr>
          <w:i/>
          <w:iCs/>
          <w:sz w:val="26"/>
          <w:szCs w:val="26"/>
        </w:rPr>
        <w:t>Fed R. Crim. 16</w:t>
      </w:r>
      <w:r w:rsidRPr="009F0832">
        <w:rPr>
          <w:sz w:val="26"/>
          <w:szCs w:val="26"/>
        </w:rPr>
        <w:tab/>
        <w:t>14</w:t>
      </w:r>
      <w:r>
        <w:rPr>
          <w:sz w:val="26"/>
          <w:szCs w:val="26"/>
        </w:rPr>
        <w:t>, 15</w:t>
      </w:r>
    </w:p>
    <w:p w14:paraId="6F70427A" w14:textId="77777777" w:rsidR="00051A2B" w:rsidRDefault="00051A2B" w:rsidP="00051A2B">
      <w:pPr>
        <w:tabs>
          <w:tab w:val="left" w:pos="0"/>
          <w:tab w:val="right" w:leader="dot" w:pos="9360"/>
        </w:tabs>
        <w:spacing w:line="480" w:lineRule="auto"/>
        <w:rPr>
          <w:i/>
          <w:iCs/>
          <w:sz w:val="26"/>
          <w:szCs w:val="26"/>
        </w:rPr>
      </w:pPr>
    </w:p>
    <w:p w14:paraId="40B32C1F" w14:textId="77777777" w:rsidR="00051A2B" w:rsidRPr="003F60E5" w:rsidRDefault="00051A2B" w:rsidP="00051A2B">
      <w:pPr>
        <w:tabs>
          <w:tab w:val="left" w:pos="0"/>
          <w:tab w:val="right" w:leader="dot" w:pos="9360"/>
        </w:tabs>
        <w:spacing w:after="160" w:line="480" w:lineRule="auto"/>
        <w:rPr>
          <w:b/>
          <w:bCs/>
          <w:sz w:val="26"/>
          <w:szCs w:val="26"/>
        </w:rPr>
      </w:pPr>
      <w:r w:rsidRPr="008D1DEC">
        <w:rPr>
          <w:i/>
          <w:iCs/>
          <w:sz w:val="26"/>
          <w:szCs w:val="26"/>
        </w:rPr>
        <w:t>Fed R. Crim. P. 17</w:t>
      </w:r>
      <w:r w:rsidRPr="008D1DEC">
        <w:rPr>
          <w:sz w:val="26"/>
          <w:szCs w:val="26"/>
        </w:rPr>
        <w:tab/>
      </w:r>
      <w:r>
        <w:rPr>
          <w:sz w:val="26"/>
          <w:szCs w:val="26"/>
        </w:rPr>
        <w:t>14, 15, 20</w:t>
      </w:r>
    </w:p>
    <w:p w14:paraId="34B06705" w14:textId="77777777" w:rsidR="00051A2B" w:rsidRPr="008D1DEC" w:rsidRDefault="00051A2B" w:rsidP="00051A2B">
      <w:pPr>
        <w:jc w:val="both"/>
        <w:rPr>
          <w:sz w:val="26"/>
          <w:szCs w:val="26"/>
        </w:rPr>
      </w:pPr>
    </w:p>
    <w:p w14:paraId="6E6D08C6" w14:textId="77777777" w:rsidR="00051A2B" w:rsidRPr="003F60E5" w:rsidRDefault="00051A2B" w:rsidP="00051A2B">
      <w:pPr>
        <w:tabs>
          <w:tab w:val="left" w:pos="0"/>
          <w:tab w:val="right" w:leader="dot" w:pos="9360"/>
        </w:tabs>
        <w:spacing w:line="480" w:lineRule="auto"/>
        <w:rPr>
          <w:b/>
          <w:bCs/>
          <w:sz w:val="26"/>
          <w:szCs w:val="26"/>
        </w:rPr>
      </w:pPr>
      <w:r w:rsidRPr="008D1DEC">
        <w:rPr>
          <w:i/>
          <w:iCs/>
          <w:sz w:val="26"/>
          <w:szCs w:val="26"/>
        </w:rPr>
        <w:t>Fed U.S.C. § 6002</w:t>
      </w:r>
      <w:r w:rsidRPr="008D1DEC">
        <w:rPr>
          <w:sz w:val="26"/>
          <w:szCs w:val="26"/>
        </w:rPr>
        <w:tab/>
      </w:r>
      <w:r>
        <w:rPr>
          <w:sz w:val="26"/>
          <w:szCs w:val="26"/>
        </w:rPr>
        <w:t>7</w:t>
      </w:r>
    </w:p>
    <w:p w14:paraId="5AF17CA6" w14:textId="77777777" w:rsidR="00024D4C" w:rsidRPr="008D1DEC" w:rsidRDefault="00024D4C" w:rsidP="00024D4C">
      <w:pPr>
        <w:tabs>
          <w:tab w:val="left" w:pos="0"/>
          <w:tab w:val="right" w:leader="dot" w:pos="9360"/>
        </w:tabs>
        <w:spacing w:line="480" w:lineRule="auto"/>
        <w:rPr>
          <w:b/>
          <w:bCs/>
          <w:sz w:val="26"/>
          <w:szCs w:val="26"/>
        </w:rPr>
      </w:pPr>
    </w:p>
    <w:p w14:paraId="1822EE2C" w14:textId="77777777" w:rsidR="00024D4C" w:rsidRPr="008D1DEC" w:rsidRDefault="00024D4C" w:rsidP="00024D4C">
      <w:pPr>
        <w:spacing w:after="160" w:line="278" w:lineRule="auto"/>
        <w:rPr>
          <w:b/>
          <w:bCs/>
          <w:sz w:val="26"/>
          <w:szCs w:val="26"/>
        </w:rPr>
        <w:sectPr w:rsidR="00024D4C" w:rsidRPr="008D1DEC" w:rsidSect="00FB521A">
          <w:headerReference w:type="default" r:id="rId7"/>
          <w:footerReference w:type="even" r:id="rId8"/>
          <w:footerReference w:type="default" r:id="rId9"/>
          <w:pgSz w:w="12240" w:h="15840"/>
          <w:pgMar w:top="1440" w:right="1440" w:bottom="1440" w:left="1440" w:header="720" w:footer="720" w:gutter="0"/>
          <w:pgNumType w:fmt="lowerRoman"/>
          <w:cols w:space="720"/>
          <w:docGrid w:linePitch="360"/>
        </w:sectPr>
      </w:pPr>
    </w:p>
    <w:p w14:paraId="5BCFCB9C" w14:textId="4DC3110A" w:rsidR="00024D4C" w:rsidRPr="008D1DEC" w:rsidRDefault="00024D4C" w:rsidP="006144EB">
      <w:pPr>
        <w:pStyle w:val="Heading1"/>
      </w:pPr>
      <w:bookmarkStart w:id="13" w:name="_Toc239017261"/>
      <w:r w:rsidRPr="008D1DEC">
        <w:lastRenderedPageBreak/>
        <w:t>INTRODUCTION</w:t>
      </w:r>
      <w:bookmarkEnd w:id="13"/>
    </w:p>
    <w:p w14:paraId="593D0C60" w14:textId="2E33AD2D" w:rsidR="00E71416" w:rsidRPr="008D1DEC" w:rsidRDefault="00E71416" w:rsidP="003A70C4">
      <w:pPr>
        <w:pStyle w:val="NormalWeb"/>
        <w:spacing w:before="0" w:beforeAutospacing="0" w:after="0" w:afterAutospacing="0" w:line="480" w:lineRule="auto"/>
        <w:ind w:firstLine="720"/>
        <w:jc w:val="both"/>
        <w:rPr>
          <w:color w:val="000000"/>
          <w:sz w:val="26"/>
          <w:szCs w:val="26"/>
        </w:rPr>
      </w:pPr>
      <w:r w:rsidRPr="008D1DEC">
        <w:rPr>
          <w:color w:val="000000"/>
          <w:sz w:val="26"/>
          <w:szCs w:val="26"/>
        </w:rPr>
        <w:t>Defendant moves to suppress Kennedy Parker’s witness statement and the evidence obtained from Parker’s interview, including a document recovered from a storage container identifying Defendant as the owner of an offshore account implicated in the money-laundering conspiracy at issue. Defendant contends that Parker was discovered through Defendant’s immunized testimony and that Parker’s statement</w:t>
      </w:r>
      <w:r w:rsidR="003E3627">
        <w:rPr>
          <w:color w:val="000000"/>
          <w:sz w:val="26"/>
          <w:szCs w:val="26"/>
        </w:rPr>
        <w:t>,</w:t>
      </w:r>
      <w:r w:rsidRPr="008D1DEC">
        <w:rPr>
          <w:color w:val="000000"/>
          <w:sz w:val="26"/>
          <w:szCs w:val="26"/>
        </w:rPr>
        <w:t xml:space="preserve"> and the resulting evidence</w:t>
      </w:r>
      <w:r w:rsidR="003E3627">
        <w:rPr>
          <w:color w:val="000000"/>
          <w:sz w:val="26"/>
          <w:szCs w:val="26"/>
        </w:rPr>
        <w:t xml:space="preserve">, </w:t>
      </w:r>
      <w:r w:rsidRPr="008D1DEC">
        <w:rPr>
          <w:color w:val="000000"/>
          <w:sz w:val="26"/>
          <w:szCs w:val="26"/>
        </w:rPr>
        <w:t>are therefore derivative of that testimony. However, the Government insulated the team investigating Defendant from Defendant’s immunized testimony, independently identified Parker and the evidence obtained as a result of Parker’s statement, and obtained Parker’s statement without the immunized testimony shaping Parker’s account. Therefore, the evidence at issue was obtained wholly independently of Defendant’s immunized testimony, and this Court should deny Defendant’s Motion to Suppress. </w:t>
      </w:r>
    </w:p>
    <w:p w14:paraId="345407FE" w14:textId="3921799D" w:rsidR="00024D4C" w:rsidRPr="008D1DEC" w:rsidRDefault="00E71416" w:rsidP="003A70C4">
      <w:pPr>
        <w:pStyle w:val="NormalWeb"/>
        <w:spacing w:before="0" w:beforeAutospacing="0" w:after="0" w:afterAutospacing="0" w:line="480" w:lineRule="auto"/>
        <w:ind w:firstLine="720"/>
        <w:jc w:val="both"/>
        <w:rPr>
          <w:color w:val="000000"/>
          <w:sz w:val="26"/>
          <w:szCs w:val="26"/>
        </w:rPr>
      </w:pPr>
      <w:r w:rsidRPr="008D1DEC">
        <w:rPr>
          <w:color w:val="000000"/>
          <w:sz w:val="26"/>
          <w:szCs w:val="26"/>
        </w:rPr>
        <w:t xml:space="preserve">Defendant moves to quash the Government’s subpoena duces tecum for the interview notes of private investigator Maddox Armana for an interview of Sierra Seton on February 15, 2024. Defendant contends that the notes are protected in their entirety by the work-product doctrine. The interview notes by Armana are readily separable from any protected opinion work product that may exist; the Government has a substantial need for the interview notes as there is no ability to obtain its equivalent, and Defendant’s reliance on Armana as a defense witness supports the disclosure of the interview notes. </w:t>
      </w:r>
    </w:p>
    <w:p w14:paraId="7C304545" w14:textId="62DE663E" w:rsidR="00024D4C" w:rsidRPr="008D1DEC" w:rsidRDefault="00024D4C" w:rsidP="006144EB">
      <w:pPr>
        <w:pStyle w:val="Heading1"/>
      </w:pPr>
      <w:bookmarkStart w:id="14" w:name="_Toc239017262"/>
      <w:r w:rsidRPr="008D1DEC">
        <w:t>STATEMENT OF FACTS</w:t>
      </w:r>
      <w:bookmarkEnd w:id="14"/>
    </w:p>
    <w:p w14:paraId="49813CA5" w14:textId="7006B41A" w:rsidR="00E71416" w:rsidRPr="008D1DEC" w:rsidRDefault="00E71416" w:rsidP="003A70C4">
      <w:pPr>
        <w:pStyle w:val="NormalWeb"/>
        <w:spacing w:before="0" w:beforeAutospacing="0" w:after="0" w:afterAutospacing="0" w:line="480" w:lineRule="auto"/>
        <w:ind w:firstLine="720"/>
        <w:jc w:val="both"/>
        <w:rPr>
          <w:color w:val="000000"/>
          <w:sz w:val="26"/>
          <w:szCs w:val="26"/>
        </w:rPr>
      </w:pPr>
      <w:r w:rsidRPr="008D1DEC">
        <w:rPr>
          <w:color w:val="000000"/>
          <w:sz w:val="26"/>
          <w:szCs w:val="26"/>
        </w:rPr>
        <w:t xml:space="preserve">Defendant, Emily Calloway, is charged in a two-count indictment: the killing of a witness, Daniel Blake, in violation of 18 U.S.C. §1512(a)(1)(C), and conspiracy to commit </w:t>
      </w:r>
      <w:r w:rsidRPr="008D1DEC">
        <w:rPr>
          <w:color w:val="000000"/>
          <w:sz w:val="26"/>
          <w:szCs w:val="26"/>
        </w:rPr>
        <w:lastRenderedPageBreak/>
        <w:t>money laundering in violation of 18 U.S.C. §1956. The charges stem from a scheme in which Silver Palms Resort (“Silver”), owned by Defendant and her business partner, Saint Donovan, funneled millions of dollars through a management company, Emerald Coast Consulting (“Emerald”), to shell corporations owned by those involved in the scheme. Sinclair Dep. 354-359, Nolan Dep. 111-114. Blake, Silver</w:t>
      </w:r>
      <w:r w:rsidR="003E3627">
        <w:rPr>
          <w:color w:val="000000"/>
          <w:sz w:val="26"/>
          <w:szCs w:val="26"/>
        </w:rPr>
        <w:t xml:space="preserve">’s </w:t>
      </w:r>
      <w:r w:rsidRPr="008D1DEC">
        <w:rPr>
          <w:color w:val="000000"/>
          <w:sz w:val="26"/>
          <w:szCs w:val="26"/>
        </w:rPr>
        <w:t xml:space="preserve">accountant, discovered financial irregularities in 2023 and shortly thereafter reported these irregularities to AUSA Tatum Sinclair. Sinclair Dep. 103-107.  Blake was killed days after confronting Defendant about the financial irregularities that he discovered. Sinclair Dep. 195-198, 215-217. Donovan was tried and convicted in a separate proceeding for the same claims brought against Defendant. </w:t>
      </w:r>
      <w:r w:rsidRPr="008D1DEC">
        <w:rPr>
          <w:i/>
          <w:iCs/>
          <w:color w:val="000000"/>
          <w:sz w:val="26"/>
          <w:szCs w:val="26"/>
        </w:rPr>
        <w:t>United States v. Saint Donovan</w:t>
      </w:r>
      <w:r w:rsidRPr="008D1DEC">
        <w:rPr>
          <w:color w:val="000000"/>
          <w:sz w:val="26"/>
          <w:szCs w:val="26"/>
        </w:rPr>
        <w:t xml:space="preserve">, Case No.: 2024-CF-00416. During Donovan's trial, </w:t>
      </w:r>
      <w:r w:rsidR="007D449C">
        <w:rPr>
          <w:color w:val="000000"/>
          <w:sz w:val="26"/>
          <w:szCs w:val="26"/>
        </w:rPr>
        <w:t>governmen</w:t>
      </w:r>
      <w:r w:rsidRPr="008D1DEC">
        <w:rPr>
          <w:color w:val="000000"/>
          <w:sz w:val="26"/>
          <w:szCs w:val="26"/>
        </w:rPr>
        <w:t>t agents continued to investigate Defendant’s involvement in the matter. Sinclair Dep. 547-552, Nolan Dep. 183-188.</w:t>
      </w:r>
    </w:p>
    <w:p w14:paraId="72278DA4" w14:textId="4A54DFFF" w:rsidR="00E71416" w:rsidRPr="008D1DEC" w:rsidRDefault="00E71416" w:rsidP="003A70C4">
      <w:pPr>
        <w:pStyle w:val="NormalWeb"/>
        <w:spacing w:before="0" w:beforeAutospacing="0" w:after="0" w:afterAutospacing="0" w:line="480" w:lineRule="auto"/>
        <w:jc w:val="both"/>
        <w:rPr>
          <w:color w:val="000000"/>
          <w:sz w:val="26"/>
          <w:szCs w:val="26"/>
        </w:rPr>
      </w:pPr>
      <w:r w:rsidRPr="008D1DEC">
        <w:rPr>
          <w:rStyle w:val="apple-tab-span"/>
          <w:color w:val="000000"/>
          <w:sz w:val="26"/>
          <w:szCs w:val="26"/>
        </w:rPr>
        <w:tab/>
      </w:r>
      <w:r w:rsidRPr="008D1DEC">
        <w:rPr>
          <w:color w:val="000000"/>
          <w:sz w:val="26"/>
          <w:szCs w:val="26"/>
        </w:rPr>
        <w:t xml:space="preserve">By the summer of 2024, the Government had traced over seven (7) million dollars of cash flow from Silver, through Emerald, to an offshore account for a vendor named Coastal Event Solutions LLC (“Coastal”). Sinclair Dep. 346-351. The Government’s investigation had begun to connect Defendant to the money laundering scheme, as investigators discovered that the only identifiable contact numbers listed in Emerald’s incorporation records were associated with Defendant and Donovan. Sinclair Dep. 500–510. Although investigators were able to identify the owners of the other vendors receiving funds from Silver, </w:t>
      </w:r>
      <w:proofErr w:type="spellStart"/>
      <w:r w:rsidR="003A70C4" w:rsidRPr="008D1DEC">
        <w:rPr>
          <w:color w:val="000000"/>
          <w:sz w:val="26"/>
          <w:szCs w:val="26"/>
        </w:rPr>
        <w:t>Coastal’s</w:t>
      </w:r>
      <w:proofErr w:type="spellEnd"/>
      <w:r w:rsidRPr="008D1DEC">
        <w:rPr>
          <w:color w:val="000000"/>
          <w:sz w:val="26"/>
          <w:szCs w:val="26"/>
        </w:rPr>
        <w:t xml:space="preserve"> ownership remained unknown. Sinclair Dep. 346-351. Phone records, however, revealed calls between Defendant and a number associated with Coastal. Sinclair Dep 506-510. Investigators began to suspect that Defendant was connected to the </w:t>
      </w:r>
      <w:r w:rsidRPr="008D1DEC">
        <w:rPr>
          <w:color w:val="000000"/>
          <w:sz w:val="26"/>
          <w:szCs w:val="26"/>
        </w:rPr>
        <w:lastRenderedPageBreak/>
        <w:t>conspiracy through Coastal, but the account holding the funds that Coastal had received was based in the Cayman Islands, and no information about its owner could be obtained. Sinclair Dep. 347-351. Investigators then examined the services the vendor performed for Silver through employee records. Sinclair Dep. 423-431.</w:t>
      </w:r>
    </w:p>
    <w:p w14:paraId="10E6FC22" w14:textId="08B31283" w:rsidR="00E71416" w:rsidRPr="008D1DEC" w:rsidRDefault="00E71416" w:rsidP="003A70C4">
      <w:pPr>
        <w:pStyle w:val="NormalWeb"/>
        <w:spacing w:before="0" w:beforeAutospacing="0" w:after="0" w:afterAutospacing="0" w:line="480" w:lineRule="auto"/>
        <w:ind w:firstLine="720"/>
        <w:jc w:val="both"/>
        <w:rPr>
          <w:color w:val="000000"/>
          <w:sz w:val="26"/>
          <w:szCs w:val="26"/>
        </w:rPr>
      </w:pPr>
      <w:r w:rsidRPr="008D1DEC">
        <w:rPr>
          <w:color w:val="000000"/>
          <w:sz w:val="26"/>
          <w:szCs w:val="26"/>
        </w:rPr>
        <w:t xml:space="preserve">The Government needed a witness for the Donovan trial who could explain the mechanics of the shell corporations that were funneling money through the resort. Sinclair Dep. 520-526. The two most promising witnesses were Sierra Seton and Ky Chandler, the operations manager and registered agent of Emerald; however, both had fled the country and were outside the </w:t>
      </w:r>
      <w:r w:rsidR="003E3627">
        <w:rPr>
          <w:color w:val="000000"/>
          <w:sz w:val="26"/>
          <w:szCs w:val="26"/>
        </w:rPr>
        <w:t>G</w:t>
      </w:r>
      <w:r w:rsidRPr="008D1DEC">
        <w:rPr>
          <w:color w:val="000000"/>
          <w:sz w:val="26"/>
          <w:szCs w:val="26"/>
        </w:rPr>
        <w:t xml:space="preserve">overnment's reach. Sinclair Dep. 392-396.  The Government identified Defendant as a witness who could explain the arrangement, as a business partner and co-owner of the Silver. Sinclair Dep. 519-526. To obtain Defendant's testimony, the </w:t>
      </w:r>
      <w:r w:rsidR="003E3627">
        <w:rPr>
          <w:color w:val="000000"/>
          <w:sz w:val="26"/>
          <w:szCs w:val="26"/>
        </w:rPr>
        <w:t>G</w:t>
      </w:r>
      <w:r w:rsidRPr="008D1DEC">
        <w:rPr>
          <w:color w:val="000000"/>
          <w:sz w:val="26"/>
          <w:szCs w:val="26"/>
        </w:rPr>
        <w:t>overnment obtained a court order compelling her testimony against Donovan, with Defendant given use and derivative-use immunity under 18 U.S.C. § 6002, 6003. Sinclair Dep. 542-546. Defendant testified in open court against Donovan on October 10, 2024. Stipulation 6.</w:t>
      </w:r>
    </w:p>
    <w:p w14:paraId="676F2333" w14:textId="60587339" w:rsidR="00E71416" w:rsidRPr="008D1DEC" w:rsidRDefault="00E71416" w:rsidP="003A70C4">
      <w:pPr>
        <w:pStyle w:val="NormalWeb"/>
        <w:spacing w:before="0" w:beforeAutospacing="0" w:after="0" w:afterAutospacing="0" w:line="480" w:lineRule="auto"/>
        <w:jc w:val="both"/>
        <w:rPr>
          <w:color w:val="000000"/>
          <w:sz w:val="26"/>
          <w:szCs w:val="26"/>
        </w:rPr>
      </w:pPr>
      <w:r w:rsidRPr="008D1DEC">
        <w:rPr>
          <w:rStyle w:val="apple-tab-span"/>
          <w:color w:val="000000"/>
          <w:sz w:val="26"/>
          <w:szCs w:val="26"/>
        </w:rPr>
        <w:tab/>
      </w:r>
      <w:r w:rsidRPr="008D1DEC">
        <w:rPr>
          <w:color w:val="000000"/>
          <w:sz w:val="26"/>
          <w:szCs w:val="26"/>
        </w:rPr>
        <w:t xml:space="preserve">The investigative team split into two separate groups the day before the order for the immunized testimony was entered. Sinclair Dep. 547-552. AUSA Sinclair would lead the team against Donovan, while Special Agent Bryce Nolan led the investigation into Ms. Calloway. </w:t>
      </w:r>
      <w:r w:rsidRPr="008D1DEC">
        <w:rPr>
          <w:i/>
          <w:iCs/>
          <w:color w:val="000000"/>
          <w:sz w:val="26"/>
          <w:szCs w:val="26"/>
        </w:rPr>
        <w:t>Id.</w:t>
      </w:r>
      <w:r w:rsidRPr="008D1DEC">
        <w:rPr>
          <w:color w:val="000000"/>
          <w:sz w:val="26"/>
          <w:szCs w:val="26"/>
        </w:rPr>
        <w:t xml:space="preserve"> On August 22, 2024, AUSA Sinclair and Agent Nolan met to divide the supporting agents and prosecutors, duplicate the case file so that each team had its own copy, and authorized Agent Nolan to prepare a formal memorandum documenting the “wall-off” procedures to be maintained. Nolan Dep. 202-213.</w:t>
      </w:r>
    </w:p>
    <w:p w14:paraId="2DA65A15" w14:textId="77777777" w:rsidR="00E71416" w:rsidRPr="008D1DEC" w:rsidRDefault="00E71416" w:rsidP="003A70C4">
      <w:pPr>
        <w:pStyle w:val="NormalWeb"/>
        <w:spacing w:before="0" w:beforeAutospacing="0" w:after="0" w:afterAutospacing="0" w:line="480" w:lineRule="auto"/>
        <w:ind w:firstLine="720"/>
        <w:jc w:val="both"/>
        <w:rPr>
          <w:color w:val="000000"/>
          <w:sz w:val="26"/>
          <w:szCs w:val="26"/>
        </w:rPr>
      </w:pPr>
      <w:r w:rsidRPr="008D1DEC">
        <w:rPr>
          <w:color w:val="000000"/>
          <w:sz w:val="26"/>
          <w:szCs w:val="26"/>
        </w:rPr>
        <w:lastRenderedPageBreak/>
        <w:t>Under the wall-off procedures, Team Donovan was permitted to receive Defendant’s immunized testimony for purposes of prosecuting Donovan, while Team Calloway was prohibited from receiving or using that testimony. Sinclair Dep. 548–552. Evidence, notes, and work product generated after the teams separated were designated as either Team Donovan or Team Calloway material so that members encountering material from the other team could identify it and set it aside. Nolan Dep. 202–213. Team Calloway members were also prohibited from receiving summaries of Defendant’s statements, impressions drawn from those statements, or investigative leads derived from them, and from discussing Defendant’s testimony with Team Donovan. Ex. 15.</w:t>
      </w:r>
    </w:p>
    <w:p w14:paraId="7729ABA6" w14:textId="77777777" w:rsidR="003A70C4" w:rsidRPr="008D1DEC" w:rsidRDefault="00E71416" w:rsidP="003A70C4">
      <w:pPr>
        <w:pStyle w:val="NormalWeb"/>
        <w:spacing w:before="240" w:beforeAutospacing="0" w:after="240" w:afterAutospacing="0" w:line="480" w:lineRule="auto"/>
        <w:ind w:firstLine="720"/>
        <w:jc w:val="both"/>
        <w:rPr>
          <w:color w:val="000000"/>
          <w:sz w:val="26"/>
          <w:szCs w:val="26"/>
        </w:rPr>
      </w:pPr>
      <w:r w:rsidRPr="008D1DEC">
        <w:rPr>
          <w:color w:val="000000"/>
          <w:sz w:val="26"/>
          <w:szCs w:val="26"/>
        </w:rPr>
        <w:t>Team Calloway also memorialized the evidence, investigative leads, and planned investigative steps already in its possession when the order compelling Defendant’s testimony was entered. Nolan Dep. 202–213. After the wall was established, Agent Nolan and AUSA Sinclair did not share pertinent case information, and no report was made to Agent Nolan that any member of Team Calloway had been exposed to materials related to Defendant’s immunized testimony. Nolan Dep. 242–244.</w:t>
      </w:r>
    </w:p>
    <w:p w14:paraId="48A939CB" w14:textId="37C0B698" w:rsidR="00E71416" w:rsidRPr="008D1DEC" w:rsidRDefault="00E71416" w:rsidP="003A70C4">
      <w:pPr>
        <w:pStyle w:val="NormalWeb"/>
        <w:spacing w:before="240" w:beforeAutospacing="0" w:after="240" w:afterAutospacing="0" w:line="480" w:lineRule="auto"/>
        <w:ind w:firstLine="720"/>
        <w:jc w:val="both"/>
        <w:rPr>
          <w:color w:val="000000"/>
          <w:sz w:val="26"/>
          <w:szCs w:val="26"/>
        </w:rPr>
      </w:pPr>
      <w:r w:rsidRPr="008D1DEC">
        <w:rPr>
          <w:color w:val="000000"/>
          <w:sz w:val="26"/>
          <w:szCs w:val="26"/>
        </w:rPr>
        <w:t>Agent Nolan’s list of next investigative steps included interviewing employees who weren’t needed in the Donovan case. Nolan Dep. 298-302. Agent Nolan used Silver Palms’ 2023 employee roster to identify candidates for interviews and prioritized them based on the frequency of shifts worked that year. Nolan Dep. 268–271. Agent Nolan interviewed four other employees on the list before reaching Kennedy Parker, seventh on the list. Nolan Dep. 303–306. Agent Nolan interviewed Parker on October 31, 2024. Nolan Dep. 314–</w:t>
      </w:r>
      <w:r w:rsidRPr="008D1DEC">
        <w:rPr>
          <w:color w:val="000000"/>
          <w:sz w:val="26"/>
          <w:szCs w:val="26"/>
        </w:rPr>
        <w:lastRenderedPageBreak/>
        <w:t>328. Parker made clear that they had not been exposed to Defendant’s testimony prior to providing this statement, nor had they followed the trial against Mr. Donovan. Parker Dep. 307-313.</w:t>
      </w:r>
    </w:p>
    <w:p w14:paraId="670C752F" w14:textId="617104FE" w:rsidR="00E71416" w:rsidRPr="008D1DEC" w:rsidRDefault="00E71416" w:rsidP="003A70C4">
      <w:pPr>
        <w:pStyle w:val="NormalWeb"/>
        <w:spacing w:before="0" w:beforeAutospacing="0" w:after="0" w:afterAutospacing="0" w:line="480" w:lineRule="auto"/>
        <w:ind w:firstLine="720"/>
        <w:jc w:val="both"/>
        <w:rPr>
          <w:color w:val="000000"/>
          <w:sz w:val="26"/>
          <w:szCs w:val="26"/>
        </w:rPr>
      </w:pPr>
      <w:r w:rsidRPr="008D1DEC">
        <w:rPr>
          <w:color w:val="000000"/>
          <w:sz w:val="26"/>
          <w:szCs w:val="26"/>
        </w:rPr>
        <w:t xml:space="preserve">Parker’s witness statement provided Agent Nolan with details of the fight that occurred between Defendant and Blake two days before Blake’s murder. Ex. 19. Parker also detailed bringing a file box marked “Coastal” to a storage unit for Defendant. </w:t>
      </w:r>
      <w:r w:rsidRPr="008D1DEC">
        <w:rPr>
          <w:i/>
          <w:iCs/>
          <w:color w:val="000000"/>
          <w:sz w:val="26"/>
          <w:szCs w:val="26"/>
        </w:rPr>
        <w:t>Id.</w:t>
      </w:r>
      <w:r w:rsidRPr="008D1DEC">
        <w:rPr>
          <w:color w:val="000000"/>
          <w:sz w:val="26"/>
          <w:szCs w:val="26"/>
        </w:rPr>
        <w:t xml:space="preserve"> This led Agent Nolan’s team to the storage unit, where a beneficial ownership record was discovered confirming that Defendant was the ultimate beneficial owner of the assets in the Coastal account. Nolan Dep. 351-354.</w:t>
      </w:r>
    </w:p>
    <w:p w14:paraId="2C7D3101" w14:textId="3A0A3871" w:rsidR="00024D4C" w:rsidRPr="008D1DEC" w:rsidRDefault="00E71416" w:rsidP="003A70C4">
      <w:pPr>
        <w:pStyle w:val="NormalWeb"/>
        <w:spacing w:before="0" w:beforeAutospacing="0" w:after="0" w:afterAutospacing="0" w:line="480" w:lineRule="auto"/>
        <w:jc w:val="both"/>
        <w:rPr>
          <w:color w:val="000000"/>
          <w:sz w:val="26"/>
          <w:szCs w:val="26"/>
        </w:rPr>
      </w:pPr>
      <w:r w:rsidRPr="008D1DEC">
        <w:rPr>
          <w:rStyle w:val="apple-tab-span"/>
          <w:color w:val="000000"/>
          <w:sz w:val="26"/>
          <w:szCs w:val="26"/>
        </w:rPr>
        <w:tab/>
      </w:r>
      <w:r w:rsidRPr="008D1DEC">
        <w:rPr>
          <w:color w:val="000000"/>
          <w:sz w:val="26"/>
          <w:szCs w:val="26"/>
        </w:rPr>
        <w:t xml:space="preserve">Separately, the Government has continued to search for and bring in Seton for questioning. The Government had learned that an investigator, paid for by Defendant’s counsel in early 2024, Maddox Armana, spoke with Seton after an investigation into Seton’s whereabouts. Armana Dep. 53-58, 100-101. Throughout this time, and even while the </w:t>
      </w:r>
      <w:r w:rsidR="003E3627">
        <w:rPr>
          <w:color w:val="000000"/>
          <w:sz w:val="26"/>
          <w:szCs w:val="26"/>
        </w:rPr>
        <w:t>G</w:t>
      </w:r>
      <w:r w:rsidRPr="008D1DEC">
        <w:rPr>
          <w:color w:val="000000"/>
          <w:sz w:val="26"/>
          <w:szCs w:val="26"/>
        </w:rPr>
        <w:t xml:space="preserve">overnment has been meticulously searching for Seton, it has not been able to locate or speak with Seton to this day. Nolan Dep. 100-104, Sinclair Dep. 392-396. At the time of the interview, Armana had brought transcription tools and an audio recording device. Armana Dep. 111-113, 120-124.  However, the recording device failed at the start of the interview, prompting Armana to conduct it via transcription. Armana Dep. 111-113. Armana made clear in the document the statements made by Seton, and the statements Armana thought during the interview. Armana Dep. 138-143. To receive this document, </w:t>
      </w:r>
      <w:r w:rsidRPr="008D1DEC">
        <w:rPr>
          <w:color w:val="000000"/>
          <w:sz w:val="26"/>
          <w:szCs w:val="26"/>
        </w:rPr>
        <w:lastRenderedPageBreak/>
        <w:t>the Government has filed a subpoena duces tecum seeking production of records specific to the interview conducted by Maddox Armana with Ms. Seton.</w:t>
      </w:r>
    </w:p>
    <w:p w14:paraId="44047B11" w14:textId="7AF21A68" w:rsidR="00024D4C" w:rsidRPr="008D1DEC" w:rsidRDefault="00024D4C">
      <w:pPr>
        <w:spacing w:after="160" w:line="278" w:lineRule="auto"/>
        <w:rPr>
          <w:b/>
          <w:bCs/>
          <w:sz w:val="26"/>
          <w:szCs w:val="26"/>
        </w:rPr>
      </w:pPr>
      <w:r w:rsidRPr="008D1DEC">
        <w:rPr>
          <w:b/>
          <w:bCs/>
          <w:sz w:val="26"/>
          <w:szCs w:val="26"/>
        </w:rPr>
        <w:br w:type="page"/>
      </w:r>
    </w:p>
    <w:p w14:paraId="5FAD668C" w14:textId="6F410F33" w:rsidR="00024D4C" w:rsidRPr="008D1DEC" w:rsidRDefault="00024D4C" w:rsidP="00E71416">
      <w:pPr>
        <w:pStyle w:val="Heading1"/>
      </w:pPr>
      <w:bookmarkStart w:id="15" w:name="_Toc239017263"/>
      <w:r w:rsidRPr="008D1DEC">
        <w:lastRenderedPageBreak/>
        <w:t>ARGUMENT</w:t>
      </w:r>
      <w:bookmarkEnd w:id="15"/>
    </w:p>
    <w:p w14:paraId="16BF707B" w14:textId="649C7D8B" w:rsidR="00E71416" w:rsidRPr="008D1DEC" w:rsidRDefault="00E71416" w:rsidP="003A70C4">
      <w:pPr>
        <w:pStyle w:val="ListParagraph"/>
        <w:numPr>
          <w:ilvl w:val="0"/>
          <w:numId w:val="3"/>
        </w:numPr>
        <w:spacing w:after="160"/>
        <w:jc w:val="both"/>
        <w:rPr>
          <w:b/>
          <w:bCs/>
          <w:sz w:val="26"/>
          <w:szCs w:val="26"/>
        </w:rPr>
      </w:pPr>
      <w:r w:rsidRPr="008D1DEC">
        <w:rPr>
          <w:b/>
          <w:bCs/>
          <w:sz w:val="26"/>
          <w:szCs w:val="26"/>
        </w:rPr>
        <w:t xml:space="preserve">THE GOVERNMENT HAS MET ITS BURDEN UNDER </w:t>
      </w:r>
      <w:r w:rsidRPr="008D1DEC">
        <w:rPr>
          <w:b/>
          <w:bCs/>
          <w:i/>
          <w:iCs/>
          <w:sz w:val="26"/>
          <w:szCs w:val="26"/>
        </w:rPr>
        <w:t>KASTIGAR</w:t>
      </w:r>
      <w:r w:rsidRPr="008D1DEC">
        <w:rPr>
          <w:b/>
          <w:bCs/>
          <w:sz w:val="26"/>
          <w:szCs w:val="26"/>
        </w:rPr>
        <w:t xml:space="preserve"> OF ESTABLISHING THAT THE EVIDENCE DEFENDANT SEEKS TO SUPPRESS WAS DERIVED WHOLLY INDEPENDENTLY OF DEFENDANT’S TESTIMONY </w:t>
      </w:r>
    </w:p>
    <w:p w14:paraId="3EED1262" w14:textId="267F7647" w:rsidR="00E71416" w:rsidRPr="008D1DEC" w:rsidRDefault="00E71416" w:rsidP="003A70C4">
      <w:pPr>
        <w:spacing w:line="480" w:lineRule="auto"/>
        <w:ind w:firstLine="720"/>
        <w:jc w:val="both"/>
        <w:rPr>
          <w:sz w:val="26"/>
          <w:szCs w:val="26"/>
        </w:rPr>
      </w:pPr>
      <w:r w:rsidRPr="008D1DEC">
        <w:rPr>
          <w:sz w:val="26"/>
          <w:szCs w:val="26"/>
        </w:rPr>
        <w:t xml:space="preserve">This Court should deny Defendant’s Motion to Suppress because the evidence presented to the grand jury was derived from sources wholly independent of the immunized testimony and was not tainted by exposure to that testimony. The </w:t>
      </w:r>
      <w:r w:rsidR="003E3627">
        <w:rPr>
          <w:sz w:val="26"/>
          <w:szCs w:val="26"/>
        </w:rPr>
        <w:t>G</w:t>
      </w:r>
      <w:r w:rsidRPr="008D1DEC">
        <w:rPr>
          <w:sz w:val="26"/>
          <w:szCs w:val="26"/>
        </w:rPr>
        <w:t xml:space="preserve">overnment may compel testimony where the protections afforded are commensurate with the Fifth Amendment privilege against self-incrimination. </w:t>
      </w:r>
      <w:r w:rsidRPr="008D1DEC">
        <w:rPr>
          <w:i/>
          <w:iCs/>
          <w:sz w:val="26"/>
          <w:szCs w:val="26"/>
        </w:rPr>
        <w:t>Kastigar v. United States</w:t>
      </w:r>
      <w:r w:rsidRPr="008D1DEC">
        <w:rPr>
          <w:sz w:val="26"/>
          <w:szCs w:val="26"/>
        </w:rPr>
        <w:t xml:space="preserve">, 406 U.S. 441, 444 (1972). However, no compelled testimony, or information directly or indirectly derived from that testimony, may be used against that witness in a criminal case. 18 U.S.C. § 6002. Derivative use prohibited by the Fifth Amendment includes using immunized testimony as an investigatory lead to obtain or develop evidence against a defendant. </w:t>
      </w:r>
      <w:r w:rsidRPr="008D1DEC">
        <w:rPr>
          <w:i/>
          <w:iCs/>
          <w:sz w:val="26"/>
          <w:szCs w:val="26"/>
        </w:rPr>
        <w:t>Kastigar</w:t>
      </w:r>
      <w:r w:rsidRPr="008D1DEC">
        <w:rPr>
          <w:sz w:val="26"/>
          <w:szCs w:val="26"/>
        </w:rPr>
        <w:t xml:space="preserve">, 406 U.S. at 460. Courts have also held that indirect evidentiary use is prohibited, such as using immunized testimony to shape or refresh another witness’s testimony. </w:t>
      </w:r>
      <w:r w:rsidRPr="008D1DEC">
        <w:rPr>
          <w:i/>
          <w:iCs/>
          <w:sz w:val="26"/>
          <w:szCs w:val="26"/>
        </w:rPr>
        <w:t>United States v. North</w:t>
      </w:r>
      <w:r w:rsidRPr="008D1DEC">
        <w:rPr>
          <w:sz w:val="26"/>
          <w:szCs w:val="26"/>
        </w:rPr>
        <w:t xml:space="preserve">, 910 F.2d 843, 866 (D.C. Cir. 1990). Once an individual testifies under a grant of immunity, the </w:t>
      </w:r>
      <w:r w:rsidR="007D449C">
        <w:rPr>
          <w:sz w:val="26"/>
          <w:szCs w:val="26"/>
        </w:rPr>
        <w:t>G</w:t>
      </w:r>
      <w:r w:rsidRPr="008D1DEC">
        <w:rPr>
          <w:sz w:val="26"/>
          <w:szCs w:val="26"/>
        </w:rPr>
        <w:t xml:space="preserve">overnment bears the burden of proving by a preponderance of the evidence that the evidence in controversy was obtained from a legitimate source wholly independent of the immunized testimony. </w:t>
      </w:r>
      <w:r w:rsidRPr="008D1DEC">
        <w:rPr>
          <w:i/>
          <w:iCs/>
          <w:sz w:val="26"/>
          <w:szCs w:val="26"/>
        </w:rPr>
        <w:t>United States v. Bartel</w:t>
      </w:r>
      <w:r w:rsidRPr="008D1DEC">
        <w:rPr>
          <w:sz w:val="26"/>
          <w:szCs w:val="26"/>
        </w:rPr>
        <w:t xml:space="preserve">, 19 F.3d 1105, 1112 (6th Cir. 1994) (citing </w:t>
      </w:r>
      <w:r w:rsidRPr="008D1DEC">
        <w:rPr>
          <w:i/>
          <w:iCs/>
          <w:sz w:val="26"/>
          <w:szCs w:val="26"/>
        </w:rPr>
        <w:t>Kastigar</w:t>
      </w:r>
      <w:r w:rsidRPr="008D1DEC">
        <w:rPr>
          <w:sz w:val="26"/>
          <w:szCs w:val="26"/>
        </w:rPr>
        <w:t xml:space="preserve">, 406 U.S. at 461-62). Here, the evidence that Defendant moves to suppress was derived from an investigative process developed wholly independently of Defendant’s immunized testimony. </w:t>
      </w:r>
    </w:p>
    <w:p w14:paraId="3112348E" w14:textId="4613E4A8" w:rsidR="00E71416" w:rsidRPr="008D1DEC" w:rsidRDefault="00E71416" w:rsidP="003A70C4">
      <w:pPr>
        <w:pStyle w:val="ListParagraph"/>
        <w:numPr>
          <w:ilvl w:val="0"/>
          <w:numId w:val="6"/>
        </w:numPr>
        <w:spacing w:after="160"/>
        <w:jc w:val="both"/>
        <w:rPr>
          <w:b/>
          <w:bCs/>
          <w:sz w:val="26"/>
          <w:szCs w:val="26"/>
        </w:rPr>
      </w:pPr>
      <w:r w:rsidRPr="008D1DEC">
        <w:rPr>
          <w:b/>
          <w:bCs/>
          <w:sz w:val="26"/>
          <w:szCs w:val="26"/>
        </w:rPr>
        <w:lastRenderedPageBreak/>
        <w:t xml:space="preserve">The Team Investigating Defendant Was Insulated </w:t>
      </w:r>
      <w:proofErr w:type="gramStart"/>
      <w:r w:rsidRPr="008D1DEC">
        <w:rPr>
          <w:b/>
          <w:bCs/>
          <w:sz w:val="26"/>
          <w:szCs w:val="26"/>
        </w:rPr>
        <w:t>From</w:t>
      </w:r>
      <w:proofErr w:type="gramEnd"/>
      <w:r w:rsidRPr="008D1DEC">
        <w:rPr>
          <w:b/>
          <w:bCs/>
          <w:sz w:val="26"/>
          <w:szCs w:val="26"/>
        </w:rPr>
        <w:t xml:space="preserve"> All Immunized Testimony, Preventing </w:t>
      </w:r>
      <w:proofErr w:type="gramStart"/>
      <w:r w:rsidRPr="008D1DEC">
        <w:rPr>
          <w:b/>
          <w:bCs/>
          <w:sz w:val="26"/>
          <w:szCs w:val="26"/>
        </w:rPr>
        <w:t>The</w:t>
      </w:r>
      <w:proofErr w:type="gramEnd"/>
      <w:r w:rsidRPr="008D1DEC">
        <w:rPr>
          <w:b/>
          <w:bCs/>
          <w:sz w:val="26"/>
          <w:szCs w:val="26"/>
        </w:rPr>
        <w:t xml:space="preserve"> Testimony </w:t>
      </w:r>
      <w:proofErr w:type="gramStart"/>
      <w:r w:rsidRPr="008D1DEC">
        <w:rPr>
          <w:b/>
          <w:bCs/>
          <w:sz w:val="26"/>
          <w:szCs w:val="26"/>
        </w:rPr>
        <w:t>From</w:t>
      </w:r>
      <w:proofErr w:type="gramEnd"/>
      <w:r w:rsidRPr="008D1DEC">
        <w:rPr>
          <w:b/>
          <w:bCs/>
          <w:sz w:val="26"/>
          <w:szCs w:val="26"/>
        </w:rPr>
        <w:t xml:space="preserve"> Influencing </w:t>
      </w:r>
      <w:proofErr w:type="gramStart"/>
      <w:r w:rsidRPr="008D1DEC">
        <w:rPr>
          <w:b/>
          <w:bCs/>
          <w:sz w:val="26"/>
          <w:szCs w:val="26"/>
        </w:rPr>
        <w:t>The</w:t>
      </w:r>
      <w:proofErr w:type="gramEnd"/>
      <w:r w:rsidRPr="008D1DEC">
        <w:rPr>
          <w:b/>
          <w:bCs/>
          <w:sz w:val="26"/>
          <w:szCs w:val="26"/>
        </w:rPr>
        <w:t xml:space="preserve"> Course </w:t>
      </w:r>
      <w:proofErr w:type="gramStart"/>
      <w:r w:rsidRPr="008D1DEC">
        <w:rPr>
          <w:b/>
          <w:bCs/>
          <w:sz w:val="26"/>
          <w:szCs w:val="26"/>
        </w:rPr>
        <w:t>Of</w:t>
      </w:r>
      <w:proofErr w:type="gramEnd"/>
      <w:r w:rsidRPr="008D1DEC">
        <w:rPr>
          <w:b/>
          <w:bCs/>
          <w:sz w:val="26"/>
          <w:szCs w:val="26"/>
        </w:rPr>
        <w:t xml:space="preserve"> </w:t>
      </w:r>
      <w:proofErr w:type="gramStart"/>
      <w:r w:rsidRPr="008D1DEC">
        <w:rPr>
          <w:b/>
          <w:bCs/>
          <w:sz w:val="26"/>
          <w:szCs w:val="26"/>
        </w:rPr>
        <w:t>The</w:t>
      </w:r>
      <w:proofErr w:type="gramEnd"/>
      <w:r w:rsidRPr="008D1DEC">
        <w:rPr>
          <w:b/>
          <w:bCs/>
          <w:sz w:val="26"/>
          <w:szCs w:val="26"/>
        </w:rPr>
        <w:t xml:space="preserve"> Investigation</w:t>
      </w:r>
    </w:p>
    <w:p w14:paraId="6008E3F6" w14:textId="01E44CFF" w:rsidR="00E71416" w:rsidRPr="008D1DEC" w:rsidRDefault="00E71416" w:rsidP="003A70C4">
      <w:pPr>
        <w:spacing w:line="480" w:lineRule="auto"/>
        <w:ind w:firstLine="720"/>
        <w:jc w:val="both"/>
        <w:rPr>
          <w:i/>
          <w:iCs/>
          <w:sz w:val="26"/>
          <w:szCs w:val="26"/>
        </w:rPr>
      </w:pPr>
      <w:r w:rsidRPr="008D1DEC">
        <w:rPr>
          <w:sz w:val="26"/>
          <w:szCs w:val="26"/>
        </w:rPr>
        <w:t>The Government has prevented any improper use of Defendant’s immunized testimony by constructing a wall between personnel exposed to the compelled testimony</w:t>
      </w:r>
      <w:r w:rsidR="00FC1681">
        <w:rPr>
          <w:sz w:val="26"/>
          <w:szCs w:val="26"/>
        </w:rPr>
        <w:t>,</w:t>
      </w:r>
      <w:r w:rsidRPr="008D1DEC">
        <w:rPr>
          <w:sz w:val="26"/>
          <w:szCs w:val="26"/>
        </w:rPr>
        <w:t xml:space="preserve"> and those responsible for investigating Defendant. Erecting a sufficient wall around prosecutors and investigators to keep them unaware of the contents of the immunized testimony can establish that the </w:t>
      </w:r>
      <w:r w:rsidR="007D449C">
        <w:rPr>
          <w:sz w:val="26"/>
          <w:szCs w:val="26"/>
        </w:rPr>
        <w:t>G</w:t>
      </w:r>
      <w:r w:rsidRPr="008D1DEC">
        <w:rPr>
          <w:sz w:val="26"/>
          <w:szCs w:val="26"/>
        </w:rPr>
        <w:t xml:space="preserve">overnment had legitimate, independent sources for the evidence it proposes to use against the defendant. </w:t>
      </w:r>
      <w:r w:rsidRPr="008D1DEC">
        <w:rPr>
          <w:i/>
          <w:iCs/>
          <w:sz w:val="26"/>
          <w:szCs w:val="26"/>
        </w:rPr>
        <w:t>Welsh v. Commonwealth</w:t>
      </w:r>
      <w:r w:rsidRPr="008D1DEC">
        <w:rPr>
          <w:sz w:val="26"/>
          <w:szCs w:val="26"/>
        </w:rPr>
        <w:t xml:space="preserve">, 246 Va. 337, 354 (1993). In </w:t>
      </w:r>
      <w:r w:rsidRPr="008D1DEC">
        <w:rPr>
          <w:i/>
          <w:iCs/>
          <w:sz w:val="26"/>
          <w:szCs w:val="26"/>
        </w:rPr>
        <w:t>Poindexter</w:t>
      </w:r>
      <w:r w:rsidRPr="008D1DEC">
        <w:rPr>
          <w:sz w:val="26"/>
          <w:szCs w:val="26"/>
        </w:rPr>
        <w:t xml:space="preserve">, the </w:t>
      </w:r>
      <w:r w:rsidR="007D449C">
        <w:rPr>
          <w:sz w:val="26"/>
          <w:szCs w:val="26"/>
        </w:rPr>
        <w:t>G</w:t>
      </w:r>
      <w:r w:rsidRPr="008D1DEC">
        <w:rPr>
          <w:sz w:val="26"/>
          <w:szCs w:val="26"/>
        </w:rPr>
        <w:t xml:space="preserve">overnment took measures to insulate prosecuting personnel from immunized testimony despite its discussion in the media. </w:t>
      </w:r>
      <w:r w:rsidRPr="008D1DEC">
        <w:rPr>
          <w:i/>
          <w:iCs/>
          <w:sz w:val="26"/>
          <w:szCs w:val="26"/>
        </w:rPr>
        <w:t>United States v. Poindexter</w:t>
      </w:r>
      <w:r w:rsidRPr="008D1DEC">
        <w:rPr>
          <w:sz w:val="26"/>
          <w:szCs w:val="26"/>
        </w:rPr>
        <w:t xml:space="preserve">, 698 F. Supp. 300, 312 (D.C. Cir. 1988). Prosecuting personnel were sealed off from the immunized testimony. </w:t>
      </w:r>
      <w:r w:rsidRPr="008D1DEC">
        <w:rPr>
          <w:i/>
          <w:iCs/>
          <w:sz w:val="26"/>
          <w:szCs w:val="26"/>
        </w:rPr>
        <w:t>Id.</w:t>
      </w:r>
      <w:r w:rsidRPr="008D1DEC">
        <w:rPr>
          <w:sz w:val="26"/>
          <w:szCs w:val="26"/>
        </w:rPr>
        <w:t xml:space="preserve"> </w:t>
      </w:r>
      <w:proofErr w:type="gramStart"/>
      <w:r w:rsidRPr="008D1DEC">
        <w:rPr>
          <w:sz w:val="26"/>
          <w:szCs w:val="26"/>
        </w:rPr>
        <w:t>Non-prosecuting</w:t>
      </w:r>
      <w:proofErr w:type="gramEnd"/>
      <w:r w:rsidRPr="008D1DEC">
        <w:rPr>
          <w:sz w:val="26"/>
          <w:szCs w:val="26"/>
        </w:rPr>
        <w:t xml:space="preserve"> personnel redacted newspaper articles and transcripts before providing them </w:t>
      </w:r>
      <w:proofErr w:type="gramStart"/>
      <w:r w:rsidRPr="008D1DEC">
        <w:rPr>
          <w:sz w:val="26"/>
          <w:szCs w:val="26"/>
        </w:rPr>
        <w:t>to</w:t>
      </w:r>
      <w:proofErr w:type="gramEnd"/>
      <w:r w:rsidRPr="008D1DEC">
        <w:rPr>
          <w:sz w:val="26"/>
          <w:szCs w:val="26"/>
        </w:rPr>
        <w:t xml:space="preserve"> prosecuting personnel. </w:t>
      </w:r>
      <w:r w:rsidRPr="008D1DEC">
        <w:rPr>
          <w:i/>
          <w:iCs/>
          <w:sz w:val="26"/>
          <w:szCs w:val="26"/>
        </w:rPr>
        <w:t xml:space="preserve">Id. </w:t>
      </w:r>
      <w:r w:rsidRPr="008D1DEC">
        <w:rPr>
          <w:sz w:val="26"/>
          <w:szCs w:val="26"/>
        </w:rPr>
        <w:t xml:space="preserve">Prosecuting personnel were instructed to shut off radio or television when discussion approached the immunized testimony, and every inadvertent exposure was reported to an attorney outside the prosecuting personnel who maintained a record of the exposed material. </w:t>
      </w:r>
      <w:r w:rsidRPr="008D1DEC">
        <w:rPr>
          <w:i/>
          <w:iCs/>
          <w:sz w:val="26"/>
          <w:szCs w:val="26"/>
        </w:rPr>
        <w:t>Id.</w:t>
      </w:r>
      <w:r w:rsidRPr="008D1DEC">
        <w:rPr>
          <w:sz w:val="26"/>
          <w:szCs w:val="26"/>
        </w:rPr>
        <w:t xml:space="preserve"> at 313. Despite seventy-five reported instances of inadvertent exposure, the court concluded that the </w:t>
      </w:r>
      <w:r w:rsidR="007D449C">
        <w:rPr>
          <w:sz w:val="26"/>
          <w:szCs w:val="26"/>
        </w:rPr>
        <w:t>G</w:t>
      </w:r>
      <w:r w:rsidRPr="008D1DEC">
        <w:rPr>
          <w:sz w:val="26"/>
          <w:szCs w:val="26"/>
        </w:rPr>
        <w:t xml:space="preserve">overnment’s safeguards successfully prevented the immunized testimony from tainting the prosecuting personnel. </w:t>
      </w:r>
      <w:r w:rsidRPr="008D1DEC">
        <w:rPr>
          <w:i/>
          <w:iCs/>
          <w:sz w:val="26"/>
          <w:szCs w:val="26"/>
        </w:rPr>
        <w:t>Id.</w:t>
      </w:r>
    </w:p>
    <w:p w14:paraId="501E2C2F" w14:textId="77777777" w:rsidR="00E71416" w:rsidRPr="008D1DEC" w:rsidRDefault="00E71416" w:rsidP="003A70C4">
      <w:pPr>
        <w:spacing w:line="480" w:lineRule="auto"/>
        <w:ind w:firstLine="720"/>
        <w:jc w:val="both"/>
        <w:rPr>
          <w:sz w:val="26"/>
          <w:szCs w:val="26"/>
        </w:rPr>
      </w:pPr>
      <w:r w:rsidRPr="008D1DEC">
        <w:rPr>
          <w:sz w:val="26"/>
          <w:szCs w:val="26"/>
        </w:rPr>
        <w:t xml:space="preserve">The safeguards implemented here were similarly designed to prevent Defendant’s testimony from reaching those responsible for investigating Defendant. Before the order compelling testimony was entered, the case file was duplicated so that each team </w:t>
      </w:r>
      <w:r w:rsidRPr="008D1DEC">
        <w:rPr>
          <w:sz w:val="26"/>
          <w:szCs w:val="26"/>
        </w:rPr>
        <w:lastRenderedPageBreak/>
        <w:t xml:space="preserve">maintained a separate copy, and all subsequent evidence, notes, and work product were designated as either Team Donovan or Team Calloway material so that personnel encountering material belonging to the other team could immediately identify it and set it aside. Nolan Dep. 202-213. Personnel involved in the investigations of Donovan and Defendant were divided into separate teams. Sinclair Dep. 548-552. Team Donovan was permitted to receive Defendant’s testimony for purposes of prosecuting Donovan, while Team Calloway was prohibited from receiving or using that testimony in its continued investigation of Defendant. </w:t>
      </w:r>
      <w:r w:rsidRPr="008D1DEC">
        <w:rPr>
          <w:i/>
          <w:iCs/>
          <w:sz w:val="26"/>
          <w:szCs w:val="26"/>
        </w:rPr>
        <w:t>Id.</w:t>
      </w:r>
      <w:r w:rsidRPr="008D1DEC">
        <w:rPr>
          <w:sz w:val="26"/>
          <w:szCs w:val="26"/>
        </w:rPr>
        <w:t xml:space="preserve"> </w:t>
      </w:r>
    </w:p>
    <w:p w14:paraId="3091DC6B" w14:textId="77777777" w:rsidR="00E71416" w:rsidRPr="008D1DEC" w:rsidRDefault="00E71416" w:rsidP="003A70C4">
      <w:pPr>
        <w:spacing w:line="480" w:lineRule="auto"/>
        <w:ind w:firstLine="720"/>
        <w:jc w:val="both"/>
        <w:rPr>
          <w:sz w:val="26"/>
          <w:szCs w:val="26"/>
        </w:rPr>
      </w:pPr>
      <w:r w:rsidRPr="008D1DEC">
        <w:rPr>
          <w:sz w:val="26"/>
          <w:szCs w:val="26"/>
        </w:rPr>
        <w:t xml:space="preserve">Beyond just prohibiting review of the testimony itself, Team Calloway members could not receive summaries of Defendant’s statements, impressions drawn from those statements, investigative leads derived from </w:t>
      </w:r>
      <w:proofErr w:type="gramStart"/>
      <w:r w:rsidRPr="008D1DEC">
        <w:rPr>
          <w:sz w:val="26"/>
          <w:szCs w:val="26"/>
        </w:rPr>
        <w:t>them, or</w:t>
      </w:r>
      <w:proofErr w:type="gramEnd"/>
      <w:r w:rsidRPr="008D1DEC">
        <w:rPr>
          <w:sz w:val="26"/>
          <w:szCs w:val="26"/>
        </w:rPr>
        <w:t xml:space="preserve"> discuss the testimony with members of Team Donovan. Ex. 15. Team Calloway also memorialized the leads and next investigative steps already in place when the order compelling Defendant’s testimony was entered, creating a record of what Team Calloway possessed before the wall was in place and how it obtained evidence thereafter. Nolan Dep. 202-213. No report was ever made to Agent Nolan, leading the investigation of Defendant, that any member of Team Calloway had been exposed to any materials related to Defendant’s testimony. Nolan Dep. 242-244.</w:t>
      </w:r>
    </w:p>
    <w:p w14:paraId="4FA09F37" w14:textId="718023DD" w:rsidR="00E71416" w:rsidRPr="008D1DEC" w:rsidRDefault="00E71416" w:rsidP="003A70C4">
      <w:pPr>
        <w:spacing w:line="480" w:lineRule="auto"/>
        <w:ind w:firstLine="720"/>
        <w:jc w:val="both"/>
        <w:rPr>
          <w:sz w:val="26"/>
          <w:szCs w:val="26"/>
        </w:rPr>
      </w:pPr>
      <w:r w:rsidRPr="008D1DEC">
        <w:rPr>
          <w:sz w:val="26"/>
          <w:szCs w:val="26"/>
        </w:rPr>
        <w:t xml:space="preserve">These safeguards, like the safeguards in </w:t>
      </w:r>
      <w:r w:rsidRPr="008D1DEC">
        <w:rPr>
          <w:i/>
          <w:iCs/>
          <w:sz w:val="26"/>
          <w:szCs w:val="26"/>
        </w:rPr>
        <w:t>Poindexter,</w:t>
      </w:r>
      <w:r w:rsidRPr="008D1DEC">
        <w:rPr>
          <w:sz w:val="26"/>
          <w:szCs w:val="26"/>
        </w:rPr>
        <w:t xml:space="preserve"> demonstrate that Defendant’s immunized testimony could not have influenced the evidence that Team Calloway gathered. The protocol prevented the testimony from becoming an investigative resource by restricting access, and there is no evidence that Agent Nolan or any member of Team Calloway received Defendant’s testimony or any materials designated for Team Donovan. </w:t>
      </w:r>
      <w:r w:rsidRPr="008D1DEC">
        <w:rPr>
          <w:sz w:val="26"/>
          <w:szCs w:val="26"/>
        </w:rPr>
        <w:lastRenderedPageBreak/>
        <w:t xml:space="preserve">This record is even stronger than in </w:t>
      </w:r>
      <w:r w:rsidRPr="008D1DEC">
        <w:rPr>
          <w:i/>
          <w:iCs/>
          <w:sz w:val="26"/>
          <w:szCs w:val="26"/>
        </w:rPr>
        <w:t>Poindexter</w:t>
      </w:r>
      <w:r w:rsidRPr="008D1DEC">
        <w:rPr>
          <w:sz w:val="26"/>
          <w:szCs w:val="26"/>
        </w:rPr>
        <w:t xml:space="preserve">, where the court found the </w:t>
      </w:r>
      <w:r w:rsidR="00FC1681">
        <w:rPr>
          <w:sz w:val="26"/>
          <w:szCs w:val="26"/>
        </w:rPr>
        <w:t>g</w:t>
      </w:r>
      <w:r w:rsidRPr="008D1DEC">
        <w:rPr>
          <w:sz w:val="26"/>
          <w:szCs w:val="26"/>
        </w:rPr>
        <w:t xml:space="preserve">overnment’s safeguards effective despite seventy-five reported instances of inadvertent exposure. </w:t>
      </w:r>
      <w:r w:rsidRPr="008D1DEC">
        <w:rPr>
          <w:i/>
          <w:iCs/>
          <w:sz w:val="26"/>
          <w:szCs w:val="26"/>
        </w:rPr>
        <w:t>Poindexter</w:t>
      </w:r>
      <w:r w:rsidRPr="008D1DEC">
        <w:rPr>
          <w:sz w:val="26"/>
          <w:szCs w:val="26"/>
        </w:rPr>
        <w:t>, 698 F. Supp. at 313. Accordingly, the Government has shown that it established procedures to prevent exposure, and these procedures successfully insulated Team Calloway from Defendant’s immunized testimony.</w:t>
      </w:r>
    </w:p>
    <w:p w14:paraId="12F8ED2E" w14:textId="026798B9" w:rsidR="00024D4C" w:rsidRPr="008D1DEC" w:rsidRDefault="00E71416" w:rsidP="003A70C4">
      <w:pPr>
        <w:pStyle w:val="ListParagraph"/>
        <w:numPr>
          <w:ilvl w:val="0"/>
          <w:numId w:val="6"/>
        </w:numPr>
        <w:spacing w:after="160"/>
        <w:jc w:val="both"/>
        <w:rPr>
          <w:b/>
          <w:bCs/>
          <w:sz w:val="26"/>
          <w:szCs w:val="26"/>
        </w:rPr>
      </w:pPr>
      <w:r w:rsidRPr="008D1DEC">
        <w:rPr>
          <w:b/>
          <w:bCs/>
          <w:sz w:val="26"/>
          <w:szCs w:val="26"/>
        </w:rPr>
        <w:t xml:space="preserve">The Government’s Investigative Path That Led </w:t>
      </w:r>
      <w:proofErr w:type="gramStart"/>
      <w:r w:rsidRPr="008D1DEC">
        <w:rPr>
          <w:b/>
          <w:bCs/>
          <w:sz w:val="26"/>
          <w:szCs w:val="26"/>
        </w:rPr>
        <w:t>To</w:t>
      </w:r>
      <w:proofErr w:type="gramEnd"/>
      <w:r w:rsidRPr="008D1DEC">
        <w:rPr>
          <w:b/>
          <w:bCs/>
          <w:sz w:val="26"/>
          <w:szCs w:val="26"/>
        </w:rPr>
        <w:t xml:space="preserve"> Parker Was Derived </w:t>
      </w:r>
      <w:proofErr w:type="gramStart"/>
      <w:r w:rsidRPr="008D1DEC">
        <w:rPr>
          <w:b/>
          <w:bCs/>
          <w:sz w:val="26"/>
          <w:szCs w:val="26"/>
        </w:rPr>
        <w:t>From</w:t>
      </w:r>
      <w:proofErr w:type="gramEnd"/>
      <w:r w:rsidRPr="008D1DEC">
        <w:rPr>
          <w:b/>
          <w:bCs/>
          <w:sz w:val="26"/>
          <w:szCs w:val="26"/>
        </w:rPr>
        <w:t xml:space="preserve"> Sources Wholly Independent </w:t>
      </w:r>
      <w:proofErr w:type="gramStart"/>
      <w:r w:rsidRPr="008D1DEC">
        <w:rPr>
          <w:b/>
          <w:bCs/>
          <w:sz w:val="26"/>
          <w:szCs w:val="26"/>
        </w:rPr>
        <w:t>Of</w:t>
      </w:r>
      <w:proofErr w:type="gramEnd"/>
      <w:r w:rsidRPr="008D1DEC">
        <w:rPr>
          <w:b/>
          <w:bCs/>
          <w:sz w:val="26"/>
          <w:szCs w:val="26"/>
        </w:rPr>
        <w:t xml:space="preserve"> Defendant’s Immunized Testimony</w:t>
      </w:r>
    </w:p>
    <w:p w14:paraId="776A4C9E" w14:textId="400A9EB6" w:rsidR="00E71416" w:rsidRPr="008D1DEC" w:rsidRDefault="00E71416" w:rsidP="003A70C4">
      <w:pPr>
        <w:spacing w:line="480" w:lineRule="auto"/>
        <w:ind w:firstLine="720"/>
        <w:jc w:val="both"/>
        <w:rPr>
          <w:i/>
          <w:iCs/>
          <w:sz w:val="26"/>
          <w:szCs w:val="26"/>
        </w:rPr>
      </w:pPr>
      <w:r w:rsidRPr="008D1DEC">
        <w:rPr>
          <w:sz w:val="26"/>
          <w:szCs w:val="26"/>
        </w:rPr>
        <w:t xml:space="preserve">The investigative path that led Agent Bryce Nolan to Parker arose from evidence and investigative decisions independent of Defendant’s immunized testimony. Where the </w:t>
      </w:r>
      <w:r w:rsidR="00FC1681">
        <w:rPr>
          <w:sz w:val="26"/>
          <w:szCs w:val="26"/>
        </w:rPr>
        <w:t>g</w:t>
      </w:r>
      <w:r w:rsidRPr="008D1DEC">
        <w:rPr>
          <w:sz w:val="26"/>
          <w:szCs w:val="26"/>
        </w:rPr>
        <w:t xml:space="preserve">overnment can trace its evidence to legitimate sources outside of compelled testimony, it satisfies its burden under </w:t>
      </w:r>
      <w:r w:rsidRPr="008D1DEC">
        <w:rPr>
          <w:i/>
          <w:iCs/>
          <w:sz w:val="26"/>
          <w:szCs w:val="26"/>
        </w:rPr>
        <w:t>Kastigar</w:t>
      </w:r>
      <w:r w:rsidRPr="008D1DEC">
        <w:rPr>
          <w:sz w:val="26"/>
          <w:szCs w:val="26"/>
        </w:rPr>
        <w:t xml:space="preserve">. </w:t>
      </w:r>
      <w:r w:rsidRPr="008D1DEC">
        <w:rPr>
          <w:i/>
          <w:iCs/>
          <w:sz w:val="26"/>
          <w:szCs w:val="26"/>
        </w:rPr>
        <w:t>United States v. Mauro</w:t>
      </w:r>
      <w:r w:rsidRPr="008D1DEC">
        <w:rPr>
          <w:sz w:val="26"/>
          <w:szCs w:val="26"/>
        </w:rPr>
        <w:t xml:space="preserve">, 846 F. Supp. 245, 256 (W.D.N.Y. 1994). In </w:t>
      </w:r>
      <w:r w:rsidRPr="008D1DEC">
        <w:rPr>
          <w:i/>
          <w:iCs/>
          <w:sz w:val="26"/>
          <w:szCs w:val="26"/>
        </w:rPr>
        <w:t>Mauro</w:t>
      </w:r>
      <w:r w:rsidRPr="008D1DEC">
        <w:rPr>
          <w:sz w:val="26"/>
          <w:szCs w:val="26"/>
        </w:rPr>
        <w:t xml:space="preserve">, the </w:t>
      </w:r>
      <w:r w:rsidR="00FC1681">
        <w:rPr>
          <w:sz w:val="26"/>
          <w:szCs w:val="26"/>
        </w:rPr>
        <w:t>g</w:t>
      </w:r>
      <w:r w:rsidRPr="008D1DEC">
        <w:rPr>
          <w:sz w:val="26"/>
          <w:szCs w:val="26"/>
        </w:rPr>
        <w:t xml:space="preserve">overnment established independent sources for the evidence it intended to use against the defendant. </w:t>
      </w:r>
      <w:r w:rsidRPr="008D1DEC">
        <w:rPr>
          <w:i/>
          <w:iCs/>
          <w:sz w:val="26"/>
          <w:szCs w:val="26"/>
        </w:rPr>
        <w:t>Id.</w:t>
      </w:r>
      <w:r w:rsidRPr="008D1DEC">
        <w:rPr>
          <w:sz w:val="26"/>
          <w:szCs w:val="26"/>
        </w:rPr>
        <w:t xml:space="preserve"> Information concerning the defendant’s identity, activities, and relationships had been developed through prior investigations, intercepted communication, wiretaps, and search warrants. </w:t>
      </w:r>
      <w:r w:rsidRPr="008D1DEC">
        <w:rPr>
          <w:i/>
          <w:iCs/>
          <w:sz w:val="26"/>
          <w:szCs w:val="26"/>
        </w:rPr>
        <w:t>Id.</w:t>
      </w:r>
      <w:r w:rsidRPr="008D1DEC">
        <w:rPr>
          <w:sz w:val="26"/>
          <w:szCs w:val="26"/>
        </w:rPr>
        <w:t xml:space="preserve"> The </w:t>
      </w:r>
      <w:r w:rsidR="00FC1681">
        <w:rPr>
          <w:sz w:val="26"/>
          <w:szCs w:val="26"/>
        </w:rPr>
        <w:t>g</w:t>
      </w:r>
      <w:r w:rsidRPr="008D1DEC">
        <w:rPr>
          <w:sz w:val="26"/>
          <w:szCs w:val="26"/>
        </w:rPr>
        <w:t xml:space="preserve">overnment could trace the evidence through these legitimate investigative sources rather than the compelled testimony, so the </w:t>
      </w:r>
      <w:r w:rsidR="00FC1681">
        <w:rPr>
          <w:sz w:val="26"/>
          <w:szCs w:val="26"/>
        </w:rPr>
        <w:t>g</w:t>
      </w:r>
      <w:r w:rsidRPr="008D1DEC">
        <w:rPr>
          <w:sz w:val="26"/>
          <w:szCs w:val="26"/>
        </w:rPr>
        <w:t xml:space="preserve">overnment met its burden of establishing an independent source. </w:t>
      </w:r>
      <w:r w:rsidRPr="008D1DEC">
        <w:rPr>
          <w:i/>
          <w:iCs/>
          <w:sz w:val="26"/>
          <w:szCs w:val="26"/>
        </w:rPr>
        <w:t xml:space="preserve">Id. </w:t>
      </w:r>
      <w:r w:rsidRPr="008D1DEC">
        <w:rPr>
          <w:sz w:val="26"/>
          <w:szCs w:val="26"/>
        </w:rPr>
        <w:t xml:space="preserve">Therefore, the fact that the </w:t>
      </w:r>
      <w:r w:rsidR="00FC1681">
        <w:rPr>
          <w:sz w:val="26"/>
          <w:szCs w:val="26"/>
        </w:rPr>
        <w:t>go</w:t>
      </w:r>
      <w:r w:rsidRPr="008D1DEC">
        <w:rPr>
          <w:sz w:val="26"/>
          <w:szCs w:val="26"/>
        </w:rPr>
        <w:t xml:space="preserve">vernment obtained the challenged evidence after the defendant’s immunized testimony did not make it </w:t>
      </w:r>
      <w:proofErr w:type="gramStart"/>
      <w:r w:rsidRPr="008D1DEC">
        <w:rPr>
          <w:sz w:val="26"/>
          <w:szCs w:val="26"/>
        </w:rPr>
        <w:t>derivative</w:t>
      </w:r>
      <w:proofErr w:type="gramEnd"/>
      <w:r w:rsidRPr="008D1DEC">
        <w:rPr>
          <w:sz w:val="26"/>
          <w:szCs w:val="26"/>
        </w:rPr>
        <w:t xml:space="preserve"> of that testimony because investigative sources leading to that evidence were independently developed. </w:t>
      </w:r>
      <w:r w:rsidRPr="008D1DEC">
        <w:rPr>
          <w:i/>
          <w:iCs/>
          <w:sz w:val="26"/>
          <w:szCs w:val="26"/>
        </w:rPr>
        <w:t>Id.</w:t>
      </w:r>
      <w:r w:rsidRPr="008D1DEC">
        <w:rPr>
          <w:sz w:val="26"/>
          <w:szCs w:val="26"/>
        </w:rPr>
        <w:t xml:space="preserve"> </w:t>
      </w:r>
    </w:p>
    <w:p w14:paraId="440A3718" w14:textId="77777777" w:rsidR="00E71416" w:rsidRPr="008D1DEC" w:rsidRDefault="00E71416" w:rsidP="003A70C4">
      <w:pPr>
        <w:spacing w:line="480" w:lineRule="auto"/>
        <w:ind w:firstLine="720"/>
        <w:jc w:val="both"/>
        <w:rPr>
          <w:sz w:val="26"/>
          <w:szCs w:val="26"/>
        </w:rPr>
      </w:pPr>
      <w:r w:rsidRPr="008D1DEC">
        <w:rPr>
          <w:sz w:val="26"/>
          <w:szCs w:val="26"/>
        </w:rPr>
        <w:lastRenderedPageBreak/>
        <w:t xml:space="preserve">The same is true here, as Parker was not an investigative lead that stemmed from Defendant’s immunized testimony. Before Defendant testified, Team Calloway had already identified </w:t>
      </w:r>
      <w:proofErr w:type="gramStart"/>
      <w:r w:rsidRPr="008D1DEC">
        <w:rPr>
          <w:sz w:val="26"/>
          <w:szCs w:val="26"/>
        </w:rPr>
        <w:t>Silver</w:t>
      </w:r>
      <w:proofErr w:type="gramEnd"/>
      <w:r w:rsidRPr="008D1DEC">
        <w:rPr>
          <w:sz w:val="26"/>
          <w:szCs w:val="26"/>
        </w:rPr>
        <w:t xml:space="preserve"> employees as a source of information relevant to the investigation. Sinclair Dep. 398-410. Agent Nolan identified and documented the plan to return to interviewing </w:t>
      </w:r>
      <w:proofErr w:type="gramStart"/>
      <w:r w:rsidRPr="008D1DEC">
        <w:rPr>
          <w:sz w:val="26"/>
          <w:szCs w:val="26"/>
        </w:rPr>
        <w:t>Silver</w:t>
      </w:r>
      <w:proofErr w:type="gramEnd"/>
      <w:r w:rsidRPr="008D1DEC">
        <w:rPr>
          <w:sz w:val="26"/>
          <w:szCs w:val="26"/>
        </w:rPr>
        <w:t xml:space="preserve"> employees who worked during Blake’s 2023 investigation because those employees were likely to have information about whether the outside vendors </w:t>
      </w:r>
      <w:proofErr w:type="gramStart"/>
      <w:r w:rsidRPr="008D1DEC">
        <w:rPr>
          <w:sz w:val="26"/>
          <w:szCs w:val="26"/>
        </w:rPr>
        <w:t>actually performed</w:t>
      </w:r>
      <w:proofErr w:type="gramEnd"/>
      <w:r w:rsidRPr="008D1DEC">
        <w:rPr>
          <w:sz w:val="26"/>
          <w:szCs w:val="26"/>
        </w:rPr>
        <w:t xml:space="preserve"> the services for which they billed Silver. Nolan Dep. 259-271. This decision was reflected in Agent Nolan’s August investigative note, predating Defendant’s October testimony. Nolan Dep. 256-276. Although some employees were interviewed during the earlier investigation of Donovan, significant questions remained regarding Defendant’s involvement specifically, requiring Agent Nolan’s team to return to employees who had not been necessary to the Donovan case. Nolan Dep. 299-302. Thus, interviewing resort employees was a clear next step in the Government’s ongoing investigation, prompted by a need to further investigate Defendant’s involvement, not by anything Defendant testified to. </w:t>
      </w:r>
    </w:p>
    <w:p w14:paraId="56F06A8F" w14:textId="174D6962" w:rsidR="00E71416" w:rsidRPr="008D1DEC" w:rsidRDefault="00E71416" w:rsidP="003A70C4">
      <w:pPr>
        <w:spacing w:line="480" w:lineRule="auto"/>
        <w:ind w:firstLine="720"/>
        <w:jc w:val="both"/>
        <w:rPr>
          <w:sz w:val="26"/>
          <w:szCs w:val="26"/>
        </w:rPr>
      </w:pPr>
      <w:r w:rsidRPr="008D1DEC">
        <w:rPr>
          <w:sz w:val="26"/>
          <w:szCs w:val="26"/>
        </w:rPr>
        <w:t>Agent Nolan then carried out this plan by using information independently available to Team Calloway. Using Silver</w:t>
      </w:r>
      <w:r w:rsidR="00FC1681">
        <w:rPr>
          <w:sz w:val="26"/>
          <w:szCs w:val="26"/>
        </w:rPr>
        <w:t xml:space="preserve">’s </w:t>
      </w:r>
      <w:r w:rsidRPr="008D1DEC">
        <w:rPr>
          <w:sz w:val="26"/>
          <w:szCs w:val="26"/>
        </w:rPr>
        <w:t xml:space="preserve">2023 employee roster, Agent Nolan prioritized employees according to the frequency of shifts worked that year. Nolan Dep. 268-271. Parker ranked seventh. Ex. 17. Agent Nolan did not single Parker out or proceed directly to Parker after Defendant testified. Nolan Dep. 303-306. Rather, Agent Nolan worked through the employees identified as working most frequently in 2023, interviewing four employees on the list before interviewing Parker. </w:t>
      </w:r>
      <w:r w:rsidRPr="008D1DEC">
        <w:rPr>
          <w:i/>
          <w:iCs/>
          <w:sz w:val="26"/>
          <w:szCs w:val="26"/>
        </w:rPr>
        <w:t>Id.</w:t>
      </w:r>
      <w:r w:rsidRPr="008D1DEC">
        <w:rPr>
          <w:sz w:val="26"/>
          <w:szCs w:val="26"/>
        </w:rPr>
        <w:t xml:space="preserve"> Parker therefore became a witness </w:t>
      </w:r>
      <w:r w:rsidRPr="008D1DEC">
        <w:rPr>
          <w:sz w:val="26"/>
          <w:szCs w:val="26"/>
        </w:rPr>
        <w:lastRenderedPageBreak/>
        <w:t xml:space="preserve">through the documented progression of an investigative avenue identified prior to Defendant’s testimony. </w:t>
      </w:r>
    </w:p>
    <w:p w14:paraId="6034DDCB" w14:textId="77777777" w:rsidR="00E71416" w:rsidRPr="008D1DEC" w:rsidRDefault="00E71416" w:rsidP="003A70C4">
      <w:pPr>
        <w:spacing w:line="480" w:lineRule="auto"/>
        <w:ind w:firstLine="720"/>
        <w:jc w:val="both"/>
        <w:rPr>
          <w:sz w:val="26"/>
          <w:szCs w:val="26"/>
        </w:rPr>
      </w:pPr>
      <w:r w:rsidRPr="008D1DEC">
        <w:rPr>
          <w:sz w:val="26"/>
          <w:szCs w:val="26"/>
        </w:rPr>
        <w:t xml:space="preserve">The Government must establish that Parker and the evidence obtained through Parker were discovered through a legitimate source independent of Defendant’s compelled testimony. </w:t>
      </w:r>
      <w:r w:rsidRPr="008D1DEC">
        <w:rPr>
          <w:i/>
          <w:iCs/>
          <w:sz w:val="26"/>
          <w:szCs w:val="26"/>
        </w:rPr>
        <w:t>Mauro</w:t>
      </w:r>
      <w:r w:rsidRPr="008D1DEC">
        <w:rPr>
          <w:sz w:val="26"/>
          <w:szCs w:val="26"/>
        </w:rPr>
        <w:t xml:space="preserve">, 846 F. Supp. at 256. Here, the source from which those employees were identified and the investigative decision to conduct employee interviews were obtained and documented before Defendant ever testified. Under </w:t>
      </w:r>
      <w:r w:rsidRPr="008D1DEC">
        <w:rPr>
          <w:i/>
          <w:iCs/>
          <w:sz w:val="26"/>
          <w:szCs w:val="26"/>
        </w:rPr>
        <w:t>Mauro</w:t>
      </w:r>
      <w:r w:rsidRPr="008D1DEC">
        <w:rPr>
          <w:sz w:val="26"/>
          <w:szCs w:val="26"/>
        </w:rPr>
        <w:t xml:space="preserve">, Parker’s interview occurring after the compelled testimony does not transform that independently initiated investigation into a derivative use of Defendant’s testimony. </w:t>
      </w:r>
    </w:p>
    <w:p w14:paraId="27E418AE" w14:textId="77777777" w:rsidR="00E71416" w:rsidRPr="008D1DEC" w:rsidRDefault="00E71416" w:rsidP="003A70C4">
      <w:pPr>
        <w:spacing w:line="480" w:lineRule="auto"/>
        <w:ind w:firstLine="720"/>
        <w:jc w:val="both"/>
        <w:rPr>
          <w:i/>
          <w:iCs/>
          <w:sz w:val="26"/>
          <w:szCs w:val="26"/>
        </w:rPr>
      </w:pPr>
      <w:r w:rsidRPr="008D1DEC">
        <w:rPr>
          <w:sz w:val="26"/>
          <w:szCs w:val="26"/>
        </w:rPr>
        <w:t xml:space="preserve">The investigative path here was </w:t>
      </w:r>
      <w:proofErr w:type="gramStart"/>
      <w:r w:rsidRPr="008D1DEC">
        <w:rPr>
          <w:sz w:val="26"/>
          <w:szCs w:val="26"/>
        </w:rPr>
        <w:t>actually identified</w:t>
      </w:r>
      <w:proofErr w:type="gramEnd"/>
      <w:r w:rsidRPr="008D1DEC">
        <w:rPr>
          <w:sz w:val="26"/>
          <w:szCs w:val="26"/>
        </w:rPr>
        <w:t xml:space="preserve"> and executed without the use of immunized testimony, unlike in </w:t>
      </w:r>
      <w:r w:rsidRPr="008D1DEC">
        <w:rPr>
          <w:i/>
          <w:iCs/>
          <w:sz w:val="26"/>
          <w:szCs w:val="26"/>
        </w:rPr>
        <w:t>Rinaldi</w:t>
      </w:r>
      <w:r w:rsidRPr="008D1DEC">
        <w:rPr>
          <w:sz w:val="26"/>
          <w:szCs w:val="26"/>
        </w:rPr>
        <w:t xml:space="preserve">. There, the government argued that it could have independently identified a witness whose identity was revealed through immunized testimony and had therefore met their burden under </w:t>
      </w:r>
      <w:r w:rsidRPr="008D1DEC">
        <w:rPr>
          <w:i/>
          <w:iCs/>
          <w:sz w:val="26"/>
          <w:szCs w:val="26"/>
        </w:rPr>
        <w:t>Kastigar</w:t>
      </w:r>
      <w:r w:rsidRPr="008D1DEC">
        <w:rPr>
          <w:sz w:val="26"/>
          <w:szCs w:val="26"/>
        </w:rPr>
        <w:t xml:space="preserve">. </w:t>
      </w:r>
      <w:r w:rsidRPr="008D1DEC">
        <w:rPr>
          <w:i/>
          <w:iCs/>
          <w:sz w:val="26"/>
          <w:szCs w:val="26"/>
        </w:rPr>
        <w:t>United States v. Rinaldi</w:t>
      </w:r>
      <w:r w:rsidRPr="008D1DEC">
        <w:rPr>
          <w:sz w:val="26"/>
          <w:szCs w:val="26"/>
        </w:rPr>
        <w:t xml:space="preserve">, 808 F.2d 1579, 1584 (D.C. Cir. 1987). However, before the immunized testimony, investigators possessed only a picture of the witness, lacking his last name and address. </w:t>
      </w:r>
      <w:r w:rsidRPr="008D1DEC">
        <w:rPr>
          <w:i/>
          <w:iCs/>
          <w:sz w:val="26"/>
          <w:szCs w:val="26"/>
        </w:rPr>
        <w:t>Id.</w:t>
      </w:r>
      <w:r w:rsidRPr="008D1DEC">
        <w:rPr>
          <w:sz w:val="26"/>
          <w:szCs w:val="26"/>
        </w:rPr>
        <w:t xml:space="preserve"> The government had not located or identified him until the immunized testimony supplied the information necessary to identify and locate the witness. </w:t>
      </w:r>
      <w:r w:rsidRPr="008D1DEC">
        <w:rPr>
          <w:i/>
          <w:iCs/>
          <w:sz w:val="26"/>
          <w:szCs w:val="26"/>
        </w:rPr>
        <w:t>Id.</w:t>
      </w:r>
      <w:r w:rsidRPr="008D1DEC">
        <w:rPr>
          <w:sz w:val="26"/>
          <w:szCs w:val="26"/>
        </w:rPr>
        <w:t xml:space="preserve"> The court therefore rejected the government’s assertion that it could have discovered the witness independently because the government was required to establish an actual independent source, not merely a hypothetical path by which it might have found him. </w:t>
      </w:r>
      <w:r w:rsidRPr="008D1DEC">
        <w:rPr>
          <w:i/>
          <w:iCs/>
          <w:sz w:val="26"/>
          <w:szCs w:val="26"/>
        </w:rPr>
        <w:t>Id.</w:t>
      </w:r>
    </w:p>
    <w:p w14:paraId="5CBF66FB" w14:textId="1F3E75A6" w:rsidR="00024D4C" w:rsidRPr="008D1DEC" w:rsidRDefault="00E71416" w:rsidP="003A70C4">
      <w:pPr>
        <w:spacing w:line="480" w:lineRule="auto"/>
        <w:ind w:firstLine="720"/>
        <w:jc w:val="both"/>
        <w:rPr>
          <w:i/>
          <w:iCs/>
          <w:sz w:val="26"/>
          <w:szCs w:val="26"/>
        </w:rPr>
      </w:pPr>
      <w:r w:rsidRPr="008D1DEC">
        <w:rPr>
          <w:sz w:val="26"/>
          <w:szCs w:val="26"/>
        </w:rPr>
        <w:t xml:space="preserve">Here, the Government does not rely on a hypothetical assertion that it </w:t>
      </w:r>
      <w:r w:rsidRPr="008D1DEC">
        <w:rPr>
          <w:i/>
          <w:iCs/>
          <w:sz w:val="26"/>
          <w:szCs w:val="26"/>
        </w:rPr>
        <w:t>could have</w:t>
      </w:r>
      <w:r w:rsidRPr="008D1DEC">
        <w:rPr>
          <w:sz w:val="26"/>
          <w:szCs w:val="26"/>
        </w:rPr>
        <w:t xml:space="preserve"> discovered Kennedy Parker. Kennedy Parker was already identified on the Silver Palms </w:t>
      </w:r>
      <w:r w:rsidRPr="008D1DEC">
        <w:rPr>
          <w:sz w:val="26"/>
          <w:szCs w:val="26"/>
        </w:rPr>
        <w:lastRenderedPageBreak/>
        <w:t xml:space="preserve">employee roster obtained before Defendant’s testimony. Ex. 10. Before Defendant testified, Agent Nolan documented the investigative decision to return to the resort’s 2023 employees. Nolan Dep. 256-276. Team Calloway then acted on that information, using the employee roster to pursue the identified investigative avenue without relying on Defendant’s immunized testimony. Nolan Dep. 268-271. Therefore, unlike </w:t>
      </w:r>
      <w:r w:rsidRPr="008D1DEC">
        <w:rPr>
          <w:i/>
          <w:iCs/>
          <w:sz w:val="26"/>
          <w:szCs w:val="26"/>
        </w:rPr>
        <w:t>Rinaldi</w:t>
      </w:r>
      <w:r w:rsidRPr="008D1DEC">
        <w:rPr>
          <w:sz w:val="26"/>
          <w:szCs w:val="26"/>
        </w:rPr>
        <w:t>, the immunized testimony did not supply the missing information necessary to identify or locate the witness. The independent investigation itself led Team Calloway to Kennedy Parker.</w:t>
      </w:r>
    </w:p>
    <w:p w14:paraId="1DC95AB1" w14:textId="25518C46" w:rsidR="00024D4C" w:rsidRPr="008D1DEC" w:rsidRDefault="00E71416" w:rsidP="003A70C4">
      <w:pPr>
        <w:pStyle w:val="ListParagraph"/>
        <w:numPr>
          <w:ilvl w:val="0"/>
          <w:numId w:val="6"/>
        </w:numPr>
        <w:spacing w:after="160"/>
        <w:jc w:val="both"/>
        <w:rPr>
          <w:b/>
          <w:bCs/>
          <w:sz w:val="26"/>
          <w:szCs w:val="26"/>
        </w:rPr>
      </w:pPr>
      <w:r w:rsidRPr="008D1DEC">
        <w:rPr>
          <w:b/>
          <w:bCs/>
          <w:sz w:val="26"/>
          <w:szCs w:val="26"/>
        </w:rPr>
        <w:t xml:space="preserve">Parker’s Witness Statement Was Untainted </w:t>
      </w:r>
      <w:proofErr w:type="gramStart"/>
      <w:r w:rsidRPr="008D1DEC">
        <w:rPr>
          <w:b/>
          <w:bCs/>
          <w:sz w:val="26"/>
          <w:szCs w:val="26"/>
        </w:rPr>
        <w:t>By</w:t>
      </w:r>
      <w:proofErr w:type="gramEnd"/>
      <w:r w:rsidRPr="008D1DEC">
        <w:rPr>
          <w:b/>
          <w:bCs/>
          <w:sz w:val="26"/>
          <w:szCs w:val="26"/>
        </w:rPr>
        <w:t xml:space="preserve"> Defendant’s Immunized Testimony</w:t>
      </w:r>
    </w:p>
    <w:p w14:paraId="5A27B567" w14:textId="37D096CB" w:rsidR="00E71416" w:rsidRPr="008D1DEC" w:rsidRDefault="00E71416" w:rsidP="003A70C4">
      <w:pPr>
        <w:spacing w:line="480" w:lineRule="auto"/>
        <w:ind w:firstLine="720"/>
        <w:jc w:val="both"/>
        <w:rPr>
          <w:sz w:val="26"/>
          <w:szCs w:val="26"/>
        </w:rPr>
      </w:pPr>
      <w:r w:rsidRPr="008D1DEC">
        <w:rPr>
          <w:sz w:val="26"/>
          <w:szCs w:val="26"/>
        </w:rPr>
        <w:t xml:space="preserve">Parker’s witness statement is not tainted because Parker’s limited exposure to Defendant’s immunized testimony did not affect the substance of Parker’s statement. A witness makes prohibited use of immunized testimony when exposure to that testimony directly or indirectly shapes the substance of the witness’s own testimony or influences the witness’s decision to testify. </w:t>
      </w:r>
      <w:r w:rsidRPr="008D1DEC">
        <w:rPr>
          <w:i/>
          <w:iCs/>
          <w:sz w:val="26"/>
          <w:szCs w:val="26"/>
        </w:rPr>
        <w:t>United States v. North</w:t>
      </w:r>
      <w:r w:rsidRPr="008D1DEC">
        <w:rPr>
          <w:sz w:val="26"/>
          <w:szCs w:val="26"/>
        </w:rPr>
        <w:t>, 920 F.2d 940, 942 (1990). Where exposure is merely peripheral, like only seeing a newspaper headline regarding the testimony, a court may safely conclude that the witness’</w:t>
      </w:r>
      <w:r w:rsidR="005E0936">
        <w:rPr>
          <w:sz w:val="26"/>
          <w:szCs w:val="26"/>
        </w:rPr>
        <w:t>s</w:t>
      </w:r>
      <w:r w:rsidRPr="008D1DEC">
        <w:rPr>
          <w:sz w:val="26"/>
          <w:szCs w:val="26"/>
        </w:rPr>
        <w:t xml:space="preserve"> testimony was not tainted. </w:t>
      </w:r>
      <w:r w:rsidRPr="008D1DEC">
        <w:rPr>
          <w:i/>
          <w:iCs/>
          <w:sz w:val="26"/>
          <w:szCs w:val="26"/>
        </w:rPr>
        <w:t>Id.</w:t>
      </w:r>
      <w:r w:rsidRPr="008D1DEC">
        <w:rPr>
          <w:sz w:val="26"/>
          <w:szCs w:val="26"/>
        </w:rPr>
        <w:t xml:space="preserve"> at 946. In </w:t>
      </w:r>
      <w:r w:rsidRPr="008D1DEC">
        <w:rPr>
          <w:i/>
          <w:iCs/>
          <w:sz w:val="26"/>
          <w:szCs w:val="26"/>
        </w:rPr>
        <w:t>North</w:t>
      </w:r>
      <w:r w:rsidRPr="008D1DEC">
        <w:rPr>
          <w:sz w:val="26"/>
          <w:szCs w:val="26"/>
        </w:rPr>
        <w:t xml:space="preserve">, the immunized testimony was broadly disseminated, and witnesses that went before the grand jury had been exposed to that testimony. </w:t>
      </w:r>
      <w:r w:rsidRPr="008D1DEC">
        <w:rPr>
          <w:i/>
          <w:iCs/>
          <w:sz w:val="26"/>
          <w:szCs w:val="26"/>
        </w:rPr>
        <w:t>United States v. North</w:t>
      </w:r>
      <w:r w:rsidRPr="008D1DEC">
        <w:rPr>
          <w:sz w:val="26"/>
          <w:szCs w:val="26"/>
        </w:rPr>
        <w:t xml:space="preserve">, 910 F.2d 843, 862 (D.C. Cir. 1990). Some witnesses reviewed the immunized testimony in preparation for </w:t>
      </w:r>
      <w:proofErr w:type="gramStart"/>
      <w:r w:rsidRPr="008D1DEC">
        <w:rPr>
          <w:sz w:val="26"/>
          <w:szCs w:val="26"/>
        </w:rPr>
        <w:t>their own</w:t>
      </w:r>
      <w:proofErr w:type="gramEnd"/>
      <w:r w:rsidRPr="008D1DEC">
        <w:rPr>
          <w:sz w:val="26"/>
          <w:szCs w:val="26"/>
        </w:rPr>
        <w:t xml:space="preserve">, with one witness even changing his account after hearing the immunized testimony. </w:t>
      </w:r>
      <w:r w:rsidRPr="008D1DEC">
        <w:rPr>
          <w:i/>
          <w:iCs/>
          <w:sz w:val="26"/>
          <w:szCs w:val="26"/>
        </w:rPr>
        <w:t>North</w:t>
      </w:r>
      <w:r w:rsidRPr="008D1DEC">
        <w:rPr>
          <w:sz w:val="26"/>
          <w:szCs w:val="26"/>
        </w:rPr>
        <w:t xml:space="preserve">, 920 F.2d at 944. The court ruled that the inquiry should focus on what the witnesses knew before exposure and what, if anything, they gleaned from that </w:t>
      </w:r>
      <w:r w:rsidRPr="008D1DEC">
        <w:rPr>
          <w:sz w:val="26"/>
          <w:szCs w:val="26"/>
        </w:rPr>
        <w:lastRenderedPageBreak/>
        <w:t xml:space="preserve">exposure. </w:t>
      </w:r>
      <w:r w:rsidRPr="008D1DEC">
        <w:rPr>
          <w:i/>
          <w:iCs/>
          <w:sz w:val="26"/>
          <w:szCs w:val="26"/>
        </w:rPr>
        <w:t>Id.</w:t>
      </w:r>
      <w:r w:rsidRPr="008D1DEC">
        <w:rPr>
          <w:sz w:val="26"/>
          <w:szCs w:val="26"/>
        </w:rPr>
        <w:t xml:space="preserve"> at 942. If the testimony was shaped by compelled testimony, directly or indirectly, it violated </w:t>
      </w:r>
      <w:r w:rsidRPr="008D1DEC">
        <w:rPr>
          <w:i/>
          <w:iCs/>
          <w:sz w:val="26"/>
          <w:szCs w:val="26"/>
        </w:rPr>
        <w:t>Kastigar.</w:t>
      </w:r>
      <w:r w:rsidRPr="008D1DEC">
        <w:rPr>
          <w:sz w:val="26"/>
          <w:szCs w:val="26"/>
        </w:rPr>
        <w:t xml:space="preserve"> </w:t>
      </w:r>
      <w:r w:rsidRPr="008D1DEC">
        <w:rPr>
          <w:i/>
          <w:iCs/>
          <w:sz w:val="26"/>
          <w:szCs w:val="26"/>
        </w:rPr>
        <w:t>Id</w:t>
      </w:r>
      <w:r w:rsidRPr="008D1DEC">
        <w:rPr>
          <w:sz w:val="26"/>
          <w:szCs w:val="26"/>
        </w:rPr>
        <w:t xml:space="preserve">. </w:t>
      </w:r>
    </w:p>
    <w:p w14:paraId="132F4147" w14:textId="4CAA6DC4" w:rsidR="00024D4C" w:rsidRPr="008D1DEC" w:rsidRDefault="00E71416" w:rsidP="003A70C4">
      <w:pPr>
        <w:spacing w:line="480" w:lineRule="auto"/>
        <w:ind w:firstLine="720"/>
        <w:jc w:val="both"/>
        <w:rPr>
          <w:sz w:val="26"/>
          <w:szCs w:val="26"/>
        </w:rPr>
      </w:pPr>
      <w:r w:rsidRPr="008D1DEC">
        <w:rPr>
          <w:sz w:val="26"/>
          <w:szCs w:val="26"/>
        </w:rPr>
        <w:t xml:space="preserve">Unlike </w:t>
      </w:r>
      <w:r w:rsidRPr="008D1DEC">
        <w:rPr>
          <w:i/>
          <w:iCs/>
          <w:sz w:val="26"/>
          <w:szCs w:val="26"/>
        </w:rPr>
        <w:t>North</w:t>
      </w:r>
      <w:r w:rsidRPr="008D1DEC">
        <w:rPr>
          <w:sz w:val="26"/>
          <w:szCs w:val="26"/>
        </w:rPr>
        <w:t xml:space="preserve">, there is no evidence here that Parker’s testimony was shaped by exposure to Defendant’s immunized testimony. Parker did not follow Donovan’s trial and did not watch or read Defendant’s testimony. Parker Dep. 307-313. Unlike the witnesses in </w:t>
      </w:r>
      <w:r w:rsidRPr="008D1DEC">
        <w:rPr>
          <w:i/>
          <w:iCs/>
          <w:sz w:val="26"/>
          <w:szCs w:val="26"/>
        </w:rPr>
        <w:t>North</w:t>
      </w:r>
      <w:r w:rsidRPr="008D1DEC">
        <w:rPr>
          <w:sz w:val="26"/>
          <w:szCs w:val="26"/>
        </w:rPr>
        <w:t xml:space="preserve">, Parker therefore had no information from Defendant’s testimony to supplement or alter Parker’s own recollection. Although Defendant’s testimony was publicly disseminated like in </w:t>
      </w:r>
      <w:r w:rsidRPr="008D1DEC">
        <w:rPr>
          <w:i/>
          <w:iCs/>
          <w:sz w:val="26"/>
          <w:szCs w:val="26"/>
        </w:rPr>
        <w:t>North</w:t>
      </w:r>
      <w:r w:rsidRPr="008D1DEC">
        <w:rPr>
          <w:sz w:val="26"/>
          <w:szCs w:val="26"/>
        </w:rPr>
        <w:t xml:space="preserve">, the actual witness exposure that happened in that case is absent here. Even if Parker encountered a headline concerning Defendant’s testimony, </w:t>
      </w:r>
      <w:r w:rsidRPr="008D1DEC">
        <w:rPr>
          <w:i/>
          <w:iCs/>
          <w:sz w:val="26"/>
          <w:szCs w:val="26"/>
        </w:rPr>
        <w:t xml:space="preserve">North </w:t>
      </w:r>
      <w:r w:rsidRPr="008D1DEC">
        <w:rPr>
          <w:sz w:val="26"/>
          <w:szCs w:val="26"/>
        </w:rPr>
        <w:t xml:space="preserve">explicitly recognized that such peripheral exposure is insufficient to establish that witness testimony is tainted. Defendant’s testimony did not directly or indirectly shape Parker’s testimony; Parker’s witness statement was not tainted by the immunized testimony. </w:t>
      </w:r>
    </w:p>
    <w:p w14:paraId="75A32475" w14:textId="016E1F17" w:rsidR="00E71416" w:rsidRPr="008D1DEC" w:rsidRDefault="00E71416" w:rsidP="003A70C4">
      <w:pPr>
        <w:pStyle w:val="ListParagraph"/>
        <w:numPr>
          <w:ilvl w:val="0"/>
          <w:numId w:val="3"/>
        </w:numPr>
        <w:spacing w:after="160"/>
        <w:jc w:val="both"/>
        <w:rPr>
          <w:b/>
          <w:bCs/>
          <w:sz w:val="26"/>
          <w:szCs w:val="26"/>
        </w:rPr>
      </w:pPr>
      <w:r w:rsidRPr="008D1DEC">
        <w:rPr>
          <w:b/>
          <w:bCs/>
          <w:sz w:val="26"/>
          <w:szCs w:val="26"/>
        </w:rPr>
        <w:t>THE SUBPOENA DUCES TECUM SHOULD BE GRANTED AS THE INTERVIEW NOTES BY MADDOX ARMANA ARE DISCOVERABLE</w:t>
      </w:r>
    </w:p>
    <w:p w14:paraId="0BB7814B" w14:textId="3F66C464" w:rsidR="00E71416" w:rsidRPr="008D1DEC" w:rsidRDefault="00E71416" w:rsidP="003A70C4">
      <w:pPr>
        <w:pStyle w:val="ListParagraph"/>
        <w:numPr>
          <w:ilvl w:val="0"/>
          <w:numId w:val="5"/>
        </w:numPr>
        <w:spacing w:after="160"/>
        <w:jc w:val="both"/>
        <w:rPr>
          <w:b/>
          <w:bCs/>
          <w:sz w:val="26"/>
          <w:szCs w:val="26"/>
        </w:rPr>
      </w:pPr>
      <w:r w:rsidRPr="008D1DEC">
        <w:rPr>
          <w:b/>
          <w:bCs/>
          <w:sz w:val="26"/>
          <w:szCs w:val="26"/>
        </w:rPr>
        <w:t xml:space="preserve">Rule 17(c) Governs </w:t>
      </w:r>
      <w:proofErr w:type="gramStart"/>
      <w:r w:rsidRPr="008D1DEC">
        <w:rPr>
          <w:b/>
          <w:bCs/>
          <w:sz w:val="26"/>
          <w:szCs w:val="26"/>
        </w:rPr>
        <w:t>The</w:t>
      </w:r>
      <w:proofErr w:type="gramEnd"/>
      <w:r w:rsidRPr="008D1DEC">
        <w:rPr>
          <w:b/>
          <w:bCs/>
          <w:sz w:val="26"/>
          <w:szCs w:val="26"/>
        </w:rPr>
        <w:t xml:space="preserve"> Issued Subpoena </w:t>
      </w:r>
    </w:p>
    <w:p w14:paraId="05C38F44" w14:textId="77777777" w:rsidR="00E71416" w:rsidRPr="008D1DEC" w:rsidRDefault="00E71416" w:rsidP="003A70C4">
      <w:pPr>
        <w:spacing w:line="480" w:lineRule="auto"/>
        <w:ind w:firstLine="720"/>
        <w:jc w:val="both"/>
        <w:rPr>
          <w:sz w:val="26"/>
          <w:szCs w:val="26"/>
        </w:rPr>
      </w:pPr>
      <w:r w:rsidRPr="008D1DEC">
        <w:rPr>
          <w:sz w:val="26"/>
          <w:szCs w:val="26"/>
        </w:rPr>
        <w:t xml:space="preserve">Before this Court can come to a determination as to what privilege may apply to the interview conducted by Maddox Amrana, the Court must first determine which rule applies to the motion to quash brought forth by Defendant. As the record shows, the motion should be heard under Rule 17(c), not Rule 16. Rule 16 governs discovery restrictions and is not a general protection for any conceivable document a party might seek to obtain in a criminal case. Fed. R. Crim. P. 16(b)(2). This Court should adopt the standard articulated in </w:t>
      </w:r>
      <w:r w:rsidRPr="008D1DEC">
        <w:rPr>
          <w:i/>
          <w:iCs/>
          <w:sz w:val="26"/>
          <w:szCs w:val="26"/>
        </w:rPr>
        <w:t>United States v. Nixon</w:t>
      </w:r>
      <w:r w:rsidRPr="008D1DEC">
        <w:rPr>
          <w:sz w:val="26"/>
          <w:szCs w:val="26"/>
        </w:rPr>
        <w:t xml:space="preserve">, 418 U.S. 683 (1974), which permits the use of Rule 17(c) based on relevance, admissibility, and specificity. 418 U.S. 683, 670 (1974). As explained by the </w:t>
      </w:r>
      <w:r w:rsidRPr="008D1DEC">
        <w:rPr>
          <w:sz w:val="26"/>
          <w:szCs w:val="26"/>
        </w:rPr>
        <w:lastRenderedPageBreak/>
        <w:t xml:space="preserve">court in </w:t>
      </w:r>
      <w:r w:rsidRPr="008D1DEC">
        <w:rPr>
          <w:i/>
          <w:iCs/>
          <w:sz w:val="26"/>
          <w:szCs w:val="26"/>
        </w:rPr>
        <w:t>Nixon</w:t>
      </w:r>
      <w:r w:rsidRPr="008D1DEC">
        <w:rPr>
          <w:sz w:val="26"/>
          <w:szCs w:val="26"/>
        </w:rPr>
        <w:t xml:space="preserve">, and applicable here, Rule 17(c) does not become a method to subvert Rule 16. As explained by </w:t>
      </w:r>
      <w:r w:rsidRPr="008D1DEC">
        <w:rPr>
          <w:i/>
          <w:iCs/>
          <w:sz w:val="26"/>
          <w:szCs w:val="26"/>
        </w:rPr>
        <w:t>Bowman Dairy Co. v. United States</w:t>
      </w:r>
      <w:r w:rsidRPr="008D1DEC">
        <w:rPr>
          <w:sz w:val="26"/>
          <w:szCs w:val="26"/>
        </w:rPr>
        <w:t xml:space="preserve">, “[i]t was not intended by Rule 16 to give a limited right of discovery, and then by Rule 17 to give a right of discovery in the broadest terms” 341 U.S. 214, 220 (1951); </w:t>
      </w:r>
      <w:r w:rsidRPr="008D1DEC">
        <w:rPr>
          <w:i/>
          <w:iCs/>
          <w:sz w:val="26"/>
          <w:szCs w:val="26"/>
        </w:rPr>
        <w:t>accord</w:t>
      </w:r>
      <w:r w:rsidRPr="008D1DEC">
        <w:rPr>
          <w:sz w:val="26"/>
          <w:szCs w:val="26"/>
        </w:rPr>
        <w:t xml:space="preserve"> </w:t>
      </w:r>
      <w:r w:rsidRPr="008D1DEC">
        <w:rPr>
          <w:i/>
          <w:iCs/>
          <w:sz w:val="26"/>
          <w:szCs w:val="26"/>
        </w:rPr>
        <w:t>United States v. Nixon</w:t>
      </w:r>
      <w:r w:rsidRPr="008D1DEC">
        <w:rPr>
          <w:sz w:val="26"/>
          <w:szCs w:val="26"/>
        </w:rPr>
        <w:t xml:space="preserve">, 418 U.S. 683, 698 (1974). </w:t>
      </w:r>
    </w:p>
    <w:p w14:paraId="39CC7E22" w14:textId="77777777" w:rsidR="00E71416" w:rsidRPr="008D1DEC" w:rsidRDefault="00E71416" w:rsidP="003A70C4">
      <w:pPr>
        <w:spacing w:line="480" w:lineRule="auto"/>
        <w:ind w:firstLine="720"/>
        <w:jc w:val="both"/>
        <w:rPr>
          <w:sz w:val="26"/>
          <w:szCs w:val="26"/>
        </w:rPr>
      </w:pPr>
      <w:r w:rsidRPr="008D1DEC">
        <w:rPr>
          <w:sz w:val="26"/>
          <w:szCs w:val="26"/>
        </w:rPr>
        <w:t xml:space="preserve">The work-product doctrine is the privilege that this Court should grant to the Government's subpoena. Following the groundwork laid in </w:t>
      </w:r>
      <w:r w:rsidRPr="008D1DEC">
        <w:rPr>
          <w:i/>
          <w:iCs/>
          <w:sz w:val="26"/>
          <w:szCs w:val="26"/>
        </w:rPr>
        <w:t xml:space="preserve">Hickman </w:t>
      </w:r>
      <w:r w:rsidRPr="008D1DEC">
        <w:rPr>
          <w:sz w:val="26"/>
          <w:szCs w:val="26"/>
        </w:rPr>
        <w:t xml:space="preserve">v. </w:t>
      </w:r>
      <w:r w:rsidRPr="008D1DEC">
        <w:rPr>
          <w:i/>
          <w:iCs/>
          <w:sz w:val="26"/>
          <w:szCs w:val="26"/>
        </w:rPr>
        <w:t>Taylor</w:t>
      </w:r>
      <w:r w:rsidRPr="008D1DEC">
        <w:rPr>
          <w:sz w:val="26"/>
          <w:szCs w:val="26"/>
        </w:rPr>
        <w:t xml:space="preserve">, 329 U.S. 495 (1947), and later adopted to criminal defense investigators in </w:t>
      </w:r>
      <w:r w:rsidRPr="008D1DEC">
        <w:rPr>
          <w:i/>
          <w:iCs/>
          <w:sz w:val="26"/>
          <w:szCs w:val="26"/>
        </w:rPr>
        <w:t xml:space="preserve">United States </w:t>
      </w:r>
      <w:r w:rsidRPr="008D1DEC">
        <w:rPr>
          <w:sz w:val="26"/>
          <w:szCs w:val="26"/>
        </w:rPr>
        <w:t xml:space="preserve">v. </w:t>
      </w:r>
      <w:r w:rsidRPr="008D1DEC">
        <w:rPr>
          <w:i/>
          <w:iCs/>
          <w:sz w:val="26"/>
          <w:szCs w:val="26"/>
        </w:rPr>
        <w:t>Nobles</w:t>
      </w:r>
      <w:r w:rsidRPr="008D1DEC">
        <w:rPr>
          <w:sz w:val="26"/>
          <w:szCs w:val="26"/>
        </w:rPr>
        <w:t xml:space="preserve">, 422 U.S. 225 (1975). Applying Rule 16(b)(2) would present a categorical bar on evidence that should be presented to the Government. Under the standard adopted in </w:t>
      </w:r>
      <w:r w:rsidRPr="008D1DEC">
        <w:rPr>
          <w:i/>
          <w:iCs/>
          <w:sz w:val="26"/>
          <w:szCs w:val="26"/>
        </w:rPr>
        <w:t>Nobles</w:t>
      </w:r>
      <w:r w:rsidRPr="008D1DEC">
        <w:rPr>
          <w:sz w:val="26"/>
          <w:szCs w:val="26"/>
        </w:rPr>
        <w:t xml:space="preserve">, the fact work product should be disclosed because the Government can show both a substantial need for the interview and an undue hardship should the Government forgo the interview, along with its accompanying notations. </w:t>
      </w:r>
    </w:p>
    <w:p w14:paraId="2689684A" w14:textId="54477792" w:rsidR="00E71416" w:rsidRPr="008D1DEC" w:rsidRDefault="00E71416" w:rsidP="003A70C4">
      <w:pPr>
        <w:spacing w:line="480" w:lineRule="auto"/>
        <w:ind w:firstLine="720"/>
        <w:jc w:val="both"/>
        <w:rPr>
          <w:sz w:val="26"/>
          <w:szCs w:val="26"/>
        </w:rPr>
      </w:pPr>
      <w:r w:rsidRPr="008D1DEC">
        <w:rPr>
          <w:sz w:val="26"/>
          <w:szCs w:val="26"/>
        </w:rPr>
        <w:t xml:space="preserve">The subpoena issued by the Government is not a “fishing expedition”. Rather, it is tailored to the specific needs permitted by law, allowing Defendant's documents to be disclosed to the Government. The Government is not blindly asking this Court to allow an unfiltered look at </w:t>
      </w:r>
      <w:proofErr w:type="gramStart"/>
      <w:r w:rsidRPr="008D1DEC">
        <w:rPr>
          <w:sz w:val="26"/>
          <w:szCs w:val="26"/>
        </w:rPr>
        <w:t>each and every</w:t>
      </w:r>
      <w:proofErr w:type="gramEnd"/>
      <w:r w:rsidRPr="008D1DEC">
        <w:rPr>
          <w:sz w:val="26"/>
          <w:szCs w:val="26"/>
        </w:rPr>
        <w:t xml:space="preserve"> piece of work Armana took </w:t>
      </w:r>
      <w:proofErr w:type="gramStart"/>
      <w:r w:rsidRPr="008D1DEC">
        <w:rPr>
          <w:sz w:val="26"/>
          <w:szCs w:val="26"/>
        </w:rPr>
        <w:t>at</w:t>
      </w:r>
      <w:proofErr w:type="gramEnd"/>
      <w:r w:rsidRPr="008D1DEC">
        <w:rPr>
          <w:sz w:val="26"/>
          <w:szCs w:val="26"/>
        </w:rPr>
        <w:t xml:space="preserve"> the direction of counsel. Rather, the subpoena is consistent with the applicable rules. A Rule 17(c) subpoena may require production of specific evidentiary materials when the requesting party satisfies the Rule 17(c) requirements. As in </w:t>
      </w:r>
      <w:r w:rsidRPr="008D1DEC">
        <w:rPr>
          <w:i/>
          <w:iCs/>
          <w:sz w:val="26"/>
          <w:szCs w:val="26"/>
        </w:rPr>
        <w:t>Nixon</w:t>
      </w:r>
      <w:r w:rsidRPr="008D1DEC">
        <w:rPr>
          <w:sz w:val="26"/>
          <w:szCs w:val="26"/>
        </w:rPr>
        <w:t xml:space="preserve">, the materials requested are directly relevant to those with which the crimes for which the Defendant has been indicted are associated. </w:t>
      </w:r>
      <w:r w:rsidRPr="008D1DEC">
        <w:rPr>
          <w:i/>
          <w:iCs/>
          <w:sz w:val="26"/>
          <w:szCs w:val="26"/>
        </w:rPr>
        <w:t>Nixon</w:t>
      </w:r>
      <w:r w:rsidRPr="008D1DEC">
        <w:rPr>
          <w:sz w:val="26"/>
          <w:szCs w:val="26"/>
        </w:rPr>
        <w:t>, 418 U.S. 683, 699-700 (1974).</w:t>
      </w:r>
    </w:p>
    <w:p w14:paraId="010408C8" w14:textId="2CCD2A59" w:rsidR="00E71416" w:rsidRPr="008D1DEC" w:rsidRDefault="00E71416" w:rsidP="00E71416">
      <w:pPr>
        <w:pStyle w:val="ListParagraph"/>
        <w:numPr>
          <w:ilvl w:val="0"/>
          <w:numId w:val="5"/>
        </w:numPr>
        <w:spacing w:after="160" w:line="278" w:lineRule="auto"/>
        <w:jc w:val="both"/>
        <w:rPr>
          <w:b/>
          <w:bCs/>
          <w:sz w:val="26"/>
          <w:szCs w:val="26"/>
        </w:rPr>
      </w:pPr>
      <w:r w:rsidRPr="008D1DEC">
        <w:rPr>
          <w:b/>
          <w:bCs/>
          <w:sz w:val="26"/>
          <w:szCs w:val="26"/>
        </w:rPr>
        <w:lastRenderedPageBreak/>
        <w:t xml:space="preserve">The Interview Notes, As Stated </w:t>
      </w:r>
      <w:proofErr w:type="gramStart"/>
      <w:r w:rsidRPr="008D1DEC">
        <w:rPr>
          <w:b/>
          <w:bCs/>
          <w:sz w:val="26"/>
          <w:szCs w:val="26"/>
        </w:rPr>
        <w:t>By</w:t>
      </w:r>
      <w:proofErr w:type="gramEnd"/>
      <w:r w:rsidRPr="008D1DEC">
        <w:rPr>
          <w:b/>
          <w:bCs/>
          <w:sz w:val="26"/>
          <w:szCs w:val="26"/>
        </w:rPr>
        <w:t xml:space="preserve"> Maddox Armana, Are Fact Work Product</w:t>
      </w:r>
    </w:p>
    <w:p w14:paraId="6C3E3987" w14:textId="0041F045" w:rsidR="00E71416" w:rsidRPr="008D1DEC" w:rsidRDefault="00E71416" w:rsidP="003A70C4">
      <w:pPr>
        <w:spacing w:before="240" w:after="240" w:line="480" w:lineRule="auto"/>
        <w:ind w:firstLine="720"/>
        <w:jc w:val="both"/>
        <w:rPr>
          <w:sz w:val="26"/>
          <w:szCs w:val="26"/>
        </w:rPr>
      </w:pPr>
      <w:r w:rsidRPr="008D1DEC">
        <w:rPr>
          <w:sz w:val="26"/>
          <w:szCs w:val="26"/>
        </w:rPr>
        <w:t xml:space="preserve">In </w:t>
      </w:r>
      <w:r w:rsidRPr="008D1DEC">
        <w:rPr>
          <w:i/>
          <w:iCs/>
          <w:sz w:val="26"/>
          <w:szCs w:val="26"/>
        </w:rPr>
        <w:t>Hickman</w:t>
      </w:r>
      <w:r w:rsidRPr="008D1DEC">
        <w:rPr>
          <w:sz w:val="26"/>
          <w:szCs w:val="26"/>
        </w:rPr>
        <w:t xml:space="preserve">, the court drew a line regarding whether work product would shield all documents, especially when produced by attorneys or agents acting at their behest. The court in </w:t>
      </w:r>
      <w:r w:rsidRPr="008D1DEC">
        <w:rPr>
          <w:i/>
          <w:iCs/>
          <w:sz w:val="26"/>
          <w:szCs w:val="26"/>
        </w:rPr>
        <w:t xml:space="preserve">Hickman </w:t>
      </w:r>
      <w:r w:rsidRPr="008D1DEC">
        <w:rPr>
          <w:sz w:val="26"/>
          <w:szCs w:val="26"/>
        </w:rPr>
        <w:t xml:space="preserve">determined that there would be a delineating factor in work product, one based on mental impressions left in the work, or facts described in the work, </w:t>
      </w:r>
      <w:r w:rsidRPr="008D1DEC">
        <w:rPr>
          <w:i/>
          <w:iCs/>
          <w:sz w:val="26"/>
          <w:szCs w:val="26"/>
        </w:rPr>
        <w:t xml:space="preserve">Hickman </w:t>
      </w:r>
      <w:r w:rsidRPr="008D1DEC">
        <w:rPr>
          <w:sz w:val="26"/>
          <w:szCs w:val="26"/>
        </w:rPr>
        <w:t xml:space="preserve">v. </w:t>
      </w:r>
      <w:r w:rsidRPr="008D1DEC">
        <w:rPr>
          <w:i/>
          <w:iCs/>
          <w:sz w:val="26"/>
          <w:szCs w:val="26"/>
        </w:rPr>
        <w:t>Taylor</w:t>
      </w:r>
      <w:r w:rsidRPr="008D1DEC">
        <w:rPr>
          <w:sz w:val="26"/>
          <w:szCs w:val="26"/>
        </w:rPr>
        <w:t xml:space="preserve">, 329 U.S. 495 (1947). The court in </w:t>
      </w:r>
      <w:r w:rsidRPr="008D1DEC">
        <w:rPr>
          <w:i/>
          <w:iCs/>
          <w:sz w:val="26"/>
          <w:szCs w:val="26"/>
        </w:rPr>
        <w:t xml:space="preserve">Hickman </w:t>
      </w:r>
      <w:r w:rsidRPr="008D1DEC">
        <w:rPr>
          <w:sz w:val="26"/>
          <w:szCs w:val="26"/>
        </w:rPr>
        <w:t>went further, detailing that work product, which details “mental impressions [and] personal beliefs,” receives a level of protection that must “[serve] the interests of the client and the cause of justice</w:t>
      </w:r>
      <w:r w:rsidR="005E0936">
        <w:rPr>
          <w:sz w:val="26"/>
          <w:szCs w:val="26"/>
        </w:rPr>
        <w:t>.</w:t>
      </w:r>
      <w:r w:rsidRPr="008D1DEC">
        <w:rPr>
          <w:sz w:val="26"/>
          <w:szCs w:val="26"/>
        </w:rPr>
        <w:t>” H</w:t>
      </w:r>
      <w:r w:rsidRPr="008D1DEC">
        <w:rPr>
          <w:i/>
          <w:iCs/>
          <w:sz w:val="26"/>
          <w:szCs w:val="26"/>
        </w:rPr>
        <w:t xml:space="preserve">ickman </w:t>
      </w:r>
      <w:r w:rsidRPr="008D1DEC">
        <w:rPr>
          <w:sz w:val="26"/>
          <w:szCs w:val="26"/>
        </w:rPr>
        <w:t xml:space="preserve">v. </w:t>
      </w:r>
      <w:r w:rsidRPr="008D1DEC">
        <w:rPr>
          <w:i/>
          <w:iCs/>
          <w:sz w:val="26"/>
          <w:szCs w:val="26"/>
        </w:rPr>
        <w:t>Taylor</w:t>
      </w:r>
      <w:r w:rsidRPr="008D1DEC">
        <w:rPr>
          <w:sz w:val="26"/>
          <w:szCs w:val="26"/>
        </w:rPr>
        <w:t xml:space="preserve">, 329 U.S. 495, 511 (1947). This principle in </w:t>
      </w:r>
      <w:r w:rsidRPr="008D1DEC">
        <w:rPr>
          <w:i/>
          <w:iCs/>
          <w:sz w:val="26"/>
          <w:szCs w:val="26"/>
        </w:rPr>
        <w:t xml:space="preserve">Hickman </w:t>
      </w:r>
      <w:r w:rsidRPr="008D1DEC">
        <w:rPr>
          <w:sz w:val="26"/>
          <w:szCs w:val="26"/>
        </w:rPr>
        <w:t xml:space="preserve">was reaffirmed in </w:t>
      </w:r>
      <w:r w:rsidRPr="008D1DEC">
        <w:rPr>
          <w:i/>
          <w:iCs/>
          <w:sz w:val="26"/>
          <w:szCs w:val="26"/>
        </w:rPr>
        <w:t xml:space="preserve">Upjohn Co. </w:t>
      </w:r>
      <w:r w:rsidRPr="008D1DEC">
        <w:rPr>
          <w:sz w:val="26"/>
          <w:szCs w:val="26"/>
        </w:rPr>
        <w:t xml:space="preserve">v. </w:t>
      </w:r>
      <w:r w:rsidRPr="008D1DEC">
        <w:rPr>
          <w:i/>
          <w:iCs/>
          <w:sz w:val="26"/>
          <w:szCs w:val="26"/>
        </w:rPr>
        <w:t>United States</w:t>
      </w:r>
      <w:r w:rsidRPr="008D1DEC">
        <w:rPr>
          <w:sz w:val="26"/>
          <w:szCs w:val="26"/>
        </w:rPr>
        <w:t xml:space="preserve">, where the same two-tier framework, specifically, that opinion work product demands stronger protection compared to that of fact work product. 449 U.S. 383, 400 (1981). </w:t>
      </w:r>
    </w:p>
    <w:p w14:paraId="2A31EE86" w14:textId="77777777" w:rsidR="00E71416" w:rsidRPr="008D1DEC" w:rsidRDefault="00E71416" w:rsidP="003A70C4">
      <w:pPr>
        <w:spacing w:before="240" w:after="240" w:line="480" w:lineRule="auto"/>
        <w:ind w:firstLine="720"/>
        <w:jc w:val="both"/>
        <w:rPr>
          <w:sz w:val="26"/>
          <w:szCs w:val="26"/>
          <w:highlight w:val="yellow"/>
        </w:rPr>
      </w:pPr>
      <w:r w:rsidRPr="008D1DEC">
        <w:rPr>
          <w:sz w:val="26"/>
          <w:szCs w:val="26"/>
        </w:rPr>
        <w:t xml:space="preserve">Additionally, the court in </w:t>
      </w:r>
      <w:r w:rsidRPr="008D1DEC">
        <w:rPr>
          <w:i/>
          <w:iCs/>
          <w:sz w:val="26"/>
          <w:szCs w:val="26"/>
        </w:rPr>
        <w:t>Upjohn</w:t>
      </w:r>
      <w:r w:rsidRPr="008D1DEC">
        <w:rPr>
          <w:sz w:val="26"/>
          <w:szCs w:val="26"/>
        </w:rPr>
        <w:t xml:space="preserve"> reaffirmed the principle established in </w:t>
      </w:r>
      <w:r w:rsidRPr="008D1DEC">
        <w:rPr>
          <w:i/>
          <w:iCs/>
          <w:sz w:val="26"/>
          <w:szCs w:val="26"/>
        </w:rPr>
        <w:t>Hickman</w:t>
      </w:r>
      <w:r w:rsidRPr="008D1DEC">
        <w:rPr>
          <w:sz w:val="26"/>
          <w:szCs w:val="26"/>
        </w:rPr>
        <w:t xml:space="preserve">, namely that fact work product is discoverable upon a showing of substantial need and inability to obtain the substantial equivalent without undue hardship. 449 U.S. 383, 400 (1981) </w:t>
      </w:r>
      <w:r w:rsidRPr="008D1DEC">
        <w:rPr>
          <w:i/>
          <w:iCs/>
          <w:sz w:val="26"/>
          <w:szCs w:val="26"/>
        </w:rPr>
        <w:t>accord Hickman v. Taylor</w:t>
      </w:r>
      <w:r w:rsidRPr="008D1DEC">
        <w:rPr>
          <w:sz w:val="26"/>
          <w:szCs w:val="26"/>
        </w:rPr>
        <w:t xml:space="preserve">, 329 U.S. 495, 509 (1947). As held in </w:t>
      </w:r>
      <w:r w:rsidRPr="008D1DEC">
        <w:rPr>
          <w:i/>
          <w:iCs/>
          <w:sz w:val="26"/>
          <w:szCs w:val="26"/>
        </w:rPr>
        <w:t>Nobles</w:t>
      </w:r>
      <w:r w:rsidRPr="008D1DEC">
        <w:rPr>
          <w:sz w:val="26"/>
          <w:szCs w:val="26"/>
        </w:rPr>
        <w:t xml:space="preserve">, the reasoning adopted in </w:t>
      </w:r>
      <w:r w:rsidRPr="008D1DEC">
        <w:rPr>
          <w:i/>
          <w:iCs/>
          <w:sz w:val="26"/>
          <w:szCs w:val="26"/>
        </w:rPr>
        <w:t>Hickman</w:t>
      </w:r>
      <w:r w:rsidRPr="008D1DEC">
        <w:rPr>
          <w:sz w:val="26"/>
          <w:szCs w:val="26"/>
        </w:rPr>
        <w:t xml:space="preserve">, specifically regarding the work product </w:t>
      </w:r>
      <w:proofErr w:type="gramStart"/>
      <w:r w:rsidRPr="008D1DEC">
        <w:rPr>
          <w:sz w:val="26"/>
          <w:szCs w:val="26"/>
        </w:rPr>
        <w:t>protections</w:t>
      </w:r>
      <w:proofErr w:type="gramEnd"/>
      <w:r w:rsidRPr="008D1DEC">
        <w:rPr>
          <w:sz w:val="26"/>
          <w:szCs w:val="26"/>
        </w:rPr>
        <w:t xml:space="preserve">, is applied in criminal cases. </w:t>
      </w:r>
      <w:r w:rsidRPr="008D1DEC">
        <w:rPr>
          <w:i/>
          <w:iCs/>
          <w:sz w:val="26"/>
          <w:szCs w:val="26"/>
        </w:rPr>
        <w:t xml:space="preserve">United States </w:t>
      </w:r>
      <w:r w:rsidRPr="008D1DEC">
        <w:rPr>
          <w:sz w:val="26"/>
          <w:szCs w:val="26"/>
        </w:rPr>
        <w:t xml:space="preserve">v. </w:t>
      </w:r>
      <w:r w:rsidRPr="008D1DEC">
        <w:rPr>
          <w:i/>
          <w:iCs/>
          <w:sz w:val="26"/>
          <w:szCs w:val="26"/>
        </w:rPr>
        <w:t>Nobles</w:t>
      </w:r>
      <w:r w:rsidRPr="008D1DEC">
        <w:rPr>
          <w:sz w:val="26"/>
          <w:szCs w:val="26"/>
        </w:rPr>
        <w:t>, 422 U.S. 225, 236 (1975).</w:t>
      </w:r>
    </w:p>
    <w:p w14:paraId="218451AE" w14:textId="761D50FF" w:rsidR="00E71416" w:rsidRPr="008D1DEC" w:rsidRDefault="00E71416" w:rsidP="003A70C4">
      <w:pPr>
        <w:spacing w:after="160" w:line="480" w:lineRule="auto"/>
        <w:ind w:firstLine="720"/>
        <w:jc w:val="both"/>
        <w:rPr>
          <w:sz w:val="26"/>
          <w:szCs w:val="26"/>
        </w:rPr>
      </w:pPr>
      <w:r w:rsidRPr="008D1DEC">
        <w:rPr>
          <w:sz w:val="26"/>
          <w:szCs w:val="26"/>
        </w:rPr>
        <w:t xml:space="preserve">The question this Court is tasked with answering is whether the notes transcribed by Armana during this interview of Sierra Seton fall within the category of fact, opinion, </w:t>
      </w:r>
      <w:r w:rsidRPr="008D1DEC">
        <w:rPr>
          <w:sz w:val="26"/>
          <w:szCs w:val="26"/>
        </w:rPr>
        <w:lastRenderedPageBreak/>
        <w:t xml:space="preserve">or an amalgamation of fact and opinion work product. As made clear throughout Armana's testimony, all, if not the lion's share, of the notes transcribed by Armana fall within the category of fact work product. </w:t>
      </w:r>
    </w:p>
    <w:p w14:paraId="3E966C1A" w14:textId="6B78C6F6" w:rsidR="00E71416" w:rsidRPr="008D1DEC" w:rsidRDefault="00E71416" w:rsidP="00E71416">
      <w:pPr>
        <w:pStyle w:val="ListParagraph"/>
        <w:numPr>
          <w:ilvl w:val="0"/>
          <w:numId w:val="5"/>
        </w:numPr>
        <w:spacing w:after="160" w:line="278" w:lineRule="auto"/>
        <w:jc w:val="both"/>
        <w:rPr>
          <w:b/>
          <w:bCs/>
          <w:sz w:val="26"/>
          <w:szCs w:val="26"/>
        </w:rPr>
      </w:pPr>
      <w:r w:rsidRPr="008D1DEC">
        <w:rPr>
          <w:b/>
          <w:bCs/>
          <w:sz w:val="26"/>
          <w:szCs w:val="26"/>
        </w:rPr>
        <w:t xml:space="preserve">The Government Has </w:t>
      </w:r>
      <w:proofErr w:type="gramStart"/>
      <w:r w:rsidRPr="008D1DEC">
        <w:rPr>
          <w:b/>
          <w:bCs/>
          <w:sz w:val="26"/>
          <w:szCs w:val="26"/>
        </w:rPr>
        <w:t>A</w:t>
      </w:r>
      <w:proofErr w:type="gramEnd"/>
      <w:r w:rsidRPr="008D1DEC">
        <w:rPr>
          <w:b/>
          <w:bCs/>
          <w:sz w:val="26"/>
          <w:szCs w:val="26"/>
        </w:rPr>
        <w:t xml:space="preserve"> Substantial Need </w:t>
      </w:r>
      <w:proofErr w:type="gramStart"/>
      <w:r w:rsidRPr="008D1DEC">
        <w:rPr>
          <w:b/>
          <w:bCs/>
          <w:sz w:val="26"/>
          <w:szCs w:val="26"/>
        </w:rPr>
        <w:t>For</w:t>
      </w:r>
      <w:proofErr w:type="gramEnd"/>
      <w:r w:rsidRPr="008D1DEC">
        <w:rPr>
          <w:b/>
          <w:bCs/>
          <w:sz w:val="26"/>
          <w:szCs w:val="26"/>
        </w:rPr>
        <w:t xml:space="preserve"> </w:t>
      </w:r>
      <w:proofErr w:type="gramStart"/>
      <w:r w:rsidRPr="008D1DEC">
        <w:rPr>
          <w:b/>
          <w:bCs/>
          <w:sz w:val="26"/>
          <w:szCs w:val="26"/>
        </w:rPr>
        <w:t>The</w:t>
      </w:r>
      <w:proofErr w:type="gramEnd"/>
      <w:r w:rsidRPr="008D1DEC">
        <w:rPr>
          <w:b/>
          <w:bCs/>
          <w:sz w:val="26"/>
          <w:szCs w:val="26"/>
        </w:rPr>
        <w:t xml:space="preserve"> Interview Notes</w:t>
      </w:r>
    </w:p>
    <w:p w14:paraId="19F937AA" w14:textId="04CE5219" w:rsidR="00E71416" w:rsidRPr="008D1DEC" w:rsidRDefault="00E71416" w:rsidP="003A70C4">
      <w:pPr>
        <w:spacing w:after="160" w:line="480" w:lineRule="auto"/>
        <w:ind w:firstLine="720"/>
        <w:jc w:val="both"/>
        <w:rPr>
          <w:sz w:val="26"/>
          <w:szCs w:val="26"/>
        </w:rPr>
      </w:pPr>
      <w:r w:rsidRPr="008D1DEC">
        <w:rPr>
          <w:sz w:val="26"/>
          <w:szCs w:val="26"/>
        </w:rPr>
        <w:t xml:space="preserve">In relying upon the testimony in the deposition of Armana, </w:t>
      </w:r>
      <w:r w:rsidR="005E0936">
        <w:rPr>
          <w:sz w:val="26"/>
          <w:szCs w:val="26"/>
        </w:rPr>
        <w:t>Armana makes it clear</w:t>
      </w:r>
      <w:r w:rsidRPr="008D1DEC">
        <w:rPr>
          <w:sz w:val="26"/>
          <w:szCs w:val="26"/>
        </w:rPr>
        <w:t xml:space="preserve"> that the transcribed notes can, and should, be separated into two distinct tiers. That which reflects the standard set out in </w:t>
      </w:r>
      <w:r w:rsidRPr="008D1DEC">
        <w:rPr>
          <w:i/>
          <w:iCs/>
          <w:sz w:val="26"/>
          <w:szCs w:val="26"/>
        </w:rPr>
        <w:t>Hickman</w:t>
      </w:r>
      <w:r w:rsidRPr="008D1DEC">
        <w:rPr>
          <w:sz w:val="26"/>
          <w:szCs w:val="26"/>
        </w:rPr>
        <w:t xml:space="preserve"> and </w:t>
      </w:r>
      <w:r w:rsidRPr="008D1DEC">
        <w:rPr>
          <w:i/>
          <w:iCs/>
          <w:sz w:val="26"/>
          <w:szCs w:val="26"/>
        </w:rPr>
        <w:t>Upjohn</w:t>
      </w:r>
      <w:r w:rsidRPr="008D1DEC">
        <w:rPr>
          <w:sz w:val="26"/>
          <w:szCs w:val="26"/>
        </w:rPr>
        <w:t xml:space="preserve">, a delineation between fact and opinion work product. </w:t>
      </w:r>
      <w:r w:rsidRPr="008D1DEC">
        <w:rPr>
          <w:i/>
          <w:iCs/>
          <w:sz w:val="26"/>
          <w:szCs w:val="26"/>
        </w:rPr>
        <w:t>Hickman v. Taylor</w:t>
      </w:r>
      <w:r w:rsidRPr="008D1DEC">
        <w:rPr>
          <w:sz w:val="26"/>
          <w:szCs w:val="26"/>
        </w:rPr>
        <w:t xml:space="preserve">, 329 U.S. 495, 511 (1947), </w:t>
      </w:r>
      <w:r w:rsidRPr="008D1DEC">
        <w:rPr>
          <w:i/>
          <w:iCs/>
          <w:sz w:val="26"/>
          <w:szCs w:val="26"/>
        </w:rPr>
        <w:t>see also</w:t>
      </w:r>
      <w:r w:rsidRPr="008D1DEC">
        <w:rPr>
          <w:sz w:val="26"/>
          <w:szCs w:val="26"/>
        </w:rPr>
        <w:t xml:space="preserve"> </w:t>
      </w:r>
      <w:r w:rsidRPr="008D1DEC">
        <w:rPr>
          <w:i/>
          <w:iCs/>
          <w:sz w:val="26"/>
          <w:szCs w:val="26"/>
        </w:rPr>
        <w:t xml:space="preserve">Upjohn Co. </w:t>
      </w:r>
      <w:r w:rsidRPr="008D1DEC">
        <w:rPr>
          <w:sz w:val="26"/>
          <w:szCs w:val="26"/>
        </w:rPr>
        <w:t xml:space="preserve">v. </w:t>
      </w:r>
      <w:r w:rsidRPr="008D1DEC">
        <w:rPr>
          <w:i/>
          <w:iCs/>
          <w:sz w:val="26"/>
          <w:szCs w:val="26"/>
        </w:rPr>
        <w:t>United States</w:t>
      </w:r>
      <w:r w:rsidRPr="008D1DEC">
        <w:rPr>
          <w:sz w:val="26"/>
          <w:szCs w:val="26"/>
        </w:rPr>
        <w:t>,</w:t>
      </w:r>
      <w:r w:rsidRPr="008D1DEC">
        <w:rPr>
          <w:i/>
          <w:iCs/>
          <w:sz w:val="26"/>
          <w:szCs w:val="26"/>
        </w:rPr>
        <w:t xml:space="preserve"> </w:t>
      </w:r>
      <w:r w:rsidRPr="008D1DEC">
        <w:rPr>
          <w:sz w:val="26"/>
          <w:szCs w:val="26"/>
        </w:rPr>
        <w:t>449 U.S. 383, 400 (1981).</w:t>
      </w:r>
    </w:p>
    <w:p w14:paraId="08D93A72" w14:textId="2A4220A3" w:rsidR="00E71416" w:rsidRPr="008D1DEC" w:rsidRDefault="00E71416" w:rsidP="003A70C4">
      <w:pPr>
        <w:spacing w:after="160" w:line="480" w:lineRule="auto"/>
        <w:ind w:firstLine="720"/>
        <w:jc w:val="both"/>
        <w:rPr>
          <w:rFonts w:eastAsia="Courier New"/>
          <w:sz w:val="26"/>
          <w:szCs w:val="26"/>
        </w:rPr>
      </w:pPr>
      <w:r w:rsidRPr="008D1DEC">
        <w:rPr>
          <w:sz w:val="26"/>
          <w:szCs w:val="26"/>
        </w:rPr>
        <w:t>Armana testified to the process by which this interview was to be conducted: first, Armana was to create an audio recording of the interview. Armana Dep. 111-113. However, at the onset of the interview, the recording device failed, leading Armana to take “[written] [c]</w:t>
      </w:r>
      <w:proofErr w:type="spellStart"/>
      <w:r w:rsidR="005E0936" w:rsidRPr="008D1DEC">
        <w:rPr>
          <w:sz w:val="26"/>
          <w:szCs w:val="26"/>
        </w:rPr>
        <w:t>ontemporaneous</w:t>
      </w:r>
      <w:proofErr w:type="spellEnd"/>
      <w:r w:rsidRPr="008D1DEC">
        <w:rPr>
          <w:sz w:val="26"/>
          <w:szCs w:val="26"/>
        </w:rPr>
        <w:t xml:space="preserve"> typewritten notes”. Armana Dep. 120-121. Armana then clarified in their deposition that they “write down what the witness tells me</w:t>
      </w:r>
      <w:proofErr w:type="gramStart"/>
      <w:r w:rsidR="005E0936" w:rsidRPr="008D1DEC">
        <w:rPr>
          <w:sz w:val="26"/>
          <w:szCs w:val="26"/>
        </w:rPr>
        <w:t>”</w:t>
      </w:r>
      <w:r w:rsidR="005E0936">
        <w:rPr>
          <w:sz w:val="26"/>
          <w:szCs w:val="26"/>
        </w:rPr>
        <w:t xml:space="preserve"> a</w:t>
      </w:r>
      <w:r w:rsidR="005E0936" w:rsidRPr="008D1DEC">
        <w:rPr>
          <w:sz w:val="26"/>
          <w:szCs w:val="26"/>
        </w:rPr>
        <w:t>nd</w:t>
      </w:r>
      <w:proofErr w:type="gramEnd"/>
      <w:r w:rsidRPr="008D1DEC">
        <w:rPr>
          <w:sz w:val="26"/>
          <w:szCs w:val="26"/>
        </w:rPr>
        <w:t xml:space="preserve"> “I also jot down my own thoughts as I go.</w:t>
      </w:r>
      <w:r w:rsidR="005E0936">
        <w:rPr>
          <w:sz w:val="26"/>
          <w:szCs w:val="26"/>
        </w:rPr>
        <w:t>”</w:t>
      </w:r>
      <w:r w:rsidRPr="008D1DEC">
        <w:rPr>
          <w:sz w:val="26"/>
          <w:szCs w:val="26"/>
        </w:rPr>
        <w:t xml:space="preserve"> Armana Dep. 120-121. Beyond the clear and obvious nature in which the notes can be separated, there is, without a doubt, no reasonable alternative to the notes taken by Armana in this matter. Sierra Seton has evaded the </w:t>
      </w:r>
      <w:r w:rsidR="007D449C">
        <w:rPr>
          <w:sz w:val="26"/>
          <w:szCs w:val="26"/>
        </w:rPr>
        <w:t>G</w:t>
      </w:r>
      <w:r w:rsidRPr="008D1DEC">
        <w:rPr>
          <w:sz w:val="26"/>
          <w:szCs w:val="26"/>
        </w:rPr>
        <w:t>overnment's requests to speak with her for several years and has fled the country. Sinclair Dep. 392-396. All efforts from the Government to locate her have failed. Without Seton herself making herself available for questioning or deposition, there is no reasonable alternative to the notes taken by Armana.</w:t>
      </w:r>
    </w:p>
    <w:p w14:paraId="78A3F369" w14:textId="5E1E93CD" w:rsidR="00E71416" w:rsidRPr="008D1DEC" w:rsidRDefault="00E71416" w:rsidP="003A70C4">
      <w:pPr>
        <w:spacing w:after="160" w:line="480" w:lineRule="auto"/>
        <w:ind w:firstLine="720"/>
        <w:jc w:val="both"/>
        <w:rPr>
          <w:sz w:val="26"/>
          <w:szCs w:val="26"/>
        </w:rPr>
      </w:pPr>
      <w:r w:rsidRPr="008D1DEC">
        <w:rPr>
          <w:sz w:val="26"/>
          <w:szCs w:val="26"/>
        </w:rPr>
        <w:lastRenderedPageBreak/>
        <w:t xml:space="preserve">Without the audio recording, the only testimony we have of Seton is the interview conducted by Armana. The court made clear in </w:t>
      </w:r>
      <w:r w:rsidRPr="008D1DEC">
        <w:rPr>
          <w:i/>
          <w:iCs/>
          <w:sz w:val="26"/>
          <w:szCs w:val="26"/>
        </w:rPr>
        <w:t>Hickman</w:t>
      </w:r>
      <w:r w:rsidRPr="008D1DEC">
        <w:rPr>
          <w:sz w:val="26"/>
          <w:szCs w:val="26"/>
        </w:rPr>
        <w:t xml:space="preserve"> that with a substantial need and inability to obtain a substantial equivalent to the evidence without undue hardship, the fact work product must be provided to the proponent of the request. </w:t>
      </w:r>
      <w:r w:rsidRPr="008D1DEC">
        <w:rPr>
          <w:i/>
          <w:iCs/>
          <w:sz w:val="26"/>
          <w:szCs w:val="26"/>
        </w:rPr>
        <w:t>Hickman v. Taylor</w:t>
      </w:r>
      <w:r w:rsidRPr="008D1DEC">
        <w:rPr>
          <w:sz w:val="26"/>
          <w:szCs w:val="26"/>
        </w:rPr>
        <w:t xml:space="preserve">, 329 U.S. 495, 509 (1947). The FBI agents who conducted this investigation made it clear: “[with] Sierra Seton on the lam, we were having difficulty figuring out how to make Donovan’s shell corporation game make sense to a jury.” Sinclair Dep. 517-518. What a jury needs to hear to understand the criminal background and the makeup of the charges against the Defendant depends on the testimony </w:t>
      </w:r>
      <w:r w:rsidR="005E0936">
        <w:rPr>
          <w:sz w:val="26"/>
          <w:szCs w:val="26"/>
        </w:rPr>
        <w:t xml:space="preserve">Defendant’s </w:t>
      </w:r>
      <w:r w:rsidRPr="008D1DEC">
        <w:rPr>
          <w:sz w:val="26"/>
          <w:szCs w:val="26"/>
        </w:rPr>
        <w:t>counsel has</w:t>
      </w:r>
      <w:r w:rsidR="00F4706D">
        <w:rPr>
          <w:sz w:val="26"/>
          <w:szCs w:val="26"/>
        </w:rPr>
        <w:t>. T</w:t>
      </w:r>
      <w:r w:rsidR="005E0936">
        <w:rPr>
          <w:sz w:val="26"/>
          <w:szCs w:val="26"/>
        </w:rPr>
        <w:t>he Government, without the ability to procure something similar, is entitled to Armana’s notes.</w:t>
      </w:r>
    </w:p>
    <w:p w14:paraId="6A715C92" w14:textId="530705B4" w:rsidR="00E71416" w:rsidRPr="008D1DEC" w:rsidRDefault="00F4706D" w:rsidP="003A70C4">
      <w:pPr>
        <w:spacing w:after="160" w:line="480" w:lineRule="auto"/>
        <w:ind w:firstLine="720"/>
        <w:jc w:val="both"/>
        <w:rPr>
          <w:sz w:val="26"/>
          <w:szCs w:val="26"/>
        </w:rPr>
      </w:pPr>
      <w:r>
        <w:rPr>
          <w:sz w:val="26"/>
          <w:szCs w:val="26"/>
        </w:rPr>
        <w:t>T</w:t>
      </w:r>
      <w:r w:rsidR="00E71416" w:rsidRPr="008D1DEC">
        <w:rPr>
          <w:sz w:val="26"/>
          <w:szCs w:val="26"/>
        </w:rPr>
        <w:t xml:space="preserve">he court in </w:t>
      </w:r>
      <w:r w:rsidR="00E71416" w:rsidRPr="008D1DEC">
        <w:rPr>
          <w:i/>
          <w:iCs/>
          <w:sz w:val="26"/>
          <w:szCs w:val="26"/>
        </w:rPr>
        <w:t xml:space="preserve">Hickman </w:t>
      </w:r>
      <w:r w:rsidR="00E71416" w:rsidRPr="008D1DEC">
        <w:rPr>
          <w:sz w:val="26"/>
          <w:szCs w:val="26"/>
        </w:rPr>
        <w:t xml:space="preserve">and </w:t>
      </w:r>
      <w:r w:rsidR="00E71416" w:rsidRPr="008D1DEC">
        <w:rPr>
          <w:i/>
          <w:iCs/>
          <w:sz w:val="26"/>
          <w:szCs w:val="26"/>
        </w:rPr>
        <w:t>Upjohn</w:t>
      </w:r>
      <w:r w:rsidR="00E71416" w:rsidRPr="008D1DEC">
        <w:rPr>
          <w:sz w:val="26"/>
          <w:szCs w:val="26"/>
        </w:rPr>
        <w:t xml:space="preserve"> </w:t>
      </w:r>
      <w:r>
        <w:rPr>
          <w:sz w:val="26"/>
          <w:szCs w:val="26"/>
        </w:rPr>
        <w:t xml:space="preserve">clarified that </w:t>
      </w:r>
      <w:r w:rsidR="00E71416" w:rsidRPr="008D1DEC">
        <w:rPr>
          <w:sz w:val="26"/>
          <w:szCs w:val="26"/>
        </w:rPr>
        <w:t>courts are to draw a line between fac</w:t>
      </w:r>
      <w:r>
        <w:rPr>
          <w:sz w:val="26"/>
          <w:szCs w:val="26"/>
        </w:rPr>
        <w:t>t</w:t>
      </w:r>
      <w:r w:rsidR="00E71416" w:rsidRPr="008D1DEC">
        <w:rPr>
          <w:sz w:val="26"/>
          <w:szCs w:val="26"/>
        </w:rPr>
        <w:t xml:space="preserve"> and opinion work product when possible. Armana's deposition makes clear that the interview notes are not a single stream of consciousness but include both fact and opinion work product. The portions of the </w:t>
      </w:r>
      <w:proofErr w:type="gramStart"/>
      <w:r w:rsidR="00E71416" w:rsidRPr="008D1DEC">
        <w:rPr>
          <w:sz w:val="26"/>
          <w:szCs w:val="26"/>
        </w:rPr>
        <w:t>interview in</w:t>
      </w:r>
      <w:proofErr w:type="gramEnd"/>
      <w:r w:rsidR="00E71416" w:rsidRPr="008D1DEC">
        <w:rPr>
          <w:sz w:val="26"/>
          <w:szCs w:val="26"/>
        </w:rPr>
        <w:t xml:space="preserve"> which the Government, at a minimum, is entitled to receive under the standards of </w:t>
      </w:r>
      <w:r w:rsidR="00E71416" w:rsidRPr="008D1DEC">
        <w:rPr>
          <w:i/>
          <w:iCs/>
          <w:sz w:val="26"/>
          <w:szCs w:val="26"/>
        </w:rPr>
        <w:t>Hickman</w:t>
      </w:r>
      <w:r w:rsidR="00E71416" w:rsidRPr="008D1DEC">
        <w:rPr>
          <w:sz w:val="26"/>
          <w:szCs w:val="26"/>
        </w:rPr>
        <w:t xml:space="preserve"> and </w:t>
      </w:r>
      <w:r w:rsidR="00E71416" w:rsidRPr="008D1DEC">
        <w:rPr>
          <w:i/>
          <w:iCs/>
          <w:sz w:val="26"/>
          <w:szCs w:val="26"/>
        </w:rPr>
        <w:t>Upjohn</w:t>
      </w:r>
      <w:r w:rsidR="00E71416" w:rsidRPr="008D1DEC">
        <w:rPr>
          <w:sz w:val="26"/>
          <w:szCs w:val="26"/>
        </w:rPr>
        <w:t xml:space="preserve"> have already been organized and separated from the Defendant's own investigator. </w:t>
      </w:r>
    </w:p>
    <w:p w14:paraId="26F1E695" w14:textId="250E1C16" w:rsidR="00E71416" w:rsidRPr="008D1DEC" w:rsidRDefault="00E71416" w:rsidP="003A70C4">
      <w:pPr>
        <w:pStyle w:val="ListParagraph"/>
        <w:numPr>
          <w:ilvl w:val="0"/>
          <w:numId w:val="5"/>
        </w:numPr>
        <w:spacing w:after="160"/>
        <w:jc w:val="both"/>
        <w:rPr>
          <w:b/>
          <w:bCs/>
          <w:sz w:val="26"/>
          <w:szCs w:val="26"/>
        </w:rPr>
      </w:pPr>
      <w:r w:rsidRPr="008D1DEC">
        <w:rPr>
          <w:b/>
          <w:bCs/>
          <w:sz w:val="26"/>
          <w:szCs w:val="26"/>
        </w:rPr>
        <w:t xml:space="preserve">The Case Law Points This Court </w:t>
      </w:r>
      <w:proofErr w:type="gramStart"/>
      <w:r w:rsidRPr="008D1DEC">
        <w:rPr>
          <w:b/>
          <w:bCs/>
          <w:sz w:val="26"/>
          <w:szCs w:val="26"/>
        </w:rPr>
        <w:t>To</w:t>
      </w:r>
      <w:proofErr w:type="gramEnd"/>
      <w:r w:rsidRPr="008D1DEC">
        <w:rPr>
          <w:b/>
          <w:bCs/>
          <w:sz w:val="26"/>
          <w:szCs w:val="26"/>
        </w:rPr>
        <w:t xml:space="preserve"> Separate Maddox Armana’s Interview Notes </w:t>
      </w:r>
      <w:proofErr w:type="gramStart"/>
      <w:r w:rsidRPr="008D1DEC">
        <w:rPr>
          <w:b/>
          <w:bCs/>
          <w:sz w:val="26"/>
          <w:szCs w:val="26"/>
        </w:rPr>
        <w:t>From</w:t>
      </w:r>
      <w:proofErr w:type="gramEnd"/>
      <w:r w:rsidRPr="008D1DEC">
        <w:rPr>
          <w:b/>
          <w:bCs/>
          <w:sz w:val="26"/>
          <w:szCs w:val="26"/>
        </w:rPr>
        <w:t xml:space="preserve"> Any Claimed Opinion Work Product, and Fact Work Product</w:t>
      </w:r>
    </w:p>
    <w:p w14:paraId="4882C7F2" w14:textId="5B1FF4EB" w:rsidR="00E71416" w:rsidRPr="008D1DEC" w:rsidRDefault="00E71416" w:rsidP="003A70C4">
      <w:pPr>
        <w:spacing w:after="160" w:line="480" w:lineRule="auto"/>
        <w:ind w:firstLine="720"/>
        <w:jc w:val="both"/>
        <w:rPr>
          <w:sz w:val="26"/>
          <w:szCs w:val="26"/>
        </w:rPr>
      </w:pPr>
      <w:r w:rsidRPr="008D1DEC">
        <w:rPr>
          <w:sz w:val="26"/>
          <w:szCs w:val="26"/>
        </w:rPr>
        <w:t xml:space="preserve">Precedent has made it clear that, where a document, in this case Investigator Armana’s interview notes, contains both factual and generally protected impressions, </w:t>
      </w:r>
      <w:r w:rsidRPr="008D1DEC">
        <w:rPr>
          <w:sz w:val="26"/>
          <w:szCs w:val="26"/>
        </w:rPr>
        <w:lastRenderedPageBreak/>
        <w:t xml:space="preserve">wholesale protection of the document is not acceptable. If courts were to treat any document containing what could be argued as some opinion work product as protected in its entirety, regardless of how much factual content it contains, the precedent relied upon for decades in </w:t>
      </w:r>
      <w:r w:rsidRPr="008D1DEC">
        <w:rPr>
          <w:i/>
          <w:iCs/>
          <w:sz w:val="26"/>
          <w:szCs w:val="26"/>
        </w:rPr>
        <w:t>Hickman</w:t>
      </w:r>
      <w:r w:rsidRPr="008D1DEC">
        <w:rPr>
          <w:sz w:val="26"/>
          <w:szCs w:val="26"/>
        </w:rPr>
        <w:t xml:space="preserve"> and </w:t>
      </w:r>
      <w:r w:rsidRPr="008D1DEC">
        <w:rPr>
          <w:i/>
          <w:iCs/>
          <w:sz w:val="26"/>
          <w:szCs w:val="26"/>
        </w:rPr>
        <w:t>Upjohn</w:t>
      </w:r>
      <w:r w:rsidRPr="008D1DEC">
        <w:rPr>
          <w:sz w:val="26"/>
          <w:szCs w:val="26"/>
        </w:rPr>
        <w:t xml:space="preserve"> would be undermined. In fact, courts have routinely held that an investigators notes containing both factual statements and investigative analysis have been ruled to disclose the factual portions, see, e.g. </w:t>
      </w:r>
      <w:proofErr w:type="spellStart"/>
      <w:r w:rsidRPr="008D1DEC">
        <w:rPr>
          <w:i/>
          <w:iCs/>
          <w:sz w:val="26"/>
          <w:szCs w:val="26"/>
        </w:rPr>
        <w:t>Hatamian</w:t>
      </w:r>
      <w:proofErr w:type="spellEnd"/>
      <w:r w:rsidRPr="008D1DEC">
        <w:rPr>
          <w:sz w:val="26"/>
          <w:szCs w:val="26"/>
        </w:rPr>
        <w:t xml:space="preserve"> v. </w:t>
      </w:r>
      <w:r w:rsidRPr="008D1DEC">
        <w:rPr>
          <w:i/>
          <w:iCs/>
          <w:sz w:val="26"/>
          <w:szCs w:val="26"/>
        </w:rPr>
        <w:t>Advanced Micro Devics, Inc</w:t>
      </w:r>
      <w:r w:rsidRPr="008D1DEC">
        <w:rPr>
          <w:sz w:val="26"/>
          <w:szCs w:val="26"/>
        </w:rPr>
        <w:t xml:space="preserve">., 2016 U.S. Dist. LEXIS </w:t>
      </w:r>
      <w:r w:rsidR="00FB77CF">
        <w:rPr>
          <w:sz w:val="26"/>
          <w:szCs w:val="26"/>
        </w:rPr>
        <w:t>60551</w:t>
      </w:r>
      <w:r w:rsidRPr="008D1DEC">
        <w:rPr>
          <w:sz w:val="26"/>
          <w:szCs w:val="26"/>
        </w:rPr>
        <w:t xml:space="preserve"> (N.D. Cal. 2016); </w:t>
      </w:r>
      <w:r w:rsidRPr="008D1DEC">
        <w:rPr>
          <w:i/>
          <w:iCs/>
          <w:sz w:val="26"/>
          <w:szCs w:val="26"/>
        </w:rPr>
        <w:t>Walt Disney Parks &amp; Resorts</w:t>
      </w:r>
      <w:r w:rsidR="00FB77CF">
        <w:rPr>
          <w:i/>
          <w:iCs/>
          <w:sz w:val="26"/>
          <w:szCs w:val="26"/>
        </w:rPr>
        <w:t xml:space="preserve"> INC., v.</w:t>
      </w:r>
      <w:r w:rsidRPr="008D1DEC">
        <w:rPr>
          <w:i/>
          <w:iCs/>
          <w:sz w:val="26"/>
          <w:szCs w:val="26"/>
        </w:rPr>
        <w:t>, Alesi</w:t>
      </w:r>
      <w:r w:rsidRPr="008D1DEC">
        <w:rPr>
          <w:sz w:val="26"/>
          <w:szCs w:val="26"/>
        </w:rPr>
        <w:t xml:space="preserve">, 353 So. 3d 1275 (Fla. 5th DCA 2022); and </w:t>
      </w:r>
      <w:r w:rsidRPr="008D1DEC">
        <w:rPr>
          <w:i/>
          <w:iCs/>
          <w:sz w:val="26"/>
          <w:szCs w:val="26"/>
        </w:rPr>
        <w:t>People v. Perez</w:t>
      </w:r>
      <w:r w:rsidRPr="008D1DEC">
        <w:rPr>
          <w:sz w:val="26"/>
          <w:szCs w:val="26"/>
        </w:rPr>
        <w:t xml:space="preserve">, 171 Misc. 2d 75, 653 N.Y.S.2d 527 (Sup. Ct. 1996). </w:t>
      </w:r>
    </w:p>
    <w:p w14:paraId="12099FC6" w14:textId="05280501" w:rsidR="00E71416" w:rsidRPr="008D1DEC" w:rsidRDefault="00E71416" w:rsidP="00F4706D">
      <w:pPr>
        <w:spacing w:after="160" w:line="480" w:lineRule="auto"/>
        <w:ind w:firstLine="720"/>
        <w:jc w:val="both"/>
        <w:rPr>
          <w:sz w:val="26"/>
          <w:szCs w:val="26"/>
        </w:rPr>
      </w:pPr>
      <w:r w:rsidRPr="008D1DEC">
        <w:rPr>
          <w:sz w:val="26"/>
          <w:szCs w:val="26"/>
        </w:rPr>
        <w:t xml:space="preserve">Armana’s own account, as testified to by themselves, gives this court the factual basis it needs to treat the entire interview by Armana as one that can delineate factual opinion from mental impression. Armana’s testimony allows this Court not only </w:t>
      </w:r>
      <w:r w:rsidR="00F4706D">
        <w:rPr>
          <w:sz w:val="26"/>
          <w:szCs w:val="26"/>
        </w:rPr>
        <w:t xml:space="preserve">to </w:t>
      </w:r>
      <w:r w:rsidRPr="008D1DEC">
        <w:rPr>
          <w:sz w:val="26"/>
          <w:szCs w:val="26"/>
        </w:rPr>
        <w:t xml:space="preserve">identify but also </w:t>
      </w:r>
      <w:r w:rsidR="00F4706D">
        <w:rPr>
          <w:sz w:val="26"/>
          <w:szCs w:val="26"/>
        </w:rPr>
        <w:t xml:space="preserve">to </w:t>
      </w:r>
      <w:r w:rsidRPr="008D1DEC">
        <w:rPr>
          <w:sz w:val="26"/>
          <w:szCs w:val="26"/>
        </w:rPr>
        <w:t xml:space="preserve">separate the factual account of Armana’s interview. </w:t>
      </w:r>
    </w:p>
    <w:p w14:paraId="62FEE8F4" w14:textId="56F44C6C" w:rsidR="00E71416" w:rsidRPr="008D1DEC" w:rsidRDefault="00E71416" w:rsidP="003A70C4">
      <w:pPr>
        <w:pStyle w:val="ListParagraph"/>
        <w:numPr>
          <w:ilvl w:val="0"/>
          <w:numId w:val="5"/>
        </w:numPr>
        <w:spacing w:after="160"/>
        <w:jc w:val="both"/>
        <w:rPr>
          <w:b/>
          <w:bCs/>
          <w:sz w:val="26"/>
          <w:szCs w:val="26"/>
        </w:rPr>
      </w:pPr>
      <w:r w:rsidRPr="008D1DEC">
        <w:rPr>
          <w:b/>
          <w:bCs/>
          <w:sz w:val="26"/>
          <w:szCs w:val="26"/>
        </w:rPr>
        <w:t xml:space="preserve">Defendant Counsel’s Reliance on Maddox Armana </w:t>
      </w:r>
      <w:proofErr w:type="gramStart"/>
      <w:r w:rsidRPr="008D1DEC">
        <w:rPr>
          <w:b/>
          <w:bCs/>
          <w:sz w:val="26"/>
          <w:szCs w:val="26"/>
        </w:rPr>
        <w:t>As</w:t>
      </w:r>
      <w:proofErr w:type="gramEnd"/>
      <w:r w:rsidRPr="008D1DEC">
        <w:rPr>
          <w:b/>
          <w:bCs/>
          <w:sz w:val="26"/>
          <w:szCs w:val="26"/>
        </w:rPr>
        <w:t xml:space="preserve"> </w:t>
      </w:r>
      <w:proofErr w:type="gramStart"/>
      <w:r w:rsidRPr="008D1DEC">
        <w:rPr>
          <w:b/>
          <w:bCs/>
          <w:sz w:val="26"/>
          <w:szCs w:val="26"/>
        </w:rPr>
        <w:t>A</w:t>
      </w:r>
      <w:proofErr w:type="gramEnd"/>
      <w:r w:rsidRPr="008D1DEC">
        <w:rPr>
          <w:b/>
          <w:bCs/>
          <w:sz w:val="26"/>
          <w:szCs w:val="26"/>
        </w:rPr>
        <w:t xml:space="preserve"> Witness Independently Supports Disclosure </w:t>
      </w:r>
      <w:proofErr w:type="gramStart"/>
      <w:r w:rsidRPr="008D1DEC">
        <w:rPr>
          <w:b/>
          <w:bCs/>
          <w:sz w:val="26"/>
          <w:szCs w:val="26"/>
        </w:rPr>
        <w:t>Of</w:t>
      </w:r>
      <w:proofErr w:type="gramEnd"/>
      <w:r w:rsidRPr="008D1DEC">
        <w:rPr>
          <w:b/>
          <w:bCs/>
          <w:sz w:val="26"/>
          <w:szCs w:val="26"/>
        </w:rPr>
        <w:t xml:space="preserve"> </w:t>
      </w:r>
      <w:proofErr w:type="gramStart"/>
      <w:r w:rsidRPr="008D1DEC">
        <w:rPr>
          <w:b/>
          <w:bCs/>
          <w:sz w:val="26"/>
          <w:szCs w:val="26"/>
        </w:rPr>
        <w:t>The</w:t>
      </w:r>
      <w:proofErr w:type="gramEnd"/>
      <w:r w:rsidRPr="008D1DEC">
        <w:rPr>
          <w:b/>
          <w:bCs/>
          <w:sz w:val="26"/>
          <w:szCs w:val="26"/>
        </w:rPr>
        <w:t xml:space="preserve"> Underlying Notes</w:t>
      </w:r>
    </w:p>
    <w:p w14:paraId="14CA34F5" w14:textId="686EB98A" w:rsidR="00024D4C" w:rsidRPr="008D1DEC" w:rsidRDefault="00E71416" w:rsidP="003A70C4">
      <w:pPr>
        <w:spacing w:after="160" w:line="480" w:lineRule="auto"/>
        <w:ind w:firstLine="720"/>
        <w:jc w:val="both"/>
        <w:rPr>
          <w:b/>
          <w:bCs/>
          <w:sz w:val="26"/>
          <w:szCs w:val="26"/>
        </w:rPr>
      </w:pPr>
      <w:r w:rsidRPr="008D1DEC">
        <w:rPr>
          <w:sz w:val="26"/>
          <w:szCs w:val="26"/>
        </w:rPr>
        <w:t xml:space="preserve">As noted in </w:t>
      </w:r>
      <w:r w:rsidRPr="008D1DEC">
        <w:rPr>
          <w:i/>
          <w:iCs/>
          <w:sz w:val="26"/>
          <w:szCs w:val="26"/>
        </w:rPr>
        <w:t>Nobles</w:t>
      </w:r>
      <w:r w:rsidRPr="008D1DEC">
        <w:rPr>
          <w:sz w:val="26"/>
          <w:szCs w:val="26"/>
        </w:rPr>
        <w:t xml:space="preserve">, the defense’s own decision to rely on Armana as a witness in this case reinforces that disclosure, rather than blanket protection, is the fair result of Defendants' motion to quash the Government's subpoena. The court in </w:t>
      </w:r>
      <w:r w:rsidRPr="008D1DEC">
        <w:rPr>
          <w:i/>
          <w:iCs/>
          <w:sz w:val="26"/>
          <w:szCs w:val="26"/>
        </w:rPr>
        <w:t>Nobles</w:t>
      </w:r>
      <w:r w:rsidRPr="008D1DEC">
        <w:rPr>
          <w:sz w:val="26"/>
          <w:szCs w:val="26"/>
        </w:rPr>
        <w:t xml:space="preserve"> held that a defendant cannot selectively use an investigator's testimony from an investigation while simultaneously invoking work-product protection to prevent examination of the underlying material. Defendants' conscious selection of Armana presents an interesting issue for the court, one in which Armana's testimony regarding the underlying notes from their </w:t>
      </w:r>
      <w:r w:rsidRPr="008D1DEC">
        <w:rPr>
          <w:sz w:val="26"/>
          <w:szCs w:val="26"/>
        </w:rPr>
        <w:lastRenderedPageBreak/>
        <w:t xml:space="preserve">interview with Sierra Seton would waive the privilege with respect to the documents the Defendant seeks to protect. </w:t>
      </w:r>
      <w:r w:rsidRPr="008D1DEC">
        <w:rPr>
          <w:i/>
          <w:iCs/>
          <w:sz w:val="26"/>
          <w:szCs w:val="26"/>
        </w:rPr>
        <w:t>United States v. Nobles</w:t>
      </w:r>
      <w:r w:rsidRPr="008D1DEC">
        <w:rPr>
          <w:sz w:val="26"/>
          <w:szCs w:val="26"/>
        </w:rPr>
        <w:t>, 422 U.S. 225, 239-40 (1975).</w:t>
      </w:r>
    </w:p>
    <w:p w14:paraId="02677F0B" w14:textId="646A6254" w:rsidR="00024D4C" w:rsidRPr="008D1DEC" w:rsidRDefault="00024D4C" w:rsidP="008D1DEC">
      <w:pPr>
        <w:pStyle w:val="Heading1"/>
      </w:pPr>
      <w:bookmarkStart w:id="16" w:name="_Toc239017264"/>
      <w:r w:rsidRPr="008D1DEC">
        <w:t>CONCLUSION</w:t>
      </w:r>
      <w:bookmarkEnd w:id="16"/>
    </w:p>
    <w:p w14:paraId="3F0289C8" w14:textId="0EFBED75" w:rsidR="00024D4C" w:rsidRPr="008D1DEC" w:rsidRDefault="00E71416" w:rsidP="00E71416">
      <w:pPr>
        <w:pStyle w:val="NormalWeb"/>
        <w:spacing w:before="0" w:beforeAutospacing="0" w:after="0" w:afterAutospacing="0" w:line="480" w:lineRule="auto"/>
        <w:ind w:firstLine="720"/>
        <w:jc w:val="both"/>
        <w:rPr>
          <w:color w:val="000000"/>
          <w:sz w:val="26"/>
          <w:szCs w:val="26"/>
        </w:rPr>
      </w:pPr>
      <w:r w:rsidRPr="008D1DEC">
        <w:rPr>
          <w:color w:val="000000"/>
          <w:sz w:val="26"/>
          <w:szCs w:val="26"/>
        </w:rPr>
        <w:t xml:space="preserve">For the foregoing reasons, </w:t>
      </w:r>
      <w:r w:rsidR="008D1DEC" w:rsidRPr="008D1DEC">
        <w:rPr>
          <w:color w:val="000000"/>
          <w:sz w:val="26"/>
          <w:szCs w:val="26"/>
        </w:rPr>
        <w:t xml:space="preserve">the Government respectfully requests this Court deny Defendant’s Motion to Suppress, because the evidence against Defendant was derived wholly from sources independent of their immunized testimony, and grant the Government’s Rule 17(c) subpoena, compelling disclosure of Armana’s discoverable work-product interview notes with Sierra Seton. </w:t>
      </w:r>
    </w:p>
    <w:p w14:paraId="03273E29" w14:textId="77777777" w:rsidR="008D1DEC" w:rsidRPr="008D1DEC" w:rsidRDefault="008D1DEC" w:rsidP="008D1DEC">
      <w:pPr>
        <w:spacing w:line="480" w:lineRule="auto"/>
        <w:ind w:left="5760"/>
        <w:rPr>
          <w:color w:val="000000" w:themeColor="text1"/>
          <w:sz w:val="26"/>
          <w:szCs w:val="26"/>
        </w:rPr>
      </w:pPr>
      <w:r w:rsidRPr="008D1DEC">
        <w:rPr>
          <w:color w:val="000000" w:themeColor="text1"/>
          <w:sz w:val="26"/>
          <w:szCs w:val="26"/>
        </w:rPr>
        <w:t xml:space="preserve">Respectfully Submitted, </w:t>
      </w:r>
    </w:p>
    <w:p w14:paraId="13886E2F" w14:textId="77777777" w:rsidR="008D1DEC" w:rsidRPr="008D1DEC" w:rsidRDefault="008D1DEC" w:rsidP="008D1DEC">
      <w:pPr>
        <w:tabs>
          <w:tab w:val="left" w:pos="8100"/>
        </w:tabs>
        <w:ind w:left="5760"/>
        <w:rPr>
          <w:color w:val="000000" w:themeColor="text1"/>
          <w:sz w:val="26"/>
          <w:szCs w:val="26"/>
        </w:rPr>
      </w:pPr>
      <w:r w:rsidRPr="008D1DEC">
        <w:rPr>
          <w:color w:val="000000" w:themeColor="text1"/>
          <w:sz w:val="26"/>
          <w:szCs w:val="26"/>
          <w:u w:val="single"/>
        </w:rPr>
        <w:t>/s/ Team 309</w:t>
      </w:r>
      <w:r w:rsidRPr="008D1DEC">
        <w:rPr>
          <w:color w:val="000000" w:themeColor="text1"/>
          <w:sz w:val="26"/>
          <w:szCs w:val="26"/>
          <w:u w:val="single"/>
        </w:rPr>
        <w:tab/>
      </w:r>
      <w:r w:rsidRPr="008D1DEC">
        <w:rPr>
          <w:color w:val="000000" w:themeColor="text1"/>
          <w:sz w:val="26"/>
          <w:szCs w:val="26"/>
        </w:rPr>
        <w:t xml:space="preserve"> </w:t>
      </w:r>
    </w:p>
    <w:p w14:paraId="73F7B8E5" w14:textId="61891682" w:rsidR="008D1DEC" w:rsidRPr="008D1DEC" w:rsidRDefault="008D1DEC" w:rsidP="008D1DEC">
      <w:pPr>
        <w:ind w:left="5760"/>
        <w:rPr>
          <w:color w:val="000000" w:themeColor="text1"/>
          <w:sz w:val="26"/>
          <w:szCs w:val="26"/>
        </w:rPr>
      </w:pPr>
      <w:r w:rsidRPr="008D1DEC">
        <w:rPr>
          <w:color w:val="000000" w:themeColor="text1"/>
          <w:sz w:val="26"/>
          <w:szCs w:val="26"/>
        </w:rPr>
        <w:t>Attorneys for the Government</w:t>
      </w:r>
    </w:p>
    <w:p w14:paraId="4C7A193E" w14:textId="77777777" w:rsidR="008D1DEC" w:rsidRPr="008D1DEC" w:rsidRDefault="008D1DEC" w:rsidP="00E71416">
      <w:pPr>
        <w:pStyle w:val="NormalWeb"/>
        <w:spacing w:before="0" w:beforeAutospacing="0" w:after="0" w:afterAutospacing="0" w:line="480" w:lineRule="auto"/>
        <w:ind w:firstLine="720"/>
        <w:jc w:val="both"/>
        <w:rPr>
          <w:color w:val="000000"/>
          <w:sz w:val="26"/>
          <w:szCs w:val="26"/>
        </w:rPr>
      </w:pPr>
    </w:p>
    <w:sectPr w:rsidR="008D1DEC" w:rsidRPr="008D1DEC" w:rsidSect="00024D4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E15D8" w14:textId="77777777" w:rsidR="00C76FC7" w:rsidRDefault="00C76FC7" w:rsidP="00FB521A">
      <w:r>
        <w:separator/>
      </w:r>
    </w:p>
  </w:endnote>
  <w:endnote w:type="continuationSeparator" w:id="0">
    <w:p w14:paraId="38508CC7" w14:textId="77777777" w:rsidR="00C76FC7" w:rsidRDefault="00C76FC7" w:rsidP="00FB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0732500"/>
      <w:docPartObj>
        <w:docPartGallery w:val="Page Numbers (Bottom of Page)"/>
        <w:docPartUnique/>
      </w:docPartObj>
    </w:sdtPr>
    <w:sdtEndPr>
      <w:rPr>
        <w:rStyle w:val="PageNumber"/>
      </w:rPr>
    </w:sdtEndPr>
    <w:sdtContent>
      <w:p w14:paraId="6A2F186E" w14:textId="5EB55A04" w:rsidR="00FB521A" w:rsidRDefault="00FB521A" w:rsidP="005D0B8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A7A201E" w14:textId="77777777" w:rsidR="00FB521A" w:rsidRDefault="00FB52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2288421"/>
      <w:docPartObj>
        <w:docPartGallery w:val="Page Numbers (Bottom of Page)"/>
        <w:docPartUnique/>
      </w:docPartObj>
    </w:sdtPr>
    <w:sdtEndPr>
      <w:rPr>
        <w:rStyle w:val="PageNumber"/>
      </w:rPr>
    </w:sdtEndPr>
    <w:sdtContent>
      <w:p w14:paraId="41C4D0A6" w14:textId="0B984BBC" w:rsidR="00FB521A" w:rsidRDefault="00FB521A" w:rsidP="005D0B8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4DBF5FA3" w14:textId="77777777" w:rsidR="00FB521A" w:rsidRDefault="00FB5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78B8D" w14:textId="77777777" w:rsidR="00C76FC7" w:rsidRDefault="00C76FC7" w:rsidP="00FB521A">
      <w:r>
        <w:separator/>
      </w:r>
    </w:p>
  </w:footnote>
  <w:footnote w:type="continuationSeparator" w:id="0">
    <w:p w14:paraId="3FF7BA39" w14:textId="77777777" w:rsidR="00C76FC7" w:rsidRDefault="00C76FC7" w:rsidP="00FB5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D3D37" w14:textId="2B2A96C0" w:rsidR="00CE5E8C" w:rsidRDefault="00CE5E8C" w:rsidP="00CE5E8C">
    <w:pPr>
      <w:pStyle w:val="Header"/>
      <w:jc w:val="right"/>
    </w:pPr>
    <w:r>
      <w:t>TEAM NO</w:t>
    </w:r>
    <w:r w:rsidR="006144EB">
      <w:t>. 309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0B77"/>
    <w:multiLevelType w:val="hybridMultilevel"/>
    <w:tmpl w:val="654444BA"/>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13D0C40"/>
    <w:multiLevelType w:val="hybridMultilevel"/>
    <w:tmpl w:val="3FDEB4AE"/>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C0A6288"/>
    <w:multiLevelType w:val="hybridMultilevel"/>
    <w:tmpl w:val="D6C0FE7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C5F0E2F"/>
    <w:multiLevelType w:val="hybridMultilevel"/>
    <w:tmpl w:val="F0B4E8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92675E"/>
    <w:multiLevelType w:val="hybridMultilevel"/>
    <w:tmpl w:val="66C85D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AE2FD6"/>
    <w:multiLevelType w:val="hybridMultilevel"/>
    <w:tmpl w:val="978A1E54"/>
    <w:lvl w:ilvl="0" w:tplc="8272B1C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335412E"/>
    <w:multiLevelType w:val="hybridMultilevel"/>
    <w:tmpl w:val="EDAC8B8A"/>
    <w:lvl w:ilvl="0" w:tplc="BF6041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125EB5"/>
    <w:multiLevelType w:val="hybridMultilevel"/>
    <w:tmpl w:val="9C84171E"/>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3AD66C5"/>
    <w:multiLevelType w:val="hybridMultilevel"/>
    <w:tmpl w:val="A03456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A54887"/>
    <w:multiLevelType w:val="hybridMultilevel"/>
    <w:tmpl w:val="26B681F6"/>
    <w:lvl w:ilvl="0" w:tplc="FCB4481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D95654"/>
    <w:multiLevelType w:val="hybridMultilevel"/>
    <w:tmpl w:val="25465B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0753717">
    <w:abstractNumId w:val="9"/>
  </w:num>
  <w:num w:numId="2" w16cid:durableId="1343166988">
    <w:abstractNumId w:val="3"/>
  </w:num>
  <w:num w:numId="3" w16cid:durableId="437331972">
    <w:abstractNumId w:val="6"/>
  </w:num>
  <w:num w:numId="4" w16cid:durableId="2007632866">
    <w:abstractNumId w:val="10"/>
  </w:num>
  <w:num w:numId="5" w16cid:durableId="1512598803">
    <w:abstractNumId w:val="5"/>
  </w:num>
  <w:num w:numId="6" w16cid:durableId="1882742648">
    <w:abstractNumId w:val="7"/>
  </w:num>
  <w:num w:numId="7" w16cid:durableId="1533767144">
    <w:abstractNumId w:val="0"/>
  </w:num>
  <w:num w:numId="8" w16cid:durableId="1727299174">
    <w:abstractNumId w:val="2"/>
  </w:num>
  <w:num w:numId="9" w16cid:durableId="566305675">
    <w:abstractNumId w:val="8"/>
  </w:num>
  <w:num w:numId="10" w16cid:durableId="1908998358">
    <w:abstractNumId w:val="4"/>
  </w:num>
  <w:num w:numId="11" w16cid:durableId="1381631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B9E"/>
    <w:rsid w:val="00024D4C"/>
    <w:rsid w:val="00051A2B"/>
    <w:rsid w:val="000F4B64"/>
    <w:rsid w:val="00183CCD"/>
    <w:rsid w:val="001C4F3D"/>
    <w:rsid w:val="002015D9"/>
    <w:rsid w:val="0020512C"/>
    <w:rsid w:val="00244B9E"/>
    <w:rsid w:val="002A76EA"/>
    <w:rsid w:val="002D5418"/>
    <w:rsid w:val="003337AA"/>
    <w:rsid w:val="00344503"/>
    <w:rsid w:val="003A70C4"/>
    <w:rsid w:val="003E3627"/>
    <w:rsid w:val="0048054A"/>
    <w:rsid w:val="004F30AF"/>
    <w:rsid w:val="00504FB9"/>
    <w:rsid w:val="005350AD"/>
    <w:rsid w:val="00543001"/>
    <w:rsid w:val="005517E9"/>
    <w:rsid w:val="005744BF"/>
    <w:rsid w:val="005827F8"/>
    <w:rsid w:val="005C4B4D"/>
    <w:rsid w:val="005D0B8A"/>
    <w:rsid w:val="005E0936"/>
    <w:rsid w:val="006144EB"/>
    <w:rsid w:val="00620C4F"/>
    <w:rsid w:val="006444AF"/>
    <w:rsid w:val="006B746E"/>
    <w:rsid w:val="006E3834"/>
    <w:rsid w:val="00772989"/>
    <w:rsid w:val="007D449C"/>
    <w:rsid w:val="00874D81"/>
    <w:rsid w:val="008A405E"/>
    <w:rsid w:val="008D1DEC"/>
    <w:rsid w:val="00977078"/>
    <w:rsid w:val="0098084C"/>
    <w:rsid w:val="009F0215"/>
    <w:rsid w:val="009F02CE"/>
    <w:rsid w:val="00A36B76"/>
    <w:rsid w:val="00A47A01"/>
    <w:rsid w:val="00B26C03"/>
    <w:rsid w:val="00C76FC7"/>
    <w:rsid w:val="00CD6F12"/>
    <w:rsid w:val="00CE0DC1"/>
    <w:rsid w:val="00CE5E8C"/>
    <w:rsid w:val="00D0236F"/>
    <w:rsid w:val="00D16D77"/>
    <w:rsid w:val="00D8298E"/>
    <w:rsid w:val="00E67A25"/>
    <w:rsid w:val="00E71416"/>
    <w:rsid w:val="00E914CE"/>
    <w:rsid w:val="00F44A9B"/>
    <w:rsid w:val="00F4706D"/>
    <w:rsid w:val="00FB521A"/>
    <w:rsid w:val="00FB77CF"/>
    <w:rsid w:val="00FC16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97A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21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144EB"/>
    <w:pPr>
      <w:spacing w:after="160" w:line="278" w:lineRule="auto"/>
      <w:jc w:val="center"/>
      <w:outlineLvl w:val="0"/>
    </w:pPr>
    <w:rPr>
      <w:b/>
      <w:bCs/>
      <w:sz w:val="26"/>
      <w:szCs w:val="26"/>
    </w:rPr>
  </w:style>
  <w:style w:type="paragraph" w:styleId="Heading2">
    <w:name w:val="heading 2"/>
    <w:basedOn w:val="Normal"/>
    <w:next w:val="Normal"/>
    <w:link w:val="Heading2Char"/>
    <w:uiPriority w:val="9"/>
    <w:semiHidden/>
    <w:unhideWhenUsed/>
    <w:qFormat/>
    <w:rsid w:val="00244B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B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B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4B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4B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B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B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B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4EB"/>
    <w:rPr>
      <w:rFonts w:ascii="Times New Roman" w:eastAsia="Times New Roman" w:hAnsi="Times New Roman" w:cs="Times New Roman"/>
      <w:b/>
      <w:bCs/>
      <w:kern w:val="0"/>
      <w:sz w:val="26"/>
      <w:szCs w:val="26"/>
      <w14:ligatures w14:val="none"/>
    </w:rPr>
  </w:style>
  <w:style w:type="character" w:customStyle="1" w:styleId="Heading2Char">
    <w:name w:val="Heading 2 Char"/>
    <w:basedOn w:val="DefaultParagraphFont"/>
    <w:link w:val="Heading2"/>
    <w:uiPriority w:val="9"/>
    <w:semiHidden/>
    <w:rsid w:val="00244B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B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B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B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B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B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B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B9E"/>
    <w:rPr>
      <w:rFonts w:eastAsiaTheme="majorEastAsia" w:cstheme="majorBidi"/>
      <w:color w:val="272727" w:themeColor="text1" w:themeTint="D8"/>
    </w:rPr>
  </w:style>
  <w:style w:type="paragraph" w:styleId="Title">
    <w:name w:val="Title"/>
    <w:basedOn w:val="Normal"/>
    <w:next w:val="Normal"/>
    <w:link w:val="TitleChar"/>
    <w:uiPriority w:val="10"/>
    <w:qFormat/>
    <w:rsid w:val="00244B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B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B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B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B9E"/>
    <w:pPr>
      <w:spacing w:before="160"/>
      <w:jc w:val="center"/>
    </w:pPr>
    <w:rPr>
      <w:i/>
      <w:iCs/>
      <w:color w:val="404040" w:themeColor="text1" w:themeTint="BF"/>
    </w:rPr>
  </w:style>
  <w:style w:type="character" w:customStyle="1" w:styleId="QuoteChar">
    <w:name w:val="Quote Char"/>
    <w:basedOn w:val="DefaultParagraphFont"/>
    <w:link w:val="Quote"/>
    <w:uiPriority w:val="29"/>
    <w:rsid w:val="00244B9E"/>
    <w:rPr>
      <w:i/>
      <w:iCs/>
      <w:color w:val="404040" w:themeColor="text1" w:themeTint="BF"/>
    </w:rPr>
  </w:style>
  <w:style w:type="paragraph" w:styleId="ListParagraph">
    <w:name w:val="List Paragraph"/>
    <w:basedOn w:val="Normal"/>
    <w:uiPriority w:val="34"/>
    <w:qFormat/>
    <w:rsid w:val="00244B9E"/>
    <w:pPr>
      <w:ind w:left="720"/>
      <w:contextualSpacing/>
    </w:pPr>
  </w:style>
  <w:style w:type="character" w:styleId="IntenseEmphasis">
    <w:name w:val="Intense Emphasis"/>
    <w:basedOn w:val="DefaultParagraphFont"/>
    <w:uiPriority w:val="21"/>
    <w:qFormat/>
    <w:rsid w:val="00244B9E"/>
    <w:rPr>
      <w:i/>
      <w:iCs/>
      <w:color w:val="0F4761" w:themeColor="accent1" w:themeShade="BF"/>
    </w:rPr>
  </w:style>
  <w:style w:type="paragraph" w:styleId="IntenseQuote">
    <w:name w:val="Intense Quote"/>
    <w:basedOn w:val="Normal"/>
    <w:next w:val="Normal"/>
    <w:link w:val="IntenseQuoteChar"/>
    <w:uiPriority w:val="30"/>
    <w:qFormat/>
    <w:rsid w:val="00244B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B9E"/>
    <w:rPr>
      <w:i/>
      <w:iCs/>
      <w:color w:val="0F4761" w:themeColor="accent1" w:themeShade="BF"/>
    </w:rPr>
  </w:style>
  <w:style w:type="character" w:styleId="IntenseReference">
    <w:name w:val="Intense Reference"/>
    <w:basedOn w:val="DefaultParagraphFont"/>
    <w:uiPriority w:val="32"/>
    <w:qFormat/>
    <w:rsid w:val="00244B9E"/>
    <w:rPr>
      <w:b/>
      <w:bCs/>
      <w:smallCaps/>
      <w:color w:val="0F4761" w:themeColor="accent1" w:themeShade="BF"/>
      <w:spacing w:val="5"/>
    </w:rPr>
  </w:style>
  <w:style w:type="paragraph" w:styleId="Footer">
    <w:name w:val="footer"/>
    <w:basedOn w:val="Normal"/>
    <w:link w:val="FooterChar"/>
    <w:uiPriority w:val="99"/>
    <w:unhideWhenUsed/>
    <w:rsid w:val="00FB521A"/>
    <w:pPr>
      <w:tabs>
        <w:tab w:val="center" w:pos="4680"/>
        <w:tab w:val="right" w:pos="9360"/>
      </w:tabs>
    </w:pPr>
  </w:style>
  <w:style w:type="character" w:customStyle="1" w:styleId="FooterChar">
    <w:name w:val="Footer Char"/>
    <w:basedOn w:val="DefaultParagraphFont"/>
    <w:link w:val="Footer"/>
    <w:uiPriority w:val="99"/>
    <w:rsid w:val="00FB521A"/>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FB521A"/>
  </w:style>
  <w:style w:type="paragraph" w:styleId="Header">
    <w:name w:val="header"/>
    <w:basedOn w:val="Normal"/>
    <w:link w:val="HeaderChar"/>
    <w:uiPriority w:val="99"/>
    <w:unhideWhenUsed/>
    <w:rsid w:val="00FB521A"/>
    <w:pPr>
      <w:tabs>
        <w:tab w:val="center" w:pos="4680"/>
        <w:tab w:val="right" w:pos="9360"/>
      </w:tabs>
    </w:pPr>
  </w:style>
  <w:style w:type="character" w:customStyle="1" w:styleId="HeaderChar">
    <w:name w:val="Header Char"/>
    <w:basedOn w:val="DefaultParagraphFont"/>
    <w:link w:val="Header"/>
    <w:uiPriority w:val="99"/>
    <w:rsid w:val="00FB521A"/>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1C4F3D"/>
    <w:rPr>
      <w:sz w:val="16"/>
      <w:szCs w:val="16"/>
    </w:rPr>
  </w:style>
  <w:style w:type="paragraph" w:styleId="CommentText">
    <w:name w:val="annotation text"/>
    <w:basedOn w:val="Normal"/>
    <w:link w:val="CommentTextChar"/>
    <w:uiPriority w:val="99"/>
    <w:semiHidden/>
    <w:unhideWhenUsed/>
    <w:rsid w:val="001C4F3D"/>
    <w:rPr>
      <w:sz w:val="20"/>
      <w:szCs w:val="20"/>
    </w:rPr>
  </w:style>
  <w:style w:type="character" w:customStyle="1" w:styleId="CommentTextChar">
    <w:name w:val="Comment Text Char"/>
    <w:basedOn w:val="DefaultParagraphFont"/>
    <w:link w:val="CommentText"/>
    <w:uiPriority w:val="99"/>
    <w:semiHidden/>
    <w:rsid w:val="001C4F3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C4F3D"/>
    <w:rPr>
      <w:b/>
      <w:bCs/>
    </w:rPr>
  </w:style>
  <w:style w:type="character" w:customStyle="1" w:styleId="CommentSubjectChar">
    <w:name w:val="Comment Subject Char"/>
    <w:basedOn w:val="CommentTextChar"/>
    <w:link w:val="CommentSubject"/>
    <w:uiPriority w:val="99"/>
    <w:semiHidden/>
    <w:rsid w:val="001C4F3D"/>
    <w:rPr>
      <w:rFonts w:ascii="Times New Roman" w:eastAsia="Times New Roman" w:hAnsi="Times New Roman" w:cs="Times New Roman"/>
      <w:b/>
      <w:bCs/>
      <w:kern w:val="0"/>
      <w:sz w:val="20"/>
      <w:szCs w:val="20"/>
      <w14:ligatures w14:val="none"/>
    </w:rPr>
  </w:style>
  <w:style w:type="paragraph" w:styleId="TOCHeading">
    <w:name w:val="TOC Heading"/>
    <w:basedOn w:val="Heading1"/>
    <w:next w:val="Normal"/>
    <w:uiPriority w:val="39"/>
    <w:unhideWhenUsed/>
    <w:qFormat/>
    <w:rsid w:val="00D8298E"/>
    <w:pPr>
      <w:keepNext/>
      <w:keepLines/>
      <w:spacing w:before="480" w:after="0" w:line="276" w:lineRule="auto"/>
      <w:jc w:val="left"/>
      <w:outlineLvl w:val="9"/>
    </w:pPr>
    <w:rPr>
      <w:rFonts w:asciiTheme="majorHAnsi" w:eastAsiaTheme="majorEastAsia" w:hAnsiTheme="majorHAnsi" w:cstheme="majorBidi"/>
      <w:color w:val="0F4761" w:themeColor="accent1" w:themeShade="BF"/>
      <w:sz w:val="28"/>
      <w:szCs w:val="28"/>
    </w:rPr>
  </w:style>
  <w:style w:type="paragraph" w:styleId="TOC1">
    <w:name w:val="toc 1"/>
    <w:basedOn w:val="Normal"/>
    <w:next w:val="Normal"/>
    <w:autoRedefine/>
    <w:uiPriority w:val="39"/>
    <w:unhideWhenUsed/>
    <w:rsid w:val="00D8298E"/>
    <w:pPr>
      <w:spacing w:before="120" w:after="120"/>
    </w:pPr>
    <w:rPr>
      <w:rFonts w:asciiTheme="minorHAnsi" w:hAnsiTheme="minorHAnsi"/>
      <w:b/>
      <w:bCs/>
      <w:caps/>
      <w:sz w:val="20"/>
      <w:szCs w:val="20"/>
    </w:rPr>
  </w:style>
  <w:style w:type="character" w:styleId="Hyperlink">
    <w:name w:val="Hyperlink"/>
    <w:basedOn w:val="DefaultParagraphFont"/>
    <w:uiPriority w:val="99"/>
    <w:unhideWhenUsed/>
    <w:rsid w:val="00D8298E"/>
    <w:rPr>
      <w:color w:val="467886" w:themeColor="hyperlink"/>
      <w:u w:val="single"/>
    </w:rPr>
  </w:style>
  <w:style w:type="paragraph" w:styleId="TOC2">
    <w:name w:val="toc 2"/>
    <w:basedOn w:val="Normal"/>
    <w:next w:val="Normal"/>
    <w:autoRedefine/>
    <w:uiPriority w:val="39"/>
    <w:unhideWhenUsed/>
    <w:rsid w:val="00D8298E"/>
    <w:pPr>
      <w:ind w:left="240"/>
    </w:pPr>
    <w:rPr>
      <w:rFonts w:asciiTheme="minorHAnsi" w:hAnsiTheme="minorHAnsi"/>
      <w:smallCaps/>
      <w:sz w:val="20"/>
      <w:szCs w:val="20"/>
    </w:rPr>
  </w:style>
  <w:style w:type="paragraph" w:styleId="TOC3">
    <w:name w:val="toc 3"/>
    <w:basedOn w:val="Normal"/>
    <w:next w:val="Normal"/>
    <w:autoRedefine/>
    <w:uiPriority w:val="39"/>
    <w:unhideWhenUsed/>
    <w:rsid w:val="00D8298E"/>
    <w:pPr>
      <w:ind w:left="480"/>
    </w:pPr>
    <w:rPr>
      <w:rFonts w:asciiTheme="minorHAnsi" w:hAnsiTheme="minorHAnsi"/>
      <w:i/>
      <w:iCs/>
      <w:sz w:val="20"/>
      <w:szCs w:val="20"/>
    </w:rPr>
  </w:style>
  <w:style w:type="paragraph" w:styleId="TOC4">
    <w:name w:val="toc 4"/>
    <w:basedOn w:val="Normal"/>
    <w:next w:val="Normal"/>
    <w:autoRedefine/>
    <w:uiPriority w:val="39"/>
    <w:unhideWhenUsed/>
    <w:rsid w:val="00D8298E"/>
    <w:pPr>
      <w:ind w:left="720"/>
    </w:pPr>
    <w:rPr>
      <w:rFonts w:asciiTheme="minorHAnsi" w:hAnsiTheme="minorHAnsi"/>
      <w:sz w:val="18"/>
      <w:szCs w:val="18"/>
    </w:rPr>
  </w:style>
  <w:style w:type="paragraph" w:styleId="TOC5">
    <w:name w:val="toc 5"/>
    <w:basedOn w:val="Normal"/>
    <w:next w:val="Normal"/>
    <w:autoRedefine/>
    <w:uiPriority w:val="39"/>
    <w:unhideWhenUsed/>
    <w:rsid w:val="00D8298E"/>
    <w:pPr>
      <w:ind w:left="960"/>
    </w:pPr>
    <w:rPr>
      <w:rFonts w:asciiTheme="minorHAnsi" w:hAnsiTheme="minorHAnsi"/>
      <w:sz w:val="18"/>
      <w:szCs w:val="18"/>
    </w:rPr>
  </w:style>
  <w:style w:type="paragraph" w:styleId="TOC6">
    <w:name w:val="toc 6"/>
    <w:basedOn w:val="Normal"/>
    <w:next w:val="Normal"/>
    <w:autoRedefine/>
    <w:uiPriority w:val="39"/>
    <w:unhideWhenUsed/>
    <w:rsid w:val="00D8298E"/>
    <w:pPr>
      <w:ind w:left="1200"/>
    </w:pPr>
    <w:rPr>
      <w:rFonts w:asciiTheme="minorHAnsi" w:hAnsiTheme="minorHAnsi"/>
      <w:sz w:val="18"/>
      <w:szCs w:val="18"/>
    </w:rPr>
  </w:style>
  <w:style w:type="paragraph" w:styleId="TOC7">
    <w:name w:val="toc 7"/>
    <w:basedOn w:val="Normal"/>
    <w:next w:val="Normal"/>
    <w:autoRedefine/>
    <w:uiPriority w:val="39"/>
    <w:unhideWhenUsed/>
    <w:rsid w:val="00D8298E"/>
    <w:pPr>
      <w:ind w:left="1440"/>
    </w:pPr>
    <w:rPr>
      <w:rFonts w:asciiTheme="minorHAnsi" w:hAnsiTheme="minorHAnsi"/>
      <w:sz w:val="18"/>
      <w:szCs w:val="18"/>
    </w:rPr>
  </w:style>
  <w:style w:type="paragraph" w:styleId="TOC8">
    <w:name w:val="toc 8"/>
    <w:basedOn w:val="Normal"/>
    <w:next w:val="Normal"/>
    <w:autoRedefine/>
    <w:uiPriority w:val="39"/>
    <w:unhideWhenUsed/>
    <w:rsid w:val="00D8298E"/>
    <w:pPr>
      <w:ind w:left="1680"/>
    </w:pPr>
    <w:rPr>
      <w:rFonts w:asciiTheme="minorHAnsi" w:hAnsiTheme="minorHAnsi"/>
      <w:sz w:val="18"/>
      <w:szCs w:val="18"/>
    </w:rPr>
  </w:style>
  <w:style w:type="paragraph" w:styleId="TOC9">
    <w:name w:val="toc 9"/>
    <w:basedOn w:val="Normal"/>
    <w:next w:val="Normal"/>
    <w:autoRedefine/>
    <w:uiPriority w:val="39"/>
    <w:unhideWhenUsed/>
    <w:rsid w:val="00D8298E"/>
    <w:pPr>
      <w:ind w:left="1920"/>
    </w:pPr>
    <w:rPr>
      <w:rFonts w:asciiTheme="minorHAnsi" w:hAnsiTheme="minorHAnsi"/>
      <w:sz w:val="18"/>
      <w:szCs w:val="18"/>
    </w:rPr>
  </w:style>
  <w:style w:type="paragraph" w:styleId="NormalWeb">
    <w:name w:val="Normal (Web)"/>
    <w:basedOn w:val="Normal"/>
    <w:uiPriority w:val="99"/>
    <w:unhideWhenUsed/>
    <w:rsid w:val="00E71416"/>
    <w:pPr>
      <w:spacing w:before="100" w:beforeAutospacing="1" w:after="100" w:afterAutospacing="1"/>
    </w:pPr>
  </w:style>
  <w:style w:type="character" w:customStyle="1" w:styleId="apple-tab-span">
    <w:name w:val="apple-tab-span"/>
    <w:basedOn w:val="DefaultParagraphFont"/>
    <w:rsid w:val="00E71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F43ACF7E-F40F-454D-AD33-A0C68EDFFB20}"/>
</file>

<file path=customXml/itemProps2.xml><?xml version="1.0" encoding="utf-8"?>
<ds:datastoreItem xmlns:ds="http://schemas.openxmlformats.org/officeDocument/2006/customXml" ds:itemID="{2DF25E36-A411-4E72-B6EF-E8943DA54DC1}"/>
</file>

<file path=customXml/itemProps3.xml><?xml version="1.0" encoding="utf-8"?>
<ds:datastoreItem xmlns:ds="http://schemas.openxmlformats.org/officeDocument/2006/customXml" ds:itemID="{F25D98DC-996A-411E-B5E2-ADDE623C1BD0}"/>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25</Pages>
  <Words>5234</Words>
  <Characters>29834</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2026-09-09T00:38:00Z</dcterms:created>
  <dcterms:modified xsi:type="dcterms:W3CDTF">2026-09-09T00:38:00Z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y fmtid="{D5CDD505-2E9C-101B-9397-08002B2CF9AE}" pid="3" name="GrammarlyDocumentId">
    <vt:lpwstr>7e57651eb2b4ae3f7cc4d1a5470519caa8d38e3d8bd2d06b60ab80050a0d4559</vt:lpwstr>
  </property>
</Properties>
</file>