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88CC9" w14:textId="77777777" w:rsidR="00FB521A" w:rsidRPr="0064698E" w:rsidRDefault="00FB521A" w:rsidP="00FB521A">
      <w:pPr>
        <w:pBdr>
          <w:bottom w:val="thinThickThinMediumGap" w:sz="18" w:space="1" w:color="auto"/>
        </w:pBdr>
        <w:jc w:val="center"/>
        <w:rPr>
          <w:b/>
          <w:sz w:val="26"/>
          <w:szCs w:val="26"/>
        </w:rPr>
      </w:pPr>
    </w:p>
    <w:p w14:paraId="46ADF334" w14:textId="77777777" w:rsidR="00FB521A" w:rsidRPr="0064698E" w:rsidRDefault="00FB521A" w:rsidP="00FB521A">
      <w:pPr>
        <w:pBdr>
          <w:bottom w:val="thinThickThinMediumGap" w:sz="18" w:space="1" w:color="auto"/>
        </w:pBdr>
        <w:jc w:val="center"/>
        <w:rPr>
          <w:b/>
          <w:sz w:val="26"/>
          <w:szCs w:val="26"/>
        </w:rPr>
      </w:pPr>
    </w:p>
    <w:p w14:paraId="1A57F938" w14:textId="77777777" w:rsidR="00FB521A" w:rsidRPr="0064698E" w:rsidRDefault="00FB521A" w:rsidP="00FB521A">
      <w:pPr>
        <w:pBdr>
          <w:bottom w:val="thinThickThinMediumGap" w:sz="18" w:space="1" w:color="auto"/>
        </w:pBdr>
        <w:jc w:val="center"/>
        <w:rPr>
          <w:b/>
          <w:sz w:val="26"/>
          <w:szCs w:val="26"/>
        </w:rPr>
      </w:pPr>
    </w:p>
    <w:p w14:paraId="3C009F54" w14:textId="77777777" w:rsidR="00FB521A" w:rsidRPr="0064698E" w:rsidRDefault="00FB521A" w:rsidP="00FB521A">
      <w:pPr>
        <w:pBdr>
          <w:bottom w:val="thinThickThinMediumGap" w:sz="18" w:space="1" w:color="auto"/>
        </w:pBdr>
        <w:jc w:val="center"/>
        <w:rPr>
          <w:b/>
          <w:sz w:val="26"/>
          <w:szCs w:val="26"/>
        </w:rPr>
      </w:pPr>
    </w:p>
    <w:p w14:paraId="7EED2604" w14:textId="19902918" w:rsidR="00FB521A" w:rsidRPr="0064698E" w:rsidRDefault="00FB521A" w:rsidP="00FB521A">
      <w:pPr>
        <w:pBdr>
          <w:bottom w:val="thinThickThinMediumGap" w:sz="18" w:space="1" w:color="auto"/>
        </w:pBdr>
        <w:jc w:val="center"/>
        <w:rPr>
          <w:b/>
          <w:sz w:val="26"/>
          <w:szCs w:val="26"/>
        </w:rPr>
      </w:pPr>
      <w:bookmarkStart w:id="0" w:name="dabmch_2"/>
      <w:r w:rsidRPr="0064698E">
        <w:rPr>
          <w:b/>
          <w:sz w:val="26"/>
          <w:szCs w:val="26"/>
        </w:rPr>
        <w:t xml:space="preserve">No. </w:t>
      </w:r>
      <w:bookmarkEnd w:id="0"/>
      <w:r w:rsidRPr="0064698E">
        <w:rPr>
          <w:b/>
          <w:sz w:val="26"/>
          <w:szCs w:val="26"/>
        </w:rPr>
        <w:t>2025-CF-00417</w:t>
      </w:r>
    </w:p>
    <w:p w14:paraId="6AD852C0" w14:textId="77777777" w:rsidR="00FB521A" w:rsidRPr="0064698E" w:rsidRDefault="00FB521A" w:rsidP="00FB521A">
      <w:pPr>
        <w:jc w:val="center"/>
        <w:rPr>
          <w:b/>
          <w:sz w:val="26"/>
          <w:szCs w:val="26"/>
        </w:rPr>
      </w:pPr>
    </w:p>
    <w:p w14:paraId="07EB6DCA" w14:textId="77777777" w:rsidR="00FB521A" w:rsidRPr="0064698E" w:rsidRDefault="00FB521A" w:rsidP="00FB521A">
      <w:pPr>
        <w:jc w:val="center"/>
        <w:rPr>
          <w:b/>
          <w:sz w:val="26"/>
          <w:szCs w:val="26"/>
        </w:rPr>
      </w:pPr>
      <w:bookmarkStart w:id="1" w:name="dabmch_3"/>
      <w:r w:rsidRPr="0064698E">
        <w:rPr>
          <w:b/>
          <w:sz w:val="26"/>
          <w:szCs w:val="26"/>
        </w:rPr>
        <w:t xml:space="preserve">IN THE UNITED STATES DISTRICT COURT </w:t>
      </w:r>
      <w:bookmarkEnd w:id="1"/>
    </w:p>
    <w:p w14:paraId="6DDF905C" w14:textId="316EFECC" w:rsidR="00FB521A" w:rsidRPr="0064698E" w:rsidRDefault="00FB521A" w:rsidP="00FB521A">
      <w:pPr>
        <w:jc w:val="center"/>
        <w:rPr>
          <w:b/>
          <w:sz w:val="26"/>
          <w:szCs w:val="26"/>
        </w:rPr>
      </w:pPr>
      <w:bookmarkStart w:id="2" w:name="dabmch_4"/>
      <w:r w:rsidRPr="0064698E">
        <w:rPr>
          <w:b/>
          <w:sz w:val="26"/>
          <w:szCs w:val="26"/>
        </w:rPr>
        <w:t xml:space="preserve">FOR THE </w:t>
      </w:r>
      <w:r w:rsidR="00CE5E8C" w:rsidRPr="0064698E">
        <w:rPr>
          <w:b/>
          <w:sz w:val="26"/>
          <w:szCs w:val="26"/>
        </w:rPr>
        <w:t>FOURTEENTH JUDICIAL DISTRICT</w:t>
      </w:r>
      <w:r w:rsidRPr="0064698E">
        <w:rPr>
          <w:b/>
          <w:sz w:val="26"/>
          <w:szCs w:val="26"/>
        </w:rPr>
        <w:t xml:space="preserve"> </w:t>
      </w:r>
      <w:bookmarkEnd w:id="2"/>
    </w:p>
    <w:p w14:paraId="34B1F92E" w14:textId="77777777" w:rsidR="00FB521A" w:rsidRPr="0064698E" w:rsidRDefault="00FB521A" w:rsidP="00FB521A">
      <w:pPr>
        <w:widowControl w:val="0"/>
        <w:jc w:val="center"/>
        <w:rPr>
          <w:sz w:val="26"/>
          <w:szCs w:val="26"/>
        </w:rPr>
      </w:pPr>
      <w:bookmarkStart w:id="3" w:name="dabmch_5"/>
      <w:r w:rsidRPr="0064698E">
        <w:rPr>
          <w:sz w:val="26"/>
          <w:szCs w:val="26"/>
        </w:rPr>
        <w:t>___________________________________________</w:t>
      </w:r>
      <w:bookmarkEnd w:id="3"/>
    </w:p>
    <w:p w14:paraId="2AB138F2" w14:textId="77777777" w:rsidR="00FB521A" w:rsidRPr="0064698E" w:rsidRDefault="00FB521A" w:rsidP="00FB521A">
      <w:pPr>
        <w:widowControl w:val="0"/>
        <w:jc w:val="center"/>
        <w:rPr>
          <w:b/>
          <w:sz w:val="26"/>
          <w:szCs w:val="26"/>
        </w:rPr>
      </w:pPr>
    </w:p>
    <w:p w14:paraId="6BE27095" w14:textId="77777777" w:rsidR="00FB521A" w:rsidRPr="0064698E" w:rsidRDefault="00FB521A" w:rsidP="00FB521A">
      <w:pPr>
        <w:widowControl w:val="0"/>
        <w:jc w:val="center"/>
        <w:rPr>
          <w:b/>
          <w:sz w:val="26"/>
          <w:szCs w:val="26"/>
        </w:rPr>
      </w:pPr>
    </w:p>
    <w:p w14:paraId="141C9241" w14:textId="5E973BD7" w:rsidR="00FB521A" w:rsidRPr="0064698E" w:rsidRDefault="00FB521A" w:rsidP="00FB521A">
      <w:pPr>
        <w:widowControl w:val="0"/>
        <w:jc w:val="center"/>
        <w:rPr>
          <w:sz w:val="26"/>
          <w:szCs w:val="26"/>
        </w:rPr>
      </w:pPr>
      <w:r w:rsidRPr="0064698E">
        <w:rPr>
          <w:sz w:val="26"/>
          <w:szCs w:val="26"/>
        </w:rPr>
        <w:t>UNITED STATES OF AMERICA,</w:t>
      </w:r>
    </w:p>
    <w:p w14:paraId="272375B2" w14:textId="77777777" w:rsidR="00FB521A" w:rsidRPr="0064698E" w:rsidRDefault="00FB521A" w:rsidP="00FB521A">
      <w:pPr>
        <w:widowControl w:val="0"/>
        <w:jc w:val="center"/>
        <w:rPr>
          <w:sz w:val="26"/>
          <w:szCs w:val="26"/>
        </w:rPr>
      </w:pPr>
    </w:p>
    <w:p w14:paraId="1666FC57" w14:textId="77777777" w:rsidR="00FB521A" w:rsidRPr="0064698E" w:rsidRDefault="00FB521A" w:rsidP="00FB521A">
      <w:pPr>
        <w:widowControl w:val="0"/>
        <w:contextualSpacing/>
        <w:jc w:val="center"/>
        <w:rPr>
          <w:sz w:val="26"/>
          <w:szCs w:val="26"/>
        </w:rPr>
      </w:pPr>
    </w:p>
    <w:p w14:paraId="07EB64CF" w14:textId="77777777" w:rsidR="00FB521A" w:rsidRPr="0064698E" w:rsidRDefault="00FB521A" w:rsidP="00FB521A">
      <w:pPr>
        <w:widowControl w:val="0"/>
        <w:contextualSpacing/>
        <w:jc w:val="center"/>
        <w:rPr>
          <w:sz w:val="26"/>
          <w:szCs w:val="26"/>
        </w:rPr>
      </w:pPr>
    </w:p>
    <w:p w14:paraId="6C870C73" w14:textId="77777777" w:rsidR="00FB521A" w:rsidRPr="0064698E" w:rsidRDefault="00FB521A" w:rsidP="00FB521A">
      <w:pPr>
        <w:widowControl w:val="0"/>
        <w:contextualSpacing/>
        <w:jc w:val="center"/>
        <w:rPr>
          <w:sz w:val="26"/>
          <w:szCs w:val="26"/>
        </w:rPr>
      </w:pPr>
      <w:bookmarkStart w:id="4" w:name="dabmch_8"/>
      <w:r w:rsidRPr="0064698E">
        <w:rPr>
          <w:sz w:val="26"/>
          <w:szCs w:val="26"/>
        </w:rPr>
        <w:t>v.</w:t>
      </w:r>
      <w:bookmarkEnd w:id="4"/>
    </w:p>
    <w:p w14:paraId="13F57AE9" w14:textId="77777777" w:rsidR="00FB521A" w:rsidRPr="0064698E" w:rsidRDefault="00FB521A" w:rsidP="00FB521A">
      <w:pPr>
        <w:widowControl w:val="0"/>
        <w:contextualSpacing/>
        <w:jc w:val="center"/>
        <w:rPr>
          <w:sz w:val="26"/>
          <w:szCs w:val="26"/>
        </w:rPr>
      </w:pPr>
    </w:p>
    <w:p w14:paraId="4B78FC1C" w14:textId="77777777" w:rsidR="00FB521A" w:rsidRPr="0064698E" w:rsidRDefault="00FB521A" w:rsidP="00FB521A">
      <w:pPr>
        <w:widowControl w:val="0"/>
        <w:contextualSpacing/>
        <w:jc w:val="center"/>
        <w:rPr>
          <w:sz w:val="26"/>
          <w:szCs w:val="26"/>
        </w:rPr>
      </w:pPr>
    </w:p>
    <w:p w14:paraId="7B6C923D" w14:textId="77777777" w:rsidR="00FB521A" w:rsidRPr="0064698E" w:rsidRDefault="00FB521A" w:rsidP="00FB521A">
      <w:pPr>
        <w:widowControl w:val="0"/>
        <w:contextualSpacing/>
        <w:jc w:val="center"/>
        <w:rPr>
          <w:sz w:val="26"/>
          <w:szCs w:val="26"/>
        </w:rPr>
      </w:pPr>
    </w:p>
    <w:p w14:paraId="0F3326B9" w14:textId="2C5C6A7D" w:rsidR="00FB521A" w:rsidRPr="0064698E" w:rsidRDefault="00FB521A" w:rsidP="00FB521A">
      <w:pPr>
        <w:widowControl w:val="0"/>
        <w:contextualSpacing/>
        <w:jc w:val="center"/>
        <w:rPr>
          <w:sz w:val="26"/>
          <w:szCs w:val="26"/>
        </w:rPr>
      </w:pPr>
      <w:bookmarkStart w:id="5" w:name="dabmch_9"/>
      <w:r w:rsidRPr="0064698E">
        <w:rPr>
          <w:sz w:val="26"/>
          <w:szCs w:val="26"/>
        </w:rPr>
        <w:t>EMILY CALLOWAY,</w:t>
      </w:r>
      <w:bookmarkEnd w:id="5"/>
    </w:p>
    <w:p w14:paraId="386144B9" w14:textId="77777777" w:rsidR="00FB521A" w:rsidRPr="0064698E" w:rsidRDefault="00FB521A" w:rsidP="00FB521A">
      <w:pPr>
        <w:widowControl w:val="0"/>
        <w:contextualSpacing/>
        <w:jc w:val="center"/>
        <w:rPr>
          <w:sz w:val="26"/>
          <w:szCs w:val="26"/>
        </w:rPr>
      </w:pPr>
    </w:p>
    <w:p w14:paraId="06964BEC" w14:textId="77777777" w:rsidR="00FB521A" w:rsidRPr="0064698E" w:rsidRDefault="00FB521A" w:rsidP="00FB521A">
      <w:pPr>
        <w:widowControl w:val="0"/>
        <w:contextualSpacing/>
        <w:jc w:val="center"/>
        <w:rPr>
          <w:i/>
          <w:sz w:val="26"/>
          <w:szCs w:val="26"/>
        </w:rPr>
      </w:pPr>
      <w:bookmarkStart w:id="6" w:name="dabmch_10"/>
      <w:r w:rsidRPr="0064698E">
        <w:rPr>
          <w:i/>
          <w:sz w:val="26"/>
          <w:szCs w:val="26"/>
        </w:rPr>
        <w:t>Defendant.</w:t>
      </w:r>
      <w:bookmarkEnd w:id="6"/>
    </w:p>
    <w:p w14:paraId="4EEB40A0" w14:textId="77777777" w:rsidR="00FB521A" w:rsidRPr="0064698E" w:rsidRDefault="00FB521A" w:rsidP="00FB521A">
      <w:pPr>
        <w:widowControl w:val="0"/>
        <w:contextualSpacing/>
        <w:jc w:val="center"/>
        <w:rPr>
          <w:sz w:val="26"/>
          <w:szCs w:val="26"/>
        </w:rPr>
      </w:pPr>
    </w:p>
    <w:p w14:paraId="321B1431" w14:textId="77777777" w:rsidR="00FB521A" w:rsidRPr="0064698E" w:rsidRDefault="00FB521A" w:rsidP="00FB521A">
      <w:pPr>
        <w:contextualSpacing/>
        <w:jc w:val="center"/>
        <w:rPr>
          <w:sz w:val="26"/>
          <w:szCs w:val="26"/>
        </w:rPr>
      </w:pPr>
      <w:bookmarkStart w:id="7" w:name="dabmch_11"/>
      <w:r w:rsidRPr="0064698E">
        <w:rPr>
          <w:sz w:val="26"/>
          <w:szCs w:val="26"/>
        </w:rPr>
        <w:t>________________________________________</w:t>
      </w:r>
      <w:bookmarkEnd w:id="7"/>
    </w:p>
    <w:p w14:paraId="53E25C03" w14:textId="77777777" w:rsidR="00FB521A" w:rsidRPr="0064698E" w:rsidRDefault="00FB521A" w:rsidP="00FB521A">
      <w:pPr>
        <w:ind w:right="720"/>
        <w:contextualSpacing/>
        <w:rPr>
          <w:i/>
          <w:sz w:val="26"/>
          <w:szCs w:val="26"/>
        </w:rPr>
      </w:pPr>
    </w:p>
    <w:p w14:paraId="0CFE0A10" w14:textId="77777777" w:rsidR="00CE5E8C" w:rsidRPr="0064698E" w:rsidRDefault="00CE5E8C" w:rsidP="00CE5E8C">
      <w:pPr>
        <w:ind w:left="720" w:right="720"/>
        <w:contextualSpacing/>
        <w:jc w:val="center"/>
        <w:rPr>
          <w:b/>
          <w:color w:val="000000" w:themeColor="text1"/>
          <w:sz w:val="26"/>
          <w:szCs w:val="26"/>
        </w:rPr>
      </w:pPr>
      <w:bookmarkStart w:id="8" w:name="dabmch_15"/>
      <w:r w:rsidRPr="0064698E">
        <w:rPr>
          <w:b/>
          <w:color w:val="000000" w:themeColor="text1"/>
          <w:sz w:val="26"/>
          <w:szCs w:val="26"/>
        </w:rPr>
        <w:t xml:space="preserve">MEMORANDUM OF LAW IN SUPPORT OF </w:t>
      </w:r>
    </w:p>
    <w:p w14:paraId="08D4BC0B" w14:textId="5DC3B2DE" w:rsidR="00CE5E8C" w:rsidRPr="0064698E" w:rsidRDefault="00CE5E8C" w:rsidP="00CE5E8C">
      <w:pPr>
        <w:ind w:left="720" w:right="720"/>
        <w:contextualSpacing/>
        <w:jc w:val="center"/>
        <w:rPr>
          <w:b/>
          <w:color w:val="000000" w:themeColor="text1"/>
          <w:sz w:val="26"/>
          <w:szCs w:val="26"/>
        </w:rPr>
      </w:pPr>
      <w:r w:rsidRPr="0064698E">
        <w:rPr>
          <w:b/>
          <w:color w:val="000000" w:themeColor="text1"/>
          <w:sz w:val="26"/>
          <w:szCs w:val="26"/>
        </w:rPr>
        <w:t>DEFENDANT’S MOTION</w:t>
      </w:r>
    </w:p>
    <w:p w14:paraId="69C26C29" w14:textId="33A19EEC" w:rsidR="00CE5E8C" w:rsidRPr="0064698E" w:rsidRDefault="00CE5E8C" w:rsidP="00CE5E8C">
      <w:pPr>
        <w:ind w:left="720" w:right="720"/>
        <w:contextualSpacing/>
        <w:jc w:val="center"/>
        <w:rPr>
          <w:b/>
          <w:color w:val="000000" w:themeColor="text1"/>
          <w:sz w:val="26"/>
          <w:szCs w:val="26"/>
        </w:rPr>
      </w:pPr>
      <w:r w:rsidRPr="0064698E">
        <w:rPr>
          <w:b/>
          <w:color w:val="000000" w:themeColor="text1"/>
          <w:sz w:val="26"/>
          <w:szCs w:val="26"/>
        </w:rPr>
        <w:t>TO SUP</w:t>
      </w:r>
      <w:r w:rsidR="00745AAB">
        <w:rPr>
          <w:b/>
          <w:color w:val="000000" w:themeColor="text1"/>
          <w:sz w:val="26"/>
          <w:szCs w:val="26"/>
        </w:rPr>
        <w:t>P</w:t>
      </w:r>
      <w:r w:rsidRPr="0064698E">
        <w:rPr>
          <w:b/>
          <w:color w:val="000000" w:themeColor="text1"/>
          <w:sz w:val="26"/>
          <w:szCs w:val="26"/>
        </w:rPr>
        <w:t xml:space="preserve">RESS EVIDENCE AND </w:t>
      </w:r>
    </w:p>
    <w:p w14:paraId="643E9642" w14:textId="7C8DDF74" w:rsidR="00CE5E8C" w:rsidRPr="0064698E" w:rsidRDefault="00CE5E8C" w:rsidP="00CE5E8C">
      <w:pPr>
        <w:ind w:left="720" w:right="720"/>
        <w:contextualSpacing/>
        <w:jc w:val="center"/>
        <w:rPr>
          <w:b/>
          <w:color w:val="000000" w:themeColor="text1"/>
          <w:sz w:val="26"/>
          <w:szCs w:val="26"/>
        </w:rPr>
      </w:pPr>
      <w:r w:rsidRPr="0064698E">
        <w:rPr>
          <w:b/>
          <w:color w:val="000000" w:themeColor="text1"/>
          <w:sz w:val="26"/>
          <w:szCs w:val="26"/>
        </w:rPr>
        <w:t>MOTION TO QUASH SUBPOENA</w:t>
      </w:r>
    </w:p>
    <w:p w14:paraId="452B9D64" w14:textId="4B8D82B0" w:rsidR="00FB521A" w:rsidRPr="0064698E" w:rsidRDefault="00FB521A" w:rsidP="00FB521A">
      <w:pPr>
        <w:contextualSpacing/>
        <w:jc w:val="center"/>
        <w:rPr>
          <w:sz w:val="26"/>
          <w:szCs w:val="26"/>
        </w:rPr>
      </w:pPr>
      <w:r w:rsidRPr="0064698E">
        <w:rPr>
          <w:sz w:val="26"/>
          <w:szCs w:val="26"/>
        </w:rPr>
        <w:t>________________________________________</w:t>
      </w:r>
      <w:bookmarkEnd w:id="8"/>
    </w:p>
    <w:p w14:paraId="3541EBD5" w14:textId="77777777" w:rsidR="00FB521A" w:rsidRPr="0064698E" w:rsidRDefault="00FB521A" w:rsidP="00FB521A">
      <w:pPr>
        <w:pBdr>
          <w:bottom w:val="thinThickThinMediumGap" w:sz="18" w:space="1" w:color="auto"/>
        </w:pBdr>
        <w:contextualSpacing/>
        <w:jc w:val="center"/>
        <w:rPr>
          <w:smallCaps/>
          <w:sz w:val="26"/>
          <w:szCs w:val="26"/>
        </w:rPr>
      </w:pPr>
    </w:p>
    <w:p w14:paraId="3D011070" w14:textId="118478E2" w:rsidR="00FB521A" w:rsidRPr="0064698E" w:rsidRDefault="00FB521A" w:rsidP="00FB521A">
      <w:pPr>
        <w:pBdr>
          <w:bottom w:val="thinThickThinMediumGap" w:sz="18" w:space="1" w:color="auto"/>
        </w:pBdr>
        <w:contextualSpacing/>
        <w:jc w:val="center"/>
        <w:rPr>
          <w:iCs/>
          <w:sz w:val="26"/>
          <w:szCs w:val="26"/>
        </w:rPr>
      </w:pPr>
      <w:bookmarkStart w:id="9" w:name="dabmch_16"/>
      <w:r w:rsidRPr="0064698E">
        <w:rPr>
          <w:iCs/>
          <w:sz w:val="26"/>
          <w:szCs w:val="26"/>
        </w:rPr>
        <w:t xml:space="preserve">Team No. </w:t>
      </w:r>
      <w:bookmarkEnd w:id="9"/>
      <w:r w:rsidR="00243878" w:rsidRPr="0064698E">
        <w:rPr>
          <w:iCs/>
          <w:sz w:val="26"/>
          <w:szCs w:val="26"/>
        </w:rPr>
        <w:t>309</w:t>
      </w:r>
    </w:p>
    <w:p w14:paraId="6CE06C28" w14:textId="77777777" w:rsidR="00FB521A" w:rsidRPr="0064698E" w:rsidRDefault="00FB521A" w:rsidP="00FB521A">
      <w:pPr>
        <w:pBdr>
          <w:bottom w:val="thinThickThinMediumGap" w:sz="18" w:space="1" w:color="auto"/>
        </w:pBdr>
        <w:contextualSpacing/>
        <w:jc w:val="center"/>
        <w:rPr>
          <w:iCs/>
          <w:sz w:val="26"/>
          <w:szCs w:val="26"/>
        </w:rPr>
      </w:pPr>
    </w:p>
    <w:p w14:paraId="78A221B4" w14:textId="3099C943" w:rsidR="00FB521A" w:rsidRPr="0064698E" w:rsidRDefault="00FB521A" w:rsidP="00FB521A">
      <w:pPr>
        <w:pBdr>
          <w:bottom w:val="thinThickThinMediumGap" w:sz="18" w:space="1" w:color="auto"/>
        </w:pBdr>
        <w:contextualSpacing/>
        <w:jc w:val="center"/>
        <w:rPr>
          <w:i/>
          <w:sz w:val="26"/>
          <w:szCs w:val="26"/>
        </w:rPr>
      </w:pPr>
      <w:bookmarkStart w:id="10" w:name="dabmch_17"/>
      <w:r w:rsidRPr="0064698E">
        <w:rPr>
          <w:i/>
          <w:sz w:val="26"/>
          <w:szCs w:val="26"/>
        </w:rPr>
        <w:t xml:space="preserve">Counsel for </w:t>
      </w:r>
      <w:bookmarkEnd w:id="10"/>
      <w:r w:rsidR="00CE5E8C" w:rsidRPr="0064698E">
        <w:rPr>
          <w:i/>
          <w:sz w:val="26"/>
          <w:szCs w:val="26"/>
        </w:rPr>
        <w:t>Defendant</w:t>
      </w:r>
    </w:p>
    <w:p w14:paraId="7EF3FB3C" w14:textId="77777777" w:rsidR="00FB521A" w:rsidRPr="0064698E" w:rsidRDefault="00FB521A" w:rsidP="00FB521A">
      <w:pPr>
        <w:pBdr>
          <w:bottom w:val="thinThickThinMediumGap" w:sz="18" w:space="1" w:color="auto"/>
        </w:pBdr>
        <w:contextualSpacing/>
        <w:jc w:val="center"/>
        <w:rPr>
          <w:i/>
          <w:sz w:val="26"/>
          <w:szCs w:val="26"/>
        </w:rPr>
      </w:pPr>
    </w:p>
    <w:p w14:paraId="70FA2EF2" w14:textId="77777777" w:rsidR="00FB521A" w:rsidRPr="0064698E" w:rsidRDefault="00FB521A" w:rsidP="00FB521A">
      <w:pPr>
        <w:pBdr>
          <w:bottom w:val="thinThickThinMediumGap" w:sz="18" w:space="1" w:color="auto"/>
        </w:pBdr>
        <w:contextualSpacing/>
        <w:jc w:val="center"/>
        <w:rPr>
          <w:i/>
          <w:sz w:val="26"/>
          <w:szCs w:val="26"/>
        </w:rPr>
      </w:pPr>
    </w:p>
    <w:p w14:paraId="10596D19" w14:textId="77777777" w:rsidR="00144D17" w:rsidRPr="0064698E" w:rsidRDefault="00144D17">
      <w:pPr>
        <w:spacing w:after="160" w:line="278" w:lineRule="auto"/>
        <w:rPr>
          <w:sz w:val="26"/>
          <w:szCs w:val="26"/>
        </w:rPr>
        <w:sectPr w:rsidR="00144D17" w:rsidRPr="0064698E" w:rsidSect="00F531ED">
          <w:headerReference w:type="default" r:id="rId7"/>
          <w:footerReference w:type="even" r:id="rId8"/>
          <w:footerReference w:type="default" r:id="rId9"/>
          <w:pgSz w:w="12240" w:h="15840"/>
          <w:pgMar w:top="1440" w:right="1440" w:bottom="1440" w:left="1440" w:header="720" w:footer="720" w:gutter="0"/>
          <w:pgNumType w:fmt="lowerRoman"/>
          <w:cols w:space="720"/>
          <w:titlePg/>
          <w:docGrid w:linePitch="360"/>
        </w:sectPr>
      </w:pPr>
    </w:p>
    <w:p w14:paraId="0D9F8108" w14:textId="414A7B1B" w:rsidR="00344503" w:rsidRPr="0064698E" w:rsidRDefault="00CE5E8C" w:rsidP="00CE5E8C">
      <w:pPr>
        <w:spacing w:line="480" w:lineRule="auto"/>
        <w:jc w:val="center"/>
        <w:rPr>
          <w:b/>
          <w:bCs/>
          <w:sz w:val="26"/>
          <w:szCs w:val="26"/>
        </w:rPr>
      </w:pPr>
      <w:r w:rsidRPr="0064698E">
        <w:rPr>
          <w:b/>
          <w:bCs/>
          <w:sz w:val="26"/>
          <w:szCs w:val="26"/>
        </w:rPr>
        <w:lastRenderedPageBreak/>
        <w:t>TABLE OF CONTENTS</w:t>
      </w:r>
    </w:p>
    <w:p w14:paraId="757CADE6" w14:textId="45F63163" w:rsidR="00CE5E8C" w:rsidRPr="0064698E" w:rsidRDefault="00CE5E8C" w:rsidP="00024D4C">
      <w:pPr>
        <w:tabs>
          <w:tab w:val="left" w:pos="0"/>
          <w:tab w:val="right" w:leader="dot" w:pos="9360"/>
        </w:tabs>
        <w:spacing w:line="480" w:lineRule="auto"/>
        <w:rPr>
          <w:sz w:val="26"/>
          <w:szCs w:val="26"/>
        </w:rPr>
      </w:pPr>
      <w:r w:rsidRPr="0064698E">
        <w:rPr>
          <w:sz w:val="26"/>
          <w:szCs w:val="26"/>
        </w:rPr>
        <w:t>TABLE OF CONTENTS</w:t>
      </w:r>
      <w:r w:rsidR="00024D4C" w:rsidRPr="0064698E">
        <w:rPr>
          <w:sz w:val="26"/>
          <w:szCs w:val="26"/>
        </w:rPr>
        <w:tab/>
      </w:r>
      <w:r w:rsidR="00144D17" w:rsidRPr="0064698E">
        <w:rPr>
          <w:sz w:val="26"/>
          <w:szCs w:val="26"/>
        </w:rPr>
        <w:t>i</w:t>
      </w:r>
    </w:p>
    <w:p w14:paraId="5360A6B1" w14:textId="13BE7907" w:rsidR="00CE5E8C" w:rsidRPr="0064698E" w:rsidRDefault="00CE5E8C" w:rsidP="00024D4C">
      <w:pPr>
        <w:tabs>
          <w:tab w:val="left" w:pos="0"/>
          <w:tab w:val="right" w:leader="dot" w:pos="9360"/>
        </w:tabs>
        <w:spacing w:line="480" w:lineRule="auto"/>
        <w:rPr>
          <w:sz w:val="26"/>
          <w:szCs w:val="26"/>
        </w:rPr>
      </w:pPr>
      <w:r w:rsidRPr="0064698E">
        <w:rPr>
          <w:sz w:val="26"/>
          <w:szCs w:val="26"/>
        </w:rPr>
        <w:t>TABLE OF AUTHORITIES</w:t>
      </w:r>
      <w:r w:rsidR="00024D4C" w:rsidRPr="0064698E">
        <w:rPr>
          <w:sz w:val="26"/>
          <w:szCs w:val="26"/>
        </w:rPr>
        <w:tab/>
      </w:r>
      <w:r w:rsidR="000C35EC">
        <w:rPr>
          <w:sz w:val="26"/>
          <w:szCs w:val="26"/>
        </w:rPr>
        <w:t>iii</w:t>
      </w:r>
    </w:p>
    <w:p w14:paraId="3C45FD63" w14:textId="7A0DF822" w:rsidR="00CE5E8C" w:rsidRPr="0064698E" w:rsidRDefault="00024D4C" w:rsidP="00024D4C">
      <w:pPr>
        <w:tabs>
          <w:tab w:val="left" w:pos="0"/>
          <w:tab w:val="right" w:leader="dot" w:pos="9360"/>
        </w:tabs>
        <w:spacing w:line="480" w:lineRule="auto"/>
        <w:rPr>
          <w:sz w:val="26"/>
          <w:szCs w:val="26"/>
        </w:rPr>
      </w:pPr>
      <w:r w:rsidRPr="0064698E">
        <w:rPr>
          <w:sz w:val="26"/>
          <w:szCs w:val="26"/>
        </w:rPr>
        <w:t>INTRODUCTION</w:t>
      </w:r>
      <w:r w:rsidRPr="0064698E">
        <w:rPr>
          <w:sz w:val="26"/>
          <w:szCs w:val="26"/>
        </w:rPr>
        <w:tab/>
      </w:r>
      <w:r w:rsidR="00460190">
        <w:rPr>
          <w:sz w:val="26"/>
          <w:szCs w:val="26"/>
        </w:rPr>
        <w:t>1</w:t>
      </w:r>
    </w:p>
    <w:p w14:paraId="153594A5" w14:textId="5B7D2A97" w:rsidR="00024D4C" w:rsidRPr="0064698E" w:rsidRDefault="00024D4C" w:rsidP="00024D4C">
      <w:pPr>
        <w:tabs>
          <w:tab w:val="left" w:pos="0"/>
          <w:tab w:val="right" w:leader="dot" w:pos="9360"/>
        </w:tabs>
        <w:spacing w:line="480" w:lineRule="auto"/>
        <w:rPr>
          <w:sz w:val="26"/>
          <w:szCs w:val="26"/>
        </w:rPr>
      </w:pPr>
      <w:r w:rsidRPr="0064698E">
        <w:rPr>
          <w:sz w:val="26"/>
          <w:szCs w:val="26"/>
        </w:rPr>
        <w:t>STATEMENT OF FACTS</w:t>
      </w:r>
      <w:r w:rsidRPr="0064698E">
        <w:rPr>
          <w:sz w:val="26"/>
          <w:szCs w:val="26"/>
        </w:rPr>
        <w:tab/>
      </w:r>
      <w:r w:rsidR="00C01527">
        <w:rPr>
          <w:sz w:val="26"/>
          <w:szCs w:val="26"/>
        </w:rPr>
        <w:t>1</w:t>
      </w:r>
    </w:p>
    <w:p w14:paraId="00142721" w14:textId="4E57CB5F" w:rsidR="00024D4C" w:rsidRPr="0064698E" w:rsidRDefault="00024D4C" w:rsidP="00024D4C">
      <w:pPr>
        <w:tabs>
          <w:tab w:val="left" w:pos="0"/>
          <w:tab w:val="right" w:leader="dot" w:pos="9360"/>
        </w:tabs>
        <w:spacing w:line="480" w:lineRule="auto"/>
        <w:rPr>
          <w:sz w:val="26"/>
          <w:szCs w:val="26"/>
        </w:rPr>
      </w:pPr>
      <w:r w:rsidRPr="0064698E">
        <w:rPr>
          <w:sz w:val="26"/>
          <w:szCs w:val="26"/>
        </w:rPr>
        <w:t>ARGUMENT</w:t>
      </w:r>
      <w:r w:rsidRPr="0064698E">
        <w:rPr>
          <w:sz w:val="26"/>
          <w:szCs w:val="26"/>
        </w:rPr>
        <w:tab/>
      </w:r>
      <w:r w:rsidR="00C01527">
        <w:rPr>
          <w:sz w:val="26"/>
          <w:szCs w:val="26"/>
        </w:rPr>
        <w:t>5</w:t>
      </w:r>
    </w:p>
    <w:p w14:paraId="3A44F95D" w14:textId="41283932" w:rsidR="00695898" w:rsidRDefault="00695898" w:rsidP="00676114">
      <w:pPr>
        <w:pStyle w:val="ListParagraph"/>
        <w:numPr>
          <w:ilvl w:val="0"/>
          <w:numId w:val="18"/>
        </w:numPr>
        <w:tabs>
          <w:tab w:val="left" w:pos="720"/>
          <w:tab w:val="right" w:leader="dot" w:pos="9360"/>
        </w:tabs>
        <w:spacing w:after="240"/>
        <w:ind w:right="720"/>
        <w:jc w:val="both"/>
        <w:rPr>
          <w:sz w:val="26"/>
          <w:szCs w:val="26"/>
        </w:rPr>
      </w:pPr>
      <w:r w:rsidRPr="00695898">
        <w:rPr>
          <w:sz w:val="26"/>
          <w:szCs w:val="26"/>
        </w:rPr>
        <w:t>DEFENDANT’S MOTION TO SUPPRESS EVIDENCE SHOULD BE</w:t>
      </w:r>
      <w:r w:rsidR="00676114">
        <w:rPr>
          <w:sz w:val="26"/>
          <w:szCs w:val="26"/>
        </w:rPr>
        <w:t xml:space="preserve"> </w:t>
      </w:r>
      <w:r w:rsidRPr="00695898">
        <w:rPr>
          <w:sz w:val="26"/>
          <w:szCs w:val="26"/>
        </w:rPr>
        <w:t>GRANTED BECAUSE THE GOVERNMENT CANNOT SATISFY ITS BURDEN UNDER KASTIGAR</w:t>
      </w:r>
      <w:r>
        <w:rPr>
          <w:sz w:val="26"/>
          <w:szCs w:val="26"/>
        </w:rPr>
        <w:tab/>
      </w:r>
      <w:r w:rsidR="00C01527">
        <w:rPr>
          <w:sz w:val="26"/>
          <w:szCs w:val="26"/>
        </w:rPr>
        <w:t>5</w:t>
      </w:r>
    </w:p>
    <w:p w14:paraId="1C93110E" w14:textId="77777777" w:rsidR="00695898" w:rsidRPr="00695898" w:rsidRDefault="00695898" w:rsidP="006D7F95">
      <w:pPr>
        <w:pStyle w:val="ListParagraph"/>
        <w:tabs>
          <w:tab w:val="left" w:pos="720"/>
          <w:tab w:val="right" w:leader="dot" w:pos="9360"/>
        </w:tabs>
        <w:spacing w:after="240"/>
        <w:ind w:left="1080" w:right="720"/>
        <w:jc w:val="both"/>
        <w:rPr>
          <w:sz w:val="26"/>
          <w:szCs w:val="26"/>
        </w:rPr>
      </w:pPr>
    </w:p>
    <w:p w14:paraId="3A276B21" w14:textId="590AE6F2" w:rsidR="00024D4C" w:rsidRDefault="00695898" w:rsidP="006D7F95">
      <w:pPr>
        <w:pStyle w:val="ListParagraph"/>
        <w:numPr>
          <w:ilvl w:val="0"/>
          <w:numId w:val="15"/>
        </w:numPr>
        <w:tabs>
          <w:tab w:val="left" w:pos="720"/>
          <w:tab w:val="right" w:leader="dot" w:pos="9360"/>
        </w:tabs>
        <w:spacing w:before="240" w:after="240"/>
        <w:ind w:right="720"/>
        <w:jc w:val="both"/>
        <w:rPr>
          <w:sz w:val="26"/>
          <w:szCs w:val="26"/>
        </w:rPr>
      </w:pPr>
      <w:r w:rsidRPr="00695898">
        <w:rPr>
          <w:sz w:val="26"/>
          <w:szCs w:val="26"/>
        </w:rPr>
        <w:t>The Government Cannot Prove That Parker’s Testimony Was Independently Derived</w:t>
      </w:r>
      <w:r>
        <w:rPr>
          <w:sz w:val="26"/>
          <w:szCs w:val="26"/>
        </w:rPr>
        <w:tab/>
      </w:r>
      <w:r w:rsidR="00C01527">
        <w:rPr>
          <w:sz w:val="26"/>
          <w:szCs w:val="26"/>
        </w:rPr>
        <w:t>5</w:t>
      </w:r>
    </w:p>
    <w:p w14:paraId="548BF73C" w14:textId="77777777" w:rsidR="00695898" w:rsidRPr="00695898" w:rsidRDefault="00695898" w:rsidP="006D7F95">
      <w:pPr>
        <w:pStyle w:val="ListParagraph"/>
        <w:tabs>
          <w:tab w:val="left" w:pos="720"/>
          <w:tab w:val="right" w:leader="dot" w:pos="9360"/>
        </w:tabs>
        <w:spacing w:after="240"/>
        <w:ind w:left="1440" w:right="720"/>
        <w:jc w:val="both"/>
        <w:rPr>
          <w:sz w:val="26"/>
          <w:szCs w:val="26"/>
        </w:rPr>
      </w:pPr>
    </w:p>
    <w:p w14:paraId="43317467" w14:textId="592CB46F" w:rsidR="00695898" w:rsidRDefault="00695898" w:rsidP="006D7F95">
      <w:pPr>
        <w:pStyle w:val="ListParagraph"/>
        <w:numPr>
          <w:ilvl w:val="0"/>
          <w:numId w:val="16"/>
        </w:numPr>
        <w:tabs>
          <w:tab w:val="left" w:pos="720"/>
          <w:tab w:val="right" w:leader="dot" w:pos="9360"/>
        </w:tabs>
        <w:spacing w:after="240"/>
        <w:ind w:right="720"/>
        <w:jc w:val="both"/>
        <w:rPr>
          <w:sz w:val="26"/>
          <w:szCs w:val="26"/>
        </w:rPr>
      </w:pPr>
      <w:r w:rsidRPr="00695898">
        <w:rPr>
          <w:sz w:val="26"/>
          <w:szCs w:val="26"/>
        </w:rPr>
        <w:t xml:space="preserve">Parker’s Lack </w:t>
      </w:r>
      <w:r>
        <w:rPr>
          <w:sz w:val="26"/>
          <w:szCs w:val="26"/>
        </w:rPr>
        <w:t>o</w:t>
      </w:r>
      <w:r w:rsidRPr="00695898">
        <w:rPr>
          <w:sz w:val="26"/>
          <w:szCs w:val="26"/>
        </w:rPr>
        <w:t xml:space="preserve">f Exposure </w:t>
      </w:r>
      <w:r>
        <w:rPr>
          <w:sz w:val="26"/>
          <w:szCs w:val="26"/>
        </w:rPr>
        <w:t>a</w:t>
      </w:r>
      <w:r w:rsidRPr="00695898">
        <w:rPr>
          <w:sz w:val="26"/>
          <w:szCs w:val="26"/>
        </w:rPr>
        <w:t xml:space="preserve">nd </w:t>
      </w:r>
      <w:r>
        <w:rPr>
          <w:sz w:val="26"/>
          <w:szCs w:val="26"/>
        </w:rPr>
        <w:t>t</w:t>
      </w:r>
      <w:r w:rsidRPr="00695898">
        <w:rPr>
          <w:sz w:val="26"/>
          <w:szCs w:val="26"/>
        </w:rPr>
        <w:t xml:space="preserve">he Government’s Prior Knowledge </w:t>
      </w:r>
      <w:r>
        <w:rPr>
          <w:sz w:val="26"/>
          <w:szCs w:val="26"/>
        </w:rPr>
        <w:t>o</w:t>
      </w:r>
      <w:r w:rsidRPr="00695898">
        <w:rPr>
          <w:sz w:val="26"/>
          <w:szCs w:val="26"/>
        </w:rPr>
        <w:t xml:space="preserve">f </w:t>
      </w:r>
      <w:r>
        <w:rPr>
          <w:sz w:val="26"/>
          <w:szCs w:val="26"/>
        </w:rPr>
        <w:t>h</w:t>
      </w:r>
      <w:r w:rsidRPr="00695898">
        <w:rPr>
          <w:sz w:val="26"/>
          <w:szCs w:val="26"/>
        </w:rPr>
        <w:t xml:space="preserve">er Identity </w:t>
      </w:r>
      <w:r>
        <w:rPr>
          <w:sz w:val="26"/>
          <w:szCs w:val="26"/>
        </w:rPr>
        <w:t>d</w:t>
      </w:r>
      <w:r w:rsidRPr="00695898">
        <w:rPr>
          <w:sz w:val="26"/>
          <w:szCs w:val="26"/>
        </w:rPr>
        <w:t xml:space="preserve">o </w:t>
      </w:r>
      <w:r>
        <w:rPr>
          <w:sz w:val="26"/>
          <w:szCs w:val="26"/>
        </w:rPr>
        <w:t>n</w:t>
      </w:r>
      <w:r w:rsidRPr="00695898">
        <w:rPr>
          <w:sz w:val="26"/>
          <w:szCs w:val="26"/>
        </w:rPr>
        <w:t>ot Resolve Independent Derivatio</w:t>
      </w:r>
      <w:r w:rsidR="00654925">
        <w:rPr>
          <w:sz w:val="26"/>
          <w:szCs w:val="26"/>
        </w:rPr>
        <w:t>n</w:t>
      </w:r>
      <w:r>
        <w:rPr>
          <w:sz w:val="26"/>
          <w:szCs w:val="26"/>
        </w:rPr>
        <w:tab/>
      </w:r>
      <w:r w:rsidR="00C01527">
        <w:rPr>
          <w:sz w:val="26"/>
          <w:szCs w:val="26"/>
        </w:rPr>
        <w:t>6</w:t>
      </w:r>
    </w:p>
    <w:p w14:paraId="2A9EA98E" w14:textId="77777777" w:rsidR="00695898" w:rsidRPr="00695898" w:rsidRDefault="00695898" w:rsidP="006D7F95">
      <w:pPr>
        <w:pStyle w:val="ListParagraph"/>
        <w:tabs>
          <w:tab w:val="left" w:pos="720"/>
          <w:tab w:val="right" w:leader="dot" w:pos="9360"/>
        </w:tabs>
        <w:spacing w:after="240"/>
        <w:ind w:left="1800" w:right="720"/>
        <w:jc w:val="both"/>
        <w:rPr>
          <w:sz w:val="26"/>
          <w:szCs w:val="26"/>
        </w:rPr>
      </w:pPr>
    </w:p>
    <w:p w14:paraId="0E5EC584" w14:textId="28E61DA2" w:rsidR="00695898" w:rsidRDefault="00695898" w:rsidP="006D7F95">
      <w:pPr>
        <w:pStyle w:val="ListParagraph"/>
        <w:numPr>
          <w:ilvl w:val="0"/>
          <w:numId w:val="16"/>
        </w:numPr>
        <w:tabs>
          <w:tab w:val="left" w:pos="720"/>
          <w:tab w:val="right" w:leader="dot" w:pos="9360"/>
        </w:tabs>
        <w:spacing w:after="240"/>
        <w:ind w:right="720"/>
        <w:jc w:val="both"/>
        <w:rPr>
          <w:sz w:val="26"/>
          <w:szCs w:val="26"/>
        </w:rPr>
      </w:pPr>
      <w:r w:rsidRPr="00695898">
        <w:rPr>
          <w:sz w:val="26"/>
          <w:szCs w:val="26"/>
        </w:rPr>
        <w:t xml:space="preserve">The Government Cannot Trace Parker’s October 31 Interview </w:t>
      </w:r>
      <w:r>
        <w:rPr>
          <w:sz w:val="26"/>
          <w:szCs w:val="26"/>
        </w:rPr>
        <w:t>t</w:t>
      </w:r>
      <w:r w:rsidRPr="00695898">
        <w:rPr>
          <w:sz w:val="26"/>
          <w:szCs w:val="26"/>
        </w:rPr>
        <w:t xml:space="preserve">o </w:t>
      </w:r>
      <w:r>
        <w:rPr>
          <w:sz w:val="26"/>
          <w:szCs w:val="26"/>
        </w:rPr>
        <w:t>i</w:t>
      </w:r>
      <w:r w:rsidRPr="00695898">
        <w:rPr>
          <w:sz w:val="26"/>
          <w:szCs w:val="26"/>
        </w:rPr>
        <w:t>ts Pre-Testimony Plan</w:t>
      </w:r>
      <w:r>
        <w:rPr>
          <w:sz w:val="26"/>
          <w:szCs w:val="26"/>
        </w:rPr>
        <w:tab/>
      </w:r>
      <w:r w:rsidR="00C01527">
        <w:rPr>
          <w:sz w:val="26"/>
          <w:szCs w:val="26"/>
        </w:rPr>
        <w:t>7</w:t>
      </w:r>
    </w:p>
    <w:p w14:paraId="67A21333" w14:textId="77777777" w:rsidR="00695898" w:rsidRPr="00695898" w:rsidRDefault="00695898" w:rsidP="006D7F95">
      <w:pPr>
        <w:pStyle w:val="ListParagraph"/>
        <w:tabs>
          <w:tab w:val="left" w:pos="720"/>
          <w:tab w:val="right" w:leader="dot" w:pos="9360"/>
        </w:tabs>
        <w:spacing w:after="240"/>
        <w:ind w:left="1800" w:right="720"/>
        <w:jc w:val="both"/>
        <w:rPr>
          <w:sz w:val="26"/>
          <w:szCs w:val="26"/>
        </w:rPr>
      </w:pPr>
    </w:p>
    <w:p w14:paraId="4DCF0548" w14:textId="1D6E3D7E" w:rsidR="00695898" w:rsidRDefault="00695898" w:rsidP="006D7F95">
      <w:pPr>
        <w:pStyle w:val="ListParagraph"/>
        <w:numPr>
          <w:ilvl w:val="0"/>
          <w:numId w:val="16"/>
        </w:numPr>
        <w:tabs>
          <w:tab w:val="left" w:pos="720"/>
          <w:tab w:val="right" w:leader="dot" w:pos="9360"/>
        </w:tabs>
        <w:spacing w:after="240"/>
        <w:ind w:right="720"/>
        <w:jc w:val="both"/>
        <w:rPr>
          <w:sz w:val="26"/>
          <w:szCs w:val="26"/>
        </w:rPr>
      </w:pPr>
      <w:r w:rsidRPr="00695898">
        <w:rPr>
          <w:sz w:val="26"/>
          <w:szCs w:val="26"/>
        </w:rPr>
        <w:t xml:space="preserve">The Investigative Wall Does Not Substitute </w:t>
      </w:r>
      <w:r w:rsidR="000C35EC">
        <w:rPr>
          <w:sz w:val="26"/>
          <w:szCs w:val="26"/>
        </w:rPr>
        <w:t>f</w:t>
      </w:r>
      <w:r w:rsidRPr="00695898">
        <w:rPr>
          <w:sz w:val="26"/>
          <w:szCs w:val="26"/>
        </w:rPr>
        <w:t xml:space="preserve">or Proof </w:t>
      </w:r>
      <w:r w:rsidR="000C35EC">
        <w:rPr>
          <w:sz w:val="26"/>
          <w:szCs w:val="26"/>
        </w:rPr>
        <w:t>o</w:t>
      </w:r>
      <w:r w:rsidRPr="00695898">
        <w:rPr>
          <w:sz w:val="26"/>
          <w:szCs w:val="26"/>
        </w:rPr>
        <w:t>f Parker’s Independent Derivation</w:t>
      </w:r>
      <w:r>
        <w:rPr>
          <w:sz w:val="26"/>
          <w:szCs w:val="26"/>
        </w:rPr>
        <w:tab/>
      </w:r>
      <w:r w:rsidR="00C01527">
        <w:rPr>
          <w:sz w:val="26"/>
          <w:szCs w:val="26"/>
        </w:rPr>
        <w:t>9</w:t>
      </w:r>
    </w:p>
    <w:p w14:paraId="0FD59BB8" w14:textId="77777777" w:rsidR="00695898" w:rsidRPr="00695898" w:rsidRDefault="00695898" w:rsidP="006D7F95">
      <w:pPr>
        <w:pStyle w:val="ListParagraph"/>
        <w:tabs>
          <w:tab w:val="left" w:pos="720"/>
          <w:tab w:val="right" w:leader="dot" w:pos="9360"/>
        </w:tabs>
        <w:spacing w:after="240"/>
        <w:ind w:left="1800" w:right="720"/>
        <w:jc w:val="both"/>
        <w:rPr>
          <w:sz w:val="26"/>
          <w:szCs w:val="26"/>
        </w:rPr>
      </w:pPr>
    </w:p>
    <w:p w14:paraId="2C13E141" w14:textId="363CB1BA" w:rsidR="00695898" w:rsidRDefault="00695898" w:rsidP="006D7F95">
      <w:pPr>
        <w:pStyle w:val="ListParagraph"/>
        <w:numPr>
          <w:ilvl w:val="0"/>
          <w:numId w:val="15"/>
        </w:numPr>
        <w:tabs>
          <w:tab w:val="left" w:pos="720"/>
          <w:tab w:val="right" w:leader="dot" w:pos="9360"/>
        </w:tabs>
        <w:spacing w:after="240"/>
        <w:ind w:right="720"/>
        <w:jc w:val="both"/>
        <w:rPr>
          <w:sz w:val="26"/>
          <w:szCs w:val="26"/>
        </w:rPr>
      </w:pPr>
      <w:r w:rsidRPr="00695898">
        <w:rPr>
          <w:sz w:val="26"/>
          <w:szCs w:val="26"/>
        </w:rPr>
        <w:t>The Government Cannot Prove That Exhibit 19 Was Independently Derived</w:t>
      </w:r>
      <w:r>
        <w:rPr>
          <w:sz w:val="26"/>
          <w:szCs w:val="26"/>
        </w:rPr>
        <w:tab/>
      </w:r>
      <w:r w:rsidR="00C01527">
        <w:rPr>
          <w:sz w:val="26"/>
          <w:szCs w:val="26"/>
        </w:rPr>
        <w:t>10</w:t>
      </w:r>
    </w:p>
    <w:p w14:paraId="5BFCDECD" w14:textId="77777777" w:rsidR="00695898" w:rsidRPr="00695898" w:rsidRDefault="00695898" w:rsidP="006D7F95">
      <w:pPr>
        <w:pStyle w:val="ListParagraph"/>
        <w:tabs>
          <w:tab w:val="left" w:pos="720"/>
          <w:tab w:val="right" w:leader="dot" w:pos="9360"/>
        </w:tabs>
        <w:spacing w:after="240"/>
        <w:ind w:left="1440" w:right="720"/>
        <w:jc w:val="both"/>
        <w:rPr>
          <w:sz w:val="26"/>
          <w:szCs w:val="26"/>
        </w:rPr>
      </w:pPr>
    </w:p>
    <w:p w14:paraId="7B0EBFAB" w14:textId="2C7D1634" w:rsidR="00695898" w:rsidRDefault="00695898" w:rsidP="006D7F95">
      <w:pPr>
        <w:pStyle w:val="ListParagraph"/>
        <w:numPr>
          <w:ilvl w:val="0"/>
          <w:numId w:val="17"/>
        </w:numPr>
        <w:tabs>
          <w:tab w:val="left" w:pos="720"/>
          <w:tab w:val="right" w:leader="dot" w:pos="9360"/>
        </w:tabs>
        <w:spacing w:after="240"/>
        <w:ind w:right="720"/>
        <w:jc w:val="both"/>
        <w:rPr>
          <w:sz w:val="26"/>
          <w:szCs w:val="26"/>
        </w:rPr>
      </w:pPr>
      <w:r w:rsidRPr="00695898">
        <w:rPr>
          <w:sz w:val="26"/>
          <w:szCs w:val="26"/>
        </w:rPr>
        <w:t xml:space="preserve">Parker’s Disclosure </w:t>
      </w:r>
      <w:r w:rsidR="000C35EC">
        <w:rPr>
          <w:sz w:val="26"/>
          <w:szCs w:val="26"/>
        </w:rPr>
        <w:t>o</w:t>
      </w:r>
      <w:r w:rsidRPr="00695898">
        <w:rPr>
          <w:sz w:val="26"/>
          <w:szCs w:val="26"/>
        </w:rPr>
        <w:t xml:space="preserve">f </w:t>
      </w:r>
      <w:r w:rsidR="000C35EC">
        <w:rPr>
          <w:sz w:val="26"/>
          <w:szCs w:val="26"/>
        </w:rPr>
        <w:t>t</w:t>
      </w:r>
      <w:r w:rsidRPr="00695898">
        <w:rPr>
          <w:sz w:val="26"/>
          <w:szCs w:val="26"/>
        </w:rPr>
        <w:t xml:space="preserve">he Storage Unit </w:t>
      </w:r>
      <w:r w:rsidR="000C35EC">
        <w:rPr>
          <w:sz w:val="26"/>
          <w:szCs w:val="26"/>
        </w:rPr>
        <w:t>w</w:t>
      </w:r>
      <w:r w:rsidRPr="00695898">
        <w:rPr>
          <w:sz w:val="26"/>
          <w:szCs w:val="26"/>
        </w:rPr>
        <w:t xml:space="preserve">as </w:t>
      </w:r>
      <w:r w:rsidR="000C35EC">
        <w:rPr>
          <w:sz w:val="26"/>
          <w:szCs w:val="26"/>
        </w:rPr>
        <w:t>t</w:t>
      </w:r>
      <w:r w:rsidRPr="00695898">
        <w:rPr>
          <w:sz w:val="26"/>
          <w:szCs w:val="26"/>
        </w:rPr>
        <w:t xml:space="preserve">he First Link </w:t>
      </w:r>
      <w:r w:rsidR="000C35EC">
        <w:rPr>
          <w:sz w:val="26"/>
          <w:szCs w:val="26"/>
        </w:rPr>
        <w:t>i</w:t>
      </w:r>
      <w:r w:rsidRPr="00695898">
        <w:rPr>
          <w:sz w:val="26"/>
          <w:szCs w:val="26"/>
        </w:rPr>
        <w:t xml:space="preserve">n </w:t>
      </w:r>
      <w:r w:rsidR="000C35EC">
        <w:rPr>
          <w:sz w:val="26"/>
          <w:szCs w:val="26"/>
        </w:rPr>
        <w:t>t</w:t>
      </w:r>
      <w:r w:rsidRPr="00695898">
        <w:rPr>
          <w:sz w:val="26"/>
          <w:szCs w:val="26"/>
        </w:rPr>
        <w:t xml:space="preserve">he Investigative Chain Leading </w:t>
      </w:r>
      <w:r w:rsidR="000C35EC">
        <w:rPr>
          <w:sz w:val="26"/>
          <w:szCs w:val="26"/>
        </w:rPr>
        <w:t>t</w:t>
      </w:r>
      <w:r w:rsidRPr="00695898">
        <w:rPr>
          <w:sz w:val="26"/>
          <w:szCs w:val="26"/>
        </w:rPr>
        <w:t>o Exhibit 19</w:t>
      </w:r>
      <w:r>
        <w:rPr>
          <w:sz w:val="26"/>
          <w:szCs w:val="26"/>
        </w:rPr>
        <w:tab/>
      </w:r>
      <w:r w:rsidR="00C01527">
        <w:rPr>
          <w:sz w:val="26"/>
          <w:szCs w:val="26"/>
        </w:rPr>
        <w:t>10</w:t>
      </w:r>
    </w:p>
    <w:p w14:paraId="44A79BAA" w14:textId="77777777" w:rsidR="00695898" w:rsidRPr="00695898" w:rsidRDefault="00695898" w:rsidP="006D7F95">
      <w:pPr>
        <w:pStyle w:val="ListParagraph"/>
        <w:tabs>
          <w:tab w:val="left" w:pos="720"/>
          <w:tab w:val="right" w:leader="dot" w:pos="9360"/>
        </w:tabs>
        <w:spacing w:after="240"/>
        <w:ind w:left="1800" w:right="720"/>
        <w:jc w:val="both"/>
        <w:rPr>
          <w:sz w:val="26"/>
          <w:szCs w:val="26"/>
        </w:rPr>
      </w:pPr>
    </w:p>
    <w:p w14:paraId="6CB4F725" w14:textId="0FD57A67" w:rsidR="00695898" w:rsidRDefault="00695898" w:rsidP="006D7F95">
      <w:pPr>
        <w:pStyle w:val="ListParagraph"/>
        <w:numPr>
          <w:ilvl w:val="0"/>
          <w:numId w:val="17"/>
        </w:numPr>
        <w:tabs>
          <w:tab w:val="left" w:pos="720"/>
          <w:tab w:val="right" w:leader="dot" w:pos="9360"/>
        </w:tabs>
        <w:spacing w:after="240"/>
        <w:ind w:right="720"/>
        <w:jc w:val="both"/>
        <w:rPr>
          <w:sz w:val="26"/>
          <w:szCs w:val="26"/>
        </w:rPr>
      </w:pPr>
      <w:r w:rsidRPr="00695898">
        <w:rPr>
          <w:sz w:val="26"/>
          <w:szCs w:val="26"/>
        </w:rPr>
        <w:t xml:space="preserve">Agent Nolan’s Prediction </w:t>
      </w:r>
      <w:r w:rsidR="00654925">
        <w:rPr>
          <w:sz w:val="26"/>
          <w:szCs w:val="26"/>
        </w:rPr>
        <w:t>t</w:t>
      </w:r>
      <w:r w:rsidRPr="00695898">
        <w:rPr>
          <w:sz w:val="26"/>
          <w:szCs w:val="26"/>
        </w:rPr>
        <w:t xml:space="preserve">hat </w:t>
      </w:r>
      <w:r w:rsidR="000C35EC">
        <w:rPr>
          <w:sz w:val="26"/>
          <w:szCs w:val="26"/>
        </w:rPr>
        <w:t>h</w:t>
      </w:r>
      <w:r w:rsidRPr="00695898">
        <w:rPr>
          <w:sz w:val="26"/>
          <w:szCs w:val="26"/>
        </w:rPr>
        <w:t xml:space="preserve">e “Would’ve Found </w:t>
      </w:r>
      <w:r w:rsidR="000C35EC">
        <w:rPr>
          <w:sz w:val="26"/>
          <w:szCs w:val="26"/>
        </w:rPr>
        <w:t>i</w:t>
      </w:r>
      <w:r w:rsidRPr="00695898">
        <w:rPr>
          <w:sz w:val="26"/>
          <w:szCs w:val="26"/>
        </w:rPr>
        <w:t xml:space="preserve">t One Way </w:t>
      </w:r>
      <w:r w:rsidR="000C35EC">
        <w:rPr>
          <w:sz w:val="26"/>
          <w:szCs w:val="26"/>
        </w:rPr>
        <w:t>o</w:t>
      </w:r>
      <w:r w:rsidRPr="00695898">
        <w:rPr>
          <w:sz w:val="26"/>
          <w:szCs w:val="26"/>
        </w:rPr>
        <w:t xml:space="preserve">r Another” Does Not Establish </w:t>
      </w:r>
      <w:r w:rsidR="000C35EC">
        <w:rPr>
          <w:sz w:val="26"/>
          <w:szCs w:val="26"/>
        </w:rPr>
        <w:t>a</w:t>
      </w:r>
      <w:r w:rsidRPr="00695898">
        <w:rPr>
          <w:sz w:val="26"/>
          <w:szCs w:val="26"/>
        </w:rPr>
        <w:t xml:space="preserve">n Independent Path </w:t>
      </w:r>
      <w:r w:rsidR="000C35EC">
        <w:rPr>
          <w:sz w:val="26"/>
          <w:szCs w:val="26"/>
        </w:rPr>
        <w:t>t</w:t>
      </w:r>
      <w:r w:rsidRPr="00695898">
        <w:rPr>
          <w:sz w:val="26"/>
          <w:szCs w:val="26"/>
        </w:rPr>
        <w:t>o Exhibit 19</w:t>
      </w:r>
      <w:r>
        <w:rPr>
          <w:sz w:val="26"/>
          <w:szCs w:val="26"/>
        </w:rPr>
        <w:tab/>
      </w:r>
      <w:r w:rsidR="00C01527">
        <w:rPr>
          <w:sz w:val="26"/>
          <w:szCs w:val="26"/>
        </w:rPr>
        <w:t>11</w:t>
      </w:r>
    </w:p>
    <w:p w14:paraId="63F46E1E" w14:textId="77777777" w:rsidR="006D7F95" w:rsidRPr="006D7F95" w:rsidRDefault="006D7F95" w:rsidP="006D7F95">
      <w:pPr>
        <w:pStyle w:val="ListParagraph"/>
        <w:tabs>
          <w:tab w:val="left" w:pos="720"/>
          <w:tab w:val="right" w:leader="dot" w:pos="9360"/>
        </w:tabs>
        <w:spacing w:after="240"/>
        <w:ind w:left="2160" w:right="720"/>
        <w:jc w:val="both"/>
        <w:rPr>
          <w:sz w:val="26"/>
          <w:szCs w:val="26"/>
        </w:rPr>
      </w:pPr>
    </w:p>
    <w:p w14:paraId="4436DF6F" w14:textId="3BA9B13C" w:rsidR="00144D17" w:rsidRPr="00F013C8" w:rsidRDefault="00F013C8" w:rsidP="00F013C8">
      <w:pPr>
        <w:pStyle w:val="ListParagraph"/>
        <w:numPr>
          <w:ilvl w:val="0"/>
          <w:numId w:val="18"/>
        </w:numPr>
        <w:tabs>
          <w:tab w:val="left" w:pos="720"/>
          <w:tab w:val="right" w:leader="dot" w:pos="9360"/>
        </w:tabs>
        <w:rPr>
          <w:sz w:val="26"/>
          <w:szCs w:val="26"/>
        </w:rPr>
      </w:pPr>
      <w:r w:rsidRPr="00F013C8">
        <w:rPr>
          <w:sz w:val="26"/>
          <w:szCs w:val="26"/>
        </w:rPr>
        <w:t>THE GOVERNMENT'S SUBPOENA DUCES TECUM FAILS RULE 17(c)’S THRESHOLD REQUIREMENTS, AND INDEPENDENTLY, EXHIBIT 21 IS UNDISCOVERABLE WORK PRODUCT</w:t>
      </w:r>
      <w:r w:rsidR="00F531ED" w:rsidRPr="00F013C8">
        <w:rPr>
          <w:sz w:val="26"/>
          <w:szCs w:val="26"/>
        </w:rPr>
        <w:tab/>
      </w:r>
      <w:r w:rsidR="00C01527">
        <w:rPr>
          <w:sz w:val="26"/>
          <w:szCs w:val="26"/>
        </w:rPr>
        <w:t>12</w:t>
      </w:r>
    </w:p>
    <w:p w14:paraId="35AB567F" w14:textId="77777777" w:rsidR="00144D17" w:rsidRPr="0064698E" w:rsidRDefault="00144D17" w:rsidP="006D7F95">
      <w:pPr>
        <w:pStyle w:val="ListParagraph"/>
        <w:spacing w:after="240"/>
        <w:ind w:left="1080" w:right="720"/>
        <w:jc w:val="both"/>
        <w:rPr>
          <w:sz w:val="26"/>
          <w:szCs w:val="26"/>
        </w:rPr>
      </w:pPr>
    </w:p>
    <w:p w14:paraId="5393490B" w14:textId="62CA7CC4" w:rsidR="00144D17" w:rsidRPr="000C3CDC" w:rsidRDefault="000C3CDC" w:rsidP="000C3CDC">
      <w:pPr>
        <w:pStyle w:val="ListParagraph"/>
        <w:numPr>
          <w:ilvl w:val="0"/>
          <w:numId w:val="9"/>
        </w:numPr>
        <w:tabs>
          <w:tab w:val="left" w:pos="720"/>
          <w:tab w:val="right" w:leader="dot" w:pos="9360"/>
        </w:tabs>
        <w:ind w:right="720"/>
        <w:jc w:val="both"/>
        <w:rPr>
          <w:sz w:val="26"/>
          <w:szCs w:val="26"/>
        </w:rPr>
      </w:pPr>
      <w:r w:rsidRPr="000C3CDC">
        <w:rPr>
          <w:sz w:val="26"/>
          <w:szCs w:val="26"/>
        </w:rPr>
        <w:lastRenderedPageBreak/>
        <w:t xml:space="preserve">The Subpoena Fails Rule 17(c)’s Threshold Requirements </w:t>
      </w:r>
      <w:r>
        <w:rPr>
          <w:sz w:val="26"/>
          <w:szCs w:val="26"/>
        </w:rPr>
        <w:t>F</w:t>
      </w:r>
      <w:r w:rsidRPr="000C3CDC">
        <w:rPr>
          <w:sz w:val="26"/>
          <w:szCs w:val="26"/>
        </w:rPr>
        <w:t>or Pretrial Production</w:t>
      </w:r>
      <w:r>
        <w:rPr>
          <w:sz w:val="26"/>
          <w:szCs w:val="26"/>
        </w:rPr>
        <w:tab/>
      </w:r>
      <w:r w:rsidR="00C01527">
        <w:rPr>
          <w:sz w:val="26"/>
          <w:szCs w:val="26"/>
        </w:rPr>
        <w:t>13</w:t>
      </w:r>
    </w:p>
    <w:p w14:paraId="49E80389" w14:textId="77777777" w:rsidR="000C3CDC" w:rsidRPr="0064698E" w:rsidRDefault="000C3CDC" w:rsidP="000C3CDC">
      <w:pPr>
        <w:pStyle w:val="ListParagraph"/>
        <w:tabs>
          <w:tab w:val="left" w:pos="720"/>
          <w:tab w:val="right" w:leader="dot" w:pos="9360"/>
        </w:tabs>
        <w:spacing w:after="240"/>
        <w:ind w:left="1800" w:right="720"/>
        <w:jc w:val="both"/>
        <w:rPr>
          <w:sz w:val="26"/>
          <w:szCs w:val="26"/>
        </w:rPr>
      </w:pPr>
    </w:p>
    <w:p w14:paraId="3B95E760" w14:textId="340238C7" w:rsidR="000C3CDC" w:rsidRPr="0064698E" w:rsidRDefault="000C3CDC" w:rsidP="000C3CDC">
      <w:pPr>
        <w:pStyle w:val="ListParagraph"/>
        <w:numPr>
          <w:ilvl w:val="0"/>
          <w:numId w:val="9"/>
        </w:numPr>
        <w:tabs>
          <w:tab w:val="left" w:pos="720"/>
          <w:tab w:val="right" w:leader="dot" w:pos="9360"/>
        </w:tabs>
        <w:spacing w:after="240"/>
        <w:ind w:right="720"/>
        <w:jc w:val="both"/>
        <w:rPr>
          <w:sz w:val="26"/>
          <w:szCs w:val="26"/>
        </w:rPr>
      </w:pPr>
      <w:r w:rsidRPr="0064698E">
        <w:rPr>
          <w:sz w:val="26"/>
          <w:szCs w:val="26"/>
        </w:rPr>
        <w:t>Exhibit 21 Is Work Product Because It Was Prepared In Anticipation Of This Very Prosecution, Even Before Ms. Calloway Was Indicted</w:t>
      </w:r>
      <w:r w:rsidRPr="0064698E">
        <w:rPr>
          <w:sz w:val="26"/>
          <w:szCs w:val="26"/>
        </w:rPr>
        <w:tab/>
      </w:r>
      <w:r w:rsidR="00C01527">
        <w:rPr>
          <w:sz w:val="26"/>
          <w:szCs w:val="26"/>
        </w:rPr>
        <w:t>15</w:t>
      </w:r>
    </w:p>
    <w:p w14:paraId="1F041CE0" w14:textId="05F8D733" w:rsidR="00144D17" w:rsidRPr="0064698E" w:rsidRDefault="00144D17" w:rsidP="006D7F95">
      <w:pPr>
        <w:pStyle w:val="ListParagraph"/>
        <w:spacing w:after="240"/>
        <w:ind w:left="1440" w:right="720"/>
        <w:jc w:val="both"/>
        <w:rPr>
          <w:sz w:val="26"/>
          <w:szCs w:val="26"/>
        </w:rPr>
      </w:pPr>
    </w:p>
    <w:p w14:paraId="726ACAF4" w14:textId="3E537CDA" w:rsidR="00144D17" w:rsidRPr="0064698E" w:rsidRDefault="00144D17" w:rsidP="006D7F95">
      <w:pPr>
        <w:pStyle w:val="ListParagraph"/>
        <w:numPr>
          <w:ilvl w:val="0"/>
          <w:numId w:val="9"/>
        </w:numPr>
        <w:tabs>
          <w:tab w:val="left" w:pos="720"/>
          <w:tab w:val="right" w:leader="dot" w:pos="9360"/>
        </w:tabs>
        <w:spacing w:after="240"/>
        <w:ind w:right="720"/>
        <w:jc w:val="both"/>
        <w:rPr>
          <w:sz w:val="26"/>
          <w:szCs w:val="26"/>
        </w:rPr>
      </w:pPr>
      <w:r w:rsidRPr="0064698E">
        <w:rPr>
          <w:sz w:val="26"/>
          <w:szCs w:val="26"/>
        </w:rPr>
        <w:t>Exhibit 21 Is Not Discoverable Because The Government Cannot Overcome Either Tier of Work-Product Protection</w:t>
      </w:r>
      <w:r w:rsidR="00F531ED" w:rsidRPr="0064698E">
        <w:rPr>
          <w:sz w:val="26"/>
          <w:szCs w:val="26"/>
        </w:rPr>
        <w:tab/>
      </w:r>
      <w:r w:rsidR="00C01527">
        <w:rPr>
          <w:sz w:val="26"/>
          <w:szCs w:val="26"/>
        </w:rPr>
        <w:t>17</w:t>
      </w:r>
    </w:p>
    <w:p w14:paraId="5337E8F0" w14:textId="77777777" w:rsidR="00654925" w:rsidRDefault="00654925" w:rsidP="006D7F95">
      <w:pPr>
        <w:pStyle w:val="ListParagraph"/>
        <w:spacing w:after="240"/>
        <w:ind w:left="1800" w:right="720"/>
        <w:jc w:val="both"/>
        <w:rPr>
          <w:sz w:val="26"/>
          <w:szCs w:val="26"/>
        </w:rPr>
      </w:pPr>
    </w:p>
    <w:p w14:paraId="6E043AA1" w14:textId="791DE949" w:rsidR="00144D17" w:rsidRPr="0064698E" w:rsidRDefault="00144D17" w:rsidP="006D7F95">
      <w:pPr>
        <w:pStyle w:val="ListParagraph"/>
        <w:numPr>
          <w:ilvl w:val="0"/>
          <w:numId w:val="10"/>
        </w:numPr>
        <w:tabs>
          <w:tab w:val="left" w:pos="720"/>
          <w:tab w:val="right" w:leader="dot" w:pos="9360"/>
        </w:tabs>
        <w:spacing w:after="240"/>
        <w:ind w:right="720"/>
        <w:jc w:val="both"/>
        <w:rPr>
          <w:sz w:val="26"/>
          <w:szCs w:val="26"/>
        </w:rPr>
      </w:pPr>
      <w:r w:rsidRPr="0064698E">
        <w:rPr>
          <w:sz w:val="26"/>
          <w:szCs w:val="26"/>
        </w:rPr>
        <w:t>Exhibit 21 is Opinion Work Product Entitled to Near-Absolute Immunit</w:t>
      </w:r>
      <w:r w:rsidR="00654925">
        <w:rPr>
          <w:sz w:val="26"/>
          <w:szCs w:val="26"/>
        </w:rPr>
        <w:t>y</w:t>
      </w:r>
      <w:r w:rsidR="00654925">
        <w:rPr>
          <w:sz w:val="26"/>
          <w:szCs w:val="26"/>
        </w:rPr>
        <w:tab/>
      </w:r>
      <w:r w:rsidR="00C01527">
        <w:rPr>
          <w:sz w:val="26"/>
          <w:szCs w:val="26"/>
        </w:rPr>
        <w:t>17</w:t>
      </w:r>
    </w:p>
    <w:p w14:paraId="2A48C8B3" w14:textId="77777777" w:rsidR="00144D17" w:rsidRPr="0064698E" w:rsidRDefault="00144D17" w:rsidP="006D7F95">
      <w:pPr>
        <w:pStyle w:val="ListParagraph"/>
        <w:spacing w:after="240"/>
        <w:ind w:left="1800" w:right="720"/>
        <w:jc w:val="both"/>
        <w:rPr>
          <w:sz w:val="26"/>
          <w:szCs w:val="26"/>
        </w:rPr>
      </w:pPr>
    </w:p>
    <w:p w14:paraId="13D06B5F" w14:textId="3E64FFBE" w:rsidR="00144D17" w:rsidRPr="00676114" w:rsidRDefault="00144D17" w:rsidP="00676114">
      <w:pPr>
        <w:pStyle w:val="ListParagraph"/>
        <w:numPr>
          <w:ilvl w:val="0"/>
          <w:numId w:val="10"/>
        </w:numPr>
        <w:tabs>
          <w:tab w:val="left" w:pos="720"/>
          <w:tab w:val="right" w:leader="dot" w:pos="9360"/>
        </w:tabs>
        <w:spacing w:after="240"/>
        <w:ind w:right="720"/>
        <w:jc w:val="both"/>
        <w:rPr>
          <w:sz w:val="26"/>
          <w:szCs w:val="26"/>
        </w:rPr>
      </w:pPr>
      <w:r w:rsidRPr="0064698E">
        <w:rPr>
          <w:sz w:val="26"/>
          <w:szCs w:val="26"/>
        </w:rPr>
        <w:t xml:space="preserve">Even if Exhibit 21 </w:t>
      </w:r>
      <w:r w:rsidR="00F531ED" w:rsidRPr="0064698E">
        <w:rPr>
          <w:sz w:val="26"/>
          <w:szCs w:val="26"/>
        </w:rPr>
        <w:t>i</w:t>
      </w:r>
      <w:r w:rsidRPr="0064698E">
        <w:rPr>
          <w:sz w:val="26"/>
          <w:szCs w:val="26"/>
        </w:rPr>
        <w:t>s Ordinary Fact Work Product, the Government Cannot Show Substantial Need or Undue Hardship</w:t>
      </w:r>
      <w:r w:rsidR="00F531ED" w:rsidRPr="0064698E">
        <w:rPr>
          <w:sz w:val="26"/>
          <w:szCs w:val="26"/>
        </w:rPr>
        <w:tab/>
      </w:r>
      <w:r w:rsidR="00C01527">
        <w:rPr>
          <w:sz w:val="26"/>
          <w:szCs w:val="26"/>
        </w:rPr>
        <w:t>18</w:t>
      </w:r>
    </w:p>
    <w:p w14:paraId="3AE156BD" w14:textId="1962A21E" w:rsidR="00024D4C" w:rsidRPr="0064698E" w:rsidRDefault="00024D4C" w:rsidP="006D7F95">
      <w:pPr>
        <w:tabs>
          <w:tab w:val="left" w:pos="0"/>
          <w:tab w:val="right" w:leader="dot" w:pos="9360"/>
        </w:tabs>
        <w:spacing w:after="240" w:line="480" w:lineRule="auto"/>
        <w:rPr>
          <w:sz w:val="26"/>
          <w:szCs w:val="26"/>
        </w:rPr>
      </w:pPr>
      <w:r w:rsidRPr="0064698E">
        <w:rPr>
          <w:sz w:val="26"/>
          <w:szCs w:val="26"/>
        </w:rPr>
        <w:t>CONCLUSION</w:t>
      </w:r>
      <w:r w:rsidRPr="0064698E">
        <w:rPr>
          <w:sz w:val="26"/>
          <w:szCs w:val="26"/>
        </w:rPr>
        <w:tab/>
      </w:r>
      <w:r w:rsidR="00C01527">
        <w:rPr>
          <w:sz w:val="26"/>
          <w:szCs w:val="26"/>
        </w:rPr>
        <w:t>19</w:t>
      </w:r>
    </w:p>
    <w:p w14:paraId="75BB0537" w14:textId="22C3F7BB" w:rsidR="00024D4C" w:rsidRPr="0064698E" w:rsidRDefault="00024D4C">
      <w:pPr>
        <w:spacing w:after="160" w:line="278" w:lineRule="auto"/>
        <w:rPr>
          <w:sz w:val="26"/>
          <w:szCs w:val="26"/>
        </w:rPr>
      </w:pPr>
      <w:r w:rsidRPr="0064698E">
        <w:rPr>
          <w:sz w:val="26"/>
          <w:szCs w:val="26"/>
        </w:rPr>
        <w:br w:type="page"/>
      </w:r>
    </w:p>
    <w:p w14:paraId="53039860" w14:textId="52411E92" w:rsidR="00024D4C" w:rsidRPr="0064698E" w:rsidRDefault="00024D4C" w:rsidP="00024D4C">
      <w:pPr>
        <w:tabs>
          <w:tab w:val="left" w:pos="0"/>
          <w:tab w:val="right" w:leader="dot" w:pos="9360"/>
        </w:tabs>
        <w:spacing w:line="480" w:lineRule="auto"/>
        <w:jc w:val="center"/>
        <w:rPr>
          <w:b/>
          <w:bCs/>
          <w:sz w:val="26"/>
          <w:szCs w:val="26"/>
        </w:rPr>
      </w:pPr>
      <w:r w:rsidRPr="0064698E">
        <w:rPr>
          <w:b/>
          <w:bCs/>
          <w:sz w:val="26"/>
          <w:szCs w:val="26"/>
        </w:rPr>
        <w:lastRenderedPageBreak/>
        <w:t>TABLE OF AUTHORITIES</w:t>
      </w:r>
    </w:p>
    <w:p w14:paraId="78513F9C" w14:textId="2035BCB2" w:rsidR="00024D4C" w:rsidRPr="0064698E" w:rsidRDefault="00460190" w:rsidP="00024D4C">
      <w:pPr>
        <w:spacing w:line="480" w:lineRule="auto"/>
        <w:rPr>
          <w:b/>
          <w:bCs/>
          <w:sz w:val="26"/>
          <w:szCs w:val="26"/>
        </w:rPr>
      </w:pPr>
      <w:r>
        <w:rPr>
          <w:b/>
          <w:bCs/>
          <w:sz w:val="26"/>
          <w:szCs w:val="26"/>
        </w:rPr>
        <w:t xml:space="preserve">United States </w:t>
      </w:r>
      <w:r w:rsidR="00024D4C" w:rsidRPr="0064698E">
        <w:rPr>
          <w:b/>
          <w:bCs/>
          <w:sz w:val="26"/>
          <w:szCs w:val="26"/>
        </w:rPr>
        <w:t xml:space="preserve">Supreme Court Cases: </w:t>
      </w:r>
      <w:r w:rsidR="00024D4C" w:rsidRPr="0064698E">
        <w:rPr>
          <w:b/>
          <w:bCs/>
          <w:sz w:val="26"/>
          <w:szCs w:val="26"/>
        </w:rPr>
        <w:tab/>
      </w:r>
      <w:r w:rsidR="00024D4C" w:rsidRPr="0064698E">
        <w:rPr>
          <w:b/>
          <w:bCs/>
          <w:sz w:val="26"/>
          <w:szCs w:val="26"/>
        </w:rPr>
        <w:tab/>
      </w:r>
      <w:r w:rsidR="00024D4C" w:rsidRPr="0064698E">
        <w:rPr>
          <w:b/>
          <w:bCs/>
          <w:sz w:val="26"/>
          <w:szCs w:val="26"/>
        </w:rPr>
        <w:tab/>
      </w:r>
      <w:r w:rsidR="00024D4C" w:rsidRPr="0064698E">
        <w:rPr>
          <w:b/>
          <w:bCs/>
          <w:sz w:val="26"/>
          <w:szCs w:val="26"/>
        </w:rPr>
        <w:tab/>
      </w:r>
      <w:r w:rsidR="00024D4C" w:rsidRPr="0064698E">
        <w:rPr>
          <w:b/>
          <w:bCs/>
          <w:sz w:val="26"/>
          <w:szCs w:val="26"/>
        </w:rPr>
        <w:tab/>
      </w:r>
      <w:r w:rsidR="00024D4C" w:rsidRPr="0064698E">
        <w:rPr>
          <w:b/>
          <w:bCs/>
          <w:sz w:val="26"/>
          <w:szCs w:val="26"/>
        </w:rPr>
        <w:tab/>
      </w:r>
      <w:r>
        <w:rPr>
          <w:b/>
          <w:bCs/>
          <w:sz w:val="26"/>
          <w:szCs w:val="26"/>
        </w:rPr>
        <w:t xml:space="preserve">         </w:t>
      </w:r>
      <w:r w:rsidR="00024D4C" w:rsidRPr="0064698E">
        <w:rPr>
          <w:b/>
          <w:bCs/>
          <w:sz w:val="26"/>
          <w:szCs w:val="26"/>
        </w:rPr>
        <w:t>Page(s</w:t>
      </w:r>
      <w:r>
        <w:rPr>
          <w:b/>
          <w:bCs/>
          <w:sz w:val="26"/>
          <w:szCs w:val="26"/>
        </w:rPr>
        <w:t>)</w:t>
      </w:r>
    </w:p>
    <w:p w14:paraId="6D575402" w14:textId="5D33699B" w:rsidR="00DF4FEB" w:rsidRPr="00DF4FEB" w:rsidRDefault="00DF4FEB" w:rsidP="00DF4FEB">
      <w:pPr>
        <w:tabs>
          <w:tab w:val="left" w:pos="0"/>
          <w:tab w:val="right" w:leader="dot" w:pos="9360"/>
        </w:tabs>
        <w:rPr>
          <w:sz w:val="26"/>
          <w:szCs w:val="26"/>
        </w:rPr>
      </w:pPr>
      <w:r>
        <w:rPr>
          <w:i/>
          <w:iCs/>
          <w:sz w:val="26"/>
          <w:szCs w:val="26"/>
        </w:rPr>
        <w:t>Bowman Dairy Co. v. United States</w:t>
      </w:r>
      <w:r>
        <w:rPr>
          <w:sz w:val="26"/>
          <w:szCs w:val="26"/>
        </w:rPr>
        <w:t>,</w:t>
      </w:r>
    </w:p>
    <w:p w14:paraId="3F03E9EA" w14:textId="51CFF0F3" w:rsidR="00DF4FEB" w:rsidRDefault="00DF4FEB" w:rsidP="00DF4FEB">
      <w:pPr>
        <w:tabs>
          <w:tab w:val="left" w:pos="0"/>
          <w:tab w:val="right" w:leader="dot" w:pos="9360"/>
        </w:tabs>
        <w:ind w:left="720"/>
        <w:rPr>
          <w:i/>
          <w:iCs/>
          <w:sz w:val="26"/>
          <w:szCs w:val="26"/>
        </w:rPr>
      </w:pPr>
      <w:r>
        <w:rPr>
          <w:sz w:val="26"/>
          <w:szCs w:val="26"/>
        </w:rPr>
        <w:t>341</w:t>
      </w:r>
      <w:r w:rsidRPr="0064698E">
        <w:rPr>
          <w:sz w:val="26"/>
          <w:szCs w:val="26"/>
        </w:rPr>
        <w:t xml:space="preserve"> U.S. </w:t>
      </w:r>
      <w:r>
        <w:rPr>
          <w:sz w:val="26"/>
          <w:szCs w:val="26"/>
        </w:rPr>
        <w:t>214</w:t>
      </w:r>
      <w:r w:rsidRPr="0064698E">
        <w:rPr>
          <w:sz w:val="26"/>
          <w:szCs w:val="26"/>
        </w:rPr>
        <w:t xml:space="preserve"> (19</w:t>
      </w:r>
      <w:r>
        <w:rPr>
          <w:sz w:val="26"/>
          <w:szCs w:val="26"/>
        </w:rPr>
        <w:t>51</w:t>
      </w:r>
      <w:r w:rsidRPr="0064698E">
        <w:rPr>
          <w:sz w:val="26"/>
          <w:szCs w:val="26"/>
        </w:rPr>
        <w:t>)</w:t>
      </w:r>
      <w:r w:rsidRPr="0064698E">
        <w:rPr>
          <w:sz w:val="26"/>
          <w:szCs w:val="26"/>
        </w:rPr>
        <w:tab/>
      </w:r>
      <w:r w:rsidR="00C01527">
        <w:rPr>
          <w:sz w:val="26"/>
          <w:szCs w:val="26"/>
        </w:rPr>
        <w:t>13, 14</w:t>
      </w:r>
    </w:p>
    <w:p w14:paraId="6A107829" w14:textId="77777777" w:rsidR="00DF4FEB" w:rsidRDefault="00DF4FEB" w:rsidP="00E72178">
      <w:pPr>
        <w:tabs>
          <w:tab w:val="left" w:pos="0"/>
          <w:tab w:val="right" w:leader="dot" w:pos="9360"/>
        </w:tabs>
        <w:rPr>
          <w:i/>
          <w:iCs/>
          <w:sz w:val="26"/>
          <w:szCs w:val="26"/>
        </w:rPr>
      </w:pPr>
    </w:p>
    <w:p w14:paraId="27F3BDFA" w14:textId="6355B513" w:rsidR="00E72178" w:rsidRPr="0064698E" w:rsidRDefault="00E72178" w:rsidP="00E72178">
      <w:pPr>
        <w:tabs>
          <w:tab w:val="left" w:pos="0"/>
          <w:tab w:val="right" w:leader="dot" w:pos="9360"/>
        </w:tabs>
        <w:rPr>
          <w:sz w:val="26"/>
          <w:szCs w:val="26"/>
        </w:rPr>
      </w:pPr>
      <w:r w:rsidRPr="0064698E">
        <w:rPr>
          <w:i/>
          <w:iCs/>
          <w:sz w:val="26"/>
          <w:szCs w:val="26"/>
        </w:rPr>
        <w:t>Hickman v. Taylor</w:t>
      </w:r>
      <w:r w:rsidRPr="0064698E">
        <w:rPr>
          <w:sz w:val="26"/>
          <w:szCs w:val="26"/>
        </w:rPr>
        <w:t>,</w:t>
      </w:r>
    </w:p>
    <w:p w14:paraId="35949B75" w14:textId="510A6CCB" w:rsidR="00E72178" w:rsidRPr="0064698E" w:rsidRDefault="00E72178" w:rsidP="00E72178">
      <w:pPr>
        <w:tabs>
          <w:tab w:val="left" w:pos="0"/>
          <w:tab w:val="right" w:leader="dot" w:pos="9360"/>
        </w:tabs>
        <w:ind w:left="720"/>
        <w:rPr>
          <w:sz w:val="26"/>
          <w:szCs w:val="26"/>
        </w:rPr>
      </w:pPr>
      <w:r w:rsidRPr="0064698E">
        <w:rPr>
          <w:sz w:val="26"/>
          <w:szCs w:val="26"/>
        </w:rPr>
        <w:t>329 U.S. 495 (1947)</w:t>
      </w:r>
      <w:r w:rsidRPr="0064698E">
        <w:rPr>
          <w:sz w:val="26"/>
          <w:szCs w:val="26"/>
        </w:rPr>
        <w:tab/>
      </w:r>
      <w:r w:rsidR="00C01527">
        <w:rPr>
          <w:sz w:val="26"/>
          <w:szCs w:val="26"/>
        </w:rPr>
        <w:t>15, 18</w:t>
      </w:r>
    </w:p>
    <w:p w14:paraId="3A44BAD4" w14:textId="77777777" w:rsidR="00E72178" w:rsidRDefault="00E72178" w:rsidP="00E72178">
      <w:pPr>
        <w:tabs>
          <w:tab w:val="left" w:pos="0"/>
          <w:tab w:val="right" w:leader="dot" w:pos="9360"/>
        </w:tabs>
        <w:ind w:left="720"/>
        <w:rPr>
          <w:sz w:val="26"/>
          <w:szCs w:val="26"/>
        </w:rPr>
      </w:pPr>
    </w:p>
    <w:p w14:paraId="4740DFEC" w14:textId="50329A38" w:rsidR="00A124F6" w:rsidRPr="0064698E" w:rsidRDefault="00A124F6" w:rsidP="00A124F6">
      <w:pPr>
        <w:tabs>
          <w:tab w:val="left" w:pos="0"/>
          <w:tab w:val="right" w:leader="dot" w:pos="9360"/>
        </w:tabs>
        <w:rPr>
          <w:sz w:val="26"/>
          <w:szCs w:val="26"/>
        </w:rPr>
      </w:pPr>
      <w:r w:rsidRPr="00A124F6">
        <w:rPr>
          <w:i/>
          <w:iCs/>
          <w:sz w:val="26"/>
          <w:szCs w:val="26"/>
        </w:rPr>
        <w:t>Kastigar v. United States</w:t>
      </w:r>
      <w:r w:rsidRPr="0064698E">
        <w:rPr>
          <w:sz w:val="26"/>
          <w:szCs w:val="26"/>
        </w:rPr>
        <w:t>,</w:t>
      </w:r>
    </w:p>
    <w:p w14:paraId="1EDB455E" w14:textId="2C1F6BFA" w:rsidR="00A124F6" w:rsidRPr="0064698E" w:rsidRDefault="00A124F6" w:rsidP="00A124F6">
      <w:pPr>
        <w:tabs>
          <w:tab w:val="left" w:pos="0"/>
          <w:tab w:val="right" w:leader="dot" w:pos="9360"/>
        </w:tabs>
        <w:ind w:left="720"/>
        <w:rPr>
          <w:sz w:val="26"/>
          <w:szCs w:val="26"/>
        </w:rPr>
      </w:pPr>
      <w:r w:rsidRPr="00A124F6">
        <w:rPr>
          <w:sz w:val="26"/>
          <w:szCs w:val="26"/>
        </w:rPr>
        <w:t>406 U.S. 441 (1972)</w:t>
      </w:r>
      <w:r w:rsidRPr="0064698E">
        <w:rPr>
          <w:sz w:val="26"/>
          <w:szCs w:val="26"/>
        </w:rPr>
        <w:tab/>
      </w:r>
      <w:r w:rsidR="00C01527">
        <w:rPr>
          <w:sz w:val="26"/>
          <w:szCs w:val="26"/>
        </w:rPr>
        <w:t>5, 6, 9, 12</w:t>
      </w:r>
    </w:p>
    <w:p w14:paraId="1EF20F47" w14:textId="77777777" w:rsidR="00A124F6" w:rsidRPr="0064698E" w:rsidRDefault="00A124F6" w:rsidP="00E72178">
      <w:pPr>
        <w:tabs>
          <w:tab w:val="left" w:pos="0"/>
          <w:tab w:val="right" w:leader="dot" w:pos="9360"/>
        </w:tabs>
        <w:ind w:left="720"/>
        <w:rPr>
          <w:sz w:val="26"/>
          <w:szCs w:val="26"/>
        </w:rPr>
      </w:pPr>
    </w:p>
    <w:p w14:paraId="7FF31953" w14:textId="77777777" w:rsidR="00745AAB" w:rsidRPr="0064698E" w:rsidRDefault="00745AAB" w:rsidP="00745AAB">
      <w:pPr>
        <w:tabs>
          <w:tab w:val="left" w:pos="0"/>
          <w:tab w:val="right" w:leader="dot" w:pos="9360"/>
        </w:tabs>
        <w:rPr>
          <w:sz w:val="26"/>
          <w:szCs w:val="26"/>
        </w:rPr>
      </w:pPr>
      <w:r w:rsidRPr="0064698E">
        <w:rPr>
          <w:i/>
          <w:iCs/>
          <w:sz w:val="26"/>
          <w:szCs w:val="26"/>
        </w:rPr>
        <w:t xml:space="preserve">United States v. </w:t>
      </w:r>
      <w:r>
        <w:rPr>
          <w:i/>
          <w:iCs/>
          <w:sz w:val="26"/>
          <w:szCs w:val="26"/>
        </w:rPr>
        <w:t>Hubbell</w:t>
      </w:r>
      <w:r w:rsidRPr="0064698E">
        <w:rPr>
          <w:sz w:val="26"/>
          <w:szCs w:val="26"/>
        </w:rPr>
        <w:t xml:space="preserve">, </w:t>
      </w:r>
    </w:p>
    <w:p w14:paraId="2C1F8295" w14:textId="1C0A2C32" w:rsidR="00745AAB" w:rsidRPr="0064698E" w:rsidRDefault="00745AAB" w:rsidP="00745AAB">
      <w:pPr>
        <w:tabs>
          <w:tab w:val="left" w:pos="0"/>
          <w:tab w:val="right" w:leader="dot" w:pos="9360"/>
        </w:tabs>
        <w:ind w:left="720"/>
        <w:rPr>
          <w:sz w:val="26"/>
          <w:szCs w:val="26"/>
        </w:rPr>
      </w:pPr>
      <w:r>
        <w:rPr>
          <w:sz w:val="26"/>
          <w:szCs w:val="26"/>
        </w:rPr>
        <w:t>530 U.S. 27 (2000)</w:t>
      </w:r>
      <w:r w:rsidRPr="0064698E">
        <w:rPr>
          <w:sz w:val="26"/>
          <w:szCs w:val="26"/>
        </w:rPr>
        <w:tab/>
      </w:r>
      <w:r w:rsidR="00C01527">
        <w:rPr>
          <w:sz w:val="26"/>
          <w:szCs w:val="26"/>
        </w:rPr>
        <w:t>10</w:t>
      </w:r>
    </w:p>
    <w:p w14:paraId="0CD26ED8" w14:textId="77777777" w:rsidR="00745AAB" w:rsidRDefault="00745AAB" w:rsidP="00745AAB">
      <w:pPr>
        <w:tabs>
          <w:tab w:val="left" w:pos="0"/>
          <w:tab w:val="right" w:leader="dot" w:pos="9360"/>
        </w:tabs>
        <w:rPr>
          <w:i/>
          <w:iCs/>
          <w:sz w:val="26"/>
          <w:szCs w:val="26"/>
        </w:rPr>
      </w:pPr>
    </w:p>
    <w:p w14:paraId="2A6F90AB" w14:textId="7942A575" w:rsidR="00745AAB" w:rsidRPr="0064698E" w:rsidRDefault="00745AAB" w:rsidP="00745AAB">
      <w:pPr>
        <w:tabs>
          <w:tab w:val="left" w:pos="0"/>
          <w:tab w:val="right" w:leader="dot" w:pos="9360"/>
        </w:tabs>
        <w:rPr>
          <w:sz w:val="26"/>
          <w:szCs w:val="26"/>
        </w:rPr>
      </w:pPr>
      <w:r w:rsidRPr="00DF4FEB">
        <w:rPr>
          <w:i/>
          <w:iCs/>
          <w:sz w:val="26"/>
          <w:szCs w:val="26"/>
        </w:rPr>
        <w:t>United States v. Nixon</w:t>
      </w:r>
      <w:r w:rsidRPr="0064698E">
        <w:rPr>
          <w:sz w:val="26"/>
          <w:szCs w:val="26"/>
        </w:rPr>
        <w:t xml:space="preserve">, </w:t>
      </w:r>
    </w:p>
    <w:p w14:paraId="150DBB34" w14:textId="5AAD4E5F" w:rsidR="00745AAB" w:rsidRPr="0064698E" w:rsidRDefault="00745AAB" w:rsidP="00745AAB">
      <w:pPr>
        <w:tabs>
          <w:tab w:val="left" w:pos="0"/>
          <w:tab w:val="right" w:leader="dot" w:pos="9360"/>
        </w:tabs>
        <w:ind w:left="720"/>
        <w:rPr>
          <w:sz w:val="26"/>
          <w:szCs w:val="26"/>
        </w:rPr>
      </w:pPr>
      <w:r w:rsidRPr="00DF4FEB">
        <w:rPr>
          <w:sz w:val="26"/>
          <w:szCs w:val="26"/>
        </w:rPr>
        <w:t>418 U.S. 683 (1974)</w:t>
      </w:r>
      <w:r w:rsidRPr="0064698E">
        <w:rPr>
          <w:sz w:val="26"/>
          <w:szCs w:val="26"/>
        </w:rPr>
        <w:tab/>
      </w:r>
      <w:r w:rsidR="00C01527">
        <w:rPr>
          <w:sz w:val="26"/>
          <w:szCs w:val="26"/>
        </w:rPr>
        <w:t>13, 14, 15</w:t>
      </w:r>
    </w:p>
    <w:p w14:paraId="43262BEA" w14:textId="77777777" w:rsidR="00745AAB" w:rsidRDefault="00745AAB" w:rsidP="00E72178">
      <w:pPr>
        <w:tabs>
          <w:tab w:val="left" w:pos="0"/>
          <w:tab w:val="right" w:leader="dot" w:pos="9360"/>
        </w:tabs>
        <w:rPr>
          <w:i/>
          <w:iCs/>
          <w:sz w:val="26"/>
          <w:szCs w:val="26"/>
        </w:rPr>
      </w:pPr>
    </w:p>
    <w:p w14:paraId="2A2E5237" w14:textId="008D2DE4" w:rsidR="00E72178" w:rsidRPr="0064698E" w:rsidRDefault="00E72178" w:rsidP="00E72178">
      <w:pPr>
        <w:tabs>
          <w:tab w:val="left" w:pos="0"/>
          <w:tab w:val="right" w:leader="dot" w:pos="9360"/>
        </w:tabs>
        <w:rPr>
          <w:sz w:val="26"/>
          <w:szCs w:val="26"/>
        </w:rPr>
      </w:pPr>
      <w:r w:rsidRPr="0064698E">
        <w:rPr>
          <w:i/>
          <w:iCs/>
          <w:sz w:val="26"/>
          <w:szCs w:val="26"/>
        </w:rPr>
        <w:t>United States v. Nobles</w:t>
      </w:r>
      <w:r w:rsidRPr="0064698E">
        <w:rPr>
          <w:sz w:val="26"/>
          <w:szCs w:val="26"/>
        </w:rPr>
        <w:t xml:space="preserve">, </w:t>
      </w:r>
    </w:p>
    <w:p w14:paraId="3BBEA407" w14:textId="409713BD" w:rsidR="00E72178" w:rsidRPr="0064698E" w:rsidRDefault="00E72178" w:rsidP="00E72178">
      <w:pPr>
        <w:tabs>
          <w:tab w:val="left" w:pos="0"/>
          <w:tab w:val="right" w:leader="dot" w:pos="9360"/>
        </w:tabs>
        <w:ind w:left="720"/>
        <w:rPr>
          <w:sz w:val="26"/>
          <w:szCs w:val="26"/>
        </w:rPr>
      </w:pPr>
      <w:r w:rsidRPr="0064698E">
        <w:rPr>
          <w:sz w:val="26"/>
          <w:szCs w:val="26"/>
        </w:rPr>
        <w:t>422 U.S. 225 (1975)</w:t>
      </w:r>
      <w:r w:rsidRPr="0064698E">
        <w:rPr>
          <w:sz w:val="26"/>
          <w:szCs w:val="26"/>
        </w:rPr>
        <w:tab/>
      </w:r>
      <w:r w:rsidR="00C01527">
        <w:rPr>
          <w:sz w:val="26"/>
          <w:szCs w:val="26"/>
        </w:rPr>
        <w:t>15, 18</w:t>
      </w:r>
    </w:p>
    <w:p w14:paraId="6D7BC05E" w14:textId="77777777" w:rsidR="00DF4FEB" w:rsidRPr="0064698E" w:rsidRDefault="00DF4FEB" w:rsidP="00E72178">
      <w:pPr>
        <w:tabs>
          <w:tab w:val="left" w:pos="0"/>
          <w:tab w:val="right" w:leader="dot" w:pos="9360"/>
        </w:tabs>
        <w:ind w:left="720"/>
        <w:rPr>
          <w:sz w:val="26"/>
          <w:szCs w:val="26"/>
        </w:rPr>
      </w:pPr>
    </w:p>
    <w:p w14:paraId="16B39693" w14:textId="6D0FE48B" w:rsidR="00E72178" w:rsidRPr="0064698E" w:rsidRDefault="00E72178" w:rsidP="00E72178">
      <w:pPr>
        <w:tabs>
          <w:tab w:val="left" w:pos="0"/>
          <w:tab w:val="right" w:leader="dot" w:pos="9360"/>
        </w:tabs>
        <w:rPr>
          <w:sz w:val="26"/>
          <w:szCs w:val="26"/>
        </w:rPr>
      </w:pPr>
      <w:r w:rsidRPr="0064698E">
        <w:rPr>
          <w:i/>
          <w:iCs/>
          <w:sz w:val="26"/>
          <w:szCs w:val="26"/>
        </w:rPr>
        <w:t>Upjohn Co. v. United States</w:t>
      </w:r>
      <w:r w:rsidRPr="0064698E">
        <w:rPr>
          <w:sz w:val="26"/>
          <w:szCs w:val="26"/>
        </w:rPr>
        <w:t xml:space="preserve">, </w:t>
      </w:r>
    </w:p>
    <w:p w14:paraId="6D6F1273" w14:textId="0639BD61" w:rsidR="00A124F6" w:rsidRDefault="00E72178" w:rsidP="00A124F6">
      <w:pPr>
        <w:tabs>
          <w:tab w:val="left" w:pos="0"/>
          <w:tab w:val="right" w:leader="dot" w:pos="9360"/>
        </w:tabs>
        <w:ind w:left="720"/>
        <w:rPr>
          <w:sz w:val="26"/>
          <w:szCs w:val="26"/>
        </w:rPr>
      </w:pPr>
      <w:r w:rsidRPr="0064698E">
        <w:rPr>
          <w:sz w:val="26"/>
          <w:szCs w:val="26"/>
        </w:rPr>
        <w:t>449 U.S. 383 (1981)</w:t>
      </w:r>
      <w:r w:rsidRPr="0064698E">
        <w:rPr>
          <w:sz w:val="26"/>
          <w:szCs w:val="26"/>
        </w:rPr>
        <w:tab/>
      </w:r>
      <w:r w:rsidR="00C01527">
        <w:rPr>
          <w:sz w:val="26"/>
          <w:szCs w:val="26"/>
        </w:rPr>
        <w:t>17, 18</w:t>
      </w:r>
    </w:p>
    <w:p w14:paraId="6DEB9A81" w14:textId="4A86C5FF" w:rsidR="00DF4FEB" w:rsidRPr="00A124F6" w:rsidRDefault="00DF4FEB" w:rsidP="00DF4FEB">
      <w:pPr>
        <w:tabs>
          <w:tab w:val="left" w:pos="0"/>
          <w:tab w:val="right" w:leader="dot" w:pos="9360"/>
        </w:tabs>
        <w:ind w:left="720"/>
        <w:rPr>
          <w:sz w:val="26"/>
          <w:szCs w:val="26"/>
        </w:rPr>
      </w:pPr>
    </w:p>
    <w:p w14:paraId="3CE80282" w14:textId="62CEA4E3" w:rsidR="00024D4C" w:rsidRPr="0064698E" w:rsidRDefault="006E0457" w:rsidP="00A124F6">
      <w:pPr>
        <w:tabs>
          <w:tab w:val="left" w:pos="0"/>
          <w:tab w:val="right" w:leader="dot" w:pos="9360"/>
        </w:tabs>
        <w:spacing w:line="480" w:lineRule="auto"/>
        <w:rPr>
          <w:b/>
          <w:bCs/>
          <w:sz w:val="26"/>
          <w:szCs w:val="26"/>
        </w:rPr>
      </w:pPr>
      <w:r>
        <w:rPr>
          <w:b/>
          <w:bCs/>
          <w:sz w:val="26"/>
          <w:szCs w:val="26"/>
        </w:rPr>
        <w:t>United States Circuit Court of Appeals Case</w:t>
      </w:r>
      <w:r w:rsidR="00A124F6">
        <w:rPr>
          <w:b/>
          <w:bCs/>
          <w:sz w:val="26"/>
          <w:szCs w:val="26"/>
        </w:rPr>
        <w:t>s:</w:t>
      </w:r>
    </w:p>
    <w:p w14:paraId="0F256D13" w14:textId="0E544E48" w:rsidR="00A15827" w:rsidRPr="0064698E" w:rsidRDefault="00A15827" w:rsidP="00A15827">
      <w:pPr>
        <w:tabs>
          <w:tab w:val="left" w:pos="0"/>
          <w:tab w:val="right" w:leader="dot" w:pos="9360"/>
        </w:tabs>
        <w:rPr>
          <w:sz w:val="26"/>
          <w:szCs w:val="26"/>
        </w:rPr>
      </w:pPr>
      <w:r w:rsidRPr="0064698E">
        <w:rPr>
          <w:i/>
          <w:iCs/>
          <w:sz w:val="26"/>
          <w:szCs w:val="26"/>
        </w:rPr>
        <w:t>Baker v. GMC</w:t>
      </w:r>
      <w:r w:rsidRPr="0064698E">
        <w:rPr>
          <w:sz w:val="26"/>
          <w:szCs w:val="26"/>
        </w:rPr>
        <w:t xml:space="preserve">, </w:t>
      </w:r>
    </w:p>
    <w:p w14:paraId="05D34455" w14:textId="776E0F89" w:rsidR="00A15827" w:rsidRPr="0064698E" w:rsidRDefault="00A15827" w:rsidP="00A15827">
      <w:pPr>
        <w:tabs>
          <w:tab w:val="left" w:pos="0"/>
          <w:tab w:val="right" w:leader="dot" w:pos="9360"/>
        </w:tabs>
        <w:ind w:left="720"/>
        <w:rPr>
          <w:sz w:val="26"/>
          <w:szCs w:val="26"/>
        </w:rPr>
      </w:pPr>
      <w:r w:rsidRPr="0064698E">
        <w:rPr>
          <w:sz w:val="26"/>
          <w:szCs w:val="26"/>
        </w:rPr>
        <w:t>209 F.3d 1051 (8th Cir. 2000)</w:t>
      </w:r>
      <w:r w:rsidRPr="0064698E">
        <w:rPr>
          <w:sz w:val="26"/>
          <w:szCs w:val="26"/>
        </w:rPr>
        <w:tab/>
      </w:r>
      <w:r w:rsidR="00C01527">
        <w:rPr>
          <w:sz w:val="26"/>
          <w:szCs w:val="26"/>
        </w:rPr>
        <w:t>18</w:t>
      </w:r>
    </w:p>
    <w:p w14:paraId="1B9EA066" w14:textId="77777777" w:rsidR="001F3AF6" w:rsidRPr="0064698E" w:rsidRDefault="001F3AF6" w:rsidP="001F3AF6">
      <w:pPr>
        <w:tabs>
          <w:tab w:val="left" w:pos="0"/>
          <w:tab w:val="right" w:leader="dot" w:pos="9360"/>
        </w:tabs>
        <w:rPr>
          <w:i/>
          <w:iCs/>
          <w:sz w:val="26"/>
          <w:szCs w:val="26"/>
        </w:rPr>
      </w:pPr>
    </w:p>
    <w:p w14:paraId="0607AB3A" w14:textId="2CC86B8E" w:rsidR="001F3AF6" w:rsidRPr="0064698E" w:rsidRDefault="001F3AF6" w:rsidP="001F3AF6">
      <w:pPr>
        <w:tabs>
          <w:tab w:val="left" w:pos="0"/>
          <w:tab w:val="right" w:leader="dot" w:pos="9360"/>
        </w:tabs>
        <w:rPr>
          <w:sz w:val="26"/>
          <w:szCs w:val="26"/>
        </w:rPr>
      </w:pPr>
      <w:r w:rsidRPr="0064698E">
        <w:rPr>
          <w:i/>
          <w:iCs/>
          <w:sz w:val="26"/>
          <w:szCs w:val="26"/>
        </w:rPr>
        <w:t>Binks Mfg. Co. v. Na</w:t>
      </w:r>
      <w:r w:rsidR="001C03FA">
        <w:rPr>
          <w:i/>
          <w:iCs/>
          <w:sz w:val="26"/>
          <w:szCs w:val="26"/>
        </w:rPr>
        <w:t>t’</w:t>
      </w:r>
      <w:r w:rsidRPr="0064698E">
        <w:rPr>
          <w:i/>
          <w:iCs/>
          <w:sz w:val="26"/>
          <w:szCs w:val="26"/>
        </w:rPr>
        <w:t>l Presto Indus., Inc.</w:t>
      </w:r>
      <w:r w:rsidRPr="0064698E">
        <w:rPr>
          <w:sz w:val="26"/>
          <w:szCs w:val="26"/>
        </w:rPr>
        <w:t xml:space="preserve">, </w:t>
      </w:r>
    </w:p>
    <w:p w14:paraId="6F408A96" w14:textId="2529E295" w:rsidR="001F3AF6" w:rsidRPr="0064698E" w:rsidRDefault="001F3AF6" w:rsidP="001F3AF6">
      <w:pPr>
        <w:tabs>
          <w:tab w:val="left" w:pos="0"/>
          <w:tab w:val="right" w:leader="dot" w:pos="9360"/>
        </w:tabs>
        <w:ind w:left="720"/>
        <w:rPr>
          <w:sz w:val="26"/>
          <w:szCs w:val="26"/>
        </w:rPr>
      </w:pPr>
      <w:r w:rsidRPr="0064698E">
        <w:rPr>
          <w:sz w:val="26"/>
          <w:szCs w:val="26"/>
        </w:rPr>
        <w:t>709 F.2d 1109 (7th Cir. 1983)</w:t>
      </w:r>
      <w:r w:rsidRPr="0064698E">
        <w:rPr>
          <w:sz w:val="26"/>
          <w:szCs w:val="26"/>
        </w:rPr>
        <w:tab/>
      </w:r>
      <w:r w:rsidR="00C01527">
        <w:rPr>
          <w:sz w:val="26"/>
          <w:szCs w:val="26"/>
        </w:rPr>
        <w:t>16</w:t>
      </w:r>
    </w:p>
    <w:p w14:paraId="51D636CC" w14:textId="77777777" w:rsidR="001F3AF6" w:rsidRPr="0064698E" w:rsidRDefault="001F3AF6" w:rsidP="00A15827">
      <w:pPr>
        <w:tabs>
          <w:tab w:val="left" w:pos="0"/>
          <w:tab w:val="right" w:leader="dot" w:pos="9360"/>
        </w:tabs>
        <w:rPr>
          <w:i/>
          <w:iCs/>
          <w:sz w:val="26"/>
          <w:szCs w:val="26"/>
        </w:rPr>
      </w:pPr>
    </w:p>
    <w:p w14:paraId="51E51167" w14:textId="6D28D091" w:rsidR="00A15827" w:rsidRPr="0064698E" w:rsidRDefault="00A15827" w:rsidP="00A15827">
      <w:pPr>
        <w:tabs>
          <w:tab w:val="left" w:pos="0"/>
          <w:tab w:val="right" w:leader="dot" w:pos="9360"/>
        </w:tabs>
        <w:rPr>
          <w:sz w:val="26"/>
          <w:szCs w:val="26"/>
        </w:rPr>
      </w:pPr>
      <w:r w:rsidRPr="0064698E">
        <w:rPr>
          <w:i/>
          <w:iCs/>
          <w:sz w:val="26"/>
          <w:szCs w:val="26"/>
        </w:rPr>
        <w:t>Holmgren v. State Farm Mut. Auto. Ins. Co.</w:t>
      </w:r>
      <w:r w:rsidRPr="0064698E">
        <w:rPr>
          <w:sz w:val="26"/>
          <w:szCs w:val="26"/>
        </w:rPr>
        <w:t>,</w:t>
      </w:r>
    </w:p>
    <w:p w14:paraId="5BD97F66" w14:textId="040A498F" w:rsidR="00A15827" w:rsidRPr="0064698E" w:rsidRDefault="00A15827" w:rsidP="00A15827">
      <w:pPr>
        <w:tabs>
          <w:tab w:val="left" w:pos="0"/>
          <w:tab w:val="right" w:leader="dot" w:pos="9360"/>
        </w:tabs>
        <w:ind w:left="720"/>
        <w:rPr>
          <w:sz w:val="26"/>
          <w:szCs w:val="26"/>
        </w:rPr>
      </w:pPr>
      <w:r w:rsidRPr="0064698E">
        <w:rPr>
          <w:sz w:val="26"/>
          <w:szCs w:val="26"/>
        </w:rPr>
        <w:t>976 F.2d 573 (9th Cir. 1992)</w:t>
      </w:r>
      <w:r w:rsidRPr="0064698E">
        <w:rPr>
          <w:sz w:val="26"/>
          <w:szCs w:val="26"/>
        </w:rPr>
        <w:tab/>
      </w:r>
      <w:r w:rsidR="00C01527">
        <w:rPr>
          <w:sz w:val="26"/>
          <w:szCs w:val="26"/>
        </w:rPr>
        <w:t>17</w:t>
      </w:r>
    </w:p>
    <w:p w14:paraId="17E930CE" w14:textId="77777777" w:rsidR="00A15827" w:rsidRPr="0064698E" w:rsidRDefault="00A15827" w:rsidP="00A15827">
      <w:pPr>
        <w:tabs>
          <w:tab w:val="left" w:pos="0"/>
          <w:tab w:val="right" w:leader="dot" w:pos="9360"/>
        </w:tabs>
        <w:rPr>
          <w:i/>
          <w:iCs/>
          <w:sz w:val="26"/>
          <w:szCs w:val="26"/>
        </w:rPr>
      </w:pPr>
    </w:p>
    <w:p w14:paraId="46F72AA0" w14:textId="411312F2" w:rsidR="001F3AF6" w:rsidRPr="0064698E" w:rsidRDefault="001F3AF6" w:rsidP="001F3AF6">
      <w:pPr>
        <w:tabs>
          <w:tab w:val="left" w:pos="0"/>
          <w:tab w:val="right" w:leader="dot" w:pos="9360"/>
        </w:tabs>
        <w:rPr>
          <w:sz w:val="26"/>
          <w:szCs w:val="26"/>
        </w:rPr>
      </w:pPr>
      <w:r w:rsidRPr="0064698E">
        <w:rPr>
          <w:i/>
          <w:iCs/>
          <w:sz w:val="26"/>
          <w:szCs w:val="26"/>
        </w:rPr>
        <w:t>In re Grand Jury Investigation</w:t>
      </w:r>
      <w:r w:rsidRPr="0064698E">
        <w:rPr>
          <w:sz w:val="26"/>
          <w:szCs w:val="26"/>
        </w:rPr>
        <w:t>,</w:t>
      </w:r>
    </w:p>
    <w:p w14:paraId="132B173E" w14:textId="3813D33F" w:rsidR="001F3AF6" w:rsidRPr="0064698E" w:rsidRDefault="001F3AF6" w:rsidP="001F3AF6">
      <w:pPr>
        <w:tabs>
          <w:tab w:val="left" w:pos="0"/>
          <w:tab w:val="right" w:leader="dot" w:pos="9360"/>
        </w:tabs>
        <w:ind w:left="720"/>
        <w:rPr>
          <w:sz w:val="26"/>
          <w:szCs w:val="26"/>
        </w:rPr>
      </w:pPr>
      <w:r w:rsidRPr="0064698E">
        <w:rPr>
          <w:sz w:val="26"/>
          <w:szCs w:val="26"/>
        </w:rPr>
        <w:t>599 F.2d 1224 (3d Cir. 1979)</w:t>
      </w:r>
      <w:r w:rsidRPr="0064698E">
        <w:rPr>
          <w:sz w:val="26"/>
          <w:szCs w:val="26"/>
        </w:rPr>
        <w:tab/>
      </w:r>
      <w:r w:rsidR="00C01527">
        <w:rPr>
          <w:sz w:val="26"/>
          <w:szCs w:val="26"/>
        </w:rPr>
        <w:t>16</w:t>
      </w:r>
    </w:p>
    <w:p w14:paraId="494A6AFC" w14:textId="77777777" w:rsidR="001F3AF6" w:rsidRPr="0064698E" w:rsidRDefault="001F3AF6" w:rsidP="00A15827">
      <w:pPr>
        <w:tabs>
          <w:tab w:val="left" w:pos="0"/>
          <w:tab w:val="right" w:leader="dot" w:pos="9360"/>
        </w:tabs>
        <w:rPr>
          <w:i/>
          <w:iCs/>
          <w:sz w:val="26"/>
          <w:szCs w:val="26"/>
        </w:rPr>
      </w:pPr>
    </w:p>
    <w:p w14:paraId="40FF3304" w14:textId="0B2C9B31" w:rsidR="00A15827" w:rsidRPr="0064698E" w:rsidRDefault="00A15827" w:rsidP="00A15827">
      <w:pPr>
        <w:tabs>
          <w:tab w:val="left" w:pos="0"/>
          <w:tab w:val="right" w:leader="dot" w:pos="9360"/>
        </w:tabs>
        <w:rPr>
          <w:sz w:val="26"/>
          <w:szCs w:val="26"/>
        </w:rPr>
      </w:pPr>
      <w:r w:rsidRPr="0064698E">
        <w:rPr>
          <w:i/>
          <w:iCs/>
          <w:sz w:val="26"/>
          <w:szCs w:val="26"/>
        </w:rPr>
        <w:t>In re Grand Jury Proceedings</w:t>
      </w:r>
      <w:r w:rsidRPr="0064698E">
        <w:rPr>
          <w:sz w:val="26"/>
          <w:szCs w:val="26"/>
        </w:rPr>
        <w:t>,</w:t>
      </w:r>
    </w:p>
    <w:p w14:paraId="2B72F7C3" w14:textId="60E84DB7" w:rsidR="00A15827" w:rsidRDefault="00A15827" w:rsidP="00C01527">
      <w:pPr>
        <w:tabs>
          <w:tab w:val="left" w:pos="0"/>
          <w:tab w:val="right" w:leader="dot" w:pos="9360"/>
        </w:tabs>
        <w:ind w:left="720"/>
        <w:rPr>
          <w:sz w:val="26"/>
          <w:szCs w:val="26"/>
        </w:rPr>
      </w:pPr>
      <w:r w:rsidRPr="0064698E">
        <w:rPr>
          <w:sz w:val="26"/>
          <w:szCs w:val="26"/>
        </w:rPr>
        <w:t>43 F.3d 966 (5th Cir. 1994)</w:t>
      </w:r>
      <w:r w:rsidRPr="0064698E">
        <w:rPr>
          <w:sz w:val="26"/>
          <w:szCs w:val="26"/>
        </w:rPr>
        <w:tab/>
      </w:r>
      <w:r w:rsidR="00C01527">
        <w:rPr>
          <w:sz w:val="26"/>
          <w:szCs w:val="26"/>
        </w:rPr>
        <w:t>17</w:t>
      </w:r>
    </w:p>
    <w:p w14:paraId="7D843CA6" w14:textId="77777777" w:rsidR="00C01527" w:rsidRPr="00C01527" w:rsidRDefault="00C01527" w:rsidP="00C01527">
      <w:pPr>
        <w:tabs>
          <w:tab w:val="left" w:pos="0"/>
          <w:tab w:val="right" w:leader="dot" w:pos="9360"/>
        </w:tabs>
        <w:ind w:left="720"/>
        <w:rPr>
          <w:sz w:val="26"/>
          <w:szCs w:val="26"/>
        </w:rPr>
      </w:pPr>
    </w:p>
    <w:p w14:paraId="6AE03D78" w14:textId="132E448E" w:rsidR="000C3CDC" w:rsidRDefault="000C3CDC" w:rsidP="00A15827">
      <w:pPr>
        <w:tabs>
          <w:tab w:val="left" w:pos="0"/>
          <w:tab w:val="right" w:leader="dot" w:pos="9360"/>
        </w:tabs>
        <w:rPr>
          <w:sz w:val="26"/>
          <w:szCs w:val="26"/>
        </w:rPr>
      </w:pPr>
      <w:r>
        <w:rPr>
          <w:i/>
          <w:iCs/>
          <w:sz w:val="26"/>
          <w:szCs w:val="26"/>
        </w:rPr>
        <w:t>In re Grand Jury Subpoena (Torf)</w:t>
      </w:r>
      <w:r>
        <w:rPr>
          <w:sz w:val="26"/>
          <w:szCs w:val="26"/>
        </w:rPr>
        <w:t>,</w:t>
      </w:r>
    </w:p>
    <w:p w14:paraId="04176A49" w14:textId="262AA5AF" w:rsidR="000C3CDC" w:rsidRDefault="000C3CDC" w:rsidP="000C3CDC">
      <w:pPr>
        <w:tabs>
          <w:tab w:val="left" w:pos="0"/>
          <w:tab w:val="right" w:leader="dot" w:pos="9360"/>
        </w:tabs>
        <w:ind w:left="720"/>
        <w:rPr>
          <w:sz w:val="26"/>
          <w:szCs w:val="26"/>
        </w:rPr>
      </w:pPr>
      <w:r>
        <w:rPr>
          <w:sz w:val="26"/>
          <w:szCs w:val="26"/>
        </w:rPr>
        <w:lastRenderedPageBreak/>
        <w:t>357 F.3d 900 (9th Cir. 2004)</w:t>
      </w:r>
      <w:r>
        <w:rPr>
          <w:sz w:val="26"/>
          <w:szCs w:val="26"/>
        </w:rPr>
        <w:tab/>
      </w:r>
      <w:r w:rsidR="00C01527">
        <w:rPr>
          <w:sz w:val="26"/>
          <w:szCs w:val="26"/>
        </w:rPr>
        <w:t>16</w:t>
      </w:r>
    </w:p>
    <w:p w14:paraId="4DA3ED01" w14:textId="77777777" w:rsidR="001F3AF6" w:rsidRPr="0064698E" w:rsidRDefault="001F3AF6" w:rsidP="001F3AF6">
      <w:pPr>
        <w:tabs>
          <w:tab w:val="left" w:pos="0"/>
          <w:tab w:val="right" w:leader="dot" w:pos="9360"/>
        </w:tabs>
        <w:rPr>
          <w:i/>
          <w:iCs/>
          <w:sz w:val="26"/>
          <w:szCs w:val="26"/>
        </w:rPr>
      </w:pPr>
    </w:p>
    <w:p w14:paraId="71643325" w14:textId="64D7A900" w:rsidR="001F3AF6" w:rsidRPr="0064698E" w:rsidRDefault="001F3AF6" w:rsidP="001F3AF6">
      <w:pPr>
        <w:tabs>
          <w:tab w:val="left" w:pos="0"/>
          <w:tab w:val="right" w:leader="dot" w:pos="9360"/>
        </w:tabs>
        <w:rPr>
          <w:sz w:val="26"/>
          <w:szCs w:val="26"/>
        </w:rPr>
      </w:pPr>
      <w:r w:rsidRPr="0064698E">
        <w:rPr>
          <w:i/>
          <w:iCs/>
          <w:sz w:val="26"/>
          <w:szCs w:val="26"/>
        </w:rPr>
        <w:t>In re Sealed Case</w:t>
      </w:r>
      <w:r w:rsidRPr="0064698E">
        <w:rPr>
          <w:sz w:val="26"/>
          <w:szCs w:val="26"/>
        </w:rPr>
        <w:t xml:space="preserve">, </w:t>
      </w:r>
    </w:p>
    <w:p w14:paraId="2C0AFCEB" w14:textId="267DF96D" w:rsidR="001F3AF6" w:rsidRPr="0064698E" w:rsidRDefault="001F3AF6" w:rsidP="001F3AF6">
      <w:pPr>
        <w:tabs>
          <w:tab w:val="left" w:pos="0"/>
          <w:tab w:val="right" w:leader="dot" w:pos="9360"/>
        </w:tabs>
        <w:ind w:left="720"/>
        <w:rPr>
          <w:sz w:val="26"/>
          <w:szCs w:val="26"/>
        </w:rPr>
      </w:pPr>
      <w:r w:rsidRPr="0064698E">
        <w:rPr>
          <w:sz w:val="26"/>
          <w:szCs w:val="26"/>
        </w:rPr>
        <w:t>146 F.3d 881 (D.C. Cir. 1998)</w:t>
      </w:r>
      <w:r w:rsidRPr="0064698E">
        <w:rPr>
          <w:sz w:val="26"/>
          <w:szCs w:val="26"/>
        </w:rPr>
        <w:tab/>
      </w:r>
      <w:r w:rsidR="00C01527">
        <w:rPr>
          <w:sz w:val="26"/>
          <w:szCs w:val="26"/>
        </w:rPr>
        <w:t>16</w:t>
      </w:r>
    </w:p>
    <w:p w14:paraId="028FF2B0" w14:textId="77777777" w:rsidR="00A15827" w:rsidRPr="0064698E" w:rsidRDefault="00A15827" w:rsidP="00A15827">
      <w:pPr>
        <w:tabs>
          <w:tab w:val="left" w:pos="0"/>
          <w:tab w:val="right" w:leader="dot" w:pos="9360"/>
        </w:tabs>
        <w:rPr>
          <w:i/>
          <w:iCs/>
          <w:sz w:val="26"/>
          <w:szCs w:val="26"/>
        </w:rPr>
      </w:pPr>
    </w:p>
    <w:p w14:paraId="22818117" w14:textId="1503A1FC" w:rsidR="001F3AF6" w:rsidRPr="0064698E" w:rsidRDefault="001F3AF6" w:rsidP="001F3AF6">
      <w:pPr>
        <w:tabs>
          <w:tab w:val="left" w:pos="0"/>
          <w:tab w:val="right" w:leader="dot" w:pos="9360"/>
        </w:tabs>
        <w:rPr>
          <w:sz w:val="26"/>
          <w:szCs w:val="26"/>
        </w:rPr>
      </w:pPr>
      <w:r w:rsidRPr="0064698E">
        <w:rPr>
          <w:i/>
          <w:iCs/>
          <w:sz w:val="26"/>
          <w:szCs w:val="26"/>
        </w:rPr>
        <w:t>Nat</w:t>
      </w:r>
      <w:r w:rsidR="001C03FA">
        <w:rPr>
          <w:i/>
          <w:iCs/>
          <w:sz w:val="26"/>
          <w:szCs w:val="26"/>
        </w:rPr>
        <w:t>’</w:t>
      </w:r>
      <w:r w:rsidRPr="0064698E">
        <w:rPr>
          <w:i/>
          <w:iCs/>
          <w:sz w:val="26"/>
          <w:szCs w:val="26"/>
        </w:rPr>
        <w:t>l Union Fire Ins. Co. v. Murray Sheet Metal Co., Inc.</w:t>
      </w:r>
      <w:r w:rsidRPr="0064698E">
        <w:rPr>
          <w:sz w:val="26"/>
          <w:szCs w:val="26"/>
        </w:rPr>
        <w:t xml:space="preserve">, </w:t>
      </w:r>
    </w:p>
    <w:p w14:paraId="5D421437" w14:textId="4DF0A47A" w:rsidR="001F3AF6" w:rsidRPr="0064698E" w:rsidRDefault="001F3AF6" w:rsidP="001F3AF6">
      <w:pPr>
        <w:tabs>
          <w:tab w:val="left" w:pos="0"/>
          <w:tab w:val="right" w:leader="dot" w:pos="9360"/>
        </w:tabs>
        <w:ind w:left="720"/>
        <w:rPr>
          <w:sz w:val="26"/>
          <w:szCs w:val="26"/>
        </w:rPr>
      </w:pPr>
      <w:r w:rsidRPr="0064698E">
        <w:rPr>
          <w:sz w:val="26"/>
          <w:szCs w:val="26"/>
        </w:rPr>
        <w:t>967 F.2d 980 (4th Cir. 1992)</w:t>
      </w:r>
      <w:r w:rsidRPr="0064698E">
        <w:rPr>
          <w:sz w:val="26"/>
          <w:szCs w:val="26"/>
        </w:rPr>
        <w:tab/>
      </w:r>
      <w:r w:rsidR="00C01527">
        <w:rPr>
          <w:sz w:val="26"/>
          <w:szCs w:val="26"/>
        </w:rPr>
        <w:t>16</w:t>
      </w:r>
    </w:p>
    <w:p w14:paraId="16A3514F" w14:textId="77777777" w:rsidR="001F3AF6" w:rsidRPr="0064698E" w:rsidRDefault="001F3AF6" w:rsidP="00A15827">
      <w:pPr>
        <w:tabs>
          <w:tab w:val="left" w:pos="0"/>
          <w:tab w:val="right" w:leader="dot" w:pos="9360"/>
        </w:tabs>
        <w:ind w:left="720"/>
        <w:rPr>
          <w:sz w:val="26"/>
          <w:szCs w:val="26"/>
        </w:rPr>
      </w:pPr>
    </w:p>
    <w:p w14:paraId="1E2E1349" w14:textId="36F06DE7" w:rsidR="001F3AF6" w:rsidRPr="0064698E" w:rsidRDefault="001F3AF6" w:rsidP="001F3AF6">
      <w:pPr>
        <w:tabs>
          <w:tab w:val="left" w:pos="0"/>
          <w:tab w:val="right" w:leader="dot" w:pos="9360"/>
        </w:tabs>
        <w:rPr>
          <w:i/>
          <w:iCs/>
          <w:sz w:val="26"/>
          <w:szCs w:val="26"/>
        </w:rPr>
      </w:pPr>
      <w:r w:rsidRPr="0064698E">
        <w:rPr>
          <w:i/>
          <w:iCs/>
          <w:sz w:val="26"/>
          <w:szCs w:val="26"/>
        </w:rPr>
        <w:t>Simon v. G.D. Searle &amp; Co.</w:t>
      </w:r>
      <w:r w:rsidRPr="0064698E">
        <w:rPr>
          <w:sz w:val="26"/>
          <w:szCs w:val="26"/>
        </w:rPr>
        <w:t>,</w:t>
      </w:r>
    </w:p>
    <w:p w14:paraId="68A6A06C" w14:textId="3405C563" w:rsidR="001F3AF6" w:rsidRPr="0064698E" w:rsidRDefault="001F3AF6" w:rsidP="001F3AF6">
      <w:pPr>
        <w:tabs>
          <w:tab w:val="left" w:pos="0"/>
          <w:tab w:val="right" w:leader="dot" w:pos="9360"/>
        </w:tabs>
        <w:ind w:left="720"/>
        <w:rPr>
          <w:sz w:val="26"/>
          <w:szCs w:val="26"/>
        </w:rPr>
      </w:pPr>
      <w:r w:rsidRPr="0064698E">
        <w:rPr>
          <w:sz w:val="26"/>
          <w:szCs w:val="26"/>
        </w:rPr>
        <w:t>816 F.2d 397 (8th Cir. 1987)</w:t>
      </w:r>
      <w:r w:rsidRPr="0064698E">
        <w:rPr>
          <w:sz w:val="26"/>
          <w:szCs w:val="26"/>
        </w:rPr>
        <w:tab/>
      </w:r>
      <w:r w:rsidR="00C01527">
        <w:rPr>
          <w:sz w:val="26"/>
          <w:szCs w:val="26"/>
        </w:rPr>
        <w:t>16</w:t>
      </w:r>
    </w:p>
    <w:p w14:paraId="1506FD27" w14:textId="77777777" w:rsidR="00A15827" w:rsidRPr="0064698E" w:rsidRDefault="00A15827" w:rsidP="00A15827">
      <w:pPr>
        <w:tabs>
          <w:tab w:val="left" w:pos="0"/>
          <w:tab w:val="right" w:leader="dot" w:pos="9360"/>
        </w:tabs>
        <w:rPr>
          <w:i/>
          <w:iCs/>
          <w:sz w:val="26"/>
          <w:szCs w:val="26"/>
        </w:rPr>
      </w:pPr>
    </w:p>
    <w:p w14:paraId="7000E835" w14:textId="6AC59327" w:rsidR="001F3AF6" w:rsidRPr="0064698E" w:rsidRDefault="001F3AF6" w:rsidP="001F3AF6">
      <w:pPr>
        <w:tabs>
          <w:tab w:val="left" w:pos="0"/>
          <w:tab w:val="right" w:leader="dot" w:pos="9360"/>
        </w:tabs>
        <w:rPr>
          <w:sz w:val="26"/>
          <w:szCs w:val="26"/>
        </w:rPr>
      </w:pPr>
      <w:r w:rsidRPr="0064698E">
        <w:rPr>
          <w:i/>
          <w:iCs/>
          <w:sz w:val="26"/>
          <w:szCs w:val="26"/>
        </w:rPr>
        <w:t>United States v. Adlman</w:t>
      </w:r>
      <w:r w:rsidRPr="0064698E">
        <w:rPr>
          <w:sz w:val="26"/>
          <w:szCs w:val="26"/>
        </w:rPr>
        <w:t xml:space="preserve">, </w:t>
      </w:r>
    </w:p>
    <w:p w14:paraId="6DD9387B" w14:textId="4E5A7A22" w:rsidR="001F3AF6" w:rsidRPr="0064698E" w:rsidRDefault="001F3AF6" w:rsidP="001F3AF6">
      <w:pPr>
        <w:tabs>
          <w:tab w:val="left" w:pos="0"/>
          <w:tab w:val="right" w:leader="dot" w:pos="9360"/>
        </w:tabs>
        <w:ind w:left="720"/>
        <w:rPr>
          <w:sz w:val="26"/>
          <w:szCs w:val="26"/>
        </w:rPr>
      </w:pPr>
      <w:r w:rsidRPr="0064698E">
        <w:rPr>
          <w:sz w:val="26"/>
          <w:szCs w:val="26"/>
        </w:rPr>
        <w:t>134 F.3d 1194 (2d Cir. 1998)</w:t>
      </w:r>
      <w:r w:rsidRPr="0064698E">
        <w:rPr>
          <w:sz w:val="26"/>
          <w:szCs w:val="26"/>
        </w:rPr>
        <w:tab/>
      </w:r>
      <w:r w:rsidR="00C01527">
        <w:rPr>
          <w:sz w:val="26"/>
          <w:szCs w:val="26"/>
        </w:rPr>
        <w:t>16</w:t>
      </w:r>
    </w:p>
    <w:p w14:paraId="1C331D8A" w14:textId="77777777" w:rsidR="001F3AF6" w:rsidRDefault="001F3AF6" w:rsidP="00A15827">
      <w:pPr>
        <w:tabs>
          <w:tab w:val="left" w:pos="0"/>
          <w:tab w:val="right" w:leader="dot" w:pos="9360"/>
        </w:tabs>
        <w:rPr>
          <w:i/>
          <w:iCs/>
          <w:sz w:val="26"/>
          <w:szCs w:val="26"/>
        </w:rPr>
      </w:pPr>
    </w:p>
    <w:p w14:paraId="3932C83D" w14:textId="363A70B3" w:rsidR="000C3CDC" w:rsidRDefault="000C3CDC" w:rsidP="00A15827">
      <w:pPr>
        <w:tabs>
          <w:tab w:val="left" w:pos="0"/>
          <w:tab w:val="right" w:leader="dot" w:pos="9360"/>
        </w:tabs>
        <w:rPr>
          <w:sz w:val="26"/>
          <w:szCs w:val="26"/>
        </w:rPr>
      </w:pPr>
      <w:r>
        <w:rPr>
          <w:i/>
          <w:iCs/>
          <w:sz w:val="26"/>
          <w:szCs w:val="26"/>
        </w:rPr>
        <w:t>United States v. Arditti</w:t>
      </w:r>
      <w:r>
        <w:rPr>
          <w:sz w:val="26"/>
          <w:szCs w:val="26"/>
        </w:rPr>
        <w:t xml:space="preserve">, </w:t>
      </w:r>
    </w:p>
    <w:p w14:paraId="23EB2B3F" w14:textId="4D1DF2E1" w:rsidR="000C3CDC" w:rsidRDefault="000C3CDC" w:rsidP="000C3CDC">
      <w:pPr>
        <w:tabs>
          <w:tab w:val="left" w:pos="0"/>
          <w:tab w:val="right" w:leader="dot" w:pos="9360"/>
        </w:tabs>
        <w:ind w:left="720"/>
        <w:rPr>
          <w:sz w:val="26"/>
          <w:szCs w:val="26"/>
        </w:rPr>
      </w:pPr>
      <w:r>
        <w:rPr>
          <w:sz w:val="26"/>
          <w:szCs w:val="26"/>
        </w:rPr>
        <w:t>955 F.2d 331 (5th Cir. 1992)</w:t>
      </w:r>
      <w:r>
        <w:rPr>
          <w:sz w:val="26"/>
          <w:szCs w:val="26"/>
        </w:rPr>
        <w:tab/>
      </w:r>
      <w:r w:rsidR="00C01527">
        <w:rPr>
          <w:sz w:val="26"/>
          <w:szCs w:val="26"/>
        </w:rPr>
        <w:t>14</w:t>
      </w:r>
    </w:p>
    <w:p w14:paraId="02CAEBE5" w14:textId="77777777" w:rsidR="000C3CDC" w:rsidRPr="000C3CDC" w:rsidRDefault="000C3CDC" w:rsidP="000C3CDC">
      <w:pPr>
        <w:tabs>
          <w:tab w:val="left" w:pos="0"/>
          <w:tab w:val="right" w:leader="dot" w:pos="9360"/>
        </w:tabs>
        <w:ind w:left="720"/>
        <w:rPr>
          <w:sz w:val="26"/>
          <w:szCs w:val="26"/>
        </w:rPr>
      </w:pPr>
    </w:p>
    <w:p w14:paraId="48F170D3" w14:textId="1F1413AD" w:rsidR="00A124F6" w:rsidRPr="0064698E" w:rsidRDefault="00A124F6" w:rsidP="00A124F6">
      <w:pPr>
        <w:tabs>
          <w:tab w:val="left" w:pos="0"/>
          <w:tab w:val="right" w:leader="dot" w:pos="9360"/>
        </w:tabs>
        <w:rPr>
          <w:sz w:val="26"/>
          <w:szCs w:val="26"/>
        </w:rPr>
      </w:pPr>
      <w:r w:rsidRPr="00A124F6">
        <w:rPr>
          <w:i/>
          <w:iCs/>
          <w:sz w:val="26"/>
          <w:szCs w:val="26"/>
        </w:rPr>
        <w:t>United States v. Biaggi</w:t>
      </w:r>
      <w:r w:rsidRPr="0064698E">
        <w:rPr>
          <w:sz w:val="26"/>
          <w:szCs w:val="26"/>
        </w:rPr>
        <w:t xml:space="preserve">, </w:t>
      </w:r>
    </w:p>
    <w:p w14:paraId="718235E7" w14:textId="1DDFCA7D" w:rsidR="00A124F6" w:rsidRPr="0064698E" w:rsidRDefault="00A124F6" w:rsidP="00A124F6">
      <w:pPr>
        <w:tabs>
          <w:tab w:val="left" w:pos="0"/>
          <w:tab w:val="right" w:leader="dot" w:pos="9360"/>
        </w:tabs>
        <w:ind w:left="720"/>
        <w:rPr>
          <w:sz w:val="26"/>
          <w:szCs w:val="26"/>
        </w:rPr>
      </w:pPr>
      <w:r w:rsidRPr="00A124F6">
        <w:rPr>
          <w:sz w:val="26"/>
          <w:szCs w:val="26"/>
        </w:rPr>
        <w:t>909 F.2d 662</w:t>
      </w:r>
      <w:r>
        <w:rPr>
          <w:sz w:val="26"/>
          <w:szCs w:val="26"/>
        </w:rPr>
        <w:t xml:space="preserve"> </w:t>
      </w:r>
      <w:r w:rsidRPr="00A124F6">
        <w:rPr>
          <w:sz w:val="26"/>
          <w:szCs w:val="26"/>
        </w:rPr>
        <w:t>(2d Cir. 1990)</w:t>
      </w:r>
      <w:r w:rsidRPr="0064698E">
        <w:rPr>
          <w:sz w:val="26"/>
          <w:szCs w:val="26"/>
        </w:rPr>
        <w:tab/>
      </w:r>
      <w:r w:rsidR="00C01527">
        <w:rPr>
          <w:sz w:val="26"/>
          <w:szCs w:val="26"/>
        </w:rPr>
        <w:t>7</w:t>
      </w:r>
    </w:p>
    <w:p w14:paraId="38C71806" w14:textId="77777777" w:rsidR="00A124F6" w:rsidRDefault="00A124F6" w:rsidP="00A124F6">
      <w:pPr>
        <w:tabs>
          <w:tab w:val="left" w:pos="0"/>
          <w:tab w:val="right" w:leader="dot" w:pos="9360"/>
        </w:tabs>
        <w:rPr>
          <w:i/>
          <w:iCs/>
          <w:sz w:val="26"/>
          <w:szCs w:val="26"/>
        </w:rPr>
      </w:pPr>
    </w:p>
    <w:p w14:paraId="2D0DE329" w14:textId="685C521D" w:rsidR="00A124F6" w:rsidRPr="0064698E" w:rsidRDefault="00A124F6" w:rsidP="00A124F6">
      <w:pPr>
        <w:tabs>
          <w:tab w:val="left" w:pos="0"/>
          <w:tab w:val="right" w:leader="dot" w:pos="9360"/>
        </w:tabs>
        <w:rPr>
          <w:sz w:val="26"/>
          <w:szCs w:val="26"/>
        </w:rPr>
      </w:pPr>
      <w:r w:rsidRPr="00A124F6">
        <w:rPr>
          <w:i/>
          <w:iCs/>
          <w:sz w:val="26"/>
          <w:szCs w:val="26"/>
        </w:rPr>
        <w:t>United States v. Byrd</w:t>
      </w:r>
      <w:r w:rsidRPr="0064698E">
        <w:rPr>
          <w:sz w:val="26"/>
          <w:szCs w:val="26"/>
        </w:rPr>
        <w:t xml:space="preserve">, </w:t>
      </w:r>
    </w:p>
    <w:p w14:paraId="08D066C0" w14:textId="037D5DDD" w:rsidR="00A124F6" w:rsidRPr="0064698E" w:rsidRDefault="00A124F6" w:rsidP="00A124F6">
      <w:pPr>
        <w:tabs>
          <w:tab w:val="left" w:pos="0"/>
          <w:tab w:val="right" w:leader="dot" w:pos="9360"/>
        </w:tabs>
        <w:ind w:left="720"/>
        <w:rPr>
          <w:sz w:val="26"/>
          <w:szCs w:val="26"/>
        </w:rPr>
      </w:pPr>
      <w:r w:rsidRPr="00A124F6">
        <w:rPr>
          <w:sz w:val="26"/>
          <w:szCs w:val="26"/>
        </w:rPr>
        <w:t>765 F.2d 1524 (11th Cir. 1985)</w:t>
      </w:r>
      <w:r w:rsidRPr="0064698E">
        <w:rPr>
          <w:sz w:val="26"/>
          <w:szCs w:val="26"/>
        </w:rPr>
        <w:tab/>
      </w:r>
      <w:r w:rsidR="00C01527">
        <w:rPr>
          <w:sz w:val="26"/>
          <w:szCs w:val="26"/>
        </w:rPr>
        <w:t>5</w:t>
      </w:r>
    </w:p>
    <w:p w14:paraId="67331086" w14:textId="77777777" w:rsidR="00A124F6" w:rsidRPr="0064698E" w:rsidRDefault="00A124F6" w:rsidP="00A15827">
      <w:pPr>
        <w:tabs>
          <w:tab w:val="left" w:pos="0"/>
          <w:tab w:val="right" w:leader="dot" w:pos="9360"/>
        </w:tabs>
        <w:rPr>
          <w:i/>
          <w:iCs/>
          <w:sz w:val="26"/>
          <w:szCs w:val="26"/>
        </w:rPr>
      </w:pPr>
    </w:p>
    <w:p w14:paraId="2C2DFA92" w14:textId="68F477BE" w:rsidR="00460190" w:rsidRPr="0064698E" w:rsidRDefault="00460190" w:rsidP="00460190">
      <w:pPr>
        <w:tabs>
          <w:tab w:val="left" w:pos="0"/>
          <w:tab w:val="right" w:leader="dot" w:pos="9360"/>
        </w:tabs>
        <w:rPr>
          <w:sz w:val="26"/>
          <w:szCs w:val="26"/>
        </w:rPr>
      </w:pPr>
      <w:r w:rsidRPr="00460190">
        <w:rPr>
          <w:i/>
          <w:iCs/>
          <w:sz w:val="26"/>
          <w:szCs w:val="26"/>
        </w:rPr>
        <w:t>United States v. Cozzi</w:t>
      </w:r>
      <w:r w:rsidRPr="0064698E">
        <w:rPr>
          <w:sz w:val="26"/>
          <w:szCs w:val="26"/>
        </w:rPr>
        <w:t xml:space="preserve">, </w:t>
      </w:r>
    </w:p>
    <w:p w14:paraId="7AF26E3B" w14:textId="753704A3" w:rsidR="00460190" w:rsidRPr="0064698E" w:rsidRDefault="00460190" w:rsidP="00460190">
      <w:pPr>
        <w:tabs>
          <w:tab w:val="left" w:pos="0"/>
          <w:tab w:val="right" w:leader="dot" w:pos="9360"/>
        </w:tabs>
        <w:ind w:left="720"/>
        <w:rPr>
          <w:sz w:val="26"/>
          <w:szCs w:val="26"/>
        </w:rPr>
      </w:pPr>
      <w:r w:rsidRPr="00460190">
        <w:rPr>
          <w:sz w:val="26"/>
          <w:szCs w:val="26"/>
        </w:rPr>
        <w:t>613 F.3d 725</w:t>
      </w:r>
      <w:r>
        <w:rPr>
          <w:sz w:val="26"/>
          <w:szCs w:val="26"/>
        </w:rPr>
        <w:t xml:space="preserve"> </w:t>
      </w:r>
      <w:r w:rsidRPr="00460190">
        <w:rPr>
          <w:sz w:val="26"/>
          <w:szCs w:val="26"/>
        </w:rPr>
        <w:t>(7th Cir. 2010)</w:t>
      </w:r>
      <w:r w:rsidRPr="0064698E">
        <w:rPr>
          <w:sz w:val="26"/>
          <w:szCs w:val="26"/>
        </w:rPr>
        <w:tab/>
      </w:r>
      <w:r w:rsidR="00C01527">
        <w:rPr>
          <w:sz w:val="26"/>
          <w:szCs w:val="26"/>
        </w:rPr>
        <w:t>11</w:t>
      </w:r>
    </w:p>
    <w:p w14:paraId="2E2A69EA" w14:textId="77777777" w:rsidR="00460190" w:rsidRDefault="00460190" w:rsidP="00A15827">
      <w:pPr>
        <w:tabs>
          <w:tab w:val="left" w:pos="0"/>
          <w:tab w:val="right" w:leader="dot" w:pos="9360"/>
        </w:tabs>
        <w:rPr>
          <w:i/>
          <w:iCs/>
          <w:sz w:val="26"/>
          <w:szCs w:val="26"/>
        </w:rPr>
      </w:pPr>
    </w:p>
    <w:p w14:paraId="13F0F0AF" w14:textId="5B853D9D" w:rsidR="000C3CDC" w:rsidRPr="000C3CDC" w:rsidRDefault="000C3CDC" w:rsidP="000C3CDC">
      <w:pPr>
        <w:tabs>
          <w:tab w:val="left" w:pos="0"/>
          <w:tab w:val="right" w:leader="dot" w:pos="9360"/>
        </w:tabs>
        <w:rPr>
          <w:i/>
          <w:iCs/>
          <w:sz w:val="26"/>
          <w:szCs w:val="26"/>
        </w:rPr>
      </w:pPr>
      <w:r w:rsidRPr="0064698E">
        <w:rPr>
          <w:i/>
          <w:iCs/>
          <w:sz w:val="26"/>
          <w:szCs w:val="26"/>
        </w:rPr>
        <w:t xml:space="preserve">United States v. </w:t>
      </w:r>
      <w:r>
        <w:rPr>
          <w:i/>
          <w:iCs/>
          <w:sz w:val="26"/>
          <w:szCs w:val="26"/>
        </w:rPr>
        <w:t>Cuthbertson</w:t>
      </w:r>
      <w:r w:rsidRPr="0064698E">
        <w:rPr>
          <w:sz w:val="26"/>
          <w:szCs w:val="26"/>
        </w:rPr>
        <w:t xml:space="preserve">, </w:t>
      </w:r>
    </w:p>
    <w:p w14:paraId="1D4E2FEF" w14:textId="1B9EE1DF" w:rsidR="000C3CDC" w:rsidRPr="0064698E" w:rsidRDefault="000C3CDC" w:rsidP="000C3CDC">
      <w:pPr>
        <w:tabs>
          <w:tab w:val="left" w:pos="0"/>
          <w:tab w:val="right" w:leader="dot" w:pos="9360"/>
        </w:tabs>
        <w:ind w:left="720"/>
        <w:rPr>
          <w:sz w:val="26"/>
          <w:szCs w:val="26"/>
        </w:rPr>
      </w:pPr>
      <w:r>
        <w:rPr>
          <w:sz w:val="26"/>
          <w:szCs w:val="26"/>
        </w:rPr>
        <w:t>630</w:t>
      </w:r>
      <w:r w:rsidRPr="0064698E">
        <w:rPr>
          <w:sz w:val="26"/>
          <w:szCs w:val="26"/>
        </w:rPr>
        <w:t xml:space="preserve"> F.</w:t>
      </w:r>
      <w:r>
        <w:rPr>
          <w:sz w:val="26"/>
          <w:szCs w:val="26"/>
        </w:rPr>
        <w:t>2</w:t>
      </w:r>
      <w:r w:rsidRPr="0064698E">
        <w:rPr>
          <w:sz w:val="26"/>
          <w:szCs w:val="26"/>
        </w:rPr>
        <w:t xml:space="preserve">d </w:t>
      </w:r>
      <w:r>
        <w:rPr>
          <w:sz w:val="26"/>
          <w:szCs w:val="26"/>
        </w:rPr>
        <w:t>139</w:t>
      </w:r>
      <w:r w:rsidRPr="0064698E">
        <w:rPr>
          <w:sz w:val="26"/>
          <w:szCs w:val="26"/>
        </w:rPr>
        <w:t xml:space="preserve"> (</w:t>
      </w:r>
      <w:r>
        <w:rPr>
          <w:sz w:val="26"/>
          <w:szCs w:val="26"/>
        </w:rPr>
        <w:t>3</w:t>
      </w:r>
      <w:r w:rsidRPr="0064698E">
        <w:rPr>
          <w:sz w:val="26"/>
          <w:szCs w:val="26"/>
        </w:rPr>
        <w:t xml:space="preserve">d Cir. </w:t>
      </w:r>
      <w:r>
        <w:rPr>
          <w:sz w:val="26"/>
          <w:szCs w:val="26"/>
        </w:rPr>
        <w:t>1980</w:t>
      </w:r>
      <w:r w:rsidRPr="0064698E">
        <w:rPr>
          <w:sz w:val="26"/>
          <w:szCs w:val="26"/>
        </w:rPr>
        <w:t>)</w:t>
      </w:r>
      <w:r w:rsidRPr="0064698E">
        <w:rPr>
          <w:sz w:val="26"/>
          <w:szCs w:val="26"/>
        </w:rPr>
        <w:tab/>
      </w:r>
      <w:r w:rsidR="00C01527">
        <w:rPr>
          <w:sz w:val="26"/>
          <w:szCs w:val="26"/>
        </w:rPr>
        <w:t>14</w:t>
      </w:r>
    </w:p>
    <w:p w14:paraId="3ABE4C9C" w14:textId="77777777" w:rsidR="000C3CDC" w:rsidRDefault="000C3CDC" w:rsidP="000C3CDC">
      <w:pPr>
        <w:tabs>
          <w:tab w:val="left" w:pos="0"/>
          <w:tab w:val="right" w:leader="dot" w:pos="9360"/>
        </w:tabs>
        <w:rPr>
          <w:i/>
          <w:iCs/>
          <w:sz w:val="26"/>
          <w:szCs w:val="26"/>
        </w:rPr>
      </w:pPr>
    </w:p>
    <w:p w14:paraId="34C9C7DB" w14:textId="7E59166D" w:rsidR="00A15827" w:rsidRPr="000C3CDC" w:rsidRDefault="00A15827" w:rsidP="000C3CDC">
      <w:pPr>
        <w:tabs>
          <w:tab w:val="left" w:pos="0"/>
          <w:tab w:val="right" w:leader="dot" w:pos="9360"/>
        </w:tabs>
        <w:rPr>
          <w:i/>
          <w:iCs/>
          <w:sz w:val="26"/>
          <w:szCs w:val="26"/>
        </w:rPr>
      </w:pPr>
      <w:r w:rsidRPr="0064698E">
        <w:rPr>
          <w:i/>
          <w:iCs/>
          <w:sz w:val="26"/>
          <w:szCs w:val="26"/>
        </w:rPr>
        <w:t>United States v. Doe</w:t>
      </w:r>
      <w:r w:rsidRPr="0064698E">
        <w:rPr>
          <w:sz w:val="26"/>
          <w:szCs w:val="26"/>
        </w:rPr>
        <w:t xml:space="preserve">, </w:t>
      </w:r>
    </w:p>
    <w:p w14:paraId="3C04F5F3" w14:textId="6F24CB9C" w:rsidR="00A15827" w:rsidRPr="0064698E" w:rsidRDefault="00A15827" w:rsidP="00A15827">
      <w:pPr>
        <w:tabs>
          <w:tab w:val="left" w:pos="0"/>
          <w:tab w:val="right" w:leader="dot" w:pos="9360"/>
        </w:tabs>
        <w:ind w:left="720"/>
        <w:rPr>
          <w:sz w:val="26"/>
          <w:szCs w:val="26"/>
        </w:rPr>
      </w:pPr>
      <w:r w:rsidRPr="0064698E">
        <w:rPr>
          <w:sz w:val="26"/>
          <w:szCs w:val="26"/>
        </w:rPr>
        <w:t>219 F.3d 175 (2d Cir. 2000)</w:t>
      </w:r>
      <w:r w:rsidRPr="0064698E">
        <w:rPr>
          <w:sz w:val="26"/>
          <w:szCs w:val="26"/>
        </w:rPr>
        <w:tab/>
      </w:r>
      <w:r w:rsidR="00C01527">
        <w:rPr>
          <w:sz w:val="26"/>
          <w:szCs w:val="26"/>
        </w:rPr>
        <w:t>19</w:t>
      </w:r>
    </w:p>
    <w:p w14:paraId="2C8FE3E3" w14:textId="77777777" w:rsidR="001F3AF6" w:rsidRDefault="001F3AF6" w:rsidP="001F3AF6">
      <w:pPr>
        <w:tabs>
          <w:tab w:val="left" w:pos="0"/>
          <w:tab w:val="right" w:leader="dot" w:pos="9360"/>
        </w:tabs>
        <w:rPr>
          <w:i/>
          <w:iCs/>
          <w:sz w:val="26"/>
          <w:szCs w:val="26"/>
        </w:rPr>
      </w:pPr>
    </w:p>
    <w:p w14:paraId="714D9C95" w14:textId="53A88457" w:rsidR="00A124F6" w:rsidRPr="0064698E" w:rsidRDefault="00A124F6" w:rsidP="00A124F6">
      <w:pPr>
        <w:tabs>
          <w:tab w:val="left" w:pos="0"/>
          <w:tab w:val="right" w:leader="dot" w:pos="9360"/>
        </w:tabs>
        <w:rPr>
          <w:sz w:val="26"/>
          <w:szCs w:val="26"/>
        </w:rPr>
      </w:pPr>
      <w:r w:rsidRPr="00A124F6">
        <w:rPr>
          <w:i/>
          <w:iCs/>
          <w:sz w:val="26"/>
          <w:szCs w:val="26"/>
        </w:rPr>
        <w:t>United States v. Hampton</w:t>
      </w:r>
      <w:r w:rsidRPr="0064698E">
        <w:rPr>
          <w:sz w:val="26"/>
          <w:szCs w:val="26"/>
        </w:rPr>
        <w:t xml:space="preserve">, </w:t>
      </w:r>
    </w:p>
    <w:p w14:paraId="497CE8A7" w14:textId="3C4E7567" w:rsidR="00A124F6" w:rsidRPr="0064698E" w:rsidRDefault="00A124F6" w:rsidP="00A124F6">
      <w:pPr>
        <w:tabs>
          <w:tab w:val="left" w:pos="0"/>
          <w:tab w:val="right" w:leader="dot" w:pos="9360"/>
        </w:tabs>
        <w:ind w:left="720"/>
        <w:rPr>
          <w:sz w:val="26"/>
          <w:szCs w:val="26"/>
        </w:rPr>
      </w:pPr>
      <w:r w:rsidRPr="00A124F6">
        <w:rPr>
          <w:sz w:val="26"/>
          <w:szCs w:val="26"/>
        </w:rPr>
        <w:t>775 F.2d 1479</w:t>
      </w:r>
      <w:r>
        <w:rPr>
          <w:sz w:val="26"/>
          <w:szCs w:val="26"/>
        </w:rPr>
        <w:t xml:space="preserve"> </w:t>
      </w:r>
      <w:r w:rsidRPr="00A124F6">
        <w:rPr>
          <w:sz w:val="26"/>
          <w:szCs w:val="26"/>
        </w:rPr>
        <w:t>(11th Cir. 1985)</w:t>
      </w:r>
      <w:r w:rsidRPr="0064698E">
        <w:rPr>
          <w:sz w:val="26"/>
          <w:szCs w:val="26"/>
        </w:rPr>
        <w:tab/>
      </w:r>
      <w:r w:rsidR="00C01527">
        <w:rPr>
          <w:sz w:val="26"/>
          <w:szCs w:val="26"/>
        </w:rPr>
        <w:t>5</w:t>
      </w:r>
    </w:p>
    <w:p w14:paraId="78E4819F" w14:textId="77777777" w:rsidR="00A124F6" w:rsidRDefault="00A124F6" w:rsidP="001F3AF6">
      <w:pPr>
        <w:tabs>
          <w:tab w:val="left" w:pos="0"/>
          <w:tab w:val="right" w:leader="dot" w:pos="9360"/>
        </w:tabs>
        <w:rPr>
          <w:i/>
          <w:iCs/>
          <w:sz w:val="26"/>
          <w:szCs w:val="26"/>
        </w:rPr>
      </w:pPr>
    </w:p>
    <w:p w14:paraId="4D5C17AD" w14:textId="4FB38FF7" w:rsidR="00460190" w:rsidRPr="0064698E" w:rsidRDefault="00460190" w:rsidP="00460190">
      <w:pPr>
        <w:tabs>
          <w:tab w:val="left" w:pos="0"/>
          <w:tab w:val="right" w:leader="dot" w:pos="9360"/>
        </w:tabs>
        <w:rPr>
          <w:sz w:val="26"/>
          <w:szCs w:val="26"/>
        </w:rPr>
      </w:pPr>
      <w:r w:rsidRPr="00460190">
        <w:rPr>
          <w:i/>
          <w:iCs/>
          <w:sz w:val="26"/>
          <w:szCs w:val="26"/>
        </w:rPr>
        <w:t>United States v. Kiser</w:t>
      </w:r>
      <w:r w:rsidRPr="0064698E">
        <w:rPr>
          <w:sz w:val="26"/>
          <w:szCs w:val="26"/>
        </w:rPr>
        <w:t xml:space="preserve">, </w:t>
      </w:r>
    </w:p>
    <w:p w14:paraId="61052595" w14:textId="35AA349E" w:rsidR="00460190" w:rsidRPr="0064698E" w:rsidRDefault="00460190" w:rsidP="00460190">
      <w:pPr>
        <w:tabs>
          <w:tab w:val="left" w:pos="0"/>
          <w:tab w:val="right" w:leader="dot" w:pos="9360"/>
        </w:tabs>
        <w:ind w:left="720"/>
        <w:rPr>
          <w:sz w:val="26"/>
          <w:szCs w:val="26"/>
        </w:rPr>
      </w:pPr>
      <w:r w:rsidRPr="00460190">
        <w:rPr>
          <w:sz w:val="26"/>
          <w:szCs w:val="26"/>
        </w:rPr>
        <w:t>948 F.2d 418</w:t>
      </w:r>
      <w:r>
        <w:rPr>
          <w:sz w:val="26"/>
          <w:szCs w:val="26"/>
        </w:rPr>
        <w:t xml:space="preserve"> </w:t>
      </w:r>
      <w:r w:rsidRPr="00460190">
        <w:rPr>
          <w:sz w:val="26"/>
          <w:szCs w:val="26"/>
        </w:rPr>
        <w:t>(8th Cir. 1991)</w:t>
      </w:r>
      <w:r w:rsidRPr="0064698E">
        <w:rPr>
          <w:sz w:val="26"/>
          <w:szCs w:val="26"/>
        </w:rPr>
        <w:tab/>
      </w:r>
      <w:r w:rsidR="00C01527">
        <w:rPr>
          <w:sz w:val="26"/>
          <w:szCs w:val="26"/>
        </w:rPr>
        <w:t>8</w:t>
      </w:r>
    </w:p>
    <w:p w14:paraId="66AE7219" w14:textId="77777777" w:rsidR="00460190" w:rsidRDefault="00460190" w:rsidP="00A124F6">
      <w:pPr>
        <w:tabs>
          <w:tab w:val="left" w:pos="0"/>
          <w:tab w:val="right" w:leader="dot" w:pos="9360"/>
        </w:tabs>
        <w:rPr>
          <w:i/>
          <w:iCs/>
          <w:sz w:val="26"/>
          <w:szCs w:val="26"/>
        </w:rPr>
      </w:pPr>
    </w:p>
    <w:p w14:paraId="5EA49661" w14:textId="77777777" w:rsidR="000C3CDC" w:rsidRPr="000C3CDC" w:rsidRDefault="000C3CDC" w:rsidP="000C3CDC">
      <w:pPr>
        <w:tabs>
          <w:tab w:val="left" w:pos="0"/>
          <w:tab w:val="right" w:leader="dot" w:pos="9360"/>
        </w:tabs>
        <w:rPr>
          <w:i/>
          <w:iCs/>
          <w:sz w:val="26"/>
          <w:szCs w:val="26"/>
        </w:rPr>
      </w:pPr>
      <w:r w:rsidRPr="000C3CDC">
        <w:rPr>
          <w:i/>
          <w:iCs/>
          <w:sz w:val="26"/>
          <w:szCs w:val="26"/>
        </w:rPr>
        <w:t>United States v. LaRouche Campaign</w:t>
      </w:r>
      <w:r w:rsidRPr="000C3CDC">
        <w:rPr>
          <w:sz w:val="26"/>
          <w:szCs w:val="26"/>
        </w:rPr>
        <w:t>,</w:t>
      </w:r>
      <w:r w:rsidRPr="000C3CDC">
        <w:rPr>
          <w:i/>
          <w:iCs/>
          <w:sz w:val="26"/>
          <w:szCs w:val="26"/>
        </w:rPr>
        <w:t xml:space="preserve"> </w:t>
      </w:r>
    </w:p>
    <w:p w14:paraId="0B0FE4E6" w14:textId="04C34E4C" w:rsidR="000C3CDC" w:rsidRPr="00C01527" w:rsidRDefault="000C3CDC" w:rsidP="000C3CDC">
      <w:pPr>
        <w:tabs>
          <w:tab w:val="left" w:pos="0"/>
          <w:tab w:val="right" w:leader="dot" w:pos="9360"/>
        </w:tabs>
        <w:ind w:left="720"/>
        <w:rPr>
          <w:sz w:val="26"/>
          <w:szCs w:val="26"/>
        </w:rPr>
      </w:pPr>
      <w:r w:rsidRPr="000C3CDC">
        <w:rPr>
          <w:sz w:val="26"/>
          <w:szCs w:val="26"/>
        </w:rPr>
        <w:t>841 F.2d 1176 (1st Cir. 1988)</w:t>
      </w:r>
      <w:r w:rsidRPr="000C3CDC">
        <w:rPr>
          <w:i/>
          <w:iCs/>
          <w:sz w:val="26"/>
          <w:szCs w:val="26"/>
        </w:rPr>
        <w:tab/>
      </w:r>
      <w:r w:rsidR="00C01527">
        <w:rPr>
          <w:sz w:val="26"/>
          <w:szCs w:val="26"/>
        </w:rPr>
        <w:t>14</w:t>
      </w:r>
    </w:p>
    <w:p w14:paraId="7AB69177" w14:textId="77777777" w:rsidR="00C01527" w:rsidRDefault="00C01527" w:rsidP="000C3CDC">
      <w:pPr>
        <w:tabs>
          <w:tab w:val="left" w:pos="0"/>
          <w:tab w:val="right" w:leader="dot" w:pos="9360"/>
        </w:tabs>
        <w:ind w:left="720"/>
        <w:rPr>
          <w:i/>
          <w:iCs/>
          <w:sz w:val="26"/>
          <w:szCs w:val="26"/>
        </w:rPr>
      </w:pPr>
    </w:p>
    <w:p w14:paraId="0337D1D5" w14:textId="6E6DF2FE" w:rsidR="00A124F6" w:rsidRPr="0064698E" w:rsidRDefault="00A124F6" w:rsidP="00A124F6">
      <w:pPr>
        <w:tabs>
          <w:tab w:val="left" w:pos="0"/>
          <w:tab w:val="right" w:leader="dot" w:pos="9360"/>
        </w:tabs>
        <w:rPr>
          <w:sz w:val="26"/>
          <w:szCs w:val="26"/>
        </w:rPr>
      </w:pPr>
      <w:r w:rsidRPr="00A124F6">
        <w:rPr>
          <w:i/>
          <w:iCs/>
          <w:sz w:val="26"/>
          <w:szCs w:val="26"/>
        </w:rPr>
        <w:t>United States v. Nanni</w:t>
      </w:r>
      <w:r w:rsidRPr="0064698E">
        <w:rPr>
          <w:sz w:val="26"/>
          <w:szCs w:val="26"/>
        </w:rPr>
        <w:t xml:space="preserve">, </w:t>
      </w:r>
    </w:p>
    <w:p w14:paraId="0F798005" w14:textId="243E9CB7" w:rsidR="00A124F6" w:rsidRPr="0064698E" w:rsidRDefault="00A124F6" w:rsidP="00A124F6">
      <w:pPr>
        <w:tabs>
          <w:tab w:val="left" w:pos="0"/>
          <w:tab w:val="right" w:leader="dot" w:pos="9360"/>
        </w:tabs>
        <w:ind w:left="720"/>
        <w:rPr>
          <w:sz w:val="26"/>
          <w:szCs w:val="26"/>
        </w:rPr>
      </w:pPr>
      <w:r w:rsidRPr="00A124F6">
        <w:rPr>
          <w:sz w:val="26"/>
          <w:szCs w:val="26"/>
        </w:rPr>
        <w:t>59 F.3d 1425</w:t>
      </w:r>
      <w:r>
        <w:rPr>
          <w:sz w:val="26"/>
          <w:szCs w:val="26"/>
        </w:rPr>
        <w:t xml:space="preserve"> </w:t>
      </w:r>
      <w:r w:rsidRPr="00A124F6">
        <w:rPr>
          <w:sz w:val="26"/>
          <w:szCs w:val="26"/>
        </w:rPr>
        <w:t>(2d Cir. 1995</w:t>
      </w:r>
      <w:r>
        <w:rPr>
          <w:sz w:val="26"/>
          <w:szCs w:val="26"/>
        </w:rPr>
        <w:t>)</w:t>
      </w:r>
      <w:r w:rsidRPr="0064698E">
        <w:rPr>
          <w:sz w:val="26"/>
          <w:szCs w:val="26"/>
        </w:rPr>
        <w:tab/>
      </w:r>
      <w:r w:rsidR="00C01527">
        <w:rPr>
          <w:sz w:val="26"/>
          <w:szCs w:val="26"/>
        </w:rPr>
        <w:t>7</w:t>
      </w:r>
    </w:p>
    <w:p w14:paraId="0A8AA064" w14:textId="77777777" w:rsidR="00A124F6" w:rsidRDefault="00A124F6" w:rsidP="00A124F6">
      <w:pPr>
        <w:tabs>
          <w:tab w:val="left" w:pos="0"/>
          <w:tab w:val="right" w:leader="dot" w:pos="9360"/>
        </w:tabs>
        <w:rPr>
          <w:i/>
          <w:iCs/>
          <w:sz w:val="26"/>
          <w:szCs w:val="26"/>
        </w:rPr>
      </w:pPr>
    </w:p>
    <w:p w14:paraId="3B0888C2" w14:textId="5B19DEF1" w:rsidR="00A124F6" w:rsidRPr="0064698E" w:rsidRDefault="00A124F6" w:rsidP="00A124F6">
      <w:pPr>
        <w:tabs>
          <w:tab w:val="left" w:pos="0"/>
          <w:tab w:val="right" w:leader="dot" w:pos="9360"/>
        </w:tabs>
        <w:rPr>
          <w:sz w:val="26"/>
          <w:szCs w:val="26"/>
        </w:rPr>
      </w:pPr>
      <w:r w:rsidRPr="00A124F6">
        <w:rPr>
          <w:i/>
          <w:iCs/>
          <w:sz w:val="26"/>
          <w:szCs w:val="26"/>
        </w:rPr>
        <w:t>United States v. North</w:t>
      </w:r>
      <w:r w:rsidRPr="0064698E">
        <w:rPr>
          <w:sz w:val="26"/>
          <w:szCs w:val="26"/>
        </w:rPr>
        <w:t xml:space="preserve">, </w:t>
      </w:r>
    </w:p>
    <w:p w14:paraId="51735F2E" w14:textId="16D22961" w:rsidR="00A124F6" w:rsidRPr="0064698E" w:rsidRDefault="00A124F6" w:rsidP="00A124F6">
      <w:pPr>
        <w:tabs>
          <w:tab w:val="left" w:pos="0"/>
          <w:tab w:val="right" w:leader="dot" w:pos="9360"/>
        </w:tabs>
        <w:ind w:left="720"/>
        <w:rPr>
          <w:sz w:val="26"/>
          <w:szCs w:val="26"/>
        </w:rPr>
      </w:pPr>
      <w:r w:rsidRPr="00A124F6">
        <w:rPr>
          <w:sz w:val="26"/>
          <w:szCs w:val="26"/>
        </w:rPr>
        <w:t>910 F.2d 843 (D.C. Cir. 1990)</w:t>
      </w:r>
      <w:r w:rsidRPr="0064698E">
        <w:rPr>
          <w:sz w:val="26"/>
          <w:szCs w:val="26"/>
        </w:rPr>
        <w:tab/>
      </w:r>
      <w:r w:rsidR="00C01527">
        <w:rPr>
          <w:sz w:val="26"/>
          <w:szCs w:val="26"/>
        </w:rPr>
        <w:t>6, 9</w:t>
      </w:r>
    </w:p>
    <w:p w14:paraId="33075304" w14:textId="77777777" w:rsidR="00A124F6" w:rsidRPr="0064698E" w:rsidRDefault="00A124F6" w:rsidP="001F3AF6">
      <w:pPr>
        <w:tabs>
          <w:tab w:val="left" w:pos="0"/>
          <w:tab w:val="right" w:leader="dot" w:pos="9360"/>
        </w:tabs>
        <w:rPr>
          <w:i/>
          <w:iCs/>
          <w:sz w:val="26"/>
          <w:szCs w:val="26"/>
        </w:rPr>
      </w:pPr>
    </w:p>
    <w:p w14:paraId="63E9D8DC" w14:textId="55B0F9EC" w:rsidR="00460190" w:rsidRPr="00460190" w:rsidRDefault="00460190" w:rsidP="00460190">
      <w:pPr>
        <w:tabs>
          <w:tab w:val="left" w:pos="0"/>
          <w:tab w:val="right" w:leader="dot" w:pos="9360"/>
        </w:tabs>
        <w:rPr>
          <w:sz w:val="26"/>
          <w:szCs w:val="26"/>
        </w:rPr>
      </w:pPr>
      <w:r w:rsidRPr="00460190">
        <w:rPr>
          <w:i/>
          <w:iCs/>
          <w:sz w:val="26"/>
          <w:szCs w:val="26"/>
        </w:rPr>
        <w:t>United States v. Rinaldi</w:t>
      </w:r>
      <w:r>
        <w:rPr>
          <w:sz w:val="26"/>
          <w:szCs w:val="26"/>
        </w:rPr>
        <w:t>,</w:t>
      </w:r>
    </w:p>
    <w:p w14:paraId="1D31699C" w14:textId="0AC222E7" w:rsidR="00460190" w:rsidRPr="0064698E" w:rsidRDefault="00460190" w:rsidP="00460190">
      <w:pPr>
        <w:tabs>
          <w:tab w:val="left" w:pos="0"/>
          <w:tab w:val="right" w:leader="dot" w:pos="9360"/>
        </w:tabs>
        <w:ind w:left="720"/>
        <w:rPr>
          <w:sz w:val="26"/>
          <w:szCs w:val="26"/>
        </w:rPr>
      </w:pPr>
      <w:r w:rsidRPr="00460190">
        <w:rPr>
          <w:sz w:val="26"/>
          <w:szCs w:val="26"/>
        </w:rPr>
        <w:t>808 F.2d 1579</w:t>
      </w:r>
      <w:r>
        <w:rPr>
          <w:sz w:val="26"/>
          <w:szCs w:val="26"/>
        </w:rPr>
        <w:t xml:space="preserve"> </w:t>
      </w:r>
      <w:r w:rsidRPr="00460190">
        <w:rPr>
          <w:sz w:val="26"/>
          <w:szCs w:val="26"/>
        </w:rPr>
        <w:t>(D.C. Cir. 1987)</w:t>
      </w:r>
      <w:r w:rsidRPr="0064698E">
        <w:rPr>
          <w:sz w:val="26"/>
          <w:szCs w:val="26"/>
        </w:rPr>
        <w:tab/>
      </w:r>
      <w:r w:rsidR="00C01527">
        <w:rPr>
          <w:sz w:val="26"/>
          <w:szCs w:val="26"/>
        </w:rPr>
        <w:t>11</w:t>
      </w:r>
    </w:p>
    <w:p w14:paraId="1F88F348" w14:textId="77777777" w:rsidR="00460190" w:rsidRDefault="00460190" w:rsidP="001F3AF6">
      <w:pPr>
        <w:tabs>
          <w:tab w:val="left" w:pos="0"/>
          <w:tab w:val="right" w:leader="dot" w:pos="9360"/>
        </w:tabs>
        <w:rPr>
          <w:i/>
          <w:iCs/>
          <w:sz w:val="26"/>
          <w:szCs w:val="26"/>
        </w:rPr>
      </w:pPr>
    </w:p>
    <w:p w14:paraId="7FA360CC" w14:textId="2741B9FD" w:rsidR="001F3AF6" w:rsidRPr="0064698E" w:rsidRDefault="001F3AF6" w:rsidP="001F3AF6">
      <w:pPr>
        <w:tabs>
          <w:tab w:val="left" w:pos="0"/>
          <w:tab w:val="right" w:leader="dot" w:pos="9360"/>
        </w:tabs>
        <w:rPr>
          <w:sz w:val="26"/>
          <w:szCs w:val="26"/>
        </w:rPr>
      </w:pPr>
      <w:r w:rsidRPr="0064698E">
        <w:rPr>
          <w:i/>
          <w:iCs/>
          <w:sz w:val="26"/>
          <w:szCs w:val="26"/>
        </w:rPr>
        <w:t>United States v. Roxworthy</w:t>
      </w:r>
      <w:r w:rsidRPr="0064698E">
        <w:rPr>
          <w:sz w:val="26"/>
          <w:szCs w:val="26"/>
        </w:rPr>
        <w:t xml:space="preserve">, </w:t>
      </w:r>
    </w:p>
    <w:p w14:paraId="4B67C5CB" w14:textId="133666DA" w:rsidR="00A124F6" w:rsidRPr="0064698E" w:rsidRDefault="001F3AF6" w:rsidP="00A124F6">
      <w:pPr>
        <w:tabs>
          <w:tab w:val="left" w:pos="0"/>
          <w:tab w:val="right" w:leader="dot" w:pos="9360"/>
        </w:tabs>
        <w:ind w:left="720"/>
        <w:rPr>
          <w:sz w:val="26"/>
          <w:szCs w:val="26"/>
        </w:rPr>
      </w:pPr>
      <w:r w:rsidRPr="0064698E">
        <w:rPr>
          <w:sz w:val="26"/>
          <w:szCs w:val="26"/>
        </w:rPr>
        <w:t>457 F.3d 590 (6th Cir. 2006)</w:t>
      </w:r>
      <w:r w:rsidRPr="0064698E">
        <w:rPr>
          <w:sz w:val="26"/>
          <w:szCs w:val="26"/>
        </w:rPr>
        <w:tab/>
      </w:r>
      <w:r w:rsidR="00C01527">
        <w:rPr>
          <w:sz w:val="26"/>
          <w:szCs w:val="26"/>
        </w:rPr>
        <w:t>16</w:t>
      </w:r>
    </w:p>
    <w:p w14:paraId="20F7DFA4" w14:textId="77777777" w:rsidR="00A124F6" w:rsidRDefault="00A124F6" w:rsidP="00A124F6">
      <w:pPr>
        <w:tabs>
          <w:tab w:val="left" w:pos="0"/>
          <w:tab w:val="right" w:leader="dot" w:pos="9360"/>
        </w:tabs>
        <w:rPr>
          <w:i/>
          <w:iCs/>
          <w:sz w:val="26"/>
          <w:szCs w:val="26"/>
        </w:rPr>
      </w:pPr>
    </w:p>
    <w:p w14:paraId="7D77C77A" w14:textId="3E7A39F7" w:rsidR="00A124F6" w:rsidRPr="0064698E" w:rsidRDefault="00A124F6" w:rsidP="00A124F6">
      <w:pPr>
        <w:tabs>
          <w:tab w:val="left" w:pos="0"/>
          <w:tab w:val="right" w:leader="dot" w:pos="9360"/>
        </w:tabs>
        <w:rPr>
          <w:sz w:val="26"/>
          <w:szCs w:val="26"/>
        </w:rPr>
      </w:pPr>
      <w:r w:rsidRPr="00A124F6">
        <w:rPr>
          <w:i/>
          <w:iCs/>
          <w:sz w:val="26"/>
          <w:szCs w:val="26"/>
        </w:rPr>
        <w:t>United States v. Schmidgall</w:t>
      </w:r>
      <w:r w:rsidRPr="0064698E">
        <w:rPr>
          <w:sz w:val="26"/>
          <w:szCs w:val="26"/>
        </w:rPr>
        <w:t xml:space="preserve">, </w:t>
      </w:r>
    </w:p>
    <w:p w14:paraId="772C8D27" w14:textId="119F3CE1" w:rsidR="00A124F6" w:rsidRPr="0064698E" w:rsidRDefault="00A124F6" w:rsidP="00A124F6">
      <w:pPr>
        <w:tabs>
          <w:tab w:val="left" w:pos="0"/>
          <w:tab w:val="right" w:leader="dot" w:pos="9360"/>
        </w:tabs>
        <w:ind w:left="720"/>
        <w:rPr>
          <w:sz w:val="26"/>
          <w:szCs w:val="26"/>
        </w:rPr>
      </w:pPr>
      <w:r w:rsidRPr="00A124F6">
        <w:rPr>
          <w:sz w:val="26"/>
          <w:szCs w:val="26"/>
        </w:rPr>
        <w:t>25 F.3d 1523 (11th Cir. 1994)</w:t>
      </w:r>
      <w:r w:rsidRPr="0064698E">
        <w:rPr>
          <w:sz w:val="26"/>
          <w:szCs w:val="26"/>
        </w:rPr>
        <w:tab/>
      </w:r>
      <w:r w:rsidR="00C01527">
        <w:rPr>
          <w:sz w:val="26"/>
          <w:szCs w:val="26"/>
        </w:rPr>
        <w:t>5</w:t>
      </w:r>
    </w:p>
    <w:p w14:paraId="778A80E4" w14:textId="77777777" w:rsidR="001F3AF6" w:rsidRPr="0064698E" w:rsidRDefault="001F3AF6" w:rsidP="001F3AF6">
      <w:pPr>
        <w:tabs>
          <w:tab w:val="left" w:pos="0"/>
          <w:tab w:val="right" w:leader="dot" w:pos="9360"/>
        </w:tabs>
        <w:ind w:left="720"/>
        <w:rPr>
          <w:sz w:val="26"/>
          <w:szCs w:val="26"/>
        </w:rPr>
      </w:pPr>
    </w:p>
    <w:p w14:paraId="00076A1E" w14:textId="586F8B79" w:rsidR="00460190" w:rsidRPr="00460190" w:rsidRDefault="00D4066F" w:rsidP="00024D4C">
      <w:pPr>
        <w:tabs>
          <w:tab w:val="left" w:pos="0"/>
          <w:tab w:val="right" w:leader="dot" w:pos="9360"/>
        </w:tabs>
        <w:spacing w:line="480" w:lineRule="auto"/>
        <w:rPr>
          <w:b/>
          <w:bCs/>
          <w:sz w:val="26"/>
          <w:szCs w:val="26"/>
        </w:rPr>
      </w:pPr>
      <w:r>
        <w:rPr>
          <w:b/>
          <w:bCs/>
          <w:sz w:val="26"/>
          <w:szCs w:val="26"/>
        </w:rPr>
        <w:t xml:space="preserve">State </w:t>
      </w:r>
      <w:r w:rsidR="000005A0">
        <w:rPr>
          <w:b/>
          <w:bCs/>
          <w:sz w:val="26"/>
          <w:szCs w:val="26"/>
        </w:rPr>
        <w:t xml:space="preserve">Court </w:t>
      </w:r>
      <w:r>
        <w:rPr>
          <w:b/>
          <w:bCs/>
          <w:sz w:val="26"/>
          <w:szCs w:val="26"/>
        </w:rPr>
        <w:t>Cases:</w:t>
      </w:r>
    </w:p>
    <w:p w14:paraId="4B721E2D" w14:textId="72207AE1" w:rsidR="00460190" w:rsidRPr="00460190" w:rsidRDefault="00460190" w:rsidP="00460190">
      <w:pPr>
        <w:tabs>
          <w:tab w:val="left" w:pos="0"/>
          <w:tab w:val="right" w:leader="dot" w:pos="9360"/>
        </w:tabs>
        <w:rPr>
          <w:sz w:val="26"/>
          <w:szCs w:val="26"/>
          <w:lang w:val="es-ES"/>
        </w:rPr>
      </w:pPr>
      <w:r w:rsidRPr="00460190">
        <w:rPr>
          <w:i/>
          <w:iCs/>
          <w:sz w:val="26"/>
          <w:szCs w:val="26"/>
          <w:lang w:val="es-ES"/>
        </w:rPr>
        <w:t>State v. Vallejos</w:t>
      </w:r>
      <w:r w:rsidRPr="00460190">
        <w:rPr>
          <w:sz w:val="26"/>
          <w:szCs w:val="26"/>
          <w:lang w:val="es-ES"/>
        </w:rPr>
        <w:t xml:space="preserve">, </w:t>
      </w:r>
    </w:p>
    <w:p w14:paraId="12EEB7A5" w14:textId="55D0639D" w:rsidR="00460190" w:rsidRPr="00460190" w:rsidRDefault="00460190" w:rsidP="00460190">
      <w:pPr>
        <w:tabs>
          <w:tab w:val="left" w:pos="0"/>
          <w:tab w:val="right" w:leader="dot" w:pos="9360"/>
        </w:tabs>
        <w:ind w:left="720"/>
        <w:rPr>
          <w:sz w:val="26"/>
          <w:szCs w:val="26"/>
          <w:lang w:val="es-ES"/>
        </w:rPr>
      </w:pPr>
      <w:r w:rsidRPr="00460190">
        <w:rPr>
          <w:sz w:val="26"/>
          <w:szCs w:val="26"/>
          <w:lang w:val="es-ES"/>
        </w:rPr>
        <w:t>883 P.2d 1269</w:t>
      </w:r>
      <w:r>
        <w:rPr>
          <w:sz w:val="26"/>
          <w:szCs w:val="26"/>
          <w:lang w:val="es-ES"/>
        </w:rPr>
        <w:t xml:space="preserve"> </w:t>
      </w:r>
      <w:r w:rsidRPr="00460190">
        <w:rPr>
          <w:sz w:val="26"/>
          <w:szCs w:val="26"/>
          <w:lang w:val="es-ES"/>
        </w:rPr>
        <w:t>(N.M. 1994)</w:t>
      </w:r>
      <w:r w:rsidRPr="00460190">
        <w:rPr>
          <w:sz w:val="26"/>
          <w:szCs w:val="26"/>
          <w:lang w:val="es-ES"/>
        </w:rPr>
        <w:tab/>
      </w:r>
      <w:r w:rsidR="00A67C3E">
        <w:rPr>
          <w:sz w:val="26"/>
          <w:szCs w:val="26"/>
          <w:lang w:val="es-ES"/>
        </w:rPr>
        <w:t>9</w:t>
      </w:r>
    </w:p>
    <w:p w14:paraId="43CBF474" w14:textId="77777777" w:rsidR="00460190" w:rsidRPr="00460190" w:rsidRDefault="00460190" w:rsidP="00460190">
      <w:pPr>
        <w:tabs>
          <w:tab w:val="left" w:pos="0"/>
          <w:tab w:val="right" w:leader="dot" w:pos="9360"/>
        </w:tabs>
        <w:ind w:left="720"/>
        <w:rPr>
          <w:sz w:val="26"/>
          <w:szCs w:val="26"/>
          <w:lang w:val="es-ES"/>
        </w:rPr>
      </w:pPr>
    </w:p>
    <w:p w14:paraId="32298DAE" w14:textId="377EB4E6" w:rsidR="00024D4C" w:rsidRPr="0064698E" w:rsidRDefault="006E0457" w:rsidP="00024D4C">
      <w:pPr>
        <w:tabs>
          <w:tab w:val="left" w:pos="0"/>
          <w:tab w:val="right" w:leader="dot" w:pos="9360"/>
        </w:tabs>
        <w:spacing w:line="480" w:lineRule="auto"/>
        <w:rPr>
          <w:b/>
          <w:bCs/>
          <w:sz w:val="26"/>
          <w:szCs w:val="26"/>
        </w:rPr>
      </w:pPr>
      <w:r>
        <w:rPr>
          <w:b/>
          <w:bCs/>
          <w:sz w:val="26"/>
          <w:szCs w:val="26"/>
        </w:rPr>
        <w:t>Statutory Authorities:</w:t>
      </w:r>
    </w:p>
    <w:p w14:paraId="1F26095E" w14:textId="68F9FAB4" w:rsidR="00024D4C" w:rsidRPr="0064698E" w:rsidRDefault="00DF4FEB" w:rsidP="00024D4C">
      <w:pPr>
        <w:tabs>
          <w:tab w:val="left" w:pos="0"/>
          <w:tab w:val="right" w:leader="dot" w:pos="9360"/>
        </w:tabs>
        <w:spacing w:line="480" w:lineRule="auto"/>
        <w:rPr>
          <w:sz w:val="26"/>
          <w:szCs w:val="26"/>
        </w:rPr>
      </w:pPr>
      <w:r>
        <w:rPr>
          <w:sz w:val="26"/>
          <w:szCs w:val="26"/>
        </w:rPr>
        <w:t>Fed. R. Crim. P. 17(c)</w:t>
      </w:r>
      <w:r w:rsidR="00A544F3" w:rsidRPr="0064698E">
        <w:rPr>
          <w:sz w:val="26"/>
          <w:szCs w:val="26"/>
        </w:rPr>
        <w:tab/>
      </w:r>
      <w:r w:rsidR="00A67C3E">
        <w:rPr>
          <w:sz w:val="26"/>
          <w:szCs w:val="26"/>
        </w:rPr>
        <w:t>13</w:t>
      </w:r>
    </w:p>
    <w:p w14:paraId="632D81CD" w14:textId="0F949788" w:rsidR="00E72178" w:rsidRPr="0064698E" w:rsidRDefault="00DF4FEB" w:rsidP="00024D4C">
      <w:pPr>
        <w:tabs>
          <w:tab w:val="left" w:pos="0"/>
          <w:tab w:val="right" w:leader="dot" w:pos="9360"/>
        </w:tabs>
        <w:spacing w:line="480" w:lineRule="auto"/>
        <w:rPr>
          <w:sz w:val="26"/>
          <w:szCs w:val="26"/>
        </w:rPr>
      </w:pPr>
      <w:r>
        <w:rPr>
          <w:sz w:val="26"/>
          <w:szCs w:val="26"/>
        </w:rPr>
        <w:t>18 U.S.C. § 6002</w:t>
      </w:r>
      <w:r w:rsidR="00A544F3" w:rsidRPr="0064698E">
        <w:rPr>
          <w:sz w:val="26"/>
          <w:szCs w:val="26"/>
        </w:rPr>
        <w:tab/>
      </w:r>
      <w:r w:rsidR="00A67C3E">
        <w:rPr>
          <w:sz w:val="26"/>
          <w:szCs w:val="26"/>
        </w:rPr>
        <w:t>5, 10</w:t>
      </w:r>
    </w:p>
    <w:p w14:paraId="549D03FA" w14:textId="77777777" w:rsidR="00460190" w:rsidRPr="004040DA" w:rsidRDefault="00460190" w:rsidP="00024D4C">
      <w:pPr>
        <w:tabs>
          <w:tab w:val="left" w:pos="0"/>
          <w:tab w:val="right" w:leader="dot" w:pos="9360"/>
        </w:tabs>
        <w:spacing w:line="480" w:lineRule="auto"/>
        <w:rPr>
          <w:sz w:val="26"/>
          <w:szCs w:val="26"/>
        </w:rPr>
      </w:pPr>
    </w:p>
    <w:p w14:paraId="1822EE2C" w14:textId="77777777" w:rsidR="00024D4C" w:rsidRPr="004040DA" w:rsidRDefault="00024D4C" w:rsidP="00024D4C">
      <w:pPr>
        <w:spacing w:after="160" w:line="278" w:lineRule="auto"/>
        <w:rPr>
          <w:b/>
          <w:bCs/>
          <w:sz w:val="26"/>
          <w:szCs w:val="26"/>
        </w:rPr>
        <w:sectPr w:rsidR="00024D4C" w:rsidRPr="004040DA" w:rsidSect="00144D17">
          <w:pgSz w:w="12240" w:h="15840"/>
          <w:pgMar w:top="1440" w:right="1440" w:bottom="1440" w:left="1440" w:header="720" w:footer="720" w:gutter="0"/>
          <w:pgNumType w:fmt="lowerRoman" w:start="1"/>
          <w:cols w:space="720"/>
          <w:docGrid w:linePitch="360"/>
        </w:sectPr>
      </w:pPr>
    </w:p>
    <w:p w14:paraId="5BCFCB9C" w14:textId="4DC3110A" w:rsidR="00024D4C" w:rsidRPr="0064698E" w:rsidRDefault="00024D4C" w:rsidP="00024D4C">
      <w:pPr>
        <w:spacing w:after="160" w:line="278" w:lineRule="auto"/>
        <w:jc w:val="center"/>
        <w:rPr>
          <w:b/>
          <w:bCs/>
          <w:sz w:val="26"/>
          <w:szCs w:val="26"/>
        </w:rPr>
      </w:pPr>
      <w:r w:rsidRPr="0064698E">
        <w:rPr>
          <w:b/>
          <w:bCs/>
          <w:sz w:val="26"/>
          <w:szCs w:val="26"/>
        </w:rPr>
        <w:lastRenderedPageBreak/>
        <w:t>INTRODUCTION</w:t>
      </w:r>
    </w:p>
    <w:p w14:paraId="7BBDCAE0" w14:textId="3B927ADC" w:rsidR="001C1CA5" w:rsidRPr="001C1CA5" w:rsidRDefault="00556295" w:rsidP="001C1CA5">
      <w:pPr>
        <w:spacing w:line="480" w:lineRule="auto"/>
        <w:jc w:val="both"/>
        <w:rPr>
          <w:sz w:val="26"/>
          <w:szCs w:val="26"/>
        </w:rPr>
      </w:pPr>
      <w:r>
        <w:rPr>
          <w:b/>
          <w:bCs/>
          <w:sz w:val="26"/>
          <w:szCs w:val="26"/>
        </w:rPr>
        <w:tab/>
      </w:r>
      <w:r w:rsidR="001C1CA5" w:rsidRPr="001C1CA5">
        <w:rPr>
          <w:sz w:val="26"/>
          <w:szCs w:val="26"/>
        </w:rPr>
        <w:t xml:space="preserve">This case presents two issues arising from the Government’s efforts to prosecute Emily Calloway. </w:t>
      </w:r>
      <w:r w:rsidR="009E10D2" w:rsidRPr="009E10D2">
        <w:rPr>
          <w:sz w:val="26"/>
          <w:szCs w:val="26"/>
        </w:rPr>
        <w:t>First, after compelling Ms. Calloway's testimony against Saint Donovan under a grant of use and derivative-use immunity, 18 U.S.C. §§ 6002 and 6003</w:t>
      </w:r>
      <w:r w:rsidR="001C1CA5" w:rsidRPr="001C1CA5">
        <w:rPr>
          <w:sz w:val="26"/>
          <w:szCs w:val="26"/>
        </w:rPr>
        <w:t xml:space="preserve">, the Government developed Kennedy Parker as a witness and recovered Exhibit 19 from a previously unknown storage unit. Ms. Calloway moves to suppress that evidence because the Government cannot prove that it was derived from sources wholly independent of her compelled testimony, as required by </w:t>
      </w:r>
      <w:r w:rsidR="001C1CA5" w:rsidRPr="00616B5D">
        <w:rPr>
          <w:i/>
          <w:iCs/>
          <w:sz w:val="26"/>
          <w:szCs w:val="26"/>
        </w:rPr>
        <w:t>Kastigar</w:t>
      </w:r>
      <w:r w:rsidR="001C1CA5" w:rsidRPr="001C1CA5">
        <w:rPr>
          <w:sz w:val="26"/>
          <w:szCs w:val="26"/>
        </w:rPr>
        <w:t>.</w:t>
      </w:r>
    </w:p>
    <w:p w14:paraId="25DF4CFC" w14:textId="06CE649D" w:rsidR="0067260D" w:rsidRPr="001C1CA5" w:rsidRDefault="001C1CA5" w:rsidP="001C1CA5">
      <w:pPr>
        <w:spacing w:line="480" w:lineRule="auto"/>
        <w:jc w:val="both"/>
        <w:rPr>
          <w:sz w:val="26"/>
          <w:szCs w:val="26"/>
        </w:rPr>
      </w:pPr>
      <w:r w:rsidRPr="001C1CA5">
        <w:rPr>
          <w:sz w:val="26"/>
          <w:szCs w:val="26"/>
        </w:rPr>
        <w:tab/>
        <w:t>Second, Ms. Calloway moves to quash the Government’s subpoena for Exhibit 21, notes prepared by defense investigator Maddox Armana during his February 2024 interview of Sierra Seton. Those notes constitute protected work product, and the Government cannot establish the necessity required to compel their production. Accordingly, both motions should be granted.</w:t>
      </w:r>
    </w:p>
    <w:p w14:paraId="7C304545" w14:textId="77E4F6DC" w:rsidR="00024D4C" w:rsidRPr="0064698E" w:rsidRDefault="00024D4C" w:rsidP="00024D4C">
      <w:pPr>
        <w:spacing w:after="160" w:line="278" w:lineRule="auto"/>
        <w:jc w:val="center"/>
        <w:rPr>
          <w:b/>
          <w:bCs/>
          <w:sz w:val="26"/>
          <w:szCs w:val="26"/>
        </w:rPr>
      </w:pPr>
      <w:r w:rsidRPr="0064698E">
        <w:rPr>
          <w:b/>
          <w:bCs/>
          <w:sz w:val="26"/>
          <w:szCs w:val="26"/>
        </w:rPr>
        <w:t>STATEMENT OF FACTS</w:t>
      </w:r>
    </w:p>
    <w:p w14:paraId="13AA1172" w14:textId="4863D231" w:rsidR="009A549E" w:rsidRPr="009A549E" w:rsidRDefault="009A549E" w:rsidP="00613B1A">
      <w:pPr>
        <w:spacing w:line="480" w:lineRule="auto"/>
        <w:jc w:val="both"/>
        <w:rPr>
          <w:sz w:val="26"/>
          <w:szCs w:val="26"/>
        </w:rPr>
      </w:pPr>
      <w:r>
        <w:rPr>
          <w:sz w:val="26"/>
          <w:szCs w:val="26"/>
        </w:rPr>
        <w:tab/>
      </w:r>
      <w:r w:rsidRPr="009A549E">
        <w:rPr>
          <w:sz w:val="26"/>
          <w:szCs w:val="26"/>
        </w:rPr>
        <w:t>Emily Calloway owns the Silver Palms Resort and, since 2018, has been a fifty-fifty business partner with Saint Donovan, who oversaw the resort’s outside vendors and finances. Sinclair Dep. 38; 77-90. Those vendors included Emerald Coast Consulting, LLC (“Emerald”) and its subcontractor, Coastal Event Solutions, LLC (“Coastal”). Sinclair Dep. 103-123.</w:t>
      </w:r>
    </w:p>
    <w:p w14:paraId="37A88901" w14:textId="775A4A64" w:rsidR="009A549E" w:rsidRDefault="009A549E" w:rsidP="00613B1A">
      <w:pPr>
        <w:spacing w:line="480" w:lineRule="auto"/>
        <w:jc w:val="both"/>
        <w:rPr>
          <w:sz w:val="26"/>
          <w:szCs w:val="26"/>
        </w:rPr>
      </w:pPr>
      <w:r>
        <w:rPr>
          <w:sz w:val="26"/>
          <w:szCs w:val="26"/>
        </w:rPr>
        <w:tab/>
      </w:r>
      <w:r w:rsidRPr="009A549E">
        <w:rPr>
          <w:sz w:val="26"/>
          <w:szCs w:val="26"/>
        </w:rPr>
        <w:t>In October 2023, Silver Palms accountant Daniel Blake began reporting vendor-billing irregularities</w:t>
      </w:r>
      <w:r w:rsidR="005E00C5">
        <w:rPr>
          <w:sz w:val="26"/>
          <w:szCs w:val="26"/>
        </w:rPr>
        <w:t xml:space="preserve"> which were </w:t>
      </w:r>
      <w:r w:rsidRPr="009A549E">
        <w:rPr>
          <w:sz w:val="26"/>
          <w:szCs w:val="26"/>
        </w:rPr>
        <w:t xml:space="preserve">referred to AUSA Sinclair. Sinclair Dep. 94-101. The </w:t>
      </w:r>
      <w:r w:rsidR="00A71CBF">
        <w:rPr>
          <w:sz w:val="26"/>
          <w:szCs w:val="26"/>
        </w:rPr>
        <w:t>G</w:t>
      </w:r>
      <w:r w:rsidRPr="009A549E">
        <w:rPr>
          <w:sz w:val="26"/>
          <w:szCs w:val="26"/>
        </w:rPr>
        <w:t xml:space="preserve">overnment did not yet act on Coastal directly, lacking, it said, concrete evidence of a </w:t>
      </w:r>
      <w:r w:rsidRPr="009A549E">
        <w:rPr>
          <w:sz w:val="26"/>
          <w:szCs w:val="26"/>
        </w:rPr>
        <w:lastRenderedPageBreak/>
        <w:t>criminal scheme. Sinclair Dep. 181-183. On December 9, 2023, Blake told Sinclair he had found a breakthrough tying the Coastal account to its true owner. Sinclair Dep. 200-217.</w:t>
      </w:r>
    </w:p>
    <w:p w14:paraId="1C85EBDD" w14:textId="5602FFA7" w:rsidR="00613B1A" w:rsidRDefault="00613B1A" w:rsidP="00613B1A">
      <w:pPr>
        <w:spacing w:line="480" w:lineRule="auto"/>
        <w:jc w:val="both"/>
        <w:rPr>
          <w:sz w:val="26"/>
          <w:szCs w:val="26"/>
        </w:rPr>
      </w:pPr>
      <w:r>
        <w:rPr>
          <w:sz w:val="26"/>
          <w:szCs w:val="26"/>
        </w:rPr>
        <w:tab/>
        <w:t xml:space="preserve">The next night, </w:t>
      </w:r>
      <w:r w:rsidR="009A549E">
        <w:rPr>
          <w:sz w:val="26"/>
          <w:szCs w:val="26"/>
        </w:rPr>
        <w:t>a</w:t>
      </w:r>
      <w:r w:rsidR="009A549E" w:rsidRPr="009A549E">
        <w:rPr>
          <w:sz w:val="26"/>
          <w:szCs w:val="26"/>
        </w:rPr>
        <w:t>t the Silver Palms holiday</w:t>
      </w:r>
      <w:r w:rsidR="009A549E">
        <w:rPr>
          <w:sz w:val="26"/>
          <w:szCs w:val="26"/>
        </w:rPr>
        <w:t xml:space="preserve"> party</w:t>
      </w:r>
      <w:r w:rsidR="009A549E" w:rsidRPr="009A549E">
        <w:rPr>
          <w:sz w:val="26"/>
          <w:szCs w:val="26"/>
        </w:rPr>
        <w:t xml:space="preserve">, Kennedy Parker observed a confrontation between Blake and Ms. Calloway. Parker Dep. 176-212. Two days later, Blake was murdered in his office, which investigators found ransacked. Sinclair Dep. 213-217; 242-250. Investigators later discovered that </w:t>
      </w:r>
      <w:r w:rsidR="009A549E">
        <w:rPr>
          <w:sz w:val="26"/>
          <w:szCs w:val="26"/>
        </w:rPr>
        <w:t xml:space="preserve">Blake’s </w:t>
      </w:r>
      <w:r w:rsidR="009A549E" w:rsidRPr="009A549E">
        <w:rPr>
          <w:sz w:val="26"/>
          <w:szCs w:val="26"/>
        </w:rPr>
        <w:t xml:space="preserve">file </w:t>
      </w:r>
      <w:r w:rsidR="009A549E">
        <w:rPr>
          <w:sz w:val="26"/>
          <w:szCs w:val="26"/>
        </w:rPr>
        <w:t xml:space="preserve">about Coastal’s beneficial owner </w:t>
      </w:r>
      <w:r w:rsidR="009A549E" w:rsidRPr="009A549E">
        <w:rPr>
          <w:sz w:val="26"/>
          <w:szCs w:val="26"/>
        </w:rPr>
        <w:t>was missing. Nolan Dep. 58-68.</w:t>
      </w:r>
    </w:p>
    <w:p w14:paraId="2A1240E6" w14:textId="59D0383A" w:rsidR="007A1ADC" w:rsidRDefault="007A1ADC" w:rsidP="00613B1A">
      <w:pPr>
        <w:spacing w:line="480" w:lineRule="auto"/>
        <w:jc w:val="both"/>
        <w:rPr>
          <w:sz w:val="26"/>
          <w:szCs w:val="26"/>
        </w:rPr>
      </w:pPr>
      <w:r>
        <w:rPr>
          <w:sz w:val="26"/>
          <w:szCs w:val="26"/>
        </w:rPr>
        <w:tab/>
      </w:r>
      <w:r w:rsidRPr="007A1ADC">
        <w:rPr>
          <w:sz w:val="26"/>
          <w:szCs w:val="26"/>
        </w:rPr>
        <w:t>On December 20, Ms. Calloway asked Parker, whom she regularly asked to perform errands, to move a box marked “Coastal” to an off-site storage unit. Parker Dep. 137-154, 249-291. No Government agent knew about the storage unit before Parker later disclosed it. Nolan Dep. 346-350.</w:t>
      </w:r>
    </w:p>
    <w:p w14:paraId="2ADEE4A4" w14:textId="2F0C06CF" w:rsidR="007A1ADC" w:rsidRDefault="007A1ADC" w:rsidP="00613B1A">
      <w:pPr>
        <w:spacing w:line="480" w:lineRule="auto"/>
        <w:jc w:val="both"/>
        <w:rPr>
          <w:sz w:val="26"/>
          <w:szCs w:val="26"/>
        </w:rPr>
      </w:pPr>
      <w:r>
        <w:rPr>
          <w:sz w:val="26"/>
          <w:szCs w:val="26"/>
        </w:rPr>
        <w:tab/>
      </w:r>
      <w:r w:rsidRPr="007A1ADC">
        <w:rPr>
          <w:sz w:val="26"/>
          <w:szCs w:val="26"/>
        </w:rPr>
        <w:t>By January 2024, investigators tied Blake’s killing to Donovan through surveillance footage and a payment from Emerald</w:t>
      </w:r>
      <w:r w:rsidR="005E00C5">
        <w:rPr>
          <w:sz w:val="26"/>
          <w:szCs w:val="26"/>
        </w:rPr>
        <w:t>.</w:t>
      </w:r>
      <w:r w:rsidRPr="007A1ADC">
        <w:rPr>
          <w:sz w:val="26"/>
          <w:szCs w:val="26"/>
        </w:rPr>
        <w:t xml:space="preserve"> </w:t>
      </w:r>
      <w:r w:rsidR="005E00C5" w:rsidRPr="005E00C5">
        <w:rPr>
          <w:sz w:val="26"/>
          <w:szCs w:val="26"/>
        </w:rPr>
        <w:t>Sinclair Dep. 256-268</w:t>
      </w:r>
      <w:r w:rsidR="005E00C5">
        <w:rPr>
          <w:sz w:val="26"/>
          <w:szCs w:val="26"/>
        </w:rPr>
        <w:t xml:space="preserve">. </w:t>
      </w:r>
      <w:r w:rsidRPr="007A1ADC">
        <w:rPr>
          <w:sz w:val="26"/>
          <w:szCs w:val="26"/>
        </w:rPr>
        <w:t xml:space="preserve">Donovan was </w:t>
      </w:r>
      <w:r w:rsidR="005E00C5">
        <w:rPr>
          <w:sz w:val="26"/>
          <w:szCs w:val="26"/>
        </w:rPr>
        <w:t xml:space="preserve">then </w:t>
      </w:r>
      <w:r w:rsidRPr="007A1ADC">
        <w:rPr>
          <w:sz w:val="26"/>
          <w:szCs w:val="26"/>
        </w:rPr>
        <w:t xml:space="preserve">arrested. Nolan Dep. 50-57. </w:t>
      </w:r>
      <w:r w:rsidR="005E00C5">
        <w:rPr>
          <w:sz w:val="26"/>
          <w:szCs w:val="26"/>
        </w:rPr>
        <w:t xml:space="preserve">The </w:t>
      </w:r>
      <w:r w:rsidR="00A71CBF">
        <w:rPr>
          <w:sz w:val="26"/>
          <w:szCs w:val="26"/>
        </w:rPr>
        <w:t>G</w:t>
      </w:r>
      <w:r w:rsidR="005E00C5">
        <w:rPr>
          <w:sz w:val="26"/>
          <w:szCs w:val="26"/>
        </w:rPr>
        <w:t xml:space="preserve">overnment attempted to speak to </w:t>
      </w:r>
      <w:r w:rsidRPr="007A1ADC">
        <w:rPr>
          <w:sz w:val="26"/>
          <w:szCs w:val="26"/>
        </w:rPr>
        <w:t xml:space="preserve">Ms. Calloway </w:t>
      </w:r>
      <w:r w:rsidR="005E00C5">
        <w:rPr>
          <w:sz w:val="26"/>
          <w:szCs w:val="26"/>
        </w:rPr>
        <w:t xml:space="preserve">but she </w:t>
      </w:r>
      <w:r w:rsidRPr="007A1ADC">
        <w:rPr>
          <w:sz w:val="26"/>
          <w:szCs w:val="26"/>
        </w:rPr>
        <w:t>invoked. Sinclair Dep. 303-304.</w:t>
      </w:r>
    </w:p>
    <w:p w14:paraId="4BB6D28A" w14:textId="45D7C2BF" w:rsidR="007A1ADC" w:rsidRDefault="007A1ADC" w:rsidP="00613B1A">
      <w:pPr>
        <w:spacing w:line="480" w:lineRule="auto"/>
        <w:jc w:val="both"/>
        <w:rPr>
          <w:sz w:val="26"/>
          <w:szCs w:val="26"/>
        </w:rPr>
      </w:pPr>
      <w:r>
        <w:rPr>
          <w:sz w:val="26"/>
          <w:szCs w:val="26"/>
        </w:rPr>
        <w:tab/>
      </w:r>
      <w:r w:rsidRPr="007A1ADC">
        <w:rPr>
          <w:sz w:val="26"/>
          <w:szCs w:val="26"/>
        </w:rPr>
        <w:t xml:space="preserve">Following Donovan’s arrest, defense counsel retained Maddox Armana, a licensed private investigator with nineteen years of law-enforcement experience, to investigate the corporate structure underlying the </w:t>
      </w:r>
      <w:r w:rsidR="00A71CBF">
        <w:rPr>
          <w:sz w:val="26"/>
          <w:szCs w:val="26"/>
        </w:rPr>
        <w:t>G</w:t>
      </w:r>
      <w:r w:rsidRPr="007A1ADC">
        <w:rPr>
          <w:sz w:val="26"/>
          <w:szCs w:val="26"/>
        </w:rPr>
        <w:t xml:space="preserve">overnment’s developing case. Armana Dep. 6-10, 33-45. On February 15, 2024, Armana located and interviewed former Coastal operations manager Sierra Seton using old records, former addresses, and interviews with former coworkers and a former landlord. Armana Dep. 51-79; Stip. ¶ 8. When his recorder failed, Armana took contemporaneous notes. The body </w:t>
      </w:r>
      <w:r w:rsidR="005E00C5">
        <w:rPr>
          <w:sz w:val="26"/>
          <w:szCs w:val="26"/>
        </w:rPr>
        <w:t xml:space="preserve">of the notes </w:t>
      </w:r>
      <w:r w:rsidRPr="007A1ADC">
        <w:rPr>
          <w:sz w:val="26"/>
          <w:szCs w:val="26"/>
        </w:rPr>
        <w:t xml:space="preserve">records Seton’s factual </w:t>
      </w:r>
      <w:r w:rsidRPr="007A1ADC">
        <w:rPr>
          <w:sz w:val="26"/>
          <w:szCs w:val="26"/>
        </w:rPr>
        <w:lastRenderedPageBreak/>
        <w:t>account, while red text reflects Armana’s thoughts, follow-up questions, and developing theories. Armana Dep. 111-124, 140-143.</w:t>
      </w:r>
    </w:p>
    <w:p w14:paraId="4219186F" w14:textId="676B5994" w:rsidR="007A1ADC" w:rsidRDefault="007A1ADC" w:rsidP="00613B1A">
      <w:pPr>
        <w:spacing w:line="480" w:lineRule="auto"/>
        <w:jc w:val="both"/>
        <w:rPr>
          <w:sz w:val="26"/>
          <w:szCs w:val="26"/>
        </w:rPr>
      </w:pPr>
      <w:r>
        <w:rPr>
          <w:sz w:val="26"/>
          <w:szCs w:val="26"/>
        </w:rPr>
        <w:tab/>
      </w:r>
      <w:r w:rsidRPr="007A1ADC">
        <w:rPr>
          <w:sz w:val="26"/>
          <w:szCs w:val="26"/>
        </w:rPr>
        <w:t xml:space="preserve">Seton left the country the following month with Coastal’s registered agent, Ky Chandler, and has remained unreachable. Sinclair Dep. 162-165, 389-396; Armana Dep. 140-168. Although the </w:t>
      </w:r>
      <w:r w:rsidR="00A71CBF">
        <w:rPr>
          <w:sz w:val="26"/>
          <w:szCs w:val="26"/>
        </w:rPr>
        <w:t>G</w:t>
      </w:r>
      <w:r w:rsidRPr="007A1ADC">
        <w:rPr>
          <w:sz w:val="26"/>
          <w:szCs w:val="26"/>
        </w:rPr>
        <w:t xml:space="preserve">overnment had identified Seton through Coastal’s records, it did not attempt to locate her until spring 2024, after she had left. Sinclair Dep. 389-396. Armana’s notes remain sealed as Exhibit 21 and have never been disclosed to the </w:t>
      </w:r>
      <w:r w:rsidR="00A71CBF">
        <w:rPr>
          <w:sz w:val="26"/>
          <w:szCs w:val="26"/>
        </w:rPr>
        <w:t>G</w:t>
      </w:r>
      <w:r w:rsidRPr="007A1ADC">
        <w:rPr>
          <w:sz w:val="26"/>
          <w:szCs w:val="26"/>
        </w:rPr>
        <w:t>overnment. Stip. ¶ 8.</w:t>
      </w:r>
    </w:p>
    <w:p w14:paraId="08DA5D8D" w14:textId="23D595D8" w:rsidR="007A1ADC" w:rsidRDefault="007A1ADC" w:rsidP="00613B1A">
      <w:pPr>
        <w:spacing w:line="480" w:lineRule="auto"/>
        <w:jc w:val="both"/>
        <w:rPr>
          <w:sz w:val="26"/>
          <w:szCs w:val="26"/>
        </w:rPr>
      </w:pPr>
      <w:r>
        <w:rPr>
          <w:sz w:val="26"/>
          <w:szCs w:val="26"/>
        </w:rPr>
        <w:tab/>
      </w:r>
      <w:r w:rsidRPr="007A1ADC">
        <w:rPr>
          <w:sz w:val="26"/>
          <w:szCs w:val="26"/>
        </w:rPr>
        <w:t xml:space="preserve">On August 23, 2024, </w:t>
      </w:r>
      <w:r>
        <w:rPr>
          <w:sz w:val="26"/>
          <w:szCs w:val="26"/>
        </w:rPr>
        <w:t xml:space="preserve">since </w:t>
      </w:r>
      <w:r w:rsidRPr="007A1ADC">
        <w:rPr>
          <w:sz w:val="26"/>
          <w:szCs w:val="26"/>
        </w:rPr>
        <w:t xml:space="preserve">Blake was dead, and Chandler and Seton were unavailable, the </w:t>
      </w:r>
      <w:r w:rsidR="00A71CBF">
        <w:rPr>
          <w:sz w:val="26"/>
          <w:szCs w:val="26"/>
        </w:rPr>
        <w:t>G</w:t>
      </w:r>
      <w:r w:rsidRPr="007A1ADC">
        <w:rPr>
          <w:sz w:val="26"/>
          <w:szCs w:val="26"/>
        </w:rPr>
        <w:t>overnment obtained an order compelling Ms. Calloway to testify against Donovan with use and derivative-use immunity under 18 U.S.C. §§ 6002 and 6003. Nolan Dep. 154-171</w:t>
      </w:r>
      <w:r>
        <w:rPr>
          <w:sz w:val="26"/>
          <w:szCs w:val="26"/>
        </w:rPr>
        <w:t xml:space="preserve">; </w:t>
      </w:r>
      <w:r w:rsidRPr="007A1ADC">
        <w:rPr>
          <w:sz w:val="26"/>
          <w:szCs w:val="26"/>
        </w:rPr>
        <w:t xml:space="preserve">Ex. 12; Stip. ¶ 6. </w:t>
      </w:r>
      <w:r w:rsidR="005E00C5">
        <w:rPr>
          <w:sz w:val="26"/>
          <w:szCs w:val="26"/>
        </w:rPr>
        <w:t>The day before, t</w:t>
      </w:r>
      <w:r w:rsidRPr="007A1ADC">
        <w:rPr>
          <w:sz w:val="26"/>
          <w:szCs w:val="26"/>
        </w:rPr>
        <w:t xml:space="preserve">he investigations </w:t>
      </w:r>
      <w:r w:rsidR="00916937">
        <w:rPr>
          <w:sz w:val="26"/>
          <w:szCs w:val="26"/>
        </w:rPr>
        <w:t>were</w:t>
      </w:r>
      <w:r w:rsidR="005E00C5">
        <w:rPr>
          <w:sz w:val="26"/>
          <w:szCs w:val="26"/>
        </w:rPr>
        <w:t xml:space="preserve"> </w:t>
      </w:r>
      <w:r w:rsidRPr="007A1ADC">
        <w:rPr>
          <w:sz w:val="26"/>
          <w:szCs w:val="26"/>
        </w:rPr>
        <w:t xml:space="preserve">divided into separate </w:t>
      </w:r>
      <w:r w:rsidR="005E00C5">
        <w:rPr>
          <w:sz w:val="26"/>
          <w:szCs w:val="26"/>
        </w:rPr>
        <w:t>“</w:t>
      </w:r>
      <w:r w:rsidRPr="007A1ADC">
        <w:rPr>
          <w:sz w:val="26"/>
          <w:szCs w:val="26"/>
        </w:rPr>
        <w:t>Team Donovan</w:t>
      </w:r>
      <w:r w:rsidR="005E00C5">
        <w:rPr>
          <w:sz w:val="26"/>
          <w:szCs w:val="26"/>
        </w:rPr>
        <w:t>”</w:t>
      </w:r>
      <w:r w:rsidRPr="007A1ADC">
        <w:rPr>
          <w:sz w:val="26"/>
          <w:szCs w:val="26"/>
        </w:rPr>
        <w:t xml:space="preserve"> and </w:t>
      </w:r>
      <w:r w:rsidR="005E00C5">
        <w:rPr>
          <w:sz w:val="26"/>
          <w:szCs w:val="26"/>
        </w:rPr>
        <w:t>“</w:t>
      </w:r>
      <w:r w:rsidRPr="007A1ADC">
        <w:rPr>
          <w:sz w:val="26"/>
          <w:szCs w:val="26"/>
        </w:rPr>
        <w:t>Team Calloway</w:t>
      </w:r>
      <w:r w:rsidR="005E00C5">
        <w:rPr>
          <w:sz w:val="26"/>
          <w:szCs w:val="26"/>
        </w:rPr>
        <w:t>”</w:t>
      </w:r>
      <w:r w:rsidRPr="007A1ADC">
        <w:rPr>
          <w:sz w:val="26"/>
          <w:szCs w:val="26"/>
        </w:rPr>
        <w:t xml:space="preserve"> files, with Team Calloway barred from receiving Ms. Calloway’s compelled information. Sinclair Dep. 548-552; Nolan Dep. 182-215; Ex. 15.</w:t>
      </w:r>
    </w:p>
    <w:p w14:paraId="7D444162" w14:textId="73E3769F" w:rsidR="007A1ADC" w:rsidRDefault="007A1ADC" w:rsidP="00613B1A">
      <w:pPr>
        <w:spacing w:line="480" w:lineRule="auto"/>
        <w:jc w:val="both"/>
        <w:rPr>
          <w:sz w:val="26"/>
          <w:szCs w:val="26"/>
        </w:rPr>
      </w:pPr>
      <w:r>
        <w:rPr>
          <w:sz w:val="26"/>
          <w:szCs w:val="26"/>
        </w:rPr>
        <w:tab/>
      </w:r>
      <w:r w:rsidRPr="007A1ADC">
        <w:rPr>
          <w:sz w:val="26"/>
          <w:szCs w:val="26"/>
        </w:rPr>
        <w:t xml:space="preserve">Before Ms. Calloway testified, Agent Nolan documented a plan to return to Silver Palms employees who worked during Blake’s investigation and ranked employees principally by 2023 shift frequency. Nolan Dep. 255-288; Exs. 16-17. Parker ranked seventh. Ex. 17. At that time, no </w:t>
      </w:r>
      <w:r w:rsidR="00A71CBF">
        <w:rPr>
          <w:sz w:val="26"/>
          <w:szCs w:val="26"/>
        </w:rPr>
        <w:t>G</w:t>
      </w:r>
      <w:r w:rsidRPr="007A1ADC">
        <w:rPr>
          <w:sz w:val="26"/>
          <w:szCs w:val="26"/>
        </w:rPr>
        <w:t>overnment agent had interviewed Parker, and Nolan did not know whether she possessed relevant information. Stip. ¶ 7; Nolan Dep. 293-297.</w:t>
      </w:r>
    </w:p>
    <w:p w14:paraId="27D78B09" w14:textId="404E915F" w:rsidR="007A1ADC" w:rsidRDefault="007A1ADC" w:rsidP="00613B1A">
      <w:pPr>
        <w:spacing w:line="480" w:lineRule="auto"/>
        <w:jc w:val="both"/>
        <w:rPr>
          <w:sz w:val="26"/>
          <w:szCs w:val="26"/>
        </w:rPr>
      </w:pPr>
      <w:r>
        <w:rPr>
          <w:sz w:val="26"/>
          <w:szCs w:val="26"/>
        </w:rPr>
        <w:tab/>
      </w:r>
      <w:r w:rsidRPr="007A1ADC">
        <w:rPr>
          <w:sz w:val="26"/>
          <w:szCs w:val="26"/>
        </w:rPr>
        <w:t xml:space="preserve">Ms. Calloway proffered pursuant to the immunity order on August 28 and testified publicly at Donovan’s trial on October 10, 2024. Sinclair Dep. 553-555, 592-596; Stip. ¶ </w:t>
      </w:r>
      <w:r w:rsidRPr="007A1ADC">
        <w:rPr>
          <w:sz w:val="26"/>
          <w:szCs w:val="26"/>
        </w:rPr>
        <w:lastRenderedPageBreak/>
        <w:t>6. Her compelled testimony identified Parker as the employee who approached her after the Blake confrontation and explained that Parker regularly assisted her with errands. Ex. 13.</w:t>
      </w:r>
    </w:p>
    <w:p w14:paraId="09A6FE19" w14:textId="60477457" w:rsidR="007A1ADC" w:rsidRDefault="007A1ADC" w:rsidP="00613B1A">
      <w:pPr>
        <w:spacing w:line="480" w:lineRule="auto"/>
        <w:jc w:val="both"/>
        <w:rPr>
          <w:sz w:val="26"/>
          <w:szCs w:val="26"/>
        </w:rPr>
      </w:pPr>
      <w:r>
        <w:rPr>
          <w:sz w:val="26"/>
          <w:szCs w:val="26"/>
        </w:rPr>
        <w:tab/>
      </w:r>
      <w:r w:rsidRPr="007A1ADC">
        <w:rPr>
          <w:sz w:val="26"/>
          <w:szCs w:val="26"/>
        </w:rPr>
        <w:t xml:space="preserve">The </w:t>
      </w:r>
      <w:r w:rsidR="00A71CBF">
        <w:rPr>
          <w:sz w:val="26"/>
          <w:szCs w:val="26"/>
        </w:rPr>
        <w:t>G</w:t>
      </w:r>
      <w:r w:rsidRPr="007A1ADC">
        <w:rPr>
          <w:sz w:val="26"/>
          <w:szCs w:val="26"/>
        </w:rPr>
        <w:t xml:space="preserve">overnment first interviewed Parker on October 31, 2024. Stip. ¶ 7; Nolan Dep. 314-328. Parker disclosed the December 20, 2023, errand and identified the storage unit where she had placed the “Coastal” box. Nolan Dep. 334-350. Investigators confirmed the unit, obtained a warrant, and searched it on November 5, 2024. Nolan Dep. 351-360. The search produced Coastal records never recovered elsewhere, including Exhibit 19, which identified Ms. Calloway as the beneficial owner of the Marsh Holdings Cayman account. </w:t>
      </w:r>
      <w:r w:rsidRPr="005E00C5">
        <w:rPr>
          <w:i/>
          <w:iCs/>
          <w:sz w:val="26"/>
          <w:szCs w:val="26"/>
        </w:rPr>
        <w:t>Id.</w:t>
      </w:r>
      <w:r w:rsidRPr="007A1ADC">
        <w:rPr>
          <w:sz w:val="26"/>
          <w:szCs w:val="26"/>
        </w:rPr>
        <w:t>; Ex. 19.</w:t>
      </w:r>
    </w:p>
    <w:p w14:paraId="683A1A3D" w14:textId="340BC303" w:rsidR="007A1ADC" w:rsidRDefault="007A1ADC" w:rsidP="00613B1A">
      <w:pPr>
        <w:spacing w:line="480" w:lineRule="auto"/>
        <w:jc w:val="both"/>
        <w:rPr>
          <w:sz w:val="26"/>
          <w:szCs w:val="26"/>
        </w:rPr>
      </w:pPr>
      <w:r>
        <w:rPr>
          <w:sz w:val="26"/>
          <w:szCs w:val="26"/>
        </w:rPr>
        <w:tab/>
      </w:r>
      <w:r w:rsidRPr="007A1ADC">
        <w:rPr>
          <w:sz w:val="26"/>
          <w:szCs w:val="26"/>
        </w:rPr>
        <w:t xml:space="preserve">Ms. Calloway was later indicted for witness killing and money-laundering conspiracy. She now moves to suppress Parker’s testimony and Exhibit 19 and to quash the </w:t>
      </w:r>
      <w:r w:rsidR="00A71CBF">
        <w:rPr>
          <w:sz w:val="26"/>
          <w:szCs w:val="26"/>
        </w:rPr>
        <w:t>G</w:t>
      </w:r>
      <w:r w:rsidRPr="007A1ADC">
        <w:rPr>
          <w:sz w:val="26"/>
          <w:szCs w:val="26"/>
        </w:rPr>
        <w:t>overnment’s subpoena for Exhibit 21.</w:t>
      </w:r>
    </w:p>
    <w:p w14:paraId="44047B11" w14:textId="7AF21A68" w:rsidR="00024D4C" w:rsidRPr="0064698E" w:rsidRDefault="00024D4C">
      <w:pPr>
        <w:spacing w:after="160" w:line="278" w:lineRule="auto"/>
        <w:rPr>
          <w:b/>
          <w:bCs/>
          <w:sz w:val="26"/>
          <w:szCs w:val="26"/>
        </w:rPr>
      </w:pPr>
      <w:r w:rsidRPr="0064698E">
        <w:rPr>
          <w:b/>
          <w:bCs/>
          <w:sz w:val="26"/>
          <w:szCs w:val="26"/>
        </w:rPr>
        <w:br w:type="page"/>
      </w:r>
    </w:p>
    <w:p w14:paraId="5FAD668C" w14:textId="30FA85EB" w:rsidR="00024D4C" w:rsidRPr="0064698E" w:rsidRDefault="00024D4C" w:rsidP="00F12FE9">
      <w:pPr>
        <w:spacing w:after="160" w:line="278" w:lineRule="auto"/>
        <w:jc w:val="center"/>
        <w:rPr>
          <w:b/>
          <w:bCs/>
          <w:sz w:val="26"/>
          <w:szCs w:val="26"/>
        </w:rPr>
      </w:pPr>
      <w:r w:rsidRPr="0064698E">
        <w:rPr>
          <w:b/>
          <w:bCs/>
          <w:sz w:val="26"/>
          <w:szCs w:val="26"/>
        </w:rPr>
        <w:lastRenderedPageBreak/>
        <w:t>ARGUMENT</w:t>
      </w:r>
    </w:p>
    <w:p w14:paraId="3ABB6EEC" w14:textId="56BC9538" w:rsidR="00024D4C" w:rsidRDefault="004C18FC" w:rsidP="004C18FC">
      <w:pPr>
        <w:pStyle w:val="ListParagraph"/>
        <w:numPr>
          <w:ilvl w:val="0"/>
          <w:numId w:val="3"/>
        </w:numPr>
        <w:jc w:val="both"/>
        <w:rPr>
          <w:b/>
          <w:bCs/>
          <w:sz w:val="26"/>
          <w:szCs w:val="26"/>
        </w:rPr>
      </w:pPr>
      <w:r w:rsidRPr="004C18FC">
        <w:rPr>
          <w:b/>
          <w:bCs/>
          <w:sz w:val="26"/>
          <w:szCs w:val="26"/>
        </w:rPr>
        <w:t>DEFENDANT’S MOTION TO SUPPRESS EVIDENCE SHOULD BE GRANTED BECAUSE THE GOVERNMENT CANNOT SATISFY ITS BURDEN UNDER KASTIGAR</w:t>
      </w:r>
      <w:r>
        <w:rPr>
          <w:b/>
          <w:bCs/>
          <w:sz w:val="26"/>
          <w:szCs w:val="26"/>
        </w:rPr>
        <w:t>.</w:t>
      </w:r>
    </w:p>
    <w:p w14:paraId="1964907D" w14:textId="77777777" w:rsidR="004C18FC" w:rsidRDefault="004C18FC" w:rsidP="004C18FC">
      <w:pPr>
        <w:jc w:val="both"/>
        <w:rPr>
          <w:b/>
          <w:bCs/>
          <w:sz w:val="26"/>
          <w:szCs w:val="26"/>
        </w:rPr>
      </w:pPr>
    </w:p>
    <w:p w14:paraId="162344C9" w14:textId="582960C9" w:rsidR="004C18FC" w:rsidRPr="004C18FC" w:rsidRDefault="004C18FC" w:rsidP="004C18FC">
      <w:pPr>
        <w:spacing w:line="480" w:lineRule="auto"/>
        <w:jc w:val="both"/>
        <w:rPr>
          <w:sz w:val="26"/>
          <w:szCs w:val="26"/>
        </w:rPr>
      </w:pPr>
      <w:r>
        <w:rPr>
          <w:b/>
          <w:bCs/>
          <w:sz w:val="26"/>
          <w:szCs w:val="26"/>
        </w:rPr>
        <w:tab/>
      </w:r>
      <w:r w:rsidRPr="004C18FC">
        <w:rPr>
          <w:sz w:val="26"/>
          <w:szCs w:val="26"/>
        </w:rPr>
        <w:t xml:space="preserve">This Court should grant Ms. Calloway’s Motion to Suppress because the </w:t>
      </w:r>
      <w:r w:rsidR="00A71CBF">
        <w:rPr>
          <w:sz w:val="26"/>
          <w:szCs w:val="26"/>
        </w:rPr>
        <w:t>G</w:t>
      </w:r>
      <w:r w:rsidRPr="004C18FC">
        <w:rPr>
          <w:sz w:val="26"/>
          <w:szCs w:val="26"/>
        </w:rPr>
        <w:t>overnment cannot prove that Kennedy Parker’s testimony or the evidence recovered from the storage unit (Exhibit 19) came from sources wholly independent of Ms. Calloway’s compelled testimony. Th</w:t>
      </w:r>
      <w:r w:rsidR="00404B05">
        <w:rPr>
          <w:sz w:val="26"/>
          <w:szCs w:val="26"/>
        </w:rPr>
        <w:t>is</w:t>
      </w:r>
      <w:r w:rsidRPr="004C18FC">
        <w:rPr>
          <w:sz w:val="26"/>
          <w:szCs w:val="26"/>
        </w:rPr>
        <w:t xml:space="preserve"> Court already found the threshold showing required for a </w:t>
      </w:r>
      <w:r w:rsidRPr="004C18FC">
        <w:rPr>
          <w:i/>
          <w:iCs/>
          <w:sz w:val="26"/>
          <w:szCs w:val="26"/>
        </w:rPr>
        <w:t>Kastigar</w:t>
      </w:r>
      <w:r w:rsidRPr="004C18FC">
        <w:rPr>
          <w:sz w:val="26"/>
          <w:szCs w:val="26"/>
        </w:rPr>
        <w:t xml:space="preserve"> hearing. </w:t>
      </w:r>
      <w:r w:rsidR="00D91C60" w:rsidRPr="00D91C60">
        <w:rPr>
          <w:sz w:val="26"/>
          <w:szCs w:val="26"/>
        </w:rPr>
        <w:t>Notice of Hearing at 1</w:t>
      </w:r>
      <w:r w:rsidR="00D91C60">
        <w:rPr>
          <w:sz w:val="26"/>
          <w:szCs w:val="26"/>
        </w:rPr>
        <w:t>-</w:t>
      </w:r>
      <w:r w:rsidR="00D91C60" w:rsidRPr="00D91C60">
        <w:rPr>
          <w:sz w:val="26"/>
          <w:szCs w:val="26"/>
        </w:rPr>
        <w:t xml:space="preserve">2, </w:t>
      </w:r>
      <w:r w:rsidR="00D91C60" w:rsidRPr="00D91C60">
        <w:rPr>
          <w:i/>
          <w:iCs/>
          <w:sz w:val="26"/>
          <w:szCs w:val="26"/>
        </w:rPr>
        <w:t>United States v. Calloway</w:t>
      </w:r>
      <w:r w:rsidR="00D91C60" w:rsidRPr="00D91C60">
        <w:rPr>
          <w:sz w:val="26"/>
          <w:szCs w:val="26"/>
        </w:rPr>
        <w:t>, No. 2025-CF-00417</w:t>
      </w:r>
      <w:r w:rsidR="00D91C60">
        <w:rPr>
          <w:sz w:val="26"/>
          <w:szCs w:val="26"/>
        </w:rPr>
        <w:t xml:space="preserve">. </w:t>
      </w:r>
      <w:r w:rsidRPr="004C18FC">
        <w:rPr>
          <w:sz w:val="26"/>
          <w:szCs w:val="26"/>
        </w:rPr>
        <w:t xml:space="preserve">The </w:t>
      </w:r>
      <w:r w:rsidR="00A71CBF">
        <w:rPr>
          <w:sz w:val="26"/>
          <w:szCs w:val="26"/>
        </w:rPr>
        <w:t>G</w:t>
      </w:r>
      <w:r w:rsidRPr="004C18FC">
        <w:rPr>
          <w:sz w:val="26"/>
          <w:szCs w:val="26"/>
        </w:rPr>
        <w:t xml:space="preserve">overnment therefore bears the burden of proving an independent source for the challenged evidence. </w:t>
      </w:r>
      <w:r w:rsidRPr="004C18FC">
        <w:rPr>
          <w:i/>
          <w:iCs/>
          <w:sz w:val="26"/>
          <w:szCs w:val="26"/>
        </w:rPr>
        <w:t>Kastigar v. United States</w:t>
      </w:r>
      <w:r w:rsidRPr="004C18FC">
        <w:rPr>
          <w:sz w:val="26"/>
          <w:szCs w:val="26"/>
        </w:rPr>
        <w:t>, 406 U.S. 441, 460 (1972).</w:t>
      </w:r>
    </w:p>
    <w:p w14:paraId="46C5ADFF" w14:textId="28B0DF10" w:rsidR="001261EF" w:rsidRDefault="004C18FC" w:rsidP="001261EF">
      <w:pPr>
        <w:spacing w:line="480" w:lineRule="auto"/>
        <w:jc w:val="both"/>
        <w:rPr>
          <w:sz w:val="26"/>
          <w:szCs w:val="26"/>
        </w:rPr>
      </w:pPr>
      <w:r w:rsidRPr="004C18FC">
        <w:rPr>
          <w:sz w:val="26"/>
          <w:szCs w:val="26"/>
        </w:rPr>
        <w:tab/>
      </w:r>
      <w:r w:rsidR="007A1ADC" w:rsidRPr="007A1ADC">
        <w:rPr>
          <w:sz w:val="26"/>
          <w:szCs w:val="26"/>
        </w:rPr>
        <w:t xml:space="preserve">Section 6002 of the United States Code prohibits use of compelled testimony and information “directly or indirectly derived” from it, including use as an investigatory lead. 18 U.S.C. § 6002; </w:t>
      </w:r>
      <w:r w:rsidR="007A1ADC" w:rsidRPr="00404B05">
        <w:rPr>
          <w:i/>
          <w:iCs/>
          <w:sz w:val="26"/>
          <w:szCs w:val="26"/>
        </w:rPr>
        <w:t>Kastigar</w:t>
      </w:r>
      <w:r w:rsidR="007A1ADC" w:rsidRPr="007A1ADC">
        <w:rPr>
          <w:sz w:val="26"/>
          <w:szCs w:val="26"/>
        </w:rPr>
        <w:t xml:space="preserve">, 406 U.S. at 460. The </w:t>
      </w:r>
      <w:r w:rsidR="00A71CBF">
        <w:rPr>
          <w:sz w:val="26"/>
          <w:szCs w:val="26"/>
        </w:rPr>
        <w:t>G</w:t>
      </w:r>
      <w:r w:rsidR="007A1ADC" w:rsidRPr="007A1ADC">
        <w:rPr>
          <w:sz w:val="26"/>
          <w:szCs w:val="26"/>
        </w:rPr>
        <w:t xml:space="preserve">overnment must account for each step through which challenged evidence was obtained. </w:t>
      </w:r>
      <w:r w:rsidR="007A1ADC" w:rsidRPr="00404B05">
        <w:rPr>
          <w:i/>
          <w:iCs/>
          <w:sz w:val="26"/>
          <w:szCs w:val="26"/>
        </w:rPr>
        <w:t>United States v. Schmidgall</w:t>
      </w:r>
      <w:r w:rsidR="007A1ADC" w:rsidRPr="007A1ADC">
        <w:rPr>
          <w:sz w:val="26"/>
          <w:szCs w:val="26"/>
        </w:rPr>
        <w:t xml:space="preserve">, 25 F.3d 1523, 1528 (11th Cir. 1994) (citing </w:t>
      </w:r>
      <w:r w:rsidR="007A1ADC" w:rsidRPr="00404B05">
        <w:rPr>
          <w:i/>
          <w:iCs/>
          <w:sz w:val="26"/>
          <w:szCs w:val="26"/>
        </w:rPr>
        <w:t>United States v. Hampton</w:t>
      </w:r>
      <w:r w:rsidR="007A1ADC" w:rsidRPr="007A1ADC">
        <w:rPr>
          <w:sz w:val="26"/>
          <w:szCs w:val="26"/>
        </w:rPr>
        <w:t xml:space="preserve">, 775 F.2d 1479, 1489 (11th Cir. 1985)). Investigator denials alone generally do not satisfy the burden. </w:t>
      </w:r>
      <w:r w:rsidR="007A1ADC" w:rsidRPr="00404B05">
        <w:rPr>
          <w:i/>
          <w:iCs/>
          <w:sz w:val="26"/>
          <w:szCs w:val="26"/>
        </w:rPr>
        <w:t>Hampton</w:t>
      </w:r>
      <w:r w:rsidR="007A1ADC" w:rsidRPr="007A1ADC">
        <w:rPr>
          <w:sz w:val="26"/>
          <w:szCs w:val="26"/>
        </w:rPr>
        <w:t xml:space="preserve">, 775 F.2d at 1485. Although the </w:t>
      </w:r>
      <w:r w:rsidR="00A71CBF">
        <w:rPr>
          <w:sz w:val="26"/>
          <w:szCs w:val="26"/>
        </w:rPr>
        <w:t>G</w:t>
      </w:r>
      <w:r w:rsidR="007A1ADC" w:rsidRPr="007A1ADC">
        <w:rPr>
          <w:sz w:val="26"/>
          <w:szCs w:val="26"/>
        </w:rPr>
        <w:t xml:space="preserve">overnment need not eliminate every theoretical possibility of taint, it must prove independence by a preponderance of the evidence. </w:t>
      </w:r>
      <w:r w:rsidR="007A1ADC" w:rsidRPr="00404B05">
        <w:rPr>
          <w:i/>
          <w:iCs/>
          <w:sz w:val="26"/>
          <w:szCs w:val="26"/>
        </w:rPr>
        <w:t>Schmidgall</w:t>
      </w:r>
      <w:r w:rsidR="007A1ADC" w:rsidRPr="007A1ADC">
        <w:rPr>
          <w:sz w:val="26"/>
          <w:szCs w:val="26"/>
        </w:rPr>
        <w:t xml:space="preserve">, 25 F.3d at 1529 (citing </w:t>
      </w:r>
      <w:r w:rsidR="007A1ADC" w:rsidRPr="00404B05">
        <w:rPr>
          <w:i/>
          <w:iCs/>
          <w:sz w:val="26"/>
          <w:szCs w:val="26"/>
        </w:rPr>
        <w:t>United States v. Byrd</w:t>
      </w:r>
      <w:r w:rsidR="007A1ADC" w:rsidRPr="007A1ADC">
        <w:rPr>
          <w:sz w:val="26"/>
          <w:szCs w:val="26"/>
        </w:rPr>
        <w:t>, 765 F.2d 1524, 1529 (11th Cir. 1985)).</w:t>
      </w:r>
    </w:p>
    <w:p w14:paraId="66C76425" w14:textId="5667130F" w:rsidR="007D6FCC" w:rsidRPr="007D6FCC" w:rsidRDefault="007D6FCC" w:rsidP="007D6FCC">
      <w:pPr>
        <w:pStyle w:val="ListParagraph"/>
        <w:numPr>
          <w:ilvl w:val="0"/>
          <w:numId w:val="12"/>
        </w:numPr>
        <w:jc w:val="both"/>
        <w:rPr>
          <w:b/>
          <w:bCs/>
          <w:sz w:val="26"/>
          <w:szCs w:val="26"/>
        </w:rPr>
      </w:pPr>
      <w:r w:rsidRPr="007D6FCC">
        <w:rPr>
          <w:b/>
          <w:bCs/>
          <w:sz w:val="26"/>
          <w:szCs w:val="26"/>
        </w:rPr>
        <w:t xml:space="preserve">The Government Cannot Prove That Parker’s Testimony Was Independently Derived. </w:t>
      </w:r>
    </w:p>
    <w:p w14:paraId="4A55E785" w14:textId="77777777" w:rsidR="007D6FCC" w:rsidRDefault="007D6FCC" w:rsidP="007D6FCC">
      <w:pPr>
        <w:jc w:val="both"/>
        <w:rPr>
          <w:sz w:val="26"/>
          <w:szCs w:val="26"/>
        </w:rPr>
      </w:pPr>
    </w:p>
    <w:p w14:paraId="132F4147" w14:textId="183F61A2" w:rsidR="00024D4C" w:rsidRPr="004C18FC" w:rsidRDefault="007D6FCC" w:rsidP="007D6FCC">
      <w:pPr>
        <w:spacing w:line="480" w:lineRule="auto"/>
        <w:jc w:val="both"/>
        <w:rPr>
          <w:sz w:val="26"/>
          <w:szCs w:val="26"/>
        </w:rPr>
      </w:pPr>
      <w:r>
        <w:rPr>
          <w:sz w:val="26"/>
          <w:szCs w:val="26"/>
        </w:rPr>
        <w:lastRenderedPageBreak/>
        <w:tab/>
      </w:r>
      <w:r w:rsidR="00CB0B74" w:rsidRPr="00CB0B74">
        <w:rPr>
          <w:sz w:val="26"/>
          <w:szCs w:val="26"/>
        </w:rPr>
        <w:t xml:space="preserve">The </w:t>
      </w:r>
      <w:r w:rsidR="00A71CBF">
        <w:rPr>
          <w:sz w:val="26"/>
          <w:szCs w:val="26"/>
        </w:rPr>
        <w:t>G</w:t>
      </w:r>
      <w:r w:rsidR="00CB0B74" w:rsidRPr="00CB0B74">
        <w:rPr>
          <w:sz w:val="26"/>
          <w:szCs w:val="26"/>
        </w:rPr>
        <w:t xml:space="preserve">overnment knew who Parker was before Ms. Calloway testified, and that Parker herself was not exposed to Ms. Calloway’s compelled testimony. But no </w:t>
      </w:r>
      <w:r w:rsidR="00A71CBF">
        <w:rPr>
          <w:sz w:val="26"/>
          <w:szCs w:val="26"/>
        </w:rPr>
        <w:t>G</w:t>
      </w:r>
      <w:r w:rsidR="00CB0B74" w:rsidRPr="00CB0B74">
        <w:rPr>
          <w:sz w:val="26"/>
          <w:szCs w:val="26"/>
        </w:rPr>
        <w:t xml:space="preserve">overnment agent had spoken with Parker before that date, and Agent Nolan did not know whether she possessed relevant information. Stip. ¶ 7; Nolan Dep. 293-297. Therefore, the issue is whether the </w:t>
      </w:r>
      <w:r w:rsidR="00A71CBF">
        <w:rPr>
          <w:sz w:val="26"/>
          <w:szCs w:val="26"/>
        </w:rPr>
        <w:t>G</w:t>
      </w:r>
      <w:r w:rsidR="00CB0B74" w:rsidRPr="00CB0B74">
        <w:rPr>
          <w:sz w:val="26"/>
          <w:szCs w:val="26"/>
        </w:rPr>
        <w:t xml:space="preserve">overnment independently develop the October 31, 2024, interview that produced Parker’s testimony. </w:t>
      </w:r>
      <w:r w:rsidR="00CB0B74" w:rsidRPr="00404B05">
        <w:rPr>
          <w:i/>
          <w:iCs/>
          <w:sz w:val="26"/>
          <w:szCs w:val="26"/>
        </w:rPr>
        <w:t>See Kastigar</w:t>
      </w:r>
      <w:r w:rsidR="00CB0B74" w:rsidRPr="00CB0B74">
        <w:rPr>
          <w:sz w:val="26"/>
          <w:szCs w:val="26"/>
        </w:rPr>
        <w:t>, 406 U.S. at 460</w:t>
      </w:r>
      <w:r w:rsidRPr="007D6FCC">
        <w:rPr>
          <w:sz w:val="26"/>
          <w:szCs w:val="26"/>
        </w:rPr>
        <w:t>.</w:t>
      </w:r>
    </w:p>
    <w:p w14:paraId="28038D63" w14:textId="3F4B586D" w:rsidR="004C18FC" w:rsidRPr="00F12FE9" w:rsidRDefault="00695898" w:rsidP="007D6FCC">
      <w:pPr>
        <w:pStyle w:val="ListParagraph"/>
        <w:numPr>
          <w:ilvl w:val="0"/>
          <w:numId w:val="13"/>
        </w:numPr>
        <w:jc w:val="both"/>
        <w:rPr>
          <w:sz w:val="26"/>
          <w:szCs w:val="26"/>
        </w:rPr>
      </w:pPr>
      <w:r w:rsidRPr="00695898">
        <w:rPr>
          <w:i/>
          <w:iCs/>
          <w:sz w:val="26"/>
          <w:szCs w:val="26"/>
        </w:rPr>
        <w:t>Parker’s Lack of Exposure and the Government’s Prior Knowledge of her Identity do not Resolve Independent Derivation</w:t>
      </w:r>
      <w:r w:rsidR="007D6FCC" w:rsidRPr="00F12FE9">
        <w:rPr>
          <w:i/>
          <w:iCs/>
          <w:sz w:val="26"/>
          <w:szCs w:val="26"/>
        </w:rPr>
        <w:t>.</w:t>
      </w:r>
    </w:p>
    <w:p w14:paraId="5173A57F" w14:textId="77777777" w:rsidR="007D6FCC" w:rsidRDefault="007D6FCC" w:rsidP="007D6FCC">
      <w:pPr>
        <w:jc w:val="both"/>
        <w:rPr>
          <w:b/>
          <w:bCs/>
          <w:sz w:val="26"/>
          <w:szCs w:val="26"/>
        </w:rPr>
      </w:pPr>
    </w:p>
    <w:p w14:paraId="19862E9C" w14:textId="27664A4D" w:rsidR="007D6FCC" w:rsidRDefault="007D6FCC" w:rsidP="007D6FCC">
      <w:pPr>
        <w:spacing w:line="480" w:lineRule="auto"/>
        <w:jc w:val="both"/>
        <w:rPr>
          <w:sz w:val="26"/>
          <w:szCs w:val="26"/>
        </w:rPr>
      </w:pPr>
      <w:r w:rsidRPr="007D6FCC">
        <w:rPr>
          <w:sz w:val="26"/>
          <w:szCs w:val="26"/>
        </w:rPr>
        <w:tab/>
      </w:r>
      <w:r w:rsidRPr="007D6FCC">
        <w:rPr>
          <w:i/>
          <w:iCs/>
          <w:sz w:val="26"/>
          <w:szCs w:val="26"/>
        </w:rPr>
        <w:t>Kastigar</w:t>
      </w:r>
      <w:r w:rsidRPr="007D6FCC">
        <w:rPr>
          <w:sz w:val="26"/>
          <w:szCs w:val="26"/>
        </w:rPr>
        <w:t xml:space="preserve"> requires more than showing that a witness personally did not hear the compelled testimony. </w:t>
      </w:r>
      <w:r w:rsidR="00CB0B74" w:rsidRPr="00CB0B74">
        <w:rPr>
          <w:sz w:val="26"/>
          <w:szCs w:val="26"/>
        </w:rPr>
        <w:t xml:space="preserve">In </w:t>
      </w:r>
      <w:r w:rsidR="00CB0B74" w:rsidRPr="00801B6F">
        <w:rPr>
          <w:i/>
          <w:iCs/>
          <w:sz w:val="26"/>
          <w:szCs w:val="26"/>
        </w:rPr>
        <w:t>United States v. North</w:t>
      </w:r>
      <w:r w:rsidR="00CB0B74" w:rsidRPr="00CB0B74">
        <w:rPr>
          <w:sz w:val="26"/>
          <w:szCs w:val="26"/>
        </w:rPr>
        <w:t xml:space="preserve">, 910 F.2d 843, 866 (D.C. Cir. 1990), the D.C. Circuit rejected the argument that freedom from exposure necessarily establishes independent derivation and considered both “the taint of the testimony and the derivation of the testimony.” Thus, showing that Parker herself never heard Ms. Calloway’s testimony answers the witness-exposure question but does not address how the </w:t>
      </w:r>
      <w:r w:rsidR="00A71CBF">
        <w:rPr>
          <w:sz w:val="26"/>
          <w:szCs w:val="26"/>
        </w:rPr>
        <w:t>G</w:t>
      </w:r>
      <w:r w:rsidR="00CB0B74" w:rsidRPr="00CB0B74">
        <w:rPr>
          <w:sz w:val="26"/>
          <w:szCs w:val="26"/>
        </w:rPr>
        <w:t>overnment actually developed Parker’s testimony.</w:t>
      </w:r>
    </w:p>
    <w:p w14:paraId="48E10901" w14:textId="5191D46B" w:rsidR="004C18FC" w:rsidRDefault="007D6FCC" w:rsidP="00CB0B74">
      <w:pPr>
        <w:spacing w:line="480" w:lineRule="auto"/>
        <w:jc w:val="both"/>
        <w:rPr>
          <w:sz w:val="26"/>
          <w:szCs w:val="26"/>
        </w:rPr>
      </w:pPr>
      <w:r>
        <w:rPr>
          <w:sz w:val="26"/>
          <w:szCs w:val="26"/>
        </w:rPr>
        <w:tab/>
      </w:r>
      <w:r w:rsidR="00CB0B74" w:rsidRPr="00CB0B74">
        <w:rPr>
          <w:sz w:val="26"/>
          <w:szCs w:val="26"/>
        </w:rPr>
        <w:t xml:space="preserve">Parker testified that she did not follow Donovan’s trial and never watched or read Ms. Calloway’s testimony. Parker Dep. 307-313. But Parker did not initiate the interview; </w:t>
      </w:r>
      <w:r w:rsidR="00801B6F">
        <w:rPr>
          <w:sz w:val="26"/>
          <w:szCs w:val="26"/>
        </w:rPr>
        <w:t>l</w:t>
      </w:r>
      <w:r w:rsidR="00CB0B74" w:rsidRPr="00CB0B74">
        <w:rPr>
          <w:sz w:val="26"/>
          <w:szCs w:val="26"/>
        </w:rPr>
        <w:t xml:space="preserve">aw enforcement contacted her on October 31, 2024. Parker Dep. 314-319. Before Ms. Calloway testified, Parker was one of approximately one hundred Silver Palms employees. Nolan Dep. 277-281. No agent had interviewed her, Agent Nolan did not know whether she had relevant information, and </w:t>
      </w:r>
      <w:r w:rsidR="00801B6F">
        <w:rPr>
          <w:sz w:val="26"/>
          <w:szCs w:val="26"/>
        </w:rPr>
        <w:t>AUSA</w:t>
      </w:r>
      <w:r w:rsidR="00CB0B74" w:rsidRPr="00CB0B74">
        <w:rPr>
          <w:sz w:val="26"/>
          <w:szCs w:val="26"/>
        </w:rPr>
        <w:t xml:space="preserve"> Sinclair could not recall Parker being significant. Stip. ¶ 7; Sinclair Dep. 570-576; Nolan Dep. 293-297. Ms. Calloway’s compelled </w:t>
      </w:r>
      <w:r w:rsidR="00CB0B74" w:rsidRPr="00CB0B74">
        <w:rPr>
          <w:sz w:val="26"/>
          <w:szCs w:val="26"/>
        </w:rPr>
        <w:lastRenderedPageBreak/>
        <w:t>testimony, however, specifically identified Parker as the employee who approached her after the Blake confrontation and as someone who regularly performed various errands for her. Ex. 13. Parker later testified that no one else knew about this extra work because Ms. Calloway had told her to keep it private. Parker Dep. 151-154.</w:t>
      </w:r>
    </w:p>
    <w:p w14:paraId="2A51EB5D" w14:textId="538D7DEA" w:rsidR="007D6FCC" w:rsidRDefault="007D6FCC" w:rsidP="007D6FCC">
      <w:pPr>
        <w:spacing w:line="480" w:lineRule="auto"/>
        <w:ind w:firstLine="720"/>
        <w:jc w:val="both"/>
        <w:rPr>
          <w:sz w:val="26"/>
          <w:szCs w:val="26"/>
        </w:rPr>
      </w:pPr>
      <w:r w:rsidRPr="007D6FCC">
        <w:rPr>
          <w:sz w:val="26"/>
          <w:szCs w:val="26"/>
        </w:rPr>
        <w:t xml:space="preserve">That overlap does not prove that information crossed the wall. Nor does Ms. Calloway bear that burden. </w:t>
      </w:r>
      <w:r w:rsidR="00801B6F">
        <w:rPr>
          <w:sz w:val="26"/>
          <w:szCs w:val="26"/>
        </w:rPr>
        <w:t>I</w:t>
      </w:r>
      <w:r w:rsidRPr="007D6FCC">
        <w:rPr>
          <w:sz w:val="26"/>
          <w:szCs w:val="26"/>
        </w:rPr>
        <w:t>nstead</w:t>
      </w:r>
      <w:r w:rsidR="00801B6F">
        <w:rPr>
          <w:sz w:val="26"/>
          <w:szCs w:val="26"/>
        </w:rPr>
        <w:t>, it</w:t>
      </w:r>
      <w:r w:rsidRPr="007D6FCC">
        <w:rPr>
          <w:sz w:val="26"/>
          <w:szCs w:val="26"/>
        </w:rPr>
        <w:t xml:space="preserve"> makes the </w:t>
      </w:r>
      <w:r w:rsidR="00A71CBF">
        <w:rPr>
          <w:sz w:val="26"/>
          <w:szCs w:val="26"/>
        </w:rPr>
        <w:t>G</w:t>
      </w:r>
      <w:r w:rsidRPr="007D6FCC">
        <w:rPr>
          <w:sz w:val="26"/>
          <w:szCs w:val="26"/>
        </w:rPr>
        <w:t xml:space="preserve">overnment’s independent derivation of the October 31, 2024, interview the critical question. The </w:t>
      </w:r>
      <w:r w:rsidR="00A71CBF">
        <w:rPr>
          <w:sz w:val="26"/>
          <w:szCs w:val="26"/>
        </w:rPr>
        <w:t>G</w:t>
      </w:r>
      <w:r w:rsidRPr="007D6FCC">
        <w:rPr>
          <w:sz w:val="26"/>
          <w:szCs w:val="26"/>
        </w:rPr>
        <w:t>overnment relies on its pre-testimony interview plan to supply that link.</w:t>
      </w:r>
    </w:p>
    <w:p w14:paraId="68CD491F" w14:textId="0B86945E" w:rsidR="007D6FCC" w:rsidRPr="00F12FE9" w:rsidRDefault="00F12FE9" w:rsidP="00F12FE9">
      <w:pPr>
        <w:pStyle w:val="ListParagraph"/>
        <w:numPr>
          <w:ilvl w:val="0"/>
          <w:numId w:val="13"/>
        </w:numPr>
        <w:jc w:val="both"/>
        <w:rPr>
          <w:sz w:val="26"/>
          <w:szCs w:val="26"/>
        </w:rPr>
      </w:pPr>
      <w:r w:rsidRPr="00F12FE9">
        <w:rPr>
          <w:i/>
          <w:iCs/>
          <w:sz w:val="26"/>
          <w:szCs w:val="26"/>
        </w:rPr>
        <w:t xml:space="preserve">The Government Cannot Trace Parker’s October 31 Interview </w:t>
      </w:r>
      <w:r w:rsidR="00654925">
        <w:rPr>
          <w:i/>
          <w:iCs/>
          <w:sz w:val="26"/>
          <w:szCs w:val="26"/>
        </w:rPr>
        <w:t>t</w:t>
      </w:r>
      <w:r w:rsidRPr="00F12FE9">
        <w:rPr>
          <w:i/>
          <w:iCs/>
          <w:sz w:val="26"/>
          <w:szCs w:val="26"/>
        </w:rPr>
        <w:t xml:space="preserve">o </w:t>
      </w:r>
      <w:r w:rsidR="00654925">
        <w:rPr>
          <w:i/>
          <w:iCs/>
          <w:sz w:val="26"/>
          <w:szCs w:val="26"/>
        </w:rPr>
        <w:t>i</w:t>
      </w:r>
      <w:r w:rsidRPr="00F12FE9">
        <w:rPr>
          <w:i/>
          <w:iCs/>
          <w:sz w:val="26"/>
          <w:szCs w:val="26"/>
        </w:rPr>
        <w:t>ts Pre-Testimony Plan.</w:t>
      </w:r>
    </w:p>
    <w:p w14:paraId="28AF8D47" w14:textId="77777777" w:rsidR="00F12FE9" w:rsidRPr="00F12FE9" w:rsidRDefault="00F12FE9" w:rsidP="00F12FE9">
      <w:pPr>
        <w:pStyle w:val="ListParagraph"/>
        <w:ind w:left="1800"/>
        <w:jc w:val="both"/>
        <w:rPr>
          <w:b/>
          <w:bCs/>
          <w:sz w:val="26"/>
          <w:szCs w:val="26"/>
        </w:rPr>
      </w:pPr>
    </w:p>
    <w:p w14:paraId="59A69C1D" w14:textId="6D915C65" w:rsidR="007D6FCC" w:rsidRDefault="00F12FE9" w:rsidP="00F12FE9">
      <w:pPr>
        <w:spacing w:line="480" w:lineRule="auto"/>
        <w:ind w:firstLine="720"/>
        <w:jc w:val="both"/>
        <w:rPr>
          <w:sz w:val="26"/>
          <w:szCs w:val="26"/>
        </w:rPr>
      </w:pPr>
      <w:r w:rsidRPr="00F12FE9">
        <w:rPr>
          <w:sz w:val="26"/>
          <w:szCs w:val="26"/>
        </w:rPr>
        <w:t xml:space="preserve">A documented intent to investigate a witness is relevant to independence, but the </w:t>
      </w:r>
      <w:r w:rsidR="00A71CBF">
        <w:rPr>
          <w:sz w:val="26"/>
          <w:szCs w:val="26"/>
        </w:rPr>
        <w:t>G</w:t>
      </w:r>
      <w:r w:rsidRPr="00F12FE9">
        <w:rPr>
          <w:sz w:val="26"/>
          <w:szCs w:val="26"/>
        </w:rPr>
        <w:t xml:space="preserve">overnment must still establish that the investigative step taken would have occurred “entirely apart from the motivating effect of the immunized testimony.” </w:t>
      </w:r>
      <w:r w:rsidRPr="00F12FE9">
        <w:rPr>
          <w:i/>
          <w:iCs/>
          <w:sz w:val="26"/>
          <w:szCs w:val="26"/>
        </w:rPr>
        <w:t>United States v. Nanni</w:t>
      </w:r>
      <w:r w:rsidRPr="00F12FE9">
        <w:rPr>
          <w:sz w:val="26"/>
          <w:szCs w:val="26"/>
        </w:rPr>
        <w:t xml:space="preserve">, 59 F.3d 1425, 1432 (2d Cir. 1995) (quoting </w:t>
      </w:r>
      <w:r w:rsidRPr="00F12FE9">
        <w:rPr>
          <w:i/>
          <w:iCs/>
          <w:sz w:val="26"/>
          <w:szCs w:val="26"/>
        </w:rPr>
        <w:t>United States v. Biaggi</w:t>
      </w:r>
      <w:r w:rsidRPr="00F12FE9">
        <w:rPr>
          <w:sz w:val="26"/>
          <w:szCs w:val="26"/>
        </w:rPr>
        <w:t xml:space="preserve">, 909 F.2d 662, 689 (2d Cir. 1990)). </w:t>
      </w:r>
      <w:r w:rsidR="00CB0B74" w:rsidRPr="00CB0B74">
        <w:rPr>
          <w:sz w:val="26"/>
          <w:szCs w:val="26"/>
        </w:rPr>
        <w:t xml:space="preserve">In </w:t>
      </w:r>
      <w:r w:rsidR="00CB0B74" w:rsidRPr="00CB0B74">
        <w:rPr>
          <w:i/>
          <w:iCs/>
          <w:sz w:val="26"/>
          <w:szCs w:val="26"/>
        </w:rPr>
        <w:t>Nanni</w:t>
      </w:r>
      <w:r w:rsidR="00CB0B74" w:rsidRPr="00CB0B74">
        <w:rPr>
          <w:sz w:val="26"/>
          <w:szCs w:val="26"/>
        </w:rPr>
        <w:t xml:space="preserve"> a detailed investigation and referral report independently identified </w:t>
      </w:r>
      <w:r w:rsidR="00801B6F">
        <w:rPr>
          <w:sz w:val="26"/>
          <w:szCs w:val="26"/>
        </w:rPr>
        <w:t>Nanni</w:t>
      </w:r>
      <w:r w:rsidR="00CB0B74" w:rsidRPr="00CB0B74">
        <w:rPr>
          <w:sz w:val="26"/>
          <w:szCs w:val="26"/>
        </w:rPr>
        <w:t xml:space="preserve"> as a probable participant and recommended further investigation, supplying an established route for the later investigative step. </w:t>
      </w:r>
      <w:r w:rsidR="00CB0B74" w:rsidRPr="00801B6F">
        <w:rPr>
          <w:i/>
          <w:iCs/>
          <w:sz w:val="26"/>
          <w:szCs w:val="26"/>
        </w:rPr>
        <w:t>Id.</w:t>
      </w:r>
      <w:r w:rsidR="00CB0B74" w:rsidRPr="00CB0B74">
        <w:rPr>
          <w:sz w:val="26"/>
          <w:szCs w:val="26"/>
        </w:rPr>
        <w:t xml:space="preserve"> at 1436-39.</w:t>
      </w:r>
    </w:p>
    <w:p w14:paraId="084BCC49" w14:textId="1A955A91" w:rsidR="00CB0B74" w:rsidRDefault="00CB0B74" w:rsidP="00F12FE9">
      <w:pPr>
        <w:spacing w:line="480" w:lineRule="auto"/>
        <w:ind w:firstLine="720"/>
        <w:jc w:val="both"/>
        <w:rPr>
          <w:sz w:val="26"/>
          <w:szCs w:val="26"/>
        </w:rPr>
      </w:pPr>
      <w:r w:rsidRPr="00CB0B74">
        <w:rPr>
          <w:sz w:val="26"/>
          <w:szCs w:val="26"/>
        </w:rPr>
        <w:t xml:space="preserve">The </w:t>
      </w:r>
      <w:r w:rsidR="00A71CBF">
        <w:rPr>
          <w:sz w:val="26"/>
          <w:szCs w:val="26"/>
        </w:rPr>
        <w:t>G</w:t>
      </w:r>
      <w:r w:rsidRPr="00CB0B74">
        <w:rPr>
          <w:sz w:val="26"/>
          <w:szCs w:val="26"/>
        </w:rPr>
        <w:t xml:space="preserve">overnment has pre-testimony documentation here, but it is less specific. Exhibit 16 directed Agent Nolan to return to the 2023 Silver Palms employees who might know whether vendors performed the work they billed for, and Exhibit 17 ranked employees by 2023 shift frequency, placing Parker seventh. Nolan Dep. 255-267. Those </w:t>
      </w:r>
      <w:r w:rsidRPr="00CB0B74">
        <w:rPr>
          <w:sz w:val="26"/>
          <w:szCs w:val="26"/>
        </w:rPr>
        <w:lastRenderedPageBreak/>
        <w:t>documents establish a plan to interview Parker, but the actual sequence does not account for why she was reached when she was.</w:t>
      </w:r>
    </w:p>
    <w:p w14:paraId="7118589F" w14:textId="77777777" w:rsidR="00CB0B74" w:rsidRDefault="00CB0B74" w:rsidP="00F12FE9">
      <w:pPr>
        <w:spacing w:line="480" w:lineRule="auto"/>
        <w:ind w:firstLine="720"/>
        <w:jc w:val="both"/>
        <w:rPr>
          <w:sz w:val="26"/>
          <w:szCs w:val="26"/>
        </w:rPr>
      </w:pPr>
      <w:r w:rsidRPr="00CB0B74">
        <w:rPr>
          <w:sz w:val="26"/>
          <w:szCs w:val="26"/>
        </w:rPr>
        <w:t xml:space="preserve">Agent Nolan testified that Collins, Boothe, Delray, and Hahn were interviewed before Parker. Nolan Dep. 303-306. They ranked first, second, third, and fifth. Ex. 17. The record does not identify interviews of Kirby or Nash before the interview of Parker, even though they ranked fourth and sixth. </w:t>
      </w:r>
      <w:r w:rsidRPr="00801B6F">
        <w:rPr>
          <w:i/>
          <w:iCs/>
          <w:sz w:val="26"/>
          <w:szCs w:val="26"/>
        </w:rPr>
        <w:t>Id.</w:t>
      </w:r>
      <w:r w:rsidRPr="00CB0B74">
        <w:rPr>
          <w:sz w:val="26"/>
          <w:szCs w:val="26"/>
        </w:rPr>
        <w:t xml:space="preserve"> Moreover, three of the four employees Agent Nolan identified had already been interviewed and provided nothing new; Hahn had no relevant recollection. Nolan Dep. 307-313. Agent Nolan expected that interviewing a hundred employees would take months. Nolan Dep. 282-288. Further, shift frequency does not explain Parker’s unique vantage point at the Christmas party because she was not officially working the event. Collins asked her to help with setup and drinks. Parker Dep. 155-161. </w:t>
      </w:r>
    </w:p>
    <w:p w14:paraId="3265E49F" w14:textId="632C701E" w:rsidR="007D6FCC" w:rsidRPr="00CB0B74" w:rsidRDefault="00CB0B74" w:rsidP="00F12FE9">
      <w:pPr>
        <w:spacing w:line="480" w:lineRule="auto"/>
        <w:ind w:firstLine="720"/>
        <w:jc w:val="both"/>
        <w:rPr>
          <w:sz w:val="26"/>
          <w:szCs w:val="26"/>
        </w:rPr>
      </w:pPr>
      <w:r w:rsidRPr="00801B6F">
        <w:rPr>
          <w:i/>
          <w:iCs/>
          <w:sz w:val="26"/>
          <w:szCs w:val="26"/>
        </w:rPr>
        <w:t>United States v. Kiser</w:t>
      </w:r>
      <w:r w:rsidRPr="00CB0B74">
        <w:rPr>
          <w:sz w:val="26"/>
          <w:szCs w:val="26"/>
        </w:rPr>
        <w:t xml:space="preserve">, 948 F.2d 418, 423 (8th Cir. 1991), illustrates stronger independent derivation. In </w:t>
      </w:r>
      <w:r w:rsidRPr="00801B6F">
        <w:rPr>
          <w:i/>
          <w:iCs/>
          <w:sz w:val="26"/>
          <w:szCs w:val="26"/>
        </w:rPr>
        <w:t>Kiser</w:t>
      </w:r>
      <w:r w:rsidRPr="00CB0B74">
        <w:rPr>
          <w:sz w:val="26"/>
          <w:szCs w:val="26"/>
        </w:rPr>
        <w:t xml:space="preserve">, a pre-immunity file already documented the connection between Kiser and the challenged witness, and a continuing investigation, using three confidential informants and a wiretap, independently produced the witness’s indictment and cooperation. </w:t>
      </w:r>
      <w:r w:rsidRPr="00801B6F">
        <w:rPr>
          <w:i/>
          <w:iCs/>
          <w:sz w:val="26"/>
          <w:szCs w:val="26"/>
        </w:rPr>
        <w:t>Id.</w:t>
      </w:r>
      <w:r w:rsidRPr="00CB0B74">
        <w:rPr>
          <w:sz w:val="26"/>
          <w:szCs w:val="26"/>
        </w:rPr>
        <w:t xml:space="preserve"> Here, the </w:t>
      </w:r>
      <w:r w:rsidR="00A71CBF">
        <w:rPr>
          <w:sz w:val="26"/>
          <w:szCs w:val="26"/>
        </w:rPr>
        <w:t>G</w:t>
      </w:r>
      <w:r w:rsidRPr="00CB0B74">
        <w:rPr>
          <w:sz w:val="26"/>
          <w:szCs w:val="26"/>
        </w:rPr>
        <w:t>overnment has a broad interview plan, but its record does not fully explain the sequence that brought investigators to Parker on October 31, 2024.</w:t>
      </w:r>
    </w:p>
    <w:p w14:paraId="4CD57A28" w14:textId="50005C0C" w:rsidR="007D6FCC" w:rsidRDefault="00F12FE9" w:rsidP="00F12FE9">
      <w:pPr>
        <w:spacing w:line="480" w:lineRule="auto"/>
        <w:ind w:firstLine="720"/>
        <w:jc w:val="both"/>
        <w:rPr>
          <w:sz w:val="26"/>
          <w:szCs w:val="26"/>
        </w:rPr>
      </w:pPr>
      <w:r w:rsidRPr="00F12FE9">
        <w:rPr>
          <w:sz w:val="26"/>
          <w:szCs w:val="26"/>
        </w:rPr>
        <w:t xml:space="preserve">The </w:t>
      </w:r>
      <w:r w:rsidR="00A71CBF">
        <w:rPr>
          <w:sz w:val="26"/>
          <w:szCs w:val="26"/>
        </w:rPr>
        <w:t>G</w:t>
      </w:r>
      <w:r w:rsidRPr="00F12FE9">
        <w:rPr>
          <w:sz w:val="26"/>
          <w:szCs w:val="26"/>
        </w:rPr>
        <w:t xml:space="preserve">overnment’s burden turns on whether the </w:t>
      </w:r>
      <w:r w:rsidR="00A71CBF">
        <w:rPr>
          <w:sz w:val="26"/>
          <w:szCs w:val="26"/>
        </w:rPr>
        <w:t>G</w:t>
      </w:r>
      <w:r w:rsidRPr="00F12FE9">
        <w:rPr>
          <w:sz w:val="26"/>
          <w:szCs w:val="26"/>
        </w:rPr>
        <w:t xml:space="preserve">overnment can prove that the October 31, 2024, interview that produced her testimony arose from the documented independent path. Although Exhibits 16 and 17 establish the general plan to interview Parker, the actual interview sequence does not trace Parker’s interview to that plan. </w:t>
      </w:r>
      <w:r w:rsidRPr="00F12FE9">
        <w:rPr>
          <w:sz w:val="26"/>
          <w:szCs w:val="26"/>
        </w:rPr>
        <w:lastRenderedPageBreak/>
        <w:t xml:space="preserve">Because the </w:t>
      </w:r>
      <w:r w:rsidR="00A71CBF">
        <w:rPr>
          <w:sz w:val="26"/>
          <w:szCs w:val="26"/>
        </w:rPr>
        <w:t>G</w:t>
      </w:r>
      <w:r w:rsidRPr="00F12FE9">
        <w:rPr>
          <w:sz w:val="26"/>
          <w:szCs w:val="26"/>
        </w:rPr>
        <w:t xml:space="preserve">overnment bears the burden under </w:t>
      </w:r>
      <w:r w:rsidRPr="00F12FE9">
        <w:rPr>
          <w:i/>
          <w:iCs/>
          <w:sz w:val="26"/>
          <w:szCs w:val="26"/>
        </w:rPr>
        <w:t>Kastigar</w:t>
      </w:r>
      <w:r w:rsidRPr="00F12FE9">
        <w:rPr>
          <w:sz w:val="26"/>
          <w:szCs w:val="26"/>
        </w:rPr>
        <w:t xml:space="preserve">, that gap matters. </w:t>
      </w:r>
      <w:r w:rsidRPr="00F12FE9">
        <w:rPr>
          <w:i/>
          <w:iCs/>
          <w:sz w:val="26"/>
          <w:szCs w:val="26"/>
        </w:rPr>
        <w:t>Kastigar</w:t>
      </w:r>
      <w:r w:rsidRPr="00F12FE9">
        <w:rPr>
          <w:sz w:val="26"/>
          <w:szCs w:val="26"/>
        </w:rPr>
        <w:t>, 406 U.S. at 460.</w:t>
      </w:r>
    </w:p>
    <w:p w14:paraId="4499780C" w14:textId="3F879D1C" w:rsidR="007D6FCC" w:rsidRPr="00F12FE9" w:rsidRDefault="00F12FE9" w:rsidP="00F12FE9">
      <w:pPr>
        <w:pStyle w:val="ListParagraph"/>
        <w:numPr>
          <w:ilvl w:val="0"/>
          <w:numId w:val="13"/>
        </w:numPr>
        <w:rPr>
          <w:sz w:val="26"/>
          <w:szCs w:val="26"/>
        </w:rPr>
      </w:pPr>
      <w:r w:rsidRPr="00F12FE9">
        <w:rPr>
          <w:i/>
          <w:iCs/>
          <w:sz w:val="26"/>
          <w:szCs w:val="26"/>
        </w:rPr>
        <w:t xml:space="preserve">The Investigative Wall Does Not Substitute </w:t>
      </w:r>
      <w:r w:rsidR="00654925">
        <w:rPr>
          <w:i/>
          <w:iCs/>
          <w:sz w:val="26"/>
          <w:szCs w:val="26"/>
        </w:rPr>
        <w:t>f</w:t>
      </w:r>
      <w:r w:rsidRPr="00F12FE9">
        <w:rPr>
          <w:i/>
          <w:iCs/>
          <w:sz w:val="26"/>
          <w:szCs w:val="26"/>
        </w:rPr>
        <w:t>or Proof Of Parker’s Independent Derivation.</w:t>
      </w:r>
    </w:p>
    <w:p w14:paraId="00248835" w14:textId="77777777" w:rsidR="00F12FE9" w:rsidRPr="00F12FE9" w:rsidRDefault="00F12FE9" w:rsidP="00F12FE9">
      <w:pPr>
        <w:pStyle w:val="ListParagraph"/>
        <w:ind w:left="1800"/>
        <w:rPr>
          <w:sz w:val="26"/>
          <w:szCs w:val="26"/>
        </w:rPr>
      </w:pPr>
    </w:p>
    <w:p w14:paraId="568D8BCD" w14:textId="02649316" w:rsidR="00CB0B74" w:rsidRDefault="00CB0B74" w:rsidP="00F12FE9">
      <w:pPr>
        <w:spacing w:line="480" w:lineRule="auto"/>
        <w:ind w:firstLine="720"/>
        <w:jc w:val="both"/>
        <w:rPr>
          <w:sz w:val="26"/>
          <w:szCs w:val="26"/>
        </w:rPr>
      </w:pPr>
      <w:r w:rsidRPr="00CB0B74">
        <w:rPr>
          <w:sz w:val="26"/>
          <w:szCs w:val="26"/>
        </w:rPr>
        <w:t xml:space="preserve">A functioning wall supports the </w:t>
      </w:r>
      <w:r w:rsidR="00A71CBF">
        <w:rPr>
          <w:sz w:val="26"/>
          <w:szCs w:val="26"/>
        </w:rPr>
        <w:t>G</w:t>
      </w:r>
      <w:r w:rsidRPr="00CB0B74">
        <w:rPr>
          <w:sz w:val="26"/>
          <w:szCs w:val="26"/>
        </w:rPr>
        <w:t xml:space="preserve">overnment’s claim that Team Calloway avoided direct exposure, but it does not establish the source of Parker’s testimony. </w:t>
      </w:r>
      <w:r w:rsidR="00801B6F">
        <w:rPr>
          <w:sz w:val="26"/>
          <w:szCs w:val="26"/>
        </w:rPr>
        <w:t xml:space="preserve">In </w:t>
      </w:r>
      <w:r w:rsidRPr="00801B6F">
        <w:rPr>
          <w:i/>
          <w:iCs/>
          <w:sz w:val="26"/>
          <w:szCs w:val="26"/>
        </w:rPr>
        <w:t>North</w:t>
      </w:r>
      <w:r w:rsidRPr="00CB0B74">
        <w:rPr>
          <w:sz w:val="26"/>
          <w:szCs w:val="26"/>
        </w:rPr>
        <w:t xml:space="preserve">, </w:t>
      </w:r>
      <w:r w:rsidR="00801B6F">
        <w:rPr>
          <w:sz w:val="26"/>
          <w:szCs w:val="26"/>
        </w:rPr>
        <w:t xml:space="preserve">the court </w:t>
      </w:r>
      <w:r w:rsidRPr="00CB0B74">
        <w:rPr>
          <w:sz w:val="26"/>
          <w:szCs w:val="26"/>
        </w:rPr>
        <w:t xml:space="preserve">cautioned that “[i]t simply does not follow that insulating prosecutors from exposure automatically proves that immunized testimony was not used against the defendant.” </w:t>
      </w:r>
      <w:r w:rsidRPr="00801B6F">
        <w:rPr>
          <w:i/>
          <w:iCs/>
          <w:sz w:val="26"/>
          <w:szCs w:val="26"/>
        </w:rPr>
        <w:t>North</w:t>
      </w:r>
      <w:r w:rsidRPr="00CB0B74">
        <w:rPr>
          <w:sz w:val="26"/>
          <w:szCs w:val="26"/>
        </w:rPr>
        <w:t>, 9</w:t>
      </w:r>
      <w:r w:rsidR="00916937">
        <w:rPr>
          <w:sz w:val="26"/>
          <w:szCs w:val="26"/>
        </w:rPr>
        <w:t>1</w:t>
      </w:r>
      <w:r w:rsidRPr="00CB0B74">
        <w:rPr>
          <w:sz w:val="26"/>
          <w:szCs w:val="26"/>
        </w:rPr>
        <w:t xml:space="preserve">0 F.2d at </w:t>
      </w:r>
      <w:r w:rsidR="00916937">
        <w:rPr>
          <w:sz w:val="26"/>
          <w:szCs w:val="26"/>
        </w:rPr>
        <w:t>866</w:t>
      </w:r>
      <w:r w:rsidRPr="00CB0B74">
        <w:rPr>
          <w:sz w:val="26"/>
          <w:szCs w:val="26"/>
        </w:rPr>
        <w:t xml:space="preserve">. Similarly, </w:t>
      </w:r>
      <w:r w:rsidR="00801B6F">
        <w:rPr>
          <w:sz w:val="26"/>
          <w:szCs w:val="26"/>
        </w:rPr>
        <w:t xml:space="preserve">in </w:t>
      </w:r>
      <w:r w:rsidRPr="00801B6F">
        <w:rPr>
          <w:i/>
          <w:iCs/>
          <w:sz w:val="26"/>
          <w:szCs w:val="26"/>
        </w:rPr>
        <w:t>State v. Vallejos</w:t>
      </w:r>
      <w:r w:rsidRPr="00CB0B74">
        <w:rPr>
          <w:sz w:val="26"/>
          <w:szCs w:val="26"/>
        </w:rPr>
        <w:t>, 883 P.2d 1269, 1275-1276 (N.M. 1994)</w:t>
      </w:r>
      <w:r w:rsidR="00801B6F">
        <w:rPr>
          <w:sz w:val="26"/>
          <w:szCs w:val="26"/>
        </w:rPr>
        <w:t xml:space="preserve">, the court </w:t>
      </w:r>
      <w:r w:rsidRPr="00CB0B74">
        <w:rPr>
          <w:sz w:val="26"/>
          <w:szCs w:val="26"/>
        </w:rPr>
        <w:t xml:space="preserve">called prosecutorial isolation “commendable–but insufficient” where the </w:t>
      </w:r>
      <w:r w:rsidR="00801B6F">
        <w:rPr>
          <w:sz w:val="26"/>
          <w:szCs w:val="26"/>
        </w:rPr>
        <w:t>S</w:t>
      </w:r>
      <w:r w:rsidRPr="00CB0B74">
        <w:rPr>
          <w:sz w:val="26"/>
          <w:szCs w:val="26"/>
        </w:rPr>
        <w:t>tate failed to establish independent sources for its evidence.</w:t>
      </w:r>
    </w:p>
    <w:p w14:paraId="3FA2A49F" w14:textId="7BA703AE" w:rsidR="00CB0B74" w:rsidRDefault="00CB0B74" w:rsidP="00F12FE9">
      <w:pPr>
        <w:spacing w:line="480" w:lineRule="auto"/>
        <w:ind w:firstLine="720"/>
        <w:jc w:val="both"/>
        <w:rPr>
          <w:sz w:val="26"/>
          <w:szCs w:val="26"/>
        </w:rPr>
      </w:pPr>
      <w:r w:rsidRPr="00CB0B74">
        <w:rPr>
          <w:sz w:val="26"/>
          <w:szCs w:val="26"/>
        </w:rPr>
        <w:t xml:space="preserve">Exhibit 15 required Team Calloway to preserve a contemporaneous record of the “evidence, leads, and investigative steps already in hand” as of August 22, 2024. The </w:t>
      </w:r>
      <w:r w:rsidR="00A71CBF">
        <w:rPr>
          <w:sz w:val="26"/>
          <w:szCs w:val="26"/>
        </w:rPr>
        <w:t>G</w:t>
      </w:r>
      <w:r w:rsidRPr="00CB0B74">
        <w:rPr>
          <w:sz w:val="26"/>
          <w:szCs w:val="26"/>
        </w:rPr>
        <w:t>overnment relies on Exhibits 16 and 17 as its pre-testimony documentation of the employee interview plan. Those exhibits establish a general plan and Parker’s priority ranking, but for the reasons above, do not fully account for the October 31, 2024, interview.</w:t>
      </w:r>
    </w:p>
    <w:p w14:paraId="361379AD" w14:textId="65F77090" w:rsidR="00F013C8" w:rsidRDefault="00CB0B74" w:rsidP="00F013C8">
      <w:pPr>
        <w:spacing w:line="480" w:lineRule="auto"/>
        <w:ind w:firstLine="720"/>
        <w:jc w:val="both"/>
        <w:rPr>
          <w:sz w:val="26"/>
          <w:szCs w:val="26"/>
        </w:rPr>
      </w:pPr>
      <w:r w:rsidRPr="00CB0B74">
        <w:rPr>
          <w:sz w:val="26"/>
          <w:szCs w:val="26"/>
        </w:rPr>
        <w:t xml:space="preserve">This Court may therefore accept Agent Nolan’s testimony that the wall “held” without treating the fact as dispositive. </w:t>
      </w:r>
      <w:r w:rsidR="00801B6F">
        <w:rPr>
          <w:sz w:val="26"/>
          <w:szCs w:val="26"/>
        </w:rPr>
        <w:t>It may</w:t>
      </w:r>
      <w:r w:rsidRPr="00CB0B74">
        <w:rPr>
          <w:sz w:val="26"/>
          <w:szCs w:val="26"/>
        </w:rPr>
        <w:t xml:space="preserve"> establish non</w:t>
      </w:r>
      <w:r w:rsidR="00801B6F">
        <w:rPr>
          <w:sz w:val="26"/>
          <w:szCs w:val="26"/>
        </w:rPr>
        <w:t>-</w:t>
      </w:r>
      <w:r w:rsidRPr="00CB0B74">
        <w:rPr>
          <w:sz w:val="26"/>
          <w:szCs w:val="26"/>
        </w:rPr>
        <w:t xml:space="preserve">exposure, but it does not relieve the </w:t>
      </w:r>
      <w:r w:rsidR="00A71CBF">
        <w:rPr>
          <w:sz w:val="26"/>
          <w:szCs w:val="26"/>
        </w:rPr>
        <w:t>G</w:t>
      </w:r>
      <w:r w:rsidRPr="00CB0B74">
        <w:rPr>
          <w:sz w:val="26"/>
          <w:szCs w:val="26"/>
        </w:rPr>
        <w:t>overnment of its separate burden to trace Parker’s testimony to a wholly independent source</w:t>
      </w:r>
      <w:r w:rsidR="00F12FE9" w:rsidRPr="00F12FE9">
        <w:rPr>
          <w:sz w:val="26"/>
          <w:szCs w:val="26"/>
        </w:rPr>
        <w:t>.</w:t>
      </w:r>
    </w:p>
    <w:p w14:paraId="7C8D19A0" w14:textId="77777777" w:rsidR="00F013C8" w:rsidRDefault="00F013C8" w:rsidP="00F013C8">
      <w:pPr>
        <w:spacing w:line="480" w:lineRule="auto"/>
        <w:ind w:firstLine="720"/>
        <w:jc w:val="both"/>
        <w:rPr>
          <w:sz w:val="26"/>
          <w:szCs w:val="26"/>
        </w:rPr>
      </w:pPr>
    </w:p>
    <w:p w14:paraId="0EA320B7" w14:textId="77777777" w:rsidR="00F013C8" w:rsidRDefault="00F013C8" w:rsidP="00F013C8">
      <w:pPr>
        <w:spacing w:line="480" w:lineRule="auto"/>
        <w:ind w:firstLine="720"/>
        <w:jc w:val="both"/>
        <w:rPr>
          <w:sz w:val="26"/>
          <w:szCs w:val="26"/>
        </w:rPr>
      </w:pPr>
    </w:p>
    <w:p w14:paraId="09430BB1" w14:textId="7D7A6754" w:rsidR="00F12FE9" w:rsidRDefault="00F12FE9" w:rsidP="00F013C8">
      <w:pPr>
        <w:pStyle w:val="ListParagraph"/>
        <w:numPr>
          <w:ilvl w:val="0"/>
          <w:numId w:val="12"/>
        </w:numPr>
        <w:rPr>
          <w:b/>
          <w:bCs/>
          <w:sz w:val="26"/>
          <w:szCs w:val="26"/>
        </w:rPr>
      </w:pPr>
      <w:r w:rsidRPr="00F12FE9">
        <w:rPr>
          <w:b/>
          <w:bCs/>
          <w:sz w:val="26"/>
          <w:szCs w:val="26"/>
        </w:rPr>
        <w:lastRenderedPageBreak/>
        <w:t>The Government Cannot Prove That Exhibit 19 Was Independently Derived.</w:t>
      </w:r>
    </w:p>
    <w:p w14:paraId="3C5A716C" w14:textId="77777777" w:rsidR="00F013C8" w:rsidRPr="00F013C8" w:rsidRDefault="00F013C8" w:rsidP="00F013C8">
      <w:pPr>
        <w:pStyle w:val="ListParagraph"/>
        <w:ind w:left="1080"/>
        <w:rPr>
          <w:b/>
          <w:bCs/>
          <w:sz w:val="26"/>
          <w:szCs w:val="26"/>
        </w:rPr>
      </w:pPr>
    </w:p>
    <w:p w14:paraId="0892F17F" w14:textId="626C127B" w:rsidR="00F12FE9" w:rsidRPr="00F12FE9" w:rsidRDefault="00F12FE9" w:rsidP="00F12FE9">
      <w:pPr>
        <w:spacing w:line="480" w:lineRule="auto"/>
        <w:jc w:val="both"/>
        <w:rPr>
          <w:sz w:val="26"/>
          <w:szCs w:val="26"/>
        </w:rPr>
      </w:pPr>
      <w:r>
        <w:rPr>
          <w:sz w:val="26"/>
          <w:szCs w:val="26"/>
        </w:rPr>
        <w:tab/>
      </w:r>
      <w:r w:rsidR="00CB0B74" w:rsidRPr="00CB0B74">
        <w:rPr>
          <w:sz w:val="26"/>
          <w:szCs w:val="26"/>
        </w:rPr>
        <w:t xml:space="preserve">Section 6002 of the United States Code prohibits the use of evidence directly or indirectly derived from compelled testimony. 18 U.S.C. § 6002. </w:t>
      </w:r>
      <w:r w:rsidR="00801B6F">
        <w:rPr>
          <w:sz w:val="26"/>
          <w:szCs w:val="26"/>
        </w:rPr>
        <w:t xml:space="preserve">The Supreme Court in </w:t>
      </w:r>
      <w:r w:rsidR="00CB0B74" w:rsidRPr="00801B6F">
        <w:rPr>
          <w:i/>
          <w:iCs/>
          <w:sz w:val="26"/>
          <w:szCs w:val="26"/>
        </w:rPr>
        <w:t>United States v. Hubbell</w:t>
      </w:r>
      <w:r w:rsidR="00CB0B74" w:rsidRPr="00CB0B74">
        <w:rPr>
          <w:sz w:val="26"/>
          <w:szCs w:val="26"/>
        </w:rPr>
        <w:t xml:space="preserve">, </w:t>
      </w:r>
      <w:r w:rsidR="00801B6F" w:rsidRPr="00801B6F">
        <w:rPr>
          <w:sz w:val="26"/>
          <w:szCs w:val="26"/>
        </w:rPr>
        <w:t>530 U.S. 27</w:t>
      </w:r>
      <w:r w:rsidR="00801B6F">
        <w:rPr>
          <w:sz w:val="26"/>
          <w:szCs w:val="26"/>
        </w:rPr>
        <w:t xml:space="preserve">, 42-43 (2000) </w:t>
      </w:r>
      <w:r w:rsidR="00CB0B74" w:rsidRPr="00CB0B74">
        <w:rPr>
          <w:sz w:val="26"/>
          <w:szCs w:val="26"/>
        </w:rPr>
        <w:t>recognize</w:t>
      </w:r>
      <w:r w:rsidR="00801B6F">
        <w:rPr>
          <w:sz w:val="26"/>
          <w:szCs w:val="26"/>
        </w:rPr>
        <w:t>d</w:t>
      </w:r>
      <w:r w:rsidR="00CB0B74" w:rsidRPr="00CB0B74">
        <w:rPr>
          <w:sz w:val="26"/>
          <w:szCs w:val="26"/>
        </w:rPr>
        <w:t xml:space="preserve"> that protected information may furnish a “lead to incriminating evidence” or a “link in the chain of evidence needed to prosecute.” Thus, the </w:t>
      </w:r>
      <w:r w:rsidR="00A71CBF">
        <w:rPr>
          <w:sz w:val="26"/>
          <w:szCs w:val="26"/>
        </w:rPr>
        <w:t>G</w:t>
      </w:r>
      <w:r w:rsidR="00CB0B74" w:rsidRPr="00CB0B74">
        <w:rPr>
          <w:sz w:val="26"/>
          <w:szCs w:val="26"/>
        </w:rPr>
        <w:t>overnment must establish an independent source for Exhibit 19</w:t>
      </w:r>
      <w:r w:rsidRPr="00F12FE9">
        <w:rPr>
          <w:sz w:val="26"/>
          <w:szCs w:val="26"/>
        </w:rPr>
        <w:t>.</w:t>
      </w:r>
    </w:p>
    <w:p w14:paraId="31CDC524" w14:textId="36989400" w:rsidR="00F12FE9" w:rsidRPr="00F12FE9" w:rsidRDefault="00F12FE9" w:rsidP="00F12FE9">
      <w:pPr>
        <w:pStyle w:val="ListParagraph"/>
        <w:numPr>
          <w:ilvl w:val="0"/>
          <w:numId w:val="14"/>
        </w:numPr>
        <w:rPr>
          <w:sz w:val="26"/>
          <w:szCs w:val="26"/>
        </w:rPr>
      </w:pPr>
      <w:r w:rsidRPr="00F12FE9">
        <w:rPr>
          <w:i/>
          <w:iCs/>
          <w:sz w:val="26"/>
          <w:szCs w:val="26"/>
        </w:rPr>
        <w:t xml:space="preserve">Parker’s Disclosure </w:t>
      </w:r>
      <w:r w:rsidR="00654925">
        <w:rPr>
          <w:i/>
          <w:iCs/>
          <w:sz w:val="26"/>
          <w:szCs w:val="26"/>
        </w:rPr>
        <w:t>o</w:t>
      </w:r>
      <w:r w:rsidRPr="00F12FE9">
        <w:rPr>
          <w:i/>
          <w:iCs/>
          <w:sz w:val="26"/>
          <w:szCs w:val="26"/>
        </w:rPr>
        <w:t xml:space="preserve">f </w:t>
      </w:r>
      <w:r w:rsidR="00654925">
        <w:rPr>
          <w:i/>
          <w:iCs/>
          <w:sz w:val="26"/>
          <w:szCs w:val="26"/>
        </w:rPr>
        <w:t>t</w:t>
      </w:r>
      <w:r w:rsidRPr="00F12FE9">
        <w:rPr>
          <w:i/>
          <w:iCs/>
          <w:sz w:val="26"/>
          <w:szCs w:val="26"/>
        </w:rPr>
        <w:t xml:space="preserve">he Storage Unit </w:t>
      </w:r>
      <w:r w:rsidR="00654925">
        <w:rPr>
          <w:i/>
          <w:iCs/>
          <w:sz w:val="26"/>
          <w:szCs w:val="26"/>
        </w:rPr>
        <w:t>w</w:t>
      </w:r>
      <w:r w:rsidRPr="00F12FE9">
        <w:rPr>
          <w:i/>
          <w:iCs/>
          <w:sz w:val="26"/>
          <w:szCs w:val="26"/>
        </w:rPr>
        <w:t xml:space="preserve">as </w:t>
      </w:r>
      <w:r w:rsidR="00654925">
        <w:rPr>
          <w:i/>
          <w:iCs/>
          <w:sz w:val="26"/>
          <w:szCs w:val="26"/>
        </w:rPr>
        <w:t>t</w:t>
      </w:r>
      <w:r w:rsidRPr="00F12FE9">
        <w:rPr>
          <w:i/>
          <w:iCs/>
          <w:sz w:val="26"/>
          <w:szCs w:val="26"/>
        </w:rPr>
        <w:t xml:space="preserve">he First Link </w:t>
      </w:r>
      <w:r w:rsidR="00654925">
        <w:rPr>
          <w:i/>
          <w:iCs/>
          <w:sz w:val="26"/>
          <w:szCs w:val="26"/>
        </w:rPr>
        <w:t>i</w:t>
      </w:r>
      <w:r w:rsidRPr="00F12FE9">
        <w:rPr>
          <w:i/>
          <w:iCs/>
          <w:sz w:val="26"/>
          <w:szCs w:val="26"/>
        </w:rPr>
        <w:t xml:space="preserve">n </w:t>
      </w:r>
      <w:r w:rsidR="00654925">
        <w:rPr>
          <w:i/>
          <w:iCs/>
          <w:sz w:val="26"/>
          <w:szCs w:val="26"/>
        </w:rPr>
        <w:t>t</w:t>
      </w:r>
      <w:r w:rsidRPr="00F12FE9">
        <w:rPr>
          <w:i/>
          <w:iCs/>
          <w:sz w:val="26"/>
          <w:szCs w:val="26"/>
        </w:rPr>
        <w:t xml:space="preserve">he Investigative Chain Leading </w:t>
      </w:r>
      <w:r w:rsidR="00654925">
        <w:rPr>
          <w:i/>
          <w:iCs/>
          <w:sz w:val="26"/>
          <w:szCs w:val="26"/>
        </w:rPr>
        <w:t>t</w:t>
      </w:r>
      <w:r w:rsidRPr="00F12FE9">
        <w:rPr>
          <w:i/>
          <w:iCs/>
          <w:sz w:val="26"/>
          <w:szCs w:val="26"/>
        </w:rPr>
        <w:t>o Exhibit 19.</w:t>
      </w:r>
    </w:p>
    <w:p w14:paraId="39B1E428" w14:textId="503DCFED" w:rsidR="00F12FE9" w:rsidRPr="00F12FE9" w:rsidRDefault="00F12FE9" w:rsidP="00F12FE9">
      <w:pPr>
        <w:pStyle w:val="ListParagraph"/>
        <w:spacing w:line="278" w:lineRule="auto"/>
        <w:ind w:left="1800"/>
        <w:rPr>
          <w:sz w:val="26"/>
          <w:szCs w:val="26"/>
        </w:rPr>
      </w:pPr>
    </w:p>
    <w:p w14:paraId="7737F5E5" w14:textId="1CA9F322" w:rsidR="00F12FE9" w:rsidRDefault="00F12FE9" w:rsidP="00F12FE9">
      <w:pPr>
        <w:spacing w:line="480" w:lineRule="auto"/>
        <w:ind w:firstLine="720"/>
        <w:jc w:val="both"/>
        <w:rPr>
          <w:sz w:val="26"/>
          <w:szCs w:val="26"/>
        </w:rPr>
      </w:pPr>
      <w:r w:rsidRPr="00F12FE9">
        <w:rPr>
          <w:sz w:val="26"/>
          <w:szCs w:val="26"/>
        </w:rPr>
        <w:t xml:space="preserve">The </w:t>
      </w:r>
      <w:r w:rsidR="00A71CBF">
        <w:rPr>
          <w:sz w:val="26"/>
          <w:szCs w:val="26"/>
        </w:rPr>
        <w:t>G</w:t>
      </w:r>
      <w:r w:rsidRPr="00F12FE9">
        <w:rPr>
          <w:sz w:val="26"/>
          <w:szCs w:val="26"/>
        </w:rPr>
        <w:t xml:space="preserve">overnment’s evidence establishes the investigative path to Exhibit 19. </w:t>
      </w:r>
      <w:r w:rsidR="00CB0B74" w:rsidRPr="00CB0B74">
        <w:rPr>
          <w:sz w:val="26"/>
          <w:szCs w:val="26"/>
        </w:rPr>
        <w:t xml:space="preserve">Before Parker’s interview, no one in the </w:t>
      </w:r>
      <w:r w:rsidR="00A71CBF">
        <w:rPr>
          <w:sz w:val="26"/>
          <w:szCs w:val="26"/>
        </w:rPr>
        <w:t>G</w:t>
      </w:r>
      <w:r w:rsidR="00CB0B74" w:rsidRPr="00CB0B74">
        <w:rPr>
          <w:sz w:val="26"/>
          <w:szCs w:val="26"/>
        </w:rPr>
        <w:t>overnment knew the storage unit existed. Nolan Dep. 346-348. Parker identified the storage unit where Ms. Calloway had directed her to move the “Coastal” box and provided the address, gate code, unit number, and key location. Nolan Dep 334-345; Ex. 18. Investigators then confirmed the unit, obtained a warrant, and searched it five days later, recovering records never located before</w:t>
      </w:r>
      <w:r w:rsidR="00916937">
        <w:rPr>
          <w:sz w:val="26"/>
          <w:szCs w:val="26"/>
        </w:rPr>
        <w:t xml:space="preserve"> i</w:t>
      </w:r>
      <w:r w:rsidR="00CB0B74" w:rsidRPr="00CB0B74">
        <w:rPr>
          <w:sz w:val="26"/>
          <w:szCs w:val="26"/>
        </w:rPr>
        <w:t xml:space="preserve">ncluding the document identifying Ms. Calloway as the beneficial owner of Marsh Holdings. </w:t>
      </w:r>
      <w:r w:rsidR="00916937" w:rsidRPr="00916937">
        <w:rPr>
          <w:sz w:val="26"/>
          <w:szCs w:val="26"/>
        </w:rPr>
        <w:t>Nolan Dep</w:t>
      </w:r>
      <w:r w:rsidR="00916937">
        <w:rPr>
          <w:sz w:val="26"/>
          <w:szCs w:val="26"/>
        </w:rPr>
        <w:t>.</w:t>
      </w:r>
      <w:r w:rsidR="00916937" w:rsidRPr="00916937">
        <w:rPr>
          <w:sz w:val="26"/>
          <w:szCs w:val="26"/>
        </w:rPr>
        <w:t xml:space="preserve"> 351-360</w:t>
      </w:r>
      <w:r w:rsidR="00916937">
        <w:rPr>
          <w:sz w:val="26"/>
          <w:szCs w:val="26"/>
        </w:rPr>
        <w:t>;</w:t>
      </w:r>
      <w:r w:rsidR="00916937" w:rsidRPr="00916937">
        <w:rPr>
          <w:sz w:val="26"/>
          <w:szCs w:val="26"/>
        </w:rPr>
        <w:t xml:space="preserve"> </w:t>
      </w:r>
      <w:r w:rsidR="00CB0B74" w:rsidRPr="00CB0B74">
        <w:rPr>
          <w:sz w:val="26"/>
          <w:szCs w:val="26"/>
        </w:rPr>
        <w:t>Ex. 19.</w:t>
      </w:r>
    </w:p>
    <w:p w14:paraId="1D92939B" w14:textId="39955408" w:rsidR="00CB0B74" w:rsidRDefault="00CB0B74" w:rsidP="00F12FE9">
      <w:pPr>
        <w:spacing w:line="480" w:lineRule="auto"/>
        <w:ind w:firstLine="720"/>
        <w:jc w:val="both"/>
        <w:rPr>
          <w:sz w:val="26"/>
          <w:szCs w:val="26"/>
        </w:rPr>
      </w:pPr>
      <w:r w:rsidRPr="00CB0B74">
        <w:rPr>
          <w:sz w:val="26"/>
          <w:szCs w:val="26"/>
        </w:rPr>
        <w:t xml:space="preserve">If the </w:t>
      </w:r>
      <w:r w:rsidR="00A71CBF">
        <w:rPr>
          <w:sz w:val="26"/>
          <w:szCs w:val="26"/>
        </w:rPr>
        <w:t>G</w:t>
      </w:r>
      <w:r w:rsidRPr="00CB0B74">
        <w:rPr>
          <w:sz w:val="26"/>
          <w:szCs w:val="26"/>
        </w:rPr>
        <w:t xml:space="preserve">overnment’s acquisition of Parker’s disclosure was derivative, the resulting path to Exhibit 19 presents the problem identified in </w:t>
      </w:r>
      <w:r w:rsidRPr="00F013C8">
        <w:rPr>
          <w:i/>
          <w:iCs/>
          <w:sz w:val="26"/>
          <w:szCs w:val="26"/>
        </w:rPr>
        <w:t>Hubbell</w:t>
      </w:r>
      <w:r w:rsidRPr="00CB0B74">
        <w:rPr>
          <w:sz w:val="26"/>
          <w:szCs w:val="26"/>
        </w:rPr>
        <w:t xml:space="preserve">. There, the </w:t>
      </w:r>
      <w:r w:rsidR="00A71CBF">
        <w:rPr>
          <w:sz w:val="26"/>
          <w:szCs w:val="26"/>
        </w:rPr>
        <w:t>G</w:t>
      </w:r>
      <w:r w:rsidRPr="00CB0B74">
        <w:rPr>
          <w:sz w:val="26"/>
          <w:szCs w:val="26"/>
        </w:rPr>
        <w:t xml:space="preserve">overnment lacked prior knowledge of the existence or whereabouts of the later-discovered evidence, and the protected disclosure supplied the “first step in a chain of evidence” leading to prosecution. </w:t>
      </w:r>
      <w:r w:rsidRPr="00F013C8">
        <w:rPr>
          <w:i/>
          <w:iCs/>
          <w:sz w:val="26"/>
          <w:szCs w:val="26"/>
        </w:rPr>
        <w:t>Hubbell</w:t>
      </w:r>
      <w:r w:rsidRPr="00CB0B74">
        <w:rPr>
          <w:sz w:val="26"/>
          <w:szCs w:val="26"/>
        </w:rPr>
        <w:t xml:space="preserve">, 530 U.S. at 42, 45. Here, the </w:t>
      </w:r>
      <w:r w:rsidR="00A71CBF">
        <w:rPr>
          <w:sz w:val="26"/>
          <w:szCs w:val="26"/>
        </w:rPr>
        <w:t>G</w:t>
      </w:r>
      <w:r w:rsidRPr="00CB0B74">
        <w:rPr>
          <w:sz w:val="26"/>
          <w:szCs w:val="26"/>
        </w:rPr>
        <w:t xml:space="preserve">overnment likewise has no prior </w:t>
      </w:r>
      <w:r w:rsidRPr="00CB0B74">
        <w:rPr>
          <w:sz w:val="26"/>
          <w:szCs w:val="26"/>
        </w:rPr>
        <w:lastRenderedPageBreak/>
        <w:t>knowledge of the storage unit. Parker provided the missing location, and investigators used it to recover Exhibit 19.</w:t>
      </w:r>
    </w:p>
    <w:p w14:paraId="09F96D1C" w14:textId="77777777" w:rsidR="00CB0B74" w:rsidRPr="00CB0B74" w:rsidRDefault="00CB0B74" w:rsidP="00F12FE9">
      <w:pPr>
        <w:spacing w:line="480" w:lineRule="auto"/>
        <w:ind w:firstLine="720"/>
        <w:jc w:val="both"/>
        <w:rPr>
          <w:sz w:val="26"/>
          <w:szCs w:val="26"/>
        </w:rPr>
      </w:pPr>
      <w:r w:rsidRPr="00F013C8">
        <w:rPr>
          <w:i/>
          <w:iCs/>
          <w:sz w:val="26"/>
          <w:szCs w:val="26"/>
        </w:rPr>
        <w:t>United States v. Cozzi</w:t>
      </w:r>
      <w:r w:rsidRPr="00CB0B74">
        <w:rPr>
          <w:sz w:val="26"/>
          <w:szCs w:val="26"/>
        </w:rPr>
        <w:t xml:space="preserve">, 613 F.3d 725, 731-732 (7th Cir. 2010) presents the opposite situation. Although a third party alerted the FBI after a possible exposure to protected statements, he did not disclose their substance or provide any evidentiary leads, leaving federal investigators to develop the case “from scratch.” </w:t>
      </w:r>
      <w:r w:rsidRPr="00F013C8">
        <w:rPr>
          <w:i/>
          <w:iCs/>
          <w:sz w:val="26"/>
          <w:szCs w:val="26"/>
        </w:rPr>
        <w:t>Id.</w:t>
      </w:r>
      <w:r w:rsidRPr="00CB0B74">
        <w:rPr>
          <w:sz w:val="26"/>
          <w:szCs w:val="26"/>
        </w:rPr>
        <w:t xml:space="preserve"> Parker’s disclosure did the opposite. It supplied the specific location and access information necessary to recover Exhibit 19. Nolan Dep. 334-342; 346-348. </w:t>
      </w:r>
    </w:p>
    <w:p w14:paraId="676DD370" w14:textId="23550355" w:rsidR="00F12FE9" w:rsidRDefault="00CB0B74" w:rsidP="00F12FE9">
      <w:pPr>
        <w:spacing w:line="480" w:lineRule="auto"/>
        <w:ind w:firstLine="720"/>
        <w:jc w:val="both"/>
        <w:rPr>
          <w:sz w:val="26"/>
          <w:szCs w:val="26"/>
        </w:rPr>
      </w:pPr>
      <w:r w:rsidRPr="00CB0B74">
        <w:rPr>
          <w:sz w:val="26"/>
          <w:szCs w:val="26"/>
        </w:rPr>
        <w:t xml:space="preserve">The chain is direct: Parker’s October 31, 2024, disclosure led to the warrant, the November 5, 2024, search, and Exhibit 19. To satisfy its burden as to Exhibit 19, the </w:t>
      </w:r>
      <w:r w:rsidR="00A71CBF">
        <w:rPr>
          <w:sz w:val="26"/>
          <w:szCs w:val="26"/>
        </w:rPr>
        <w:t>G</w:t>
      </w:r>
      <w:r w:rsidRPr="00CB0B74">
        <w:rPr>
          <w:sz w:val="26"/>
          <w:szCs w:val="26"/>
        </w:rPr>
        <w:t>overnment must prove that its acquisition of Parker’s storage unit disclosure was independent or establish a separate, wholly independent path to Exhibit 19</w:t>
      </w:r>
      <w:r w:rsidR="00F12FE9" w:rsidRPr="00F12FE9">
        <w:rPr>
          <w:sz w:val="26"/>
          <w:szCs w:val="26"/>
        </w:rPr>
        <w:t>.</w:t>
      </w:r>
    </w:p>
    <w:p w14:paraId="65833916" w14:textId="2321CD96" w:rsidR="00F12FE9" w:rsidRPr="00F12FE9" w:rsidRDefault="00F12FE9" w:rsidP="00F12FE9">
      <w:pPr>
        <w:pStyle w:val="ListParagraph"/>
        <w:numPr>
          <w:ilvl w:val="0"/>
          <w:numId w:val="14"/>
        </w:numPr>
        <w:rPr>
          <w:sz w:val="26"/>
          <w:szCs w:val="26"/>
        </w:rPr>
      </w:pPr>
      <w:r w:rsidRPr="00F12FE9">
        <w:rPr>
          <w:i/>
          <w:iCs/>
          <w:sz w:val="26"/>
          <w:szCs w:val="26"/>
        </w:rPr>
        <w:t xml:space="preserve">Agent Nolan’s Prediction </w:t>
      </w:r>
      <w:r w:rsidR="00654925">
        <w:rPr>
          <w:i/>
          <w:iCs/>
          <w:sz w:val="26"/>
          <w:szCs w:val="26"/>
        </w:rPr>
        <w:t>t</w:t>
      </w:r>
      <w:r w:rsidRPr="00F12FE9">
        <w:rPr>
          <w:i/>
          <w:iCs/>
          <w:sz w:val="26"/>
          <w:szCs w:val="26"/>
        </w:rPr>
        <w:t xml:space="preserve">hat </w:t>
      </w:r>
      <w:r w:rsidR="00654925">
        <w:rPr>
          <w:i/>
          <w:iCs/>
          <w:sz w:val="26"/>
          <w:szCs w:val="26"/>
        </w:rPr>
        <w:t>h</w:t>
      </w:r>
      <w:r w:rsidRPr="00F12FE9">
        <w:rPr>
          <w:i/>
          <w:iCs/>
          <w:sz w:val="26"/>
          <w:szCs w:val="26"/>
        </w:rPr>
        <w:t xml:space="preserve">e “Would’ve Found </w:t>
      </w:r>
      <w:r w:rsidR="00654925">
        <w:rPr>
          <w:i/>
          <w:iCs/>
          <w:sz w:val="26"/>
          <w:szCs w:val="26"/>
        </w:rPr>
        <w:t>i</w:t>
      </w:r>
      <w:r w:rsidRPr="00F12FE9">
        <w:rPr>
          <w:i/>
          <w:iCs/>
          <w:sz w:val="26"/>
          <w:szCs w:val="26"/>
        </w:rPr>
        <w:t xml:space="preserve">t </w:t>
      </w:r>
      <w:r w:rsidR="00D91C60">
        <w:rPr>
          <w:i/>
          <w:iCs/>
          <w:sz w:val="26"/>
          <w:szCs w:val="26"/>
        </w:rPr>
        <w:t>O</w:t>
      </w:r>
      <w:r w:rsidRPr="00F12FE9">
        <w:rPr>
          <w:i/>
          <w:iCs/>
          <w:sz w:val="26"/>
          <w:szCs w:val="26"/>
        </w:rPr>
        <w:t xml:space="preserve">ne Way </w:t>
      </w:r>
      <w:r w:rsidR="00654925">
        <w:rPr>
          <w:i/>
          <w:iCs/>
          <w:sz w:val="26"/>
          <w:szCs w:val="26"/>
        </w:rPr>
        <w:t>o</w:t>
      </w:r>
      <w:r w:rsidRPr="00F12FE9">
        <w:rPr>
          <w:i/>
          <w:iCs/>
          <w:sz w:val="26"/>
          <w:szCs w:val="26"/>
        </w:rPr>
        <w:t xml:space="preserve">r Another” Does Not Establish </w:t>
      </w:r>
      <w:r w:rsidR="00654925">
        <w:rPr>
          <w:i/>
          <w:iCs/>
          <w:sz w:val="26"/>
          <w:szCs w:val="26"/>
        </w:rPr>
        <w:t>a</w:t>
      </w:r>
      <w:r w:rsidRPr="00F12FE9">
        <w:rPr>
          <w:i/>
          <w:iCs/>
          <w:sz w:val="26"/>
          <w:szCs w:val="26"/>
        </w:rPr>
        <w:t xml:space="preserve">n Independent Path </w:t>
      </w:r>
      <w:r w:rsidR="00654925">
        <w:rPr>
          <w:i/>
          <w:iCs/>
          <w:sz w:val="26"/>
          <w:szCs w:val="26"/>
        </w:rPr>
        <w:t>t</w:t>
      </w:r>
      <w:r w:rsidRPr="00F12FE9">
        <w:rPr>
          <w:i/>
          <w:iCs/>
          <w:sz w:val="26"/>
          <w:szCs w:val="26"/>
        </w:rPr>
        <w:t>o Exhibit 19.</w:t>
      </w:r>
    </w:p>
    <w:p w14:paraId="15598A88" w14:textId="7B50490A" w:rsidR="00F12FE9" w:rsidRPr="00F12FE9" w:rsidRDefault="00F12FE9" w:rsidP="00F12FE9">
      <w:pPr>
        <w:pStyle w:val="ListParagraph"/>
        <w:spacing w:line="278" w:lineRule="auto"/>
        <w:ind w:left="1800"/>
        <w:rPr>
          <w:sz w:val="26"/>
          <w:szCs w:val="26"/>
        </w:rPr>
      </w:pPr>
    </w:p>
    <w:p w14:paraId="7E3F39F6" w14:textId="77777777" w:rsidR="00CB0B74" w:rsidRDefault="00CB0B74" w:rsidP="00EE2E94">
      <w:pPr>
        <w:spacing w:line="480" w:lineRule="auto"/>
        <w:ind w:firstLine="720"/>
        <w:jc w:val="both"/>
        <w:rPr>
          <w:sz w:val="26"/>
          <w:szCs w:val="26"/>
        </w:rPr>
      </w:pPr>
      <w:r w:rsidRPr="00CB0B74">
        <w:rPr>
          <w:sz w:val="26"/>
          <w:szCs w:val="26"/>
        </w:rPr>
        <w:t xml:space="preserve">Agent Nolan’s prediction that he “would’ve found [the storage unit] one way or another” does not supply an independent path. Nolan Dep. 350. In </w:t>
      </w:r>
      <w:r w:rsidRPr="00F013C8">
        <w:rPr>
          <w:i/>
          <w:iCs/>
          <w:sz w:val="26"/>
          <w:szCs w:val="26"/>
        </w:rPr>
        <w:t>United States v. Rinaldi</w:t>
      </w:r>
      <w:r w:rsidRPr="00CB0B74">
        <w:rPr>
          <w:sz w:val="26"/>
          <w:szCs w:val="26"/>
        </w:rPr>
        <w:t xml:space="preserve">, 808 F.2d 1579, 1584 (D.C. Cir. 1987), investigators had a photograph and partial information about a man known as “Dr. John,” but they had not identified him. The district court reasoned that the police were “in a position” to discover him independently. </w:t>
      </w:r>
      <w:r w:rsidRPr="00F013C8">
        <w:rPr>
          <w:i/>
          <w:iCs/>
          <w:sz w:val="26"/>
          <w:szCs w:val="26"/>
        </w:rPr>
        <w:t>Id.</w:t>
      </w:r>
      <w:r w:rsidRPr="00CB0B74">
        <w:rPr>
          <w:sz w:val="26"/>
          <w:szCs w:val="26"/>
        </w:rPr>
        <w:t xml:space="preserve"> But the D.C. Circuit rejected that reasoning because evidence that police “might have, or at best could have,” discovered him independently was insufficient to establish inevitable discovery. </w:t>
      </w:r>
      <w:r w:rsidRPr="00F013C8">
        <w:rPr>
          <w:i/>
          <w:iCs/>
          <w:sz w:val="26"/>
          <w:szCs w:val="26"/>
        </w:rPr>
        <w:t>Id.</w:t>
      </w:r>
    </w:p>
    <w:p w14:paraId="030D25C9" w14:textId="7A8C4198" w:rsidR="00CB0B74" w:rsidRDefault="00CB0B74" w:rsidP="00EE2E94">
      <w:pPr>
        <w:spacing w:line="480" w:lineRule="auto"/>
        <w:ind w:firstLine="720"/>
        <w:jc w:val="both"/>
        <w:rPr>
          <w:sz w:val="26"/>
          <w:szCs w:val="26"/>
        </w:rPr>
      </w:pPr>
      <w:r w:rsidRPr="00CB0B74">
        <w:rPr>
          <w:sz w:val="26"/>
          <w:szCs w:val="26"/>
        </w:rPr>
        <w:lastRenderedPageBreak/>
        <w:t xml:space="preserve">Agent Nolan’s statement has the same problem. It assumes that the employee interview plan would eventually have produced Parker, and through Parker, the storage unit lead. Apart from that disputed interview, the record indicates no other route to the unit. Additionally, the </w:t>
      </w:r>
      <w:r w:rsidR="00A71CBF">
        <w:rPr>
          <w:sz w:val="26"/>
          <w:szCs w:val="26"/>
        </w:rPr>
        <w:t>G</w:t>
      </w:r>
      <w:r w:rsidRPr="00CB0B74">
        <w:rPr>
          <w:sz w:val="26"/>
          <w:szCs w:val="26"/>
        </w:rPr>
        <w:t>overnment’s other efforts had hit dead ends. Blake’s index referenced a missing file concerning Coastal’s beneficial owner, but investigators never recovered it. Nolan Dep. 58-68. Coastal’s registered agent and operations manager had left the country, its office was empty, and neither could be located. Nolan Dep. 97-104. The Cayman MLAT was a “dead end,” and Agent Nolan admitted that it “never independently unmasked the owner.” Nolan Dep. 121-125. Historical phone records linked Coastal to Ms. Calloway and Donovan, but “weren’t enough” because investigators did not know what the calls concerned, and there was evidence that Coastal performed at least some legitimate work. Nolan Dep. 126-146.</w:t>
      </w:r>
    </w:p>
    <w:p w14:paraId="2BC8EFA6" w14:textId="2C9131A2" w:rsidR="00A71CBF" w:rsidRPr="004C18FC" w:rsidRDefault="00CB0B74" w:rsidP="00BA0486">
      <w:pPr>
        <w:spacing w:line="480" w:lineRule="auto"/>
        <w:ind w:firstLine="720"/>
        <w:jc w:val="both"/>
        <w:rPr>
          <w:sz w:val="26"/>
          <w:szCs w:val="26"/>
        </w:rPr>
      </w:pPr>
      <w:r w:rsidRPr="00CB0B74">
        <w:rPr>
          <w:sz w:val="26"/>
          <w:szCs w:val="26"/>
        </w:rPr>
        <w:t xml:space="preserve">Exhibit 19 supplied exactly what the investigation lacked: documentary proof identifying Ms. Calloway as the beneficial owner of the Marsh Holdings account. Agent Nolan’s belief that he eventually would have reached that evidence identifies no independent route for being able to do so. Under </w:t>
      </w:r>
      <w:r w:rsidRPr="00F013C8">
        <w:rPr>
          <w:i/>
          <w:iCs/>
          <w:sz w:val="26"/>
          <w:szCs w:val="26"/>
        </w:rPr>
        <w:t>Kastigar</w:t>
      </w:r>
      <w:r w:rsidRPr="00CB0B74">
        <w:rPr>
          <w:sz w:val="26"/>
          <w:szCs w:val="26"/>
        </w:rPr>
        <w:t xml:space="preserve">, possibility does not satisfy the </w:t>
      </w:r>
      <w:r w:rsidR="00A71CBF">
        <w:rPr>
          <w:sz w:val="26"/>
          <w:szCs w:val="26"/>
        </w:rPr>
        <w:t>G</w:t>
      </w:r>
      <w:r w:rsidRPr="00CB0B74">
        <w:rPr>
          <w:sz w:val="26"/>
          <w:szCs w:val="26"/>
        </w:rPr>
        <w:t xml:space="preserve">overnment’s affirmative burden of proving a wholly independent source. </w:t>
      </w:r>
      <w:r w:rsidRPr="00F013C8">
        <w:rPr>
          <w:i/>
          <w:iCs/>
          <w:sz w:val="26"/>
          <w:szCs w:val="26"/>
        </w:rPr>
        <w:t>Kastigar</w:t>
      </w:r>
      <w:r w:rsidRPr="00CB0B74">
        <w:rPr>
          <w:sz w:val="26"/>
          <w:szCs w:val="26"/>
        </w:rPr>
        <w:t>, 406 U.S. at 460</w:t>
      </w:r>
      <w:r w:rsidR="00EE2E94" w:rsidRPr="00EE2E94">
        <w:rPr>
          <w:sz w:val="26"/>
          <w:szCs w:val="26"/>
        </w:rPr>
        <w:t>.</w:t>
      </w:r>
    </w:p>
    <w:p w14:paraId="472D4291" w14:textId="157D30D2" w:rsidR="00D96451" w:rsidRDefault="00F013C8" w:rsidP="00F013C8">
      <w:pPr>
        <w:pStyle w:val="ListParagraph"/>
        <w:numPr>
          <w:ilvl w:val="0"/>
          <w:numId w:val="3"/>
        </w:numPr>
        <w:spacing w:after="160" w:line="278" w:lineRule="auto"/>
        <w:jc w:val="both"/>
        <w:rPr>
          <w:b/>
          <w:bCs/>
          <w:sz w:val="26"/>
          <w:szCs w:val="26"/>
        </w:rPr>
      </w:pPr>
      <w:r w:rsidRPr="00F013C8">
        <w:rPr>
          <w:b/>
          <w:bCs/>
          <w:sz w:val="26"/>
          <w:szCs w:val="26"/>
        </w:rPr>
        <w:t>THE GOVERNMENT</w:t>
      </w:r>
      <w:r w:rsidR="00D91C60">
        <w:rPr>
          <w:b/>
          <w:bCs/>
          <w:sz w:val="26"/>
          <w:szCs w:val="26"/>
        </w:rPr>
        <w:t>’</w:t>
      </w:r>
      <w:r w:rsidRPr="00F013C8">
        <w:rPr>
          <w:b/>
          <w:bCs/>
          <w:sz w:val="26"/>
          <w:szCs w:val="26"/>
        </w:rPr>
        <w:t xml:space="preserve">S SUBPOENA </w:t>
      </w:r>
      <w:r>
        <w:rPr>
          <w:b/>
          <w:bCs/>
          <w:sz w:val="26"/>
          <w:szCs w:val="26"/>
        </w:rPr>
        <w:t xml:space="preserve">DUCES TECUM </w:t>
      </w:r>
      <w:r w:rsidRPr="00F013C8">
        <w:rPr>
          <w:b/>
          <w:bCs/>
          <w:sz w:val="26"/>
          <w:szCs w:val="26"/>
        </w:rPr>
        <w:t>FAILS RULE 17(c)</w:t>
      </w:r>
      <w:r>
        <w:rPr>
          <w:b/>
          <w:bCs/>
          <w:sz w:val="26"/>
          <w:szCs w:val="26"/>
        </w:rPr>
        <w:t>’</w:t>
      </w:r>
      <w:r w:rsidRPr="00F013C8">
        <w:rPr>
          <w:b/>
          <w:bCs/>
          <w:sz w:val="26"/>
          <w:szCs w:val="26"/>
        </w:rPr>
        <w:t>S THRESHOLD REQUIREMENTS, AND INDEPENDENTLY, EXHIBIT 21 IS UNDISCOVERABLE WORK PRODUCT.</w:t>
      </w:r>
    </w:p>
    <w:p w14:paraId="7B6DA6BE" w14:textId="6E9E7A4D" w:rsidR="00F013C8" w:rsidRPr="00BA0486" w:rsidRDefault="00BA0486" w:rsidP="00BA0486">
      <w:pPr>
        <w:spacing w:line="480" w:lineRule="auto"/>
        <w:jc w:val="both"/>
        <w:rPr>
          <w:sz w:val="26"/>
          <w:szCs w:val="26"/>
        </w:rPr>
      </w:pPr>
      <w:r>
        <w:rPr>
          <w:sz w:val="26"/>
          <w:szCs w:val="26"/>
        </w:rPr>
        <w:tab/>
      </w:r>
      <w:r w:rsidRPr="00BA0486">
        <w:rPr>
          <w:sz w:val="26"/>
          <w:szCs w:val="26"/>
        </w:rPr>
        <w:t xml:space="preserve">The </w:t>
      </w:r>
      <w:r w:rsidR="00916937">
        <w:rPr>
          <w:sz w:val="26"/>
          <w:szCs w:val="26"/>
        </w:rPr>
        <w:t>G</w:t>
      </w:r>
      <w:r w:rsidRPr="00BA0486">
        <w:rPr>
          <w:sz w:val="26"/>
          <w:szCs w:val="26"/>
        </w:rPr>
        <w:t>overnment</w:t>
      </w:r>
      <w:r>
        <w:rPr>
          <w:sz w:val="26"/>
          <w:szCs w:val="26"/>
        </w:rPr>
        <w:t>’</w:t>
      </w:r>
      <w:r w:rsidRPr="00BA0486">
        <w:rPr>
          <w:sz w:val="26"/>
          <w:szCs w:val="26"/>
        </w:rPr>
        <w:t xml:space="preserve">s subpoena fails for two independent reasons, each sufficient to require quashal. </w:t>
      </w:r>
      <w:r>
        <w:rPr>
          <w:sz w:val="26"/>
          <w:szCs w:val="26"/>
        </w:rPr>
        <w:t>First,</w:t>
      </w:r>
      <w:r w:rsidRPr="00BA0486">
        <w:rPr>
          <w:sz w:val="26"/>
          <w:szCs w:val="26"/>
        </w:rPr>
        <w:t xml:space="preserve"> the threshold procedural defect: the subpoena does not satisfy Rule </w:t>
      </w:r>
      <w:r w:rsidRPr="00BA0486">
        <w:rPr>
          <w:sz w:val="26"/>
          <w:szCs w:val="26"/>
        </w:rPr>
        <w:lastRenderedPageBreak/>
        <w:t>17(c) because</w:t>
      </w:r>
      <w:r>
        <w:rPr>
          <w:sz w:val="26"/>
          <w:szCs w:val="26"/>
        </w:rPr>
        <w:t xml:space="preserve"> </w:t>
      </w:r>
      <w:r w:rsidRPr="00BA0486">
        <w:rPr>
          <w:sz w:val="26"/>
          <w:szCs w:val="26"/>
        </w:rPr>
        <w:t>it seeks an undifferentiated investigative file rather than specifically identified, evidentiary material</w:t>
      </w:r>
      <w:r>
        <w:rPr>
          <w:sz w:val="26"/>
          <w:szCs w:val="26"/>
        </w:rPr>
        <w:t>. Second,</w:t>
      </w:r>
      <w:r w:rsidRPr="00BA0486">
        <w:rPr>
          <w:sz w:val="26"/>
          <w:szCs w:val="26"/>
        </w:rPr>
        <w:t xml:space="preserve"> the substantive protection: even if the Rule 17(c) hurdle were cleared, Exhibit 21 is independently shielded by the work-product doctrine. It was prepared in anticipation of this very prosecution, contains core opinion work product and the </w:t>
      </w:r>
      <w:r w:rsidR="00916937">
        <w:rPr>
          <w:sz w:val="26"/>
          <w:szCs w:val="26"/>
        </w:rPr>
        <w:t>G</w:t>
      </w:r>
      <w:r w:rsidRPr="00BA0486">
        <w:rPr>
          <w:sz w:val="26"/>
          <w:szCs w:val="26"/>
        </w:rPr>
        <w:t>overnment cannot meet its burden of showing substantial need or undue hardship to overcome even ordinary fact work product.</w:t>
      </w:r>
    </w:p>
    <w:p w14:paraId="059782E7" w14:textId="5805F6FB" w:rsidR="00D96451" w:rsidRPr="00D96451" w:rsidRDefault="00D96451" w:rsidP="00D96451">
      <w:pPr>
        <w:pStyle w:val="ListParagraph"/>
        <w:numPr>
          <w:ilvl w:val="0"/>
          <w:numId w:val="21"/>
        </w:numPr>
        <w:spacing w:after="160" w:line="278" w:lineRule="auto"/>
        <w:jc w:val="both"/>
        <w:rPr>
          <w:b/>
          <w:bCs/>
          <w:sz w:val="26"/>
          <w:szCs w:val="26"/>
        </w:rPr>
      </w:pPr>
      <w:r>
        <w:rPr>
          <w:b/>
          <w:bCs/>
          <w:sz w:val="26"/>
          <w:szCs w:val="26"/>
        </w:rPr>
        <w:t>The Subpoena Fails Rule 17(c)’s Threshold Requirements for Pretrial Production.</w:t>
      </w:r>
    </w:p>
    <w:p w14:paraId="18D82FF1" w14:textId="6A44AE62" w:rsidR="00D96451" w:rsidRDefault="00A71CBF" w:rsidP="00AA65ED">
      <w:pPr>
        <w:spacing w:line="480" w:lineRule="auto"/>
        <w:jc w:val="both"/>
        <w:rPr>
          <w:sz w:val="26"/>
          <w:szCs w:val="26"/>
        </w:rPr>
      </w:pPr>
      <w:r>
        <w:rPr>
          <w:sz w:val="26"/>
          <w:szCs w:val="26"/>
        </w:rPr>
        <w:tab/>
      </w:r>
      <w:r w:rsidR="00CB0B74" w:rsidRPr="00CB0B74">
        <w:rPr>
          <w:sz w:val="26"/>
          <w:szCs w:val="26"/>
        </w:rPr>
        <w:t xml:space="preserve">Fed. R. Crim. P. 17(c) authorizes a subpoena duces tecum </w:t>
      </w:r>
      <w:r w:rsidR="00BA0486" w:rsidRPr="00CB0B74">
        <w:rPr>
          <w:sz w:val="26"/>
          <w:szCs w:val="26"/>
        </w:rPr>
        <w:t>to produce</w:t>
      </w:r>
      <w:r w:rsidR="00CB0B74" w:rsidRPr="00CB0B74">
        <w:rPr>
          <w:sz w:val="26"/>
          <w:szCs w:val="26"/>
        </w:rPr>
        <w:t xml:space="preserve"> documents before trial, but it “[w]as not intended to provide an additional means of discovery.” </w:t>
      </w:r>
      <w:r w:rsidR="00CB0B74" w:rsidRPr="00BA0486">
        <w:rPr>
          <w:i/>
          <w:iCs/>
          <w:sz w:val="26"/>
          <w:szCs w:val="26"/>
        </w:rPr>
        <w:t>Bowman Dairy Co. v. United State</w:t>
      </w:r>
      <w:r w:rsidR="00CB0B74" w:rsidRPr="00CB0B74">
        <w:rPr>
          <w:sz w:val="26"/>
          <w:szCs w:val="26"/>
        </w:rPr>
        <w:t xml:space="preserve">s, 341 U.S. 214, 220 (1951). Before compelling pretrial production, the moving party must show: (1) the documents are evidentiary and relevant; (2) they are not otherwise procurable through due diligence; (3) the party cannot properly prepare without </w:t>
      </w:r>
      <w:r w:rsidR="00BA0486" w:rsidRPr="00CB0B74">
        <w:rPr>
          <w:sz w:val="26"/>
          <w:szCs w:val="26"/>
        </w:rPr>
        <w:t>them and</w:t>
      </w:r>
      <w:r w:rsidR="00CB0B74" w:rsidRPr="00CB0B74">
        <w:rPr>
          <w:sz w:val="26"/>
          <w:szCs w:val="26"/>
        </w:rPr>
        <w:t xml:space="preserve"> lacking them will unreasonably delay trial; and (4) the request is made in good faith, not a general “fishing expedition.” </w:t>
      </w:r>
      <w:r w:rsidR="00CB0B74" w:rsidRPr="00BA0486">
        <w:rPr>
          <w:i/>
          <w:iCs/>
          <w:sz w:val="26"/>
          <w:szCs w:val="26"/>
        </w:rPr>
        <w:t>United States v. Nixon</w:t>
      </w:r>
      <w:r w:rsidR="00CB0B74" w:rsidRPr="00CB0B74">
        <w:rPr>
          <w:sz w:val="26"/>
          <w:szCs w:val="26"/>
        </w:rPr>
        <w:t xml:space="preserve">, 418 U.S. 683, 699-700 (1974). The </w:t>
      </w:r>
      <w:r>
        <w:rPr>
          <w:sz w:val="26"/>
          <w:szCs w:val="26"/>
        </w:rPr>
        <w:t>G</w:t>
      </w:r>
      <w:r w:rsidR="00CB0B74" w:rsidRPr="00CB0B74">
        <w:rPr>
          <w:sz w:val="26"/>
          <w:szCs w:val="26"/>
        </w:rPr>
        <w:t>overnment’s subpoena, demanding “any and all records” of Armana’s February 15, 2024 interview of Seton, satisfies none of these requirements.</w:t>
      </w:r>
      <w:r w:rsidR="00D96451">
        <w:rPr>
          <w:sz w:val="26"/>
          <w:szCs w:val="26"/>
        </w:rPr>
        <w:tab/>
      </w:r>
      <w:r w:rsidR="00CB0B74" w:rsidRPr="00CB0B74">
        <w:rPr>
          <w:sz w:val="26"/>
          <w:szCs w:val="26"/>
        </w:rPr>
        <w:t xml:space="preserve">The subpoena fails </w:t>
      </w:r>
      <w:r w:rsidR="00CB0B74" w:rsidRPr="00BA0486">
        <w:rPr>
          <w:i/>
          <w:iCs/>
          <w:sz w:val="26"/>
          <w:szCs w:val="26"/>
        </w:rPr>
        <w:t>Nixon</w:t>
      </w:r>
      <w:r w:rsidR="00CB0B74" w:rsidRPr="00CB0B74">
        <w:rPr>
          <w:sz w:val="26"/>
          <w:szCs w:val="26"/>
        </w:rPr>
        <w:t xml:space="preserve">’s threshold requirement that the material be “evidentiary and relevant” because most of what it demands could never be offered as evidence at trial. Seton left the country in March 2024 and has been unreachable since, so any account of what she told Armana would be inadmissible hearsay. Nor is Exhibit 21 uniform: Armana testified the body reflects Seton’s account, while red text is his own “thoughts, follow-up, </w:t>
      </w:r>
      <w:r w:rsidR="00CB0B74" w:rsidRPr="00CB0B74">
        <w:rPr>
          <w:sz w:val="26"/>
          <w:szCs w:val="26"/>
        </w:rPr>
        <w:lastRenderedPageBreak/>
        <w:t xml:space="preserve">questions, and theories.” Armana Dep. 140-43. Those annotations are counsel’s investigator’s work-product, not evidence. A subpoena for “any and all records” identifies nothing “evidentiary and relevant” within the meaning of </w:t>
      </w:r>
      <w:r w:rsidR="00CB0B74" w:rsidRPr="00BA0486">
        <w:rPr>
          <w:i/>
          <w:iCs/>
          <w:sz w:val="26"/>
          <w:szCs w:val="26"/>
        </w:rPr>
        <w:t>Nixon</w:t>
      </w:r>
      <w:r w:rsidR="00CB0B74" w:rsidRPr="00CB0B74">
        <w:rPr>
          <w:sz w:val="26"/>
          <w:szCs w:val="26"/>
        </w:rPr>
        <w:t>. 418 U.S. at 699.</w:t>
      </w:r>
    </w:p>
    <w:p w14:paraId="0E9915FC" w14:textId="16D6E762" w:rsidR="00CB0B74" w:rsidRDefault="00CB0B74" w:rsidP="00AA65ED">
      <w:pPr>
        <w:spacing w:line="480" w:lineRule="auto"/>
        <w:jc w:val="both"/>
        <w:rPr>
          <w:sz w:val="26"/>
          <w:szCs w:val="26"/>
        </w:rPr>
      </w:pPr>
      <w:r>
        <w:rPr>
          <w:sz w:val="26"/>
          <w:szCs w:val="26"/>
        </w:rPr>
        <w:tab/>
      </w:r>
      <w:r w:rsidRPr="00CB0B74">
        <w:rPr>
          <w:sz w:val="26"/>
          <w:szCs w:val="26"/>
        </w:rPr>
        <w:t xml:space="preserve">Circuit courts applying </w:t>
      </w:r>
      <w:r w:rsidRPr="00BA0486">
        <w:rPr>
          <w:i/>
          <w:iCs/>
          <w:sz w:val="26"/>
          <w:szCs w:val="26"/>
        </w:rPr>
        <w:t>Nixon</w:t>
      </w:r>
      <w:r w:rsidRPr="00CB0B74">
        <w:rPr>
          <w:sz w:val="26"/>
          <w:szCs w:val="26"/>
        </w:rPr>
        <w:t xml:space="preserve"> in this posture confirm that a subpoena reaching for an adversary’s undifferentiated investigative file, rather than identified evidentiary matter, fails at the threshold. </w:t>
      </w:r>
      <w:r w:rsidRPr="00BA0486">
        <w:rPr>
          <w:i/>
          <w:iCs/>
          <w:sz w:val="26"/>
          <w:szCs w:val="26"/>
        </w:rPr>
        <w:t>See United States v. Cuthbertson</w:t>
      </w:r>
      <w:r w:rsidRPr="00CB0B74">
        <w:rPr>
          <w:sz w:val="26"/>
          <w:szCs w:val="26"/>
        </w:rPr>
        <w:t>, 630 F.2d 139, 146</w:t>
      </w:r>
      <w:r w:rsidR="00BA0486">
        <w:rPr>
          <w:sz w:val="26"/>
          <w:szCs w:val="26"/>
        </w:rPr>
        <w:t>-47</w:t>
      </w:r>
      <w:r w:rsidRPr="00CB0B74">
        <w:rPr>
          <w:sz w:val="26"/>
          <w:szCs w:val="26"/>
        </w:rPr>
        <w:t xml:space="preserve"> (3d Cir. 1980) (</w:t>
      </w:r>
      <w:r w:rsidR="00BA0486" w:rsidRPr="00BA0486">
        <w:rPr>
          <w:sz w:val="26"/>
          <w:szCs w:val="26"/>
        </w:rPr>
        <w:t xml:space="preserve">quashing a Rule 17(c) subpoena for a broadcaster's outtakes and notes where the request sought non-witness statements based only on a </w:t>
      </w:r>
      <w:r w:rsidR="00BA0486">
        <w:rPr>
          <w:sz w:val="26"/>
          <w:szCs w:val="26"/>
        </w:rPr>
        <w:t>“</w:t>
      </w:r>
      <w:r w:rsidR="00BA0486" w:rsidRPr="00BA0486">
        <w:rPr>
          <w:sz w:val="26"/>
          <w:szCs w:val="26"/>
        </w:rPr>
        <w:t>mere hope</w:t>
      </w:r>
      <w:r w:rsidR="00BA0486">
        <w:rPr>
          <w:sz w:val="26"/>
          <w:szCs w:val="26"/>
        </w:rPr>
        <w:t>”</w:t>
      </w:r>
      <w:r w:rsidR="00BA0486" w:rsidRPr="00BA0486">
        <w:rPr>
          <w:sz w:val="26"/>
          <w:szCs w:val="26"/>
        </w:rPr>
        <w:t xml:space="preserve"> of finding exculpatory </w:t>
      </w:r>
      <w:r w:rsidR="001C03FA" w:rsidRPr="00BA0486">
        <w:rPr>
          <w:sz w:val="26"/>
          <w:szCs w:val="26"/>
        </w:rPr>
        <w:t>material and</w:t>
      </w:r>
      <w:r w:rsidR="00BA0486" w:rsidRPr="00BA0486">
        <w:rPr>
          <w:sz w:val="26"/>
          <w:szCs w:val="26"/>
        </w:rPr>
        <w:t xml:space="preserve"> holding that Rule 17(c) </w:t>
      </w:r>
      <w:r w:rsidR="00BA0486">
        <w:rPr>
          <w:sz w:val="26"/>
          <w:szCs w:val="26"/>
        </w:rPr>
        <w:t>“</w:t>
      </w:r>
      <w:r w:rsidR="00BA0486" w:rsidRPr="00BA0486">
        <w:rPr>
          <w:sz w:val="26"/>
          <w:szCs w:val="26"/>
        </w:rPr>
        <w:t>is not turned into a broad discovery device</w:t>
      </w:r>
      <w:r w:rsidR="00BA0486">
        <w:rPr>
          <w:sz w:val="26"/>
          <w:szCs w:val="26"/>
        </w:rPr>
        <w:t>.”</w:t>
      </w:r>
      <w:r w:rsidRPr="00CB0B74">
        <w:rPr>
          <w:sz w:val="26"/>
          <w:szCs w:val="26"/>
        </w:rPr>
        <w:t>).</w:t>
      </w:r>
    </w:p>
    <w:p w14:paraId="21D1C0B6" w14:textId="35F65F94" w:rsidR="00CB0B74" w:rsidRDefault="00CB0B74" w:rsidP="00AA65ED">
      <w:pPr>
        <w:spacing w:line="480" w:lineRule="auto"/>
        <w:jc w:val="both"/>
        <w:rPr>
          <w:sz w:val="26"/>
          <w:szCs w:val="26"/>
        </w:rPr>
      </w:pPr>
      <w:r>
        <w:rPr>
          <w:sz w:val="26"/>
          <w:szCs w:val="26"/>
        </w:rPr>
        <w:tab/>
      </w:r>
      <w:r w:rsidRPr="00CB0B74">
        <w:rPr>
          <w:sz w:val="26"/>
          <w:szCs w:val="26"/>
        </w:rPr>
        <w:t xml:space="preserve">The subpoena likewise fails </w:t>
      </w:r>
      <w:r w:rsidRPr="00BA0486">
        <w:rPr>
          <w:i/>
          <w:iCs/>
          <w:sz w:val="26"/>
          <w:szCs w:val="26"/>
        </w:rPr>
        <w:t>Nixon</w:t>
      </w:r>
      <w:r w:rsidRPr="00CB0B74">
        <w:rPr>
          <w:sz w:val="26"/>
          <w:szCs w:val="26"/>
        </w:rPr>
        <w:t xml:space="preserve">’s specificity and good-faith requirements. It does not identify any particular fact, topic, or admissible item the </w:t>
      </w:r>
      <w:r w:rsidR="00A71CBF">
        <w:rPr>
          <w:sz w:val="26"/>
          <w:szCs w:val="26"/>
        </w:rPr>
        <w:t>G</w:t>
      </w:r>
      <w:r w:rsidRPr="00CB0B74">
        <w:rPr>
          <w:sz w:val="26"/>
          <w:szCs w:val="26"/>
        </w:rPr>
        <w:t xml:space="preserve">overnment believes Exhibit 21 contains; it demands the entire file, undifferentiated. That open-ended sweep is exactly what </w:t>
      </w:r>
      <w:r w:rsidRPr="001C03FA">
        <w:rPr>
          <w:i/>
          <w:iCs/>
          <w:sz w:val="26"/>
          <w:szCs w:val="26"/>
        </w:rPr>
        <w:t>Bowman Dairy</w:t>
      </w:r>
      <w:r w:rsidRPr="00CB0B74">
        <w:rPr>
          <w:sz w:val="26"/>
          <w:szCs w:val="26"/>
        </w:rPr>
        <w:t xml:space="preserve"> and </w:t>
      </w:r>
      <w:r w:rsidRPr="001C03FA">
        <w:rPr>
          <w:i/>
          <w:iCs/>
          <w:sz w:val="26"/>
          <w:szCs w:val="26"/>
        </w:rPr>
        <w:t>Nixon</w:t>
      </w:r>
      <w:r w:rsidRPr="00CB0B74">
        <w:rPr>
          <w:sz w:val="26"/>
          <w:szCs w:val="26"/>
        </w:rPr>
        <w:t xml:space="preserve"> forbid: a subpoena that cannot say what it is looking for, only that it wants everything an adversary’s investigator wrote down about a witness, is a “general fishing expedition,” not a request for specific evidentiary material. </w:t>
      </w:r>
      <w:r w:rsidR="001C03FA" w:rsidRPr="001C03FA">
        <w:rPr>
          <w:i/>
          <w:iCs/>
          <w:sz w:val="26"/>
          <w:szCs w:val="26"/>
        </w:rPr>
        <w:t>See</w:t>
      </w:r>
      <w:r w:rsidR="001C03FA">
        <w:rPr>
          <w:sz w:val="26"/>
          <w:szCs w:val="26"/>
        </w:rPr>
        <w:t xml:space="preserve"> </w:t>
      </w:r>
      <w:r w:rsidRPr="001C03FA">
        <w:rPr>
          <w:i/>
          <w:iCs/>
          <w:sz w:val="26"/>
          <w:szCs w:val="26"/>
        </w:rPr>
        <w:t>Nixon</w:t>
      </w:r>
      <w:r w:rsidRPr="00CB0B74">
        <w:rPr>
          <w:sz w:val="26"/>
          <w:szCs w:val="26"/>
        </w:rPr>
        <w:t xml:space="preserve">, 418 U.S. at 699-700; </w:t>
      </w:r>
      <w:r w:rsidRPr="001C03FA">
        <w:rPr>
          <w:i/>
          <w:iCs/>
          <w:sz w:val="26"/>
          <w:szCs w:val="26"/>
        </w:rPr>
        <w:t>see also Bowman Dairy</w:t>
      </w:r>
      <w:r w:rsidRPr="00CB0B74">
        <w:rPr>
          <w:sz w:val="26"/>
          <w:szCs w:val="26"/>
        </w:rPr>
        <w:t>, 341 U.S. at 220.</w:t>
      </w:r>
    </w:p>
    <w:p w14:paraId="07D4C036" w14:textId="606A7701" w:rsidR="00CB0B74" w:rsidRDefault="00CB0B74" w:rsidP="00E90365">
      <w:pPr>
        <w:spacing w:line="480" w:lineRule="auto"/>
        <w:jc w:val="both"/>
        <w:rPr>
          <w:sz w:val="26"/>
          <w:szCs w:val="26"/>
        </w:rPr>
      </w:pPr>
      <w:r>
        <w:rPr>
          <w:sz w:val="26"/>
          <w:szCs w:val="26"/>
        </w:rPr>
        <w:tab/>
      </w:r>
      <w:r w:rsidRPr="00CB0B74">
        <w:rPr>
          <w:sz w:val="26"/>
          <w:szCs w:val="26"/>
        </w:rPr>
        <w:t xml:space="preserve">The circuits applying </w:t>
      </w:r>
      <w:r w:rsidRPr="001C03FA">
        <w:rPr>
          <w:i/>
          <w:iCs/>
          <w:sz w:val="26"/>
          <w:szCs w:val="26"/>
        </w:rPr>
        <w:t>Nixon</w:t>
      </w:r>
      <w:r w:rsidRPr="00CB0B74">
        <w:rPr>
          <w:sz w:val="26"/>
          <w:szCs w:val="26"/>
        </w:rPr>
        <w:t xml:space="preserve"> agree. </w:t>
      </w:r>
      <w:r w:rsidRPr="001C03FA">
        <w:rPr>
          <w:i/>
          <w:iCs/>
          <w:sz w:val="26"/>
          <w:szCs w:val="26"/>
        </w:rPr>
        <w:t>See United States v. Arditti</w:t>
      </w:r>
      <w:r w:rsidRPr="00CB0B74">
        <w:rPr>
          <w:sz w:val="26"/>
          <w:szCs w:val="26"/>
        </w:rPr>
        <w:t>, 955 F.2d 331, 3</w:t>
      </w:r>
      <w:r w:rsidR="001C03FA">
        <w:rPr>
          <w:sz w:val="26"/>
          <w:szCs w:val="26"/>
        </w:rPr>
        <w:t>45-</w:t>
      </w:r>
      <w:r w:rsidRPr="00CB0B74">
        <w:rPr>
          <w:sz w:val="26"/>
          <w:szCs w:val="26"/>
        </w:rPr>
        <w:t xml:space="preserve">46 (5th Cir. 1992) (specificity “require[s] more than the title of a document and conjecture as to its contents” and a subpoena that cannot identify what it seeks “borders on a fishing expedition”); </w:t>
      </w:r>
      <w:r w:rsidRPr="001C03FA">
        <w:rPr>
          <w:i/>
          <w:iCs/>
          <w:sz w:val="26"/>
          <w:szCs w:val="26"/>
        </w:rPr>
        <w:t>United States v. LaRouche Campaign</w:t>
      </w:r>
      <w:r w:rsidRPr="00CB0B74">
        <w:rPr>
          <w:sz w:val="26"/>
          <w:szCs w:val="26"/>
        </w:rPr>
        <w:t>, 841 F.2d 1176</w:t>
      </w:r>
      <w:r w:rsidR="001C03FA">
        <w:rPr>
          <w:sz w:val="26"/>
          <w:szCs w:val="26"/>
        </w:rPr>
        <w:t>, 1180</w:t>
      </w:r>
      <w:r w:rsidRPr="00CB0B74">
        <w:rPr>
          <w:sz w:val="26"/>
          <w:szCs w:val="26"/>
        </w:rPr>
        <w:t xml:space="preserve"> (1st Cir. 1988) (</w:t>
      </w:r>
      <w:r w:rsidR="001C03FA" w:rsidRPr="001C03FA">
        <w:rPr>
          <w:sz w:val="26"/>
          <w:szCs w:val="26"/>
        </w:rPr>
        <w:t xml:space="preserve">upholding a subpoena that sought outtakes of an interview with a </w:t>
      </w:r>
      <w:r w:rsidR="001C03FA" w:rsidRPr="001C03FA">
        <w:rPr>
          <w:i/>
          <w:iCs/>
          <w:sz w:val="26"/>
          <w:szCs w:val="26"/>
        </w:rPr>
        <w:t>specific</w:t>
      </w:r>
      <w:r w:rsidR="001C03FA" w:rsidRPr="001C03FA">
        <w:rPr>
          <w:sz w:val="26"/>
          <w:szCs w:val="26"/>
        </w:rPr>
        <w:t xml:space="preserve"> key witness</w:t>
      </w:r>
      <w:r w:rsidR="001C03FA">
        <w:rPr>
          <w:sz w:val="26"/>
          <w:szCs w:val="26"/>
        </w:rPr>
        <w:t xml:space="preserve"> </w:t>
      </w:r>
      <w:r w:rsidR="001C03FA" w:rsidRPr="001C03FA">
        <w:rPr>
          <w:sz w:val="26"/>
          <w:szCs w:val="26"/>
        </w:rPr>
        <w:t>because the request was sufficiently specific under Rule 17(c)</w:t>
      </w:r>
      <w:r w:rsidRPr="00CB0B74">
        <w:rPr>
          <w:sz w:val="26"/>
          <w:szCs w:val="26"/>
        </w:rPr>
        <w:t xml:space="preserve">). The </w:t>
      </w:r>
      <w:r w:rsidR="00A71CBF">
        <w:rPr>
          <w:sz w:val="26"/>
          <w:szCs w:val="26"/>
        </w:rPr>
        <w:t>G</w:t>
      </w:r>
      <w:r w:rsidRPr="00CB0B74">
        <w:rPr>
          <w:sz w:val="26"/>
          <w:szCs w:val="26"/>
        </w:rPr>
        <w:t xml:space="preserve">overnment’s </w:t>
      </w:r>
      <w:r w:rsidRPr="00CB0B74">
        <w:rPr>
          <w:sz w:val="26"/>
          <w:szCs w:val="26"/>
        </w:rPr>
        <w:lastRenderedPageBreak/>
        <w:t>subpoena here does neither: it names no fact, document, or admission it expects Exhibit 21 to contain, and instead demands the whole of Armana’s investigative file, sight unseen.</w:t>
      </w:r>
    </w:p>
    <w:p w14:paraId="3662470A" w14:textId="07C5D9B7" w:rsidR="00E90365" w:rsidRPr="00E90365" w:rsidRDefault="00E90365" w:rsidP="00E90365">
      <w:pPr>
        <w:spacing w:line="480" w:lineRule="auto"/>
        <w:jc w:val="both"/>
        <w:rPr>
          <w:sz w:val="26"/>
          <w:szCs w:val="26"/>
        </w:rPr>
      </w:pPr>
      <w:r>
        <w:rPr>
          <w:sz w:val="26"/>
          <w:szCs w:val="26"/>
        </w:rPr>
        <w:tab/>
      </w:r>
      <w:r w:rsidR="00CB0B74" w:rsidRPr="00CB0B74">
        <w:rPr>
          <w:sz w:val="26"/>
          <w:szCs w:val="26"/>
        </w:rPr>
        <w:t xml:space="preserve">Finally, the </w:t>
      </w:r>
      <w:r w:rsidR="00A71CBF">
        <w:rPr>
          <w:sz w:val="26"/>
          <w:szCs w:val="26"/>
        </w:rPr>
        <w:t>G</w:t>
      </w:r>
      <w:r w:rsidR="00CB0B74" w:rsidRPr="00CB0B74">
        <w:rPr>
          <w:sz w:val="26"/>
          <w:szCs w:val="26"/>
        </w:rPr>
        <w:t xml:space="preserve">overnment cannot show it “cannot properly prepare for trial” without Exhibit 21, or that lacking it will “unreasonably delay” the proceedings. </w:t>
      </w:r>
      <w:r w:rsidR="00CB0B74" w:rsidRPr="001C03FA">
        <w:rPr>
          <w:i/>
          <w:iCs/>
          <w:sz w:val="26"/>
          <w:szCs w:val="26"/>
        </w:rPr>
        <w:t>Nixon</w:t>
      </w:r>
      <w:r w:rsidR="00CB0B74" w:rsidRPr="00CB0B74">
        <w:rPr>
          <w:sz w:val="26"/>
          <w:szCs w:val="26"/>
        </w:rPr>
        <w:t xml:space="preserve">, 418 U.S. at 699. By its own agents’ testimony, the </w:t>
      </w:r>
      <w:r w:rsidR="00A71CBF">
        <w:rPr>
          <w:sz w:val="26"/>
          <w:szCs w:val="26"/>
        </w:rPr>
        <w:t>G</w:t>
      </w:r>
      <w:r w:rsidR="00CB0B74" w:rsidRPr="00CB0B74">
        <w:rPr>
          <w:sz w:val="26"/>
          <w:szCs w:val="26"/>
        </w:rPr>
        <w:t>overnment already has direct, independently admissible evidence of what Seton’s account would address: toll records of years of contact between Ms. Calloway and Donovan; the “Handle it” text Ms. Calloway sent Donovan the night Blake was last seen; Parker’s account of the “Coastal” box errand; and the banking record identifying Ms. Calloway as owner of the Cayman account. Nolan Dep. 126-31, 334-42, 356</w:t>
      </w:r>
      <w:r w:rsidR="001C03FA">
        <w:rPr>
          <w:sz w:val="26"/>
          <w:szCs w:val="26"/>
        </w:rPr>
        <w:t>-</w:t>
      </w:r>
      <w:r w:rsidR="00CB0B74" w:rsidRPr="00CB0B74">
        <w:rPr>
          <w:sz w:val="26"/>
          <w:szCs w:val="26"/>
        </w:rPr>
        <w:t xml:space="preserve">71; Sinclair Dep. 285-97; Ex. 19. Because the </w:t>
      </w:r>
      <w:r w:rsidR="00A71CBF">
        <w:rPr>
          <w:sz w:val="26"/>
          <w:szCs w:val="26"/>
        </w:rPr>
        <w:t>G</w:t>
      </w:r>
      <w:r w:rsidR="00CB0B74" w:rsidRPr="00CB0B74">
        <w:rPr>
          <w:sz w:val="26"/>
          <w:szCs w:val="26"/>
        </w:rPr>
        <w:t xml:space="preserve">overnment cannot make </w:t>
      </w:r>
      <w:r w:rsidR="00CB0B74" w:rsidRPr="001C03FA">
        <w:rPr>
          <w:i/>
          <w:iCs/>
          <w:sz w:val="26"/>
          <w:szCs w:val="26"/>
        </w:rPr>
        <w:t>Nixon</w:t>
      </w:r>
      <w:r w:rsidR="00CB0B74" w:rsidRPr="00CB0B74">
        <w:rPr>
          <w:sz w:val="26"/>
          <w:szCs w:val="26"/>
        </w:rPr>
        <w:t>’s conjunctive four-part showing, the subpoena should be quashed</w:t>
      </w:r>
      <w:r w:rsidR="001C03FA">
        <w:rPr>
          <w:sz w:val="26"/>
          <w:szCs w:val="26"/>
        </w:rPr>
        <w:t>.</w:t>
      </w:r>
    </w:p>
    <w:p w14:paraId="44311088" w14:textId="145CC3EE" w:rsidR="00E8060F" w:rsidRDefault="00E8060F" w:rsidP="00E8060F">
      <w:pPr>
        <w:pStyle w:val="ListParagraph"/>
        <w:numPr>
          <w:ilvl w:val="0"/>
          <w:numId w:val="21"/>
        </w:numPr>
        <w:rPr>
          <w:b/>
          <w:bCs/>
          <w:sz w:val="26"/>
          <w:szCs w:val="26"/>
        </w:rPr>
      </w:pPr>
      <w:r w:rsidRPr="00E8060F">
        <w:rPr>
          <w:b/>
          <w:bCs/>
          <w:sz w:val="26"/>
          <w:szCs w:val="26"/>
        </w:rPr>
        <w:t xml:space="preserve">Exhibit 21 Is Work Product Because It Was Prepared In Anticipation Of This Very Prosecution, Even Before Ms. Calloway Was Indicted. </w:t>
      </w:r>
    </w:p>
    <w:p w14:paraId="22D7C4C5" w14:textId="77777777" w:rsidR="00E8060F" w:rsidRPr="00E8060F" w:rsidRDefault="00E8060F" w:rsidP="00E8060F">
      <w:pPr>
        <w:pStyle w:val="ListParagraph"/>
        <w:ind w:left="1080"/>
        <w:rPr>
          <w:b/>
          <w:bCs/>
          <w:sz w:val="26"/>
          <w:szCs w:val="26"/>
        </w:rPr>
      </w:pPr>
    </w:p>
    <w:p w14:paraId="286E3492" w14:textId="603326AD" w:rsidR="000D593F" w:rsidRDefault="000D593F" w:rsidP="00961768">
      <w:pPr>
        <w:spacing w:line="480" w:lineRule="auto"/>
        <w:jc w:val="both"/>
        <w:rPr>
          <w:sz w:val="26"/>
          <w:szCs w:val="26"/>
        </w:rPr>
      </w:pPr>
      <w:r>
        <w:rPr>
          <w:sz w:val="26"/>
          <w:szCs w:val="26"/>
        </w:rPr>
        <w:tab/>
      </w:r>
      <w:r w:rsidRPr="000D593F">
        <w:rPr>
          <w:sz w:val="26"/>
          <w:szCs w:val="26"/>
        </w:rPr>
        <w:t xml:space="preserve">Even setting Rule 17(c) aside, Exhibit 21 independently remains protected work product. The work-product doctrine gives a lawyer “a certain degree of privacy, free from unnecessary intrusion by opposing parties and their counsel,” because without it “much would remain unwritten.” </w:t>
      </w:r>
      <w:r w:rsidRPr="001C03FA">
        <w:rPr>
          <w:i/>
          <w:iCs/>
          <w:sz w:val="26"/>
          <w:szCs w:val="26"/>
        </w:rPr>
        <w:t>Hickman v. Taylor</w:t>
      </w:r>
      <w:r w:rsidRPr="000D593F">
        <w:rPr>
          <w:sz w:val="26"/>
          <w:szCs w:val="26"/>
        </w:rPr>
        <w:t xml:space="preserve">, 329 U.S. 495, 510-11 (1947). </w:t>
      </w:r>
      <w:r w:rsidR="001C03FA">
        <w:rPr>
          <w:sz w:val="26"/>
          <w:szCs w:val="26"/>
        </w:rPr>
        <w:t xml:space="preserve">The Supreme Court in </w:t>
      </w:r>
      <w:r w:rsidR="001C03FA" w:rsidRPr="001C03FA">
        <w:rPr>
          <w:i/>
          <w:iCs/>
          <w:sz w:val="26"/>
          <w:szCs w:val="26"/>
        </w:rPr>
        <w:t>United States v. Nobles</w:t>
      </w:r>
      <w:r w:rsidR="001C03FA" w:rsidRPr="001C03FA">
        <w:rPr>
          <w:sz w:val="26"/>
          <w:szCs w:val="26"/>
        </w:rPr>
        <w:t>, 422 U.S. 225, 237-38 (1975)</w:t>
      </w:r>
      <w:r w:rsidR="001C03FA">
        <w:rPr>
          <w:sz w:val="26"/>
          <w:szCs w:val="26"/>
        </w:rPr>
        <w:t xml:space="preserve">, </w:t>
      </w:r>
      <w:r w:rsidRPr="000D593F">
        <w:rPr>
          <w:sz w:val="26"/>
          <w:szCs w:val="26"/>
        </w:rPr>
        <w:t>later confirmed that this protection is not a civil-only doctrine but, if anything, more essential in criminal cases, and that it reaches materials prepared by a defense investigator, not only the attorney personally.</w:t>
      </w:r>
    </w:p>
    <w:p w14:paraId="39C7C78C" w14:textId="77763FA5" w:rsidR="005C4B4D" w:rsidRPr="0064698E" w:rsidRDefault="00183CCD" w:rsidP="00961768">
      <w:pPr>
        <w:spacing w:line="480" w:lineRule="auto"/>
        <w:jc w:val="both"/>
        <w:rPr>
          <w:sz w:val="26"/>
          <w:szCs w:val="26"/>
        </w:rPr>
      </w:pPr>
      <w:r w:rsidRPr="0064698E">
        <w:rPr>
          <w:sz w:val="26"/>
          <w:szCs w:val="26"/>
        </w:rPr>
        <w:lastRenderedPageBreak/>
        <w:tab/>
      </w:r>
      <w:r w:rsidR="004C18FC">
        <w:rPr>
          <w:sz w:val="26"/>
          <w:szCs w:val="26"/>
        </w:rPr>
        <w:t xml:space="preserve">Exhibit 21 is work-product because </w:t>
      </w:r>
      <w:r w:rsidR="000C3CDC">
        <w:rPr>
          <w:sz w:val="26"/>
          <w:szCs w:val="26"/>
        </w:rPr>
        <w:t xml:space="preserve">it </w:t>
      </w:r>
      <w:r w:rsidR="004C18FC">
        <w:rPr>
          <w:sz w:val="26"/>
          <w:szCs w:val="26"/>
        </w:rPr>
        <w:t xml:space="preserve">was made in anticipation of this very prosecution. </w:t>
      </w:r>
      <w:r w:rsidR="00925B91">
        <w:rPr>
          <w:sz w:val="26"/>
          <w:szCs w:val="26"/>
        </w:rPr>
        <w:t xml:space="preserve">The majority of </w:t>
      </w:r>
      <w:r w:rsidR="001C4F3D" w:rsidRPr="0064698E">
        <w:rPr>
          <w:sz w:val="26"/>
          <w:szCs w:val="26"/>
        </w:rPr>
        <w:t>federal circuits, including the Second, Third, Fourth, Sixth, Seventh, Eighth, Ninth, and D.C. Circuits, apply the “because of” test to determine whether a document is prepared in anticipation of litigation</w:t>
      </w:r>
      <w:r w:rsidR="005C4B4D" w:rsidRPr="0064698E">
        <w:rPr>
          <w:sz w:val="26"/>
          <w:szCs w:val="26"/>
        </w:rPr>
        <w:t xml:space="preserve"> even if it also serves another purpose</w:t>
      </w:r>
      <w:r w:rsidR="001C4F3D" w:rsidRPr="0064698E">
        <w:rPr>
          <w:sz w:val="26"/>
          <w:szCs w:val="26"/>
        </w:rPr>
        <w:t>.</w:t>
      </w:r>
      <w:r w:rsidR="00961768" w:rsidRPr="0064698E">
        <w:rPr>
          <w:i/>
          <w:iCs/>
          <w:sz w:val="26"/>
          <w:szCs w:val="26"/>
        </w:rPr>
        <w:t xml:space="preserve"> See</w:t>
      </w:r>
      <w:r w:rsidR="001C4F3D" w:rsidRPr="0064698E">
        <w:rPr>
          <w:sz w:val="26"/>
          <w:szCs w:val="26"/>
        </w:rPr>
        <w:t xml:space="preserve"> </w:t>
      </w:r>
      <w:r w:rsidR="00F628FE" w:rsidRPr="0064698E">
        <w:rPr>
          <w:i/>
          <w:iCs/>
          <w:sz w:val="26"/>
          <w:szCs w:val="26"/>
        </w:rPr>
        <w:t>United States v. Adlman</w:t>
      </w:r>
      <w:r w:rsidR="00F628FE" w:rsidRPr="0064698E">
        <w:rPr>
          <w:sz w:val="26"/>
          <w:szCs w:val="26"/>
        </w:rPr>
        <w:t xml:space="preserve">, 134 F.3d 1194, 1202 (2d Cir. 1998), </w:t>
      </w:r>
      <w:r w:rsidR="001C4F3D" w:rsidRPr="0064698E">
        <w:rPr>
          <w:i/>
          <w:iCs/>
          <w:sz w:val="26"/>
          <w:szCs w:val="26"/>
        </w:rPr>
        <w:t>In re Grand Jury Investigation</w:t>
      </w:r>
      <w:r w:rsidR="001C4F3D" w:rsidRPr="0064698E">
        <w:rPr>
          <w:sz w:val="26"/>
          <w:szCs w:val="26"/>
        </w:rPr>
        <w:t>, 599</w:t>
      </w:r>
      <w:r w:rsidRPr="0064698E">
        <w:rPr>
          <w:sz w:val="26"/>
          <w:szCs w:val="26"/>
        </w:rPr>
        <w:t xml:space="preserve"> </w:t>
      </w:r>
      <w:r w:rsidR="001C4F3D" w:rsidRPr="0064698E">
        <w:rPr>
          <w:sz w:val="26"/>
          <w:szCs w:val="26"/>
        </w:rPr>
        <w:t xml:space="preserve">F.2d 1224, 1229 (3d Cir. 1979); </w:t>
      </w:r>
      <w:r w:rsidR="00F628FE" w:rsidRPr="0064698E">
        <w:rPr>
          <w:i/>
          <w:iCs/>
          <w:sz w:val="26"/>
          <w:szCs w:val="26"/>
        </w:rPr>
        <w:t>Nat</w:t>
      </w:r>
      <w:r w:rsidR="001C03FA">
        <w:rPr>
          <w:i/>
          <w:iCs/>
          <w:sz w:val="26"/>
          <w:szCs w:val="26"/>
        </w:rPr>
        <w:t>’l</w:t>
      </w:r>
      <w:r w:rsidR="00F628FE" w:rsidRPr="0064698E">
        <w:rPr>
          <w:i/>
          <w:iCs/>
          <w:sz w:val="26"/>
          <w:szCs w:val="26"/>
        </w:rPr>
        <w:t xml:space="preserve"> Union Fire Ins. Co. v. Murray Sheet Metal Co., Inc.</w:t>
      </w:r>
      <w:r w:rsidR="00F628FE" w:rsidRPr="0064698E">
        <w:rPr>
          <w:sz w:val="26"/>
          <w:szCs w:val="26"/>
        </w:rPr>
        <w:t>, 967 F.2d 980, 984 (4th Cir. 1992)</w:t>
      </w:r>
      <w:r w:rsidR="009176CA" w:rsidRPr="0064698E">
        <w:rPr>
          <w:sz w:val="26"/>
          <w:szCs w:val="26"/>
        </w:rPr>
        <w:t xml:space="preserve">; </w:t>
      </w:r>
      <w:r w:rsidR="009176CA" w:rsidRPr="0064698E">
        <w:rPr>
          <w:i/>
          <w:iCs/>
          <w:sz w:val="26"/>
          <w:szCs w:val="26"/>
        </w:rPr>
        <w:t>United States v. Roxworthy</w:t>
      </w:r>
      <w:r w:rsidR="009176CA" w:rsidRPr="0064698E">
        <w:rPr>
          <w:sz w:val="26"/>
          <w:szCs w:val="26"/>
        </w:rPr>
        <w:t xml:space="preserve">, 457 F.3d 590, 593-94 (6th Cir. 2006); </w:t>
      </w:r>
      <w:r w:rsidR="00F628FE" w:rsidRPr="0064698E">
        <w:rPr>
          <w:i/>
          <w:iCs/>
          <w:sz w:val="26"/>
          <w:szCs w:val="26"/>
        </w:rPr>
        <w:t>Binks Mfg. Co. v. Na</w:t>
      </w:r>
      <w:r w:rsidR="001C03FA">
        <w:rPr>
          <w:i/>
          <w:iCs/>
          <w:sz w:val="26"/>
          <w:szCs w:val="26"/>
        </w:rPr>
        <w:t>t’</w:t>
      </w:r>
      <w:r w:rsidR="00F628FE" w:rsidRPr="0064698E">
        <w:rPr>
          <w:i/>
          <w:iCs/>
          <w:sz w:val="26"/>
          <w:szCs w:val="26"/>
        </w:rPr>
        <w:t>l Presto Indus., Inc.</w:t>
      </w:r>
      <w:r w:rsidR="00F628FE" w:rsidRPr="0064698E">
        <w:rPr>
          <w:sz w:val="26"/>
          <w:szCs w:val="26"/>
        </w:rPr>
        <w:t>, 709 F.2d 1109, 1118-19 (7th Cir. 1983);</w:t>
      </w:r>
      <w:r w:rsidR="009176CA" w:rsidRPr="0064698E">
        <w:rPr>
          <w:i/>
          <w:iCs/>
          <w:sz w:val="26"/>
          <w:szCs w:val="26"/>
        </w:rPr>
        <w:t xml:space="preserve"> Simon v. G.D. Searle &amp; Co.</w:t>
      </w:r>
      <w:r w:rsidR="009176CA" w:rsidRPr="0064698E">
        <w:rPr>
          <w:sz w:val="26"/>
          <w:szCs w:val="26"/>
        </w:rPr>
        <w:t>, 816 F.2d 397, 401 (8th Cir. 1987)</w:t>
      </w:r>
      <w:r w:rsidR="009176CA" w:rsidRPr="0064698E">
        <w:rPr>
          <w:i/>
          <w:iCs/>
          <w:sz w:val="26"/>
          <w:szCs w:val="26"/>
        </w:rPr>
        <w:t>;</w:t>
      </w:r>
      <w:r w:rsidR="000C3CDC" w:rsidRPr="000C3CDC">
        <w:t xml:space="preserve"> </w:t>
      </w:r>
      <w:r w:rsidR="000C3CDC" w:rsidRPr="000C3CDC">
        <w:rPr>
          <w:i/>
          <w:iCs/>
          <w:sz w:val="26"/>
          <w:szCs w:val="26"/>
        </w:rPr>
        <w:t>In re Grand Jury Subpoena (Torf)</w:t>
      </w:r>
      <w:r w:rsidR="000C3CDC" w:rsidRPr="000C3CDC">
        <w:rPr>
          <w:sz w:val="26"/>
          <w:szCs w:val="26"/>
        </w:rPr>
        <w:t>,</w:t>
      </w:r>
      <w:r w:rsidR="000C3CDC" w:rsidRPr="000C3CDC">
        <w:rPr>
          <w:i/>
          <w:iCs/>
          <w:sz w:val="26"/>
          <w:szCs w:val="26"/>
        </w:rPr>
        <w:t xml:space="preserve"> </w:t>
      </w:r>
      <w:r w:rsidR="000C3CDC" w:rsidRPr="000C3CDC">
        <w:rPr>
          <w:sz w:val="26"/>
          <w:szCs w:val="26"/>
        </w:rPr>
        <w:t>357 F.3d 900, 907-08 (9th Cir. 2004)</w:t>
      </w:r>
      <w:r w:rsidR="009176CA" w:rsidRPr="0064698E">
        <w:rPr>
          <w:sz w:val="26"/>
          <w:szCs w:val="26"/>
        </w:rPr>
        <w:t>;</w:t>
      </w:r>
      <w:r w:rsidR="00F628FE" w:rsidRPr="0064698E">
        <w:rPr>
          <w:sz w:val="26"/>
          <w:szCs w:val="26"/>
        </w:rPr>
        <w:t xml:space="preserve"> </w:t>
      </w:r>
      <w:r w:rsidR="001C4F3D" w:rsidRPr="0064698E">
        <w:rPr>
          <w:i/>
          <w:iCs/>
          <w:sz w:val="26"/>
          <w:szCs w:val="26"/>
        </w:rPr>
        <w:t>In re Sealed Case</w:t>
      </w:r>
      <w:r w:rsidR="001C4F3D" w:rsidRPr="0064698E">
        <w:rPr>
          <w:sz w:val="26"/>
          <w:szCs w:val="26"/>
        </w:rPr>
        <w:t>, 146 F.3d 881, 884 (D.C. Cir. 1998).</w:t>
      </w:r>
      <w:r w:rsidR="005C4B4D" w:rsidRPr="0064698E">
        <w:rPr>
          <w:sz w:val="26"/>
          <w:szCs w:val="26"/>
        </w:rPr>
        <w:t xml:space="preserve"> </w:t>
      </w:r>
    </w:p>
    <w:p w14:paraId="2D65166A" w14:textId="0CE9F32B" w:rsidR="00620C4F" w:rsidRPr="0064698E" w:rsidRDefault="00183CCD" w:rsidP="00E8060F">
      <w:pPr>
        <w:spacing w:line="480" w:lineRule="auto"/>
        <w:jc w:val="both"/>
        <w:rPr>
          <w:sz w:val="26"/>
          <w:szCs w:val="26"/>
        </w:rPr>
      </w:pPr>
      <w:r w:rsidRPr="0064698E">
        <w:rPr>
          <w:sz w:val="26"/>
          <w:szCs w:val="26"/>
        </w:rPr>
        <w:tab/>
      </w:r>
      <w:r w:rsidR="000D593F" w:rsidRPr="000D593F">
        <w:rPr>
          <w:sz w:val="26"/>
          <w:szCs w:val="26"/>
        </w:rPr>
        <w:t xml:space="preserve">Circuit courts applying the “because of” test where prosecution was possible but no indictment had issued agree work-product remains protected. In </w:t>
      </w:r>
      <w:r w:rsidR="000D593F" w:rsidRPr="006259F0">
        <w:rPr>
          <w:i/>
          <w:iCs/>
          <w:sz w:val="26"/>
          <w:szCs w:val="26"/>
        </w:rPr>
        <w:t>In re Grand Jury Investigation</w:t>
      </w:r>
      <w:r w:rsidR="000D593F" w:rsidRPr="000D593F">
        <w:rPr>
          <w:sz w:val="26"/>
          <w:szCs w:val="26"/>
        </w:rPr>
        <w:t xml:space="preserve">, the Third Circuit protected interview memoranda created months before the </w:t>
      </w:r>
      <w:r w:rsidR="00A71CBF">
        <w:rPr>
          <w:sz w:val="26"/>
          <w:szCs w:val="26"/>
        </w:rPr>
        <w:t>G</w:t>
      </w:r>
      <w:r w:rsidR="000D593F" w:rsidRPr="000D593F">
        <w:rPr>
          <w:sz w:val="26"/>
          <w:szCs w:val="26"/>
        </w:rPr>
        <w:t xml:space="preserve">overnment’s first document request, because “litigation of some sort . . . [was] almost inevitable,” including “criminal prosecutions.” 599 F.2d at 1229-31; </w:t>
      </w:r>
      <w:r w:rsidR="000D593F" w:rsidRPr="006259F0">
        <w:rPr>
          <w:i/>
          <w:iCs/>
          <w:sz w:val="26"/>
          <w:szCs w:val="26"/>
        </w:rPr>
        <w:t>see also In re Sealed Case</w:t>
      </w:r>
      <w:r w:rsidR="000D593F" w:rsidRPr="000D593F">
        <w:rPr>
          <w:sz w:val="26"/>
          <w:szCs w:val="26"/>
        </w:rPr>
        <w:t>, 146 F.3d at 886 (lawyers are “best equipped” to strengthen a defense “prior to the emergence of specific claims”). That describes this case: Donovan’s arrest triggered Armana’s retention and placed Ms. Calloway’s own exposure squarely in view a year and a half before she was charged, Armana Dep. 33-38, making Exhibit 21 a direct, litigation-driven work product</w:t>
      </w:r>
      <w:r w:rsidR="00E8060F">
        <w:rPr>
          <w:sz w:val="26"/>
          <w:szCs w:val="26"/>
        </w:rPr>
        <w:t>.</w:t>
      </w:r>
    </w:p>
    <w:p w14:paraId="2693812D" w14:textId="27FCBBF2" w:rsidR="00024D4C" w:rsidRPr="0064698E" w:rsidRDefault="005C4B4D" w:rsidP="00E8060F">
      <w:pPr>
        <w:pStyle w:val="ListParagraph"/>
        <w:numPr>
          <w:ilvl w:val="0"/>
          <w:numId w:val="21"/>
        </w:numPr>
        <w:spacing w:after="160" w:line="278" w:lineRule="auto"/>
        <w:jc w:val="both"/>
        <w:rPr>
          <w:b/>
          <w:bCs/>
          <w:sz w:val="26"/>
          <w:szCs w:val="26"/>
        </w:rPr>
      </w:pPr>
      <w:r w:rsidRPr="0064698E">
        <w:rPr>
          <w:b/>
          <w:bCs/>
          <w:sz w:val="26"/>
          <w:szCs w:val="26"/>
        </w:rPr>
        <w:lastRenderedPageBreak/>
        <w:t xml:space="preserve">Exhibit 21 Is Not Discoverable Because The Government Cannot Overcome Either Tier of Work-Product Protection. </w:t>
      </w:r>
    </w:p>
    <w:p w14:paraId="1CC41117" w14:textId="73B35491" w:rsidR="00C81BE6" w:rsidRPr="0064698E" w:rsidRDefault="00C81BE6" w:rsidP="00C81BE6">
      <w:pPr>
        <w:spacing w:line="480" w:lineRule="auto"/>
        <w:jc w:val="both"/>
        <w:rPr>
          <w:sz w:val="26"/>
          <w:szCs w:val="26"/>
        </w:rPr>
      </w:pPr>
      <w:r w:rsidRPr="0064698E">
        <w:rPr>
          <w:sz w:val="26"/>
          <w:szCs w:val="26"/>
        </w:rPr>
        <w:tab/>
      </w:r>
      <w:r w:rsidR="000D593F" w:rsidRPr="000D593F">
        <w:rPr>
          <w:sz w:val="26"/>
          <w:szCs w:val="26"/>
        </w:rPr>
        <w:t>Work product is protected at two levels. Ordinary fact work product yields only on a showing of substantial need and inability to obtain its equivalent without undue hardship. Opinion work product</w:t>
      </w:r>
      <w:r w:rsidR="000D593F">
        <w:rPr>
          <w:sz w:val="26"/>
          <w:szCs w:val="26"/>
        </w:rPr>
        <w:t xml:space="preserve">, </w:t>
      </w:r>
      <w:r w:rsidR="000D593F" w:rsidRPr="000D593F">
        <w:rPr>
          <w:sz w:val="26"/>
          <w:szCs w:val="26"/>
        </w:rPr>
        <w:t>“the mental impressions, conclusions, opinions, or legal theories of an attorney or other representative”</w:t>
      </w:r>
      <w:r w:rsidR="000D593F">
        <w:rPr>
          <w:sz w:val="26"/>
          <w:szCs w:val="26"/>
        </w:rPr>
        <w:t xml:space="preserve">, </w:t>
      </w:r>
      <w:r w:rsidR="000D593F" w:rsidRPr="000D593F">
        <w:rPr>
          <w:sz w:val="26"/>
          <w:szCs w:val="26"/>
        </w:rPr>
        <w:t xml:space="preserve">receives categorically stronger protection and cannot be disclosed on a mere showing of substantial need and undue hardship; disclosure demands “a far stronger showing.” </w:t>
      </w:r>
      <w:r w:rsidR="000D593F" w:rsidRPr="006259F0">
        <w:rPr>
          <w:i/>
          <w:iCs/>
          <w:sz w:val="26"/>
          <w:szCs w:val="26"/>
        </w:rPr>
        <w:t>Upjohn Co. v. United States</w:t>
      </w:r>
      <w:r w:rsidR="000D593F" w:rsidRPr="000D593F">
        <w:rPr>
          <w:sz w:val="26"/>
          <w:szCs w:val="26"/>
        </w:rPr>
        <w:t xml:space="preserve">, 449 U.S. 383, 400-02 (1981). Exhibit 21 is opinion work product, but even treated as ordinary fact work product, the </w:t>
      </w:r>
      <w:r w:rsidR="00A71CBF">
        <w:rPr>
          <w:sz w:val="26"/>
          <w:szCs w:val="26"/>
        </w:rPr>
        <w:t>G</w:t>
      </w:r>
      <w:r w:rsidR="000D593F" w:rsidRPr="000D593F">
        <w:rPr>
          <w:sz w:val="26"/>
          <w:szCs w:val="26"/>
        </w:rPr>
        <w:t>overnment cannot carry its burden.</w:t>
      </w:r>
    </w:p>
    <w:p w14:paraId="0412CC0C" w14:textId="261005D7" w:rsidR="00C81BE6" w:rsidRPr="0064698E" w:rsidRDefault="00C81BE6" w:rsidP="00C81BE6">
      <w:pPr>
        <w:pStyle w:val="ListParagraph"/>
        <w:numPr>
          <w:ilvl w:val="0"/>
          <w:numId w:val="7"/>
        </w:numPr>
        <w:spacing w:line="480" w:lineRule="auto"/>
        <w:jc w:val="both"/>
        <w:rPr>
          <w:i/>
          <w:iCs/>
          <w:sz w:val="26"/>
          <w:szCs w:val="26"/>
        </w:rPr>
      </w:pPr>
      <w:r w:rsidRPr="0064698E">
        <w:rPr>
          <w:i/>
          <w:iCs/>
          <w:sz w:val="26"/>
          <w:szCs w:val="26"/>
        </w:rPr>
        <w:t>Exhibit 21 is Opinion Work Product Entitled to Near-Absolute Immunity</w:t>
      </w:r>
      <w:r w:rsidR="00144D17" w:rsidRPr="0064698E">
        <w:rPr>
          <w:i/>
          <w:iCs/>
          <w:sz w:val="26"/>
          <w:szCs w:val="26"/>
        </w:rPr>
        <w:t>.</w:t>
      </w:r>
    </w:p>
    <w:p w14:paraId="38766A0E" w14:textId="031A56C6" w:rsidR="00A215AE" w:rsidRPr="0064698E" w:rsidRDefault="00C81BE6" w:rsidP="00925B91">
      <w:pPr>
        <w:spacing w:line="480" w:lineRule="auto"/>
        <w:jc w:val="both"/>
        <w:rPr>
          <w:sz w:val="26"/>
          <w:szCs w:val="26"/>
        </w:rPr>
      </w:pPr>
      <w:r w:rsidRPr="0064698E">
        <w:rPr>
          <w:sz w:val="26"/>
          <w:szCs w:val="26"/>
        </w:rPr>
        <w:tab/>
      </w:r>
      <w:r w:rsidR="000D593F" w:rsidRPr="000D593F">
        <w:rPr>
          <w:sz w:val="26"/>
          <w:szCs w:val="26"/>
        </w:rPr>
        <w:t xml:space="preserve">Exhibit 21 is not a passive transcript. Armana testified his notes contain two categories: the body is “the factual account as [Seton] gave it,” while the red text is “[his own] thoughts, follow-ups, questions, and the theories [he] was starting to form.” Armana Dep. 140-43. Armana testified Seton gave him “real, specific, factual information . . . about how that company worked and who ran it.” Armana Dep. 127-28, 131-34. This is exactly the material </w:t>
      </w:r>
      <w:r w:rsidR="000D593F" w:rsidRPr="006259F0">
        <w:rPr>
          <w:i/>
          <w:iCs/>
          <w:sz w:val="26"/>
          <w:szCs w:val="26"/>
        </w:rPr>
        <w:t>Upjohn</w:t>
      </w:r>
      <w:r w:rsidR="000D593F" w:rsidRPr="000D593F">
        <w:rPr>
          <w:sz w:val="26"/>
          <w:szCs w:val="26"/>
        </w:rPr>
        <w:t xml:space="preserve"> and </w:t>
      </w:r>
      <w:r w:rsidR="000D593F" w:rsidRPr="006259F0">
        <w:rPr>
          <w:i/>
          <w:iCs/>
          <w:sz w:val="26"/>
          <w:szCs w:val="26"/>
        </w:rPr>
        <w:t>Hickman</w:t>
      </w:r>
      <w:r w:rsidR="000D593F" w:rsidRPr="000D593F">
        <w:rPr>
          <w:sz w:val="26"/>
          <w:szCs w:val="26"/>
        </w:rPr>
        <w:t xml:space="preserve"> protect most zealously, requiring a still “far stronger” showing than for ordinary fact work product. </w:t>
      </w:r>
      <w:r w:rsidR="000D593F" w:rsidRPr="006259F0">
        <w:rPr>
          <w:i/>
          <w:iCs/>
          <w:sz w:val="26"/>
          <w:szCs w:val="26"/>
        </w:rPr>
        <w:t>See In re Grand Jury Proceedings</w:t>
      </w:r>
      <w:r w:rsidR="000D593F" w:rsidRPr="000D593F">
        <w:rPr>
          <w:sz w:val="26"/>
          <w:szCs w:val="26"/>
        </w:rPr>
        <w:t>, 43 F.3d 966, 970-71 (5th Cir. 1994).</w:t>
      </w:r>
    </w:p>
    <w:p w14:paraId="31262287" w14:textId="43388FE7" w:rsidR="000D593F" w:rsidRDefault="000D593F" w:rsidP="00C81BE6">
      <w:pPr>
        <w:spacing w:line="480" w:lineRule="auto"/>
        <w:jc w:val="both"/>
        <w:rPr>
          <w:sz w:val="26"/>
          <w:szCs w:val="26"/>
        </w:rPr>
      </w:pPr>
      <w:r>
        <w:rPr>
          <w:sz w:val="26"/>
          <w:szCs w:val="26"/>
        </w:rPr>
        <w:tab/>
      </w:r>
      <w:r w:rsidRPr="000D593F">
        <w:rPr>
          <w:sz w:val="26"/>
          <w:szCs w:val="26"/>
        </w:rPr>
        <w:t xml:space="preserve">The narrow exceptions some courts recognize do not apply here. In </w:t>
      </w:r>
      <w:r w:rsidRPr="006259F0">
        <w:rPr>
          <w:i/>
          <w:iCs/>
          <w:sz w:val="26"/>
          <w:szCs w:val="26"/>
        </w:rPr>
        <w:t>Holmgren v. State Farm Mut. Auto. Ins. Co.</w:t>
      </w:r>
      <w:r w:rsidRPr="000D593F">
        <w:rPr>
          <w:sz w:val="26"/>
          <w:szCs w:val="26"/>
        </w:rPr>
        <w:t xml:space="preserve">, the Ninth Circuit allowed discovery of an adjuster’s opinion work product only because the adjuster’s own impressions were themselves the </w:t>
      </w:r>
      <w:r w:rsidRPr="000D593F">
        <w:rPr>
          <w:sz w:val="26"/>
          <w:szCs w:val="26"/>
        </w:rPr>
        <w:lastRenderedPageBreak/>
        <w:t xml:space="preserve">ultimate issue the jury had to decide in a bad-faith case. 976 F.2d 573, 577-78 (9th Cir. 1992). Nothing akin is present here: Armana’s impressions are not an element of any charge and would be relevant, if at all, only as a roadmap to facts the </w:t>
      </w:r>
      <w:r w:rsidR="00A71CBF">
        <w:rPr>
          <w:sz w:val="26"/>
          <w:szCs w:val="26"/>
        </w:rPr>
        <w:t>G</w:t>
      </w:r>
      <w:r w:rsidRPr="000D593F">
        <w:rPr>
          <w:sz w:val="26"/>
          <w:szCs w:val="26"/>
        </w:rPr>
        <w:t xml:space="preserve">overnment must develop on its own. </w:t>
      </w:r>
      <w:r w:rsidR="006259F0">
        <w:rPr>
          <w:i/>
          <w:iCs/>
          <w:sz w:val="26"/>
          <w:szCs w:val="26"/>
        </w:rPr>
        <w:t xml:space="preserve">See </w:t>
      </w:r>
      <w:r w:rsidRPr="006259F0">
        <w:rPr>
          <w:i/>
          <w:iCs/>
          <w:sz w:val="26"/>
          <w:szCs w:val="26"/>
        </w:rPr>
        <w:t>Hickman</w:t>
      </w:r>
      <w:r w:rsidRPr="000D593F">
        <w:rPr>
          <w:sz w:val="26"/>
          <w:szCs w:val="26"/>
        </w:rPr>
        <w:t>, 329 U.S. at 510;</w:t>
      </w:r>
      <w:r w:rsidR="006259F0">
        <w:rPr>
          <w:i/>
          <w:iCs/>
          <w:sz w:val="26"/>
          <w:szCs w:val="26"/>
        </w:rPr>
        <w:t xml:space="preserve"> </w:t>
      </w:r>
      <w:r w:rsidRPr="006259F0">
        <w:rPr>
          <w:i/>
          <w:iCs/>
          <w:sz w:val="26"/>
          <w:szCs w:val="26"/>
        </w:rPr>
        <w:t>Nobles</w:t>
      </w:r>
      <w:r w:rsidRPr="000D593F">
        <w:rPr>
          <w:sz w:val="26"/>
          <w:szCs w:val="26"/>
        </w:rPr>
        <w:t>, 422 U.S. at 238.</w:t>
      </w:r>
    </w:p>
    <w:p w14:paraId="0FFA982B" w14:textId="074D43A8" w:rsidR="00A215AE" w:rsidRPr="0064698E" w:rsidRDefault="00A215AE" w:rsidP="00C81BE6">
      <w:pPr>
        <w:spacing w:line="480" w:lineRule="auto"/>
        <w:jc w:val="both"/>
        <w:rPr>
          <w:sz w:val="26"/>
          <w:szCs w:val="26"/>
        </w:rPr>
      </w:pPr>
      <w:r w:rsidRPr="0064698E">
        <w:rPr>
          <w:sz w:val="26"/>
          <w:szCs w:val="26"/>
        </w:rPr>
        <w:tab/>
      </w:r>
      <w:r w:rsidR="000D593F" w:rsidRPr="000D593F">
        <w:rPr>
          <w:sz w:val="26"/>
          <w:szCs w:val="26"/>
        </w:rPr>
        <w:t xml:space="preserve">Nor can the opinion material simply be redacted away so only “the facts” remain. Armana made his annotations contemporaneously, as he listened, and filed the document under seal as a single, integrated work product. Armana Dep. 120-24, 135-43; Stip. ¶ 8. At minimum, no production could occur without in camera redaction of every note in red, and the </w:t>
      </w:r>
      <w:r w:rsidR="00A71CBF">
        <w:rPr>
          <w:sz w:val="26"/>
          <w:szCs w:val="26"/>
        </w:rPr>
        <w:t>G</w:t>
      </w:r>
      <w:r w:rsidR="000D593F" w:rsidRPr="000D593F">
        <w:rPr>
          <w:sz w:val="26"/>
          <w:szCs w:val="26"/>
        </w:rPr>
        <w:t xml:space="preserve">overnment’s subpoena, seeking “any and all records” wholesale, never attempted the “far stronger showing” </w:t>
      </w:r>
      <w:r w:rsidR="000D593F" w:rsidRPr="006259F0">
        <w:rPr>
          <w:i/>
          <w:iCs/>
          <w:sz w:val="26"/>
          <w:szCs w:val="26"/>
        </w:rPr>
        <w:t>Upjohn</w:t>
      </w:r>
      <w:r w:rsidR="000D593F" w:rsidRPr="000D593F">
        <w:rPr>
          <w:sz w:val="26"/>
          <w:szCs w:val="26"/>
        </w:rPr>
        <w:t xml:space="preserve"> requires even for that lesser remedy. Exhibit 21 is therefore undiscoverable opinion work-product.</w:t>
      </w:r>
    </w:p>
    <w:p w14:paraId="2B423978" w14:textId="69ECDF21" w:rsidR="0080354A" w:rsidRPr="0064698E" w:rsidRDefault="0080354A" w:rsidP="0080354A">
      <w:pPr>
        <w:pStyle w:val="ListParagraph"/>
        <w:numPr>
          <w:ilvl w:val="0"/>
          <w:numId w:val="7"/>
        </w:numPr>
        <w:jc w:val="both"/>
        <w:rPr>
          <w:i/>
          <w:iCs/>
          <w:sz w:val="26"/>
          <w:szCs w:val="26"/>
        </w:rPr>
      </w:pPr>
      <w:r w:rsidRPr="0064698E">
        <w:rPr>
          <w:i/>
          <w:iCs/>
          <w:sz w:val="26"/>
          <w:szCs w:val="26"/>
        </w:rPr>
        <w:t xml:space="preserve">Even if Exhibit 21 </w:t>
      </w:r>
      <w:r w:rsidR="00F531ED" w:rsidRPr="0064698E">
        <w:rPr>
          <w:i/>
          <w:iCs/>
          <w:sz w:val="26"/>
          <w:szCs w:val="26"/>
        </w:rPr>
        <w:t>i</w:t>
      </w:r>
      <w:r w:rsidRPr="0064698E">
        <w:rPr>
          <w:i/>
          <w:iCs/>
          <w:sz w:val="26"/>
          <w:szCs w:val="26"/>
        </w:rPr>
        <w:t>s</w:t>
      </w:r>
      <w:r w:rsidR="00530E57" w:rsidRPr="0064698E">
        <w:rPr>
          <w:i/>
          <w:iCs/>
          <w:sz w:val="26"/>
          <w:szCs w:val="26"/>
        </w:rPr>
        <w:t xml:space="preserve"> Ordinary</w:t>
      </w:r>
      <w:r w:rsidRPr="0064698E">
        <w:rPr>
          <w:i/>
          <w:iCs/>
          <w:sz w:val="26"/>
          <w:szCs w:val="26"/>
        </w:rPr>
        <w:t xml:space="preserve"> Fact Work Product, the Government Cannot Show Substantial Need or Undue Hardship. </w:t>
      </w:r>
    </w:p>
    <w:p w14:paraId="004F0515" w14:textId="77777777" w:rsidR="0080354A" w:rsidRPr="0064698E" w:rsidRDefault="0080354A" w:rsidP="0080354A">
      <w:pPr>
        <w:jc w:val="both"/>
        <w:rPr>
          <w:i/>
          <w:iCs/>
          <w:sz w:val="26"/>
          <w:szCs w:val="26"/>
        </w:rPr>
      </w:pPr>
    </w:p>
    <w:p w14:paraId="4D7D9B1F" w14:textId="177D51CA" w:rsidR="0080354A" w:rsidRPr="0064698E" w:rsidRDefault="0080354A" w:rsidP="00D4066F">
      <w:pPr>
        <w:spacing w:line="480" w:lineRule="auto"/>
        <w:jc w:val="both"/>
        <w:rPr>
          <w:sz w:val="26"/>
          <w:szCs w:val="26"/>
        </w:rPr>
      </w:pPr>
      <w:r w:rsidRPr="0064698E">
        <w:rPr>
          <w:sz w:val="26"/>
          <w:szCs w:val="26"/>
        </w:rPr>
        <w:tab/>
      </w:r>
      <w:r w:rsidR="000D593F" w:rsidRPr="000D593F">
        <w:rPr>
          <w:sz w:val="26"/>
          <w:szCs w:val="26"/>
        </w:rPr>
        <w:t xml:space="preserve">Ordinary fact work product is protected unless the </w:t>
      </w:r>
      <w:r w:rsidR="00A71CBF">
        <w:rPr>
          <w:sz w:val="26"/>
          <w:szCs w:val="26"/>
        </w:rPr>
        <w:t>G</w:t>
      </w:r>
      <w:r w:rsidR="000D593F" w:rsidRPr="000D593F">
        <w:rPr>
          <w:sz w:val="26"/>
          <w:szCs w:val="26"/>
        </w:rPr>
        <w:t xml:space="preserve">overnment can show substantial need and undue hardship. </w:t>
      </w:r>
      <w:r w:rsidR="000D593F" w:rsidRPr="006259F0">
        <w:rPr>
          <w:i/>
          <w:iCs/>
          <w:sz w:val="26"/>
          <w:szCs w:val="26"/>
        </w:rPr>
        <w:t>Nobles</w:t>
      </w:r>
      <w:r w:rsidR="000D593F" w:rsidRPr="000D593F">
        <w:rPr>
          <w:sz w:val="26"/>
          <w:szCs w:val="26"/>
        </w:rPr>
        <w:t xml:space="preserve">, 422 U.S. at 236-38. The </w:t>
      </w:r>
      <w:r w:rsidR="00A71CBF">
        <w:rPr>
          <w:sz w:val="26"/>
          <w:szCs w:val="26"/>
        </w:rPr>
        <w:t>G</w:t>
      </w:r>
      <w:r w:rsidR="000D593F" w:rsidRPr="000D593F">
        <w:rPr>
          <w:sz w:val="26"/>
          <w:szCs w:val="26"/>
        </w:rPr>
        <w:t>overnment cannot meet that standard.</w:t>
      </w:r>
    </w:p>
    <w:p w14:paraId="090F5702" w14:textId="59A9EBBB" w:rsidR="0080354A" w:rsidRPr="0064698E" w:rsidRDefault="000D593F" w:rsidP="002B1937">
      <w:pPr>
        <w:spacing w:line="480" w:lineRule="auto"/>
        <w:jc w:val="both"/>
        <w:rPr>
          <w:sz w:val="26"/>
          <w:szCs w:val="26"/>
        </w:rPr>
      </w:pPr>
      <w:r>
        <w:rPr>
          <w:sz w:val="26"/>
          <w:szCs w:val="26"/>
        </w:rPr>
        <w:tab/>
      </w:r>
      <w:r w:rsidRPr="000D593F">
        <w:rPr>
          <w:sz w:val="26"/>
          <w:szCs w:val="26"/>
        </w:rPr>
        <w:t xml:space="preserve">For substantial need, the Eighth Circuit has held that a party “does not demonstrate substantial need when it merely seeks corroborative evidence.” </w:t>
      </w:r>
      <w:r w:rsidRPr="006259F0">
        <w:rPr>
          <w:i/>
          <w:iCs/>
          <w:sz w:val="26"/>
          <w:szCs w:val="26"/>
        </w:rPr>
        <w:t>Baker v. GMC</w:t>
      </w:r>
      <w:r w:rsidRPr="000D593F">
        <w:rPr>
          <w:sz w:val="26"/>
          <w:szCs w:val="26"/>
        </w:rPr>
        <w:t xml:space="preserve">, 209 F.3d 1051, 1054 (8th Cir. 2000). The </w:t>
      </w:r>
      <w:r w:rsidR="00A71CBF">
        <w:rPr>
          <w:sz w:val="26"/>
          <w:szCs w:val="26"/>
        </w:rPr>
        <w:t>G</w:t>
      </w:r>
      <w:r w:rsidRPr="000D593F">
        <w:rPr>
          <w:sz w:val="26"/>
          <w:szCs w:val="26"/>
        </w:rPr>
        <w:t>overnment does not need Seton’s account or Armana’s theories: it already has an independent record connecting Ms. Calloway to Coastal</w:t>
      </w:r>
      <w:r w:rsidR="006259F0">
        <w:rPr>
          <w:sz w:val="26"/>
          <w:szCs w:val="26"/>
        </w:rPr>
        <w:t xml:space="preserve">: </w:t>
      </w:r>
      <w:r w:rsidRPr="000D593F">
        <w:rPr>
          <w:sz w:val="26"/>
          <w:szCs w:val="26"/>
        </w:rPr>
        <w:t xml:space="preserve">toll records, the “Handle it” text, Parker’s account of the storage errand, and a banking record that Agent Nolan testified “identified Emily Calloway, by name, [as] the owner of the </w:t>
      </w:r>
      <w:r w:rsidRPr="000D593F">
        <w:rPr>
          <w:sz w:val="26"/>
          <w:szCs w:val="26"/>
        </w:rPr>
        <w:lastRenderedPageBreak/>
        <w:t>Cayman account.” Nolan Dep. 126-31, 334-42, 356</w:t>
      </w:r>
      <w:r w:rsidR="00916937">
        <w:rPr>
          <w:sz w:val="26"/>
          <w:szCs w:val="26"/>
        </w:rPr>
        <w:t>-</w:t>
      </w:r>
      <w:r w:rsidRPr="000D593F">
        <w:rPr>
          <w:sz w:val="26"/>
          <w:szCs w:val="26"/>
        </w:rPr>
        <w:t>71; Sinclair Dep. 285-97; Ex. 19.</w:t>
      </w:r>
      <w:r w:rsidR="00DA2DB6" w:rsidRPr="0064698E">
        <w:rPr>
          <w:sz w:val="26"/>
          <w:szCs w:val="26"/>
        </w:rPr>
        <w:tab/>
      </w:r>
      <w:r w:rsidRPr="000D593F">
        <w:rPr>
          <w:sz w:val="26"/>
          <w:szCs w:val="26"/>
        </w:rPr>
        <w:t xml:space="preserve">For undue hardship, the </w:t>
      </w:r>
      <w:r w:rsidR="00A71CBF">
        <w:rPr>
          <w:sz w:val="26"/>
          <w:szCs w:val="26"/>
        </w:rPr>
        <w:t>G</w:t>
      </w:r>
      <w:r w:rsidRPr="000D593F">
        <w:rPr>
          <w:sz w:val="26"/>
          <w:szCs w:val="26"/>
        </w:rPr>
        <w:t xml:space="preserve">overnment could have obtained Seton’s information itself. It identified Coastal’s shell-company structure before Blake was killed, and found Seton’s name in its own payroll records. Nolan Dep. 78-83; Sinclair Dep. 389-96. Yet it did not subpoena Coastal’s bank records in fall 2023 for lack of “concrete evidence,” and did not attempt to locate Seton until “the spring of 2024,” by which point “she was already gone.” Sinclair Dep. 181-83, 391-98. Armana, working the same lead, found and interviewed Seton on February 15, 2024, using only old records and interviews with former coworkers. Armana Dep. 72-79. A party cannot manufacture undue hardship through its own lack of diligence and then invoke it to reach into opposing counsel’s work product. </w:t>
      </w:r>
      <w:r w:rsidRPr="006259F0">
        <w:rPr>
          <w:i/>
          <w:iCs/>
          <w:sz w:val="26"/>
          <w:szCs w:val="26"/>
        </w:rPr>
        <w:t>United States v. Doe</w:t>
      </w:r>
      <w:r w:rsidRPr="000D593F">
        <w:rPr>
          <w:sz w:val="26"/>
          <w:szCs w:val="26"/>
        </w:rPr>
        <w:t>, 219 F.3d 175, 192 (2d Cir. 2000).</w:t>
      </w:r>
      <w:r>
        <w:rPr>
          <w:sz w:val="26"/>
          <w:szCs w:val="26"/>
        </w:rPr>
        <w:t xml:space="preserve"> </w:t>
      </w:r>
      <w:r w:rsidR="002B1937">
        <w:rPr>
          <w:sz w:val="26"/>
          <w:szCs w:val="26"/>
        </w:rPr>
        <w:t xml:space="preserve">Therefore, </w:t>
      </w:r>
      <w:r w:rsidR="00916937">
        <w:rPr>
          <w:sz w:val="26"/>
          <w:szCs w:val="26"/>
        </w:rPr>
        <w:t>because</w:t>
      </w:r>
      <w:r w:rsidR="002B1937">
        <w:rPr>
          <w:sz w:val="26"/>
          <w:szCs w:val="26"/>
        </w:rPr>
        <w:t xml:space="preserve"> the </w:t>
      </w:r>
      <w:r w:rsidR="00A71CBF">
        <w:rPr>
          <w:sz w:val="26"/>
          <w:szCs w:val="26"/>
        </w:rPr>
        <w:t>G</w:t>
      </w:r>
      <w:r w:rsidR="002B1937">
        <w:rPr>
          <w:sz w:val="26"/>
          <w:szCs w:val="26"/>
        </w:rPr>
        <w:t xml:space="preserve">overnment created </w:t>
      </w:r>
      <w:r w:rsidR="00916937">
        <w:rPr>
          <w:sz w:val="26"/>
          <w:szCs w:val="26"/>
        </w:rPr>
        <w:t>its</w:t>
      </w:r>
      <w:r w:rsidR="002B1937">
        <w:rPr>
          <w:sz w:val="26"/>
          <w:szCs w:val="26"/>
        </w:rPr>
        <w:t xml:space="preserve"> own hardship, Exhibit 21 is not discoverable.</w:t>
      </w:r>
      <w:r w:rsidR="00DA2DB6" w:rsidRPr="0064698E">
        <w:rPr>
          <w:sz w:val="26"/>
          <w:szCs w:val="26"/>
        </w:rPr>
        <w:t xml:space="preserve"> </w:t>
      </w:r>
    </w:p>
    <w:p w14:paraId="3CC12AA5" w14:textId="3AB019C5" w:rsidR="00024D4C" w:rsidRPr="0064698E" w:rsidRDefault="00024D4C" w:rsidP="00024D4C">
      <w:pPr>
        <w:spacing w:after="160" w:line="278" w:lineRule="auto"/>
        <w:jc w:val="center"/>
        <w:rPr>
          <w:b/>
          <w:bCs/>
          <w:sz w:val="26"/>
          <w:szCs w:val="26"/>
        </w:rPr>
      </w:pPr>
      <w:r w:rsidRPr="0064698E">
        <w:rPr>
          <w:b/>
          <w:bCs/>
          <w:sz w:val="26"/>
          <w:szCs w:val="26"/>
        </w:rPr>
        <w:t>CONCLUSION</w:t>
      </w:r>
    </w:p>
    <w:p w14:paraId="48B1D9E7" w14:textId="1543567E" w:rsidR="001261EF" w:rsidRDefault="00C55CE1" w:rsidP="001261EF">
      <w:pPr>
        <w:spacing w:line="480" w:lineRule="auto"/>
        <w:jc w:val="both"/>
        <w:rPr>
          <w:sz w:val="26"/>
          <w:szCs w:val="26"/>
        </w:rPr>
      </w:pPr>
      <w:r>
        <w:rPr>
          <w:sz w:val="26"/>
          <w:szCs w:val="26"/>
        </w:rPr>
        <w:tab/>
      </w:r>
      <w:r w:rsidR="001261EF">
        <w:rPr>
          <w:sz w:val="26"/>
          <w:szCs w:val="26"/>
        </w:rPr>
        <w:t>T</w:t>
      </w:r>
      <w:r w:rsidR="001261EF" w:rsidRPr="001261EF">
        <w:rPr>
          <w:sz w:val="26"/>
          <w:szCs w:val="26"/>
        </w:rPr>
        <w:t xml:space="preserve">he Government cannot satisfy its burden under </w:t>
      </w:r>
      <w:r w:rsidR="001261EF" w:rsidRPr="001261EF">
        <w:rPr>
          <w:i/>
          <w:iCs/>
          <w:sz w:val="26"/>
          <w:szCs w:val="26"/>
        </w:rPr>
        <w:t>Kastigar</w:t>
      </w:r>
      <w:r w:rsidR="001261EF" w:rsidRPr="001261EF">
        <w:rPr>
          <w:sz w:val="26"/>
          <w:szCs w:val="26"/>
        </w:rPr>
        <w:t xml:space="preserve">. It has not traced Kennedy Parker’s October 31, 2024, interview, or the November 5, 2024, search that produced Exhibit 19, to any source wholly independent of Ms. Calloway’s compelled testimony. </w:t>
      </w:r>
    </w:p>
    <w:p w14:paraId="4C39D9EF" w14:textId="62453D08" w:rsidR="001261EF" w:rsidRDefault="001261EF" w:rsidP="001261EF">
      <w:pPr>
        <w:spacing w:line="480" w:lineRule="auto"/>
        <w:jc w:val="both"/>
        <w:rPr>
          <w:sz w:val="26"/>
          <w:szCs w:val="26"/>
        </w:rPr>
      </w:pPr>
      <w:r w:rsidRPr="001261EF">
        <w:rPr>
          <w:sz w:val="26"/>
          <w:szCs w:val="26"/>
        </w:rPr>
        <w:tab/>
        <w:t>The Government’s subpoena for Exhibit 21 independently fails. It does not satisfy Rule 17(c)’s threshold requirements for pretrial production and Exhibit 21 is opinion work product that the Government cannot overcome even under the lesser standard governing ordinary fact work product.</w:t>
      </w:r>
    </w:p>
    <w:p w14:paraId="02677F0B" w14:textId="619B6E0C" w:rsidR="00024D4C" w:rsidRPr="00C55CE1" w:rsidRDefault="001261EF" w:rsidP="001261EF">
      <w:pPr>
        <w:spacing w:line="480" w:lineRule="auto"/>
        <w:jc w:val="both"/>
        <w:rPr>
          <w:sz w:val="26"/>
          <w:szCs w:val="26"/>
        </w:rPr>
      </w:pPr>
      <w:r>
        <w:rPr>
          <w:sz w:val="26"/>
          <w:szCs w:val="26"/>
        </w:rPr>
        <w:tab/>
      </w:r>
      <w:r w:rsidR="00C55CE1" w:rsidRPr="00C55CE1">
        <w:rPr>
          <w:sz w:val="26"/>
          <w:szCs w:val="26"/>
        </w:rPr>
        <w:t xml:space="preserve">For the foregoing reasons, </w:t>
      </w:r>
      <w:r w:rsidR="00C55CE1">
        <w:rPr>
          <w:sz w:val="26"/>
          <w:szCs w:val="26"/>
        </w:rPr>
        <w:t>Ms. Calloway’s</w:t>
      </w:r>
      <w:r w:rsidR="00C55CE1" w:rsidRPr="00C55CE1">
        <w:rPr>
          <w:sz w:val="26"/>
          <w:szCs w:val="26"/>
        </w:rPr>
        <w:t xml:space="preserve"> Motion to Suppress Evidence and Motion to Quash the </w:t>
      </w:r>
      <w:r w:rsidR="00C01527">
        <w:rPr>
          <w:sz w:val="26"/>
          <w:szCs w:val="26"/>
        </w:rPr>
        <w:t>S</w:t>
      </w:r>
      <w:r w:rsidR="00C55CE1" w:rsidRPr="00C55CE1">
        <w:rPr>
          <w:sz w:val="26"/>
          <w:szCs w:val="26"/>
        </w:rPr>
        <w:t xml:space="preserve">ubpoena </w:t>
      </w:r>
      <w:r w:rsidR="00C01527">
        <w:rPr>
          <w:sz w:val="26"/>
          <w:szCs w:val="26"/>
        </w:rPr>
        <w:t>D</w:t>
      </w:r>
      <w:r w:rsidR="00C55CE1" w:rsidRPr="00C55CE1">
        <w:rPr>
          <w:sz w:val="26"/>
          <w:szCs w:val="26"/>
        </w:rPr>
        <w:t xml:space="preserve">uces </w:t>
      </w:r>
      <w:r w:rsidR="00C01527">
        <w:rPr>
          <w:sz w:val="26"/>
          <w:szCs w:val="26"/>
        </w:rPr>
        <w:t>T</w:t>
      </w:r>
      <w:r w:rsidR="00C55CE1" w:rsidRPr="00C55CE1">
        <w:rPr>
          <w:sz w:val="26"/>
          <w:szCs w:val="26"/>
        </w:rPr>
        <w:t xml:space="preserve">ecum should be </w:t>
      </w:r>
      <w:r w:rsidR="00C55CE1">
        <w:rPr>
          <w:sz w:val="26"/>
          <w:szCs w:val="26"/>
        </w:rPr>
        <w:t>granted</w:t>
      </w:r>
      <w:r w:rsidR="00C55CE1" w:rsidRPr="00C55CE1">
        <w:rPr>
          <w:sz w:val="26"/>
          <w:szCs w:val="26"/>
        </w:rPr>
        <w:t>.</w:t>
      </w:r>
    </w:p>
    <w:p w14:paraId="505F2705" w14:textId="77777777" w:rsidR="00C55CE1" w:rsidRPr="00EA10DF" w:rsidRDefault="00C55CE1" w:rsidP="00C55CE1">
      <w:pPr>
        <w:spacing w:line="480" w:lineRule="auto"/>
        <w:ind w:left="5760"/>
        <w:rPr>
          <w:color w:val="000000" w:themeColor="text1"/>
          <w:sz w:val="26"/>
          <w:szCs w:val="26"/>
        </w:rPr>
      </w:pPr>
      <w:r w:rsidRPr="00EA10DF">
        <w:rPr>
          <w:color w:val="000000" w:themeColor="text1"/>
          <w:sz w:val="26"/>
          <w:szCs w:val="26"/>
        </w:rPr>
        <w:lastRenderedPageBreak/>
        <w:t xml:space="preserve">Respectfully Submitted, </w:t>
      </w:r>
    </w:p>
    <w:p w14:paraId="6D68DCA1" w14:textId="29E6BAC5" w:rsidR="00C55CE1" w:rsidRPr="00EA10DF" w:rsidRDefault="00C55CE1" w:rsidP="00C55CE1">
      <w:pPr>
        <w:tabs>
          <w:tab w:val="left" w:pos="8100"/>
        </w:tabs>
        <w:ind w:left="5760"/>
        <w:rPr>
          <w:color w:val="000000" w:themeColor="text1"/>
          <w:sz w:val="26"/>
          <w:szCs w:val="26"/>
        </w:rPr>
      </w:pPr>
      <w:r w:rsidRPr="00EA10DF">
        <w:rPr>
          <w:color w:val="000000" w:themeColor="text1"/>
          <w:sz w:val="26"/>
          <w:szCs w:val="26"/>
          <w:u w:val="single"/>
        </w:rPr>
        <w:t xml:space="preserve">/s/ Team </w:t>
      </w:r>
      <w:r>
        <w:rPr>
          <w:color w:val="000000" w:themeColor="text1"/>
          <w:sz w:val="26"/>
          <w:szCs w:val="26"/>
          <w:u w:val="single"/>
        </w:rPr>
        <w:t>309</w:t>
      </w:r>
      <w:r w:rsidRPr="00EA10DF">
        <w:rPr>
          <w:color w:val="000000" w:themeColor="text1"/>
          <w:sz w:val="26"/>
          <w:szCs w:val="26"/>
          <w:u w:val="single"/>
        </w:rPr>
        <w:tab/>
      </w:r>
      <w:r w:rsidRPr="00EA10DF">
        <w:rPr>
          <w:color w:val="000000" w:themeColor="text1"/>
          <w:sz w:val="26"/>
          <w:szCs w:val="26"/>
        </w:rPr>
        <w:t xml:space="preserve"> </w:t>
      </w:r>
    </w:p>
    <w:p w14:paraId="3F0289C8" w14:textId="25EF457F" w:rsidR="00024D4C" w:rsidRPr="00EE2E94" w:rsidRDefault="00C55CE1" w:rsidP="00EE2E94">
      <w:pPr>
        <w:ind w:left="5760"/>
        <w:rPr>
          <w:color w:val="000000" w:themeColor="text1"/>
          <w:sz w:val="26"/>
          <w:szCs w:val="26"/>
        </w:rPr>
      </w:pPr>
      <w:r w:rsidRPr="00EA10DF">
        <w:rPr>
          <w:color w:val="000000" w:themeColor="text1"/>
          <w:sz w:val="26"/>
          <w:szCs w:val="26"/>
        </w:rPr>
        <w:t>Attorneys for the Defendant</w:t>
      </w:r>
    </w:p>
    <w:sectPr w:rsidR="00024D4C" w:rsidRPr="00EE2E94" w:rsidSect="00024D4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E1CD2" w14:textId="77777777" w:rsidR="004D7F7F" w:rsidRDefault="004D7F7F" w:rsidP="00FB521A">
      <w:r>
        <w:separator/>
      </w:r>
    </w:p>
  </w:endnote>
  <w:endnote w:type="continuationSeparator" w:id="0">
    <w:p w14:paraId="5CE0DB90" w14:textId="77777777" w:rsidR="004D7F7F" w:rsidRDefault="004D7F7F" w:rsidP="00FB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0732500"/>
      <w:docPartObj>
        <w:docPartGallery w:val="Page Numbers (Bottom of Page)"/>
        <w:docPartUnique/>
      </w:docPartObj>
    </w:sdtPr>
    <w:sdtEndPr>
      <w:rPr>
        <w:rStyle w:val="PageNumber"/>
      </w:rPr>
    </w:sdtEndPr>
    <w:sdtContent>
      <w:p w14:paraId="6A2F186E" w14:textId="5EB55A04" w:rsidR="00FB521A" w:rsidRDefault="00FB521A" w:rsidP="00F531E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A7A201E" w14:textId="77777777" w:rsidR="00FB521A" w:rsidRDefault="00FB52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8588929"/>
      <w:docPartObj>
        <w:docPartGallery w:val="Page Numbers (Bottom of Page)"/>
        <w:docPartUnique/>
      </w:docPartObj>
    </w:sdtPr>
    <w:sdtEndPr>
      <w:rPr>
        <w:rStyle w:val="PageNumber"/>
      </w:rPr>
    </w:sdtEndPr>
    <w:sdtContent>
      <w:p w14:paraId="1EE083C7" w14:textId="795BD1F3" w:rsidR="00144D17" w:rsidRDefault="00144D17" w:rsidP="00F531ED">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41C4D0A6" w14:textId="3BE8E27D" w:rsidR="00FB521A" w:rsidRDefault="00FB521A" w:rsidP="00F531ED">
    <w:pPr>
      <w:pStyle w:val="Footer"/>
      <w:framePr w:wrap="none" w:vAnchor="text" w:hAnchor="margin" w:xAlign="center" w:y="1"/>
      <w:rPr>
        <w:rStyle w:val="PageNumber"/>
      </w:rPr>
    </w:pPr>
  </w:p>
  <w:p w14:paraId="4DBF5FA3" w14:textId="77777777" w:rsidR="00FB521A" w:rsidRDefault="00FB5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C09AD" w14:textId="77777777" w:rsidR="004D7F7F" w:rsidRDefault="004D7F7F" w:rsidP="00FB521A">
      <w:r>
        <w:separator/>
      </w:r>
    </w:p>
  </w:footnote>
  <w:footnote w:type="continuationSeparator" w:id="0">
    <w:p w14:paraId="748C1260" w14:textId="77777777" w:rsidR="004D7F7F" w:rsidRDefault="004D7F7F" w:rsidP="00FB5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D3D37" w14:textId="64C83287" w:rsidR="00CE5E8C" w:rsidRDefault="00CE5E8C" w:rsidP="00CE5E8C">
    <w:pPr>
      <w:pStyle w:val="Header"/>
      <w:jc w:val="right"/>
    </w:pPr>
    <w:r>
      <w:t xml:space="preserve">TEAM NO. </w:t>
    </w:r>
    <w:r w:rsidR="00243878">
      <w:t>309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086A"/>
    <w:multiLevelType w:val="hybridMultilevel"/>
    <w:tmpl w:val="402E700E"/>
    <w:lvl w:ilvl="0" w:tplc="BC9C64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914E72"/>
    <w:multiLevelType w:val="hybridMultilevel"/>
    <w:tmpl w:val="AF5ABEA4"/>
    <w:lvl w:ilvl="0" w:tplc="2C6459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F985D36"/>
    <w:multiLevelType w:val="hybridMultilevel"/>
    <w:tmpl w:val="24067E6A"/>
    <w:lvl w:ilvl="0" w:tplc="E708D33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95B7A01"/>
    <w:multiLevelType w:val="hybridMultilevel"/>
    <w:tmpl w:val="DE2CC5AC"/>
    <w:lvl w:ilvl="0" w:tplc="56820A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C5F0E2F"/>
    <w:multiLevelType w:val="hybridMultilevel"/>
    <w:tmpl w:val="F0B4E8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AA4A22"/>
    <w:multiLevelType w:val="hybridMultilevel"/>
    <w:tmpl w:val="780A7C26"/>
    <w:lvl w:ilvl="0" w:tplc="E09C4C1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3843106"/>
    <w:multiLevelType w:val="hybridMultilevel"/>
    <w:tmpl w:val="4406FA10"/>
    <w:lvl w:ilvl="0" w:tplc="2116A3E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F7394C"/>
    <w:multiLevelType w:val="hybridMultilevel"/>
    <w:tmpl w:val="ED5EB7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AE2FD6"/>
    <w:multiLevelType w:val="hybridMultilevel"/>
    <w:tmpl w:val="978A1E54"/>
    <w:lvl w:ilvl="0" w:tplc="8272B1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22A27C3"/>
    <w:multiLevelType w:val="hybridMultilevel"/>
    <w:tmpl w:val="A050BAC2"/>
    <w:lvl w:ilvl="0" w:tplc="C1D833A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3335412E"/>
    <w:multiLevelType w:val="hybridMultilevel"/>
    <w:tmpl w:val="EDAC8B8A"/>
    <w:lvl w:ilvl="0" w:tplc="BF6041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2D23C8"/>
    <w:multiLevelType w:val="hybridMultilevel"/>
    <w:tmpl w:val="1D1AC004"/>
    <w:lvl w:ilvl="0" w:tplc="A55E7C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1F30F1"/>
    <w:multiLevelType w:val="hybridMultilevel"/>
    <w:tmpl w:val="1CECCF72"/>
    <w:lvl w:ilvl="0" w:tplc="126E50A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6F71905"/>
    <w:multiLevelType w:val="hybridMultilevel"/>
    <w:tmpl w:val="D0363E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B76012"/>
    <w:multiLevelType w:val="hybridMultilevel"/>
    <w:tmpl w:val="69660246"/>
    <w:lvl w:ilvl="0" w:tplc="5B368B7A">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6E4931DB"/>
    <w:multiLevelType w:val="hybridMultilevel"/>
    <w:tmpl w:val="6D34F9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8E5E8E"/>
    <w:multiLevelType w:val="hybridMultilevel"/>
    <w:tmpl w:val="E2FEB902"/>
    <w:lvl w:ilvl="0" w:tplc="4ACAB3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3A54887"/>
    <w:multiLevelType w:val="hybridMultilevel"/>
    <w:tmpl w:val="26B681F6"/>
    <w:lvl w:ilvl="0" w:tplc="FCB448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B257A4"/>
    <w:multiLevelType w:val="hybridMultilevel"/>
    <w:tmpl w:val="ED600600"/>
    <w:lvl w:ilvl="0" w:tplc="72AE220E">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5D95654"/>
    <w:multiLevelType w:val="hybridMultilevel"/>
    <w:tmpl w:val="25465B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2F71EF"/>
    <w:multiLevelType w:val="hybridMultilevel"/>
    <w:tmpl w:val="A9663858"/>
    <w:lvl w:ilvl="0" w:tplc="4D308A3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D271ABA"/>
    <w:multiLevelType w:val="hybridMultilevel"/>
    <w:tmpl w:val="8A1E3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0753717">
    <w:abstractNumId w:val="17"/>
  </w:num>
  <w:num w:numId="2" w16cid:durableId="1343166988">
    <w:abstractNumId w:val="4"/>
  </w:num>
  <w:num w:numId="3" w16cid:durableId="437331972">
    <w:abstractNumId w:val="10"/>
  </w:num>
  <w:num w:numId="4" w16cid:durableId="2007632866">
    <w:abstractNumId w:val="19"/>
  </w:num>
  <w:num w:numId="5" w16cid:durableId="1512598803">
    <w:abstractNumId w:val="8"/>
  </w:num>
  <w:num w:numId="6" w16cid:durableId="16935691">
    <w:abstractNumId w:val="21"/>
  </w:num>
  <w:num w:numId="7" w16cid:durableId="718361223">
    <w:abstractNumId w:val="18"/>
  </w:num>
  <w:num w:numId="8" w16cid:durableId="53361098">
    <w:abstractNumId w:val="15"/>
  </w:num>
  <w:num w:numId="9" w16cid:durableId="894199707">
    <w:abstractNumId w:val="2"/>
  </w:num>
  <w:num w:numId="10" w16cid:durableId="1204756805">
    <w:abstractNumId w:val="1"/>
  </w:num>
  <w:num w:numId="11" w16cid:durableId="2004114493">
    <w:abstractNumId w:val="13"/>
  </w:num>
  <w:num w:numId="12" w16cid:durableId="779489259">
    <w:abstractNumId w:val="0"/>
  </w:num>
  <w:num w:numId="13" w16cid:durableId="1000889349">
    <w:abstractNumId w:val="5"/>
  </w:num>
  <w:num w:numId="14" w16cid:durableId="2025597107">
    <w:abstractNumId w:val="16"/>
  </w:num>
  <w:num w:numId="15" w16cid:durableId="447089474">
    <w:abstractNumId w:val="20"/>
  </w:num>
  <w:num w:numId="16" w16cid:durableId="361640051">
    <w:abstractNumId w:val="9"/>
  </w:num>
  <w:num w:numId="17" w16cid:durableId="478764556">
    <w:abstractNumId w:val="14"/>
  </w:num>
  <w:num w:numId="18" w16cid:durableId="907765286">
    <w:abstractNumId w:val="6"/>
  </w:num>
  <w:num w:numId="19" w16cid:durableId="1558590230">
    <w:abstractNumId w:val="12"/>
  </w:num>
  <w:num w:numId="20" w16cid:durableId="1809475533">
    <w:abstractNumId w:val="7"/>
  </w:num>
  <w:num w:numId="21" w16cid:durableId="1895581966">
    <w:abstractNumId w:val="11"/>
  </w:num>
  <w:num w:numId="22" w16cid:durableId="532576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B9E"/>
    <w:rsid w:val="000005A0"/>
    <w:rsid w:val="00024D4C"/>
    <w:rsid w:val="0004323C"/>
    <w:rsid w:val="000C35EC"/>
    <w:rsid w:val="000C3CDC"/>
    <w:rsid w:val="000D593F"/>
    <w:rsid w:val="000F1F17"/>
    <w:rsid w:val="001261EF"/>
    <w:rsid w:val="00143F18"/>
    <w:rsid w:val="00144D17"/>
    <w:rsid w:val="00170AAB"/>
    <w:rsid w:val="00183CCD"/>
    <w:rsid w:val="001C03FA"/>
    <w:rsid w:val="001C1CA5"/>
    <w:rsid w:val="001C4F3D"/>
    <w:rsid w:val="001C501F"/>
    <w:rsid w:val="001F3AF6"/>
    <w:rsid w:val="00207DF7"/>
    <w:rsid w:val="00243878"/>
    <w:rsid w:val="00244B9E"/>
    <w:rsid w:val="002656FC"/>
    <w:rsid w:val="002A76EA"/>
    <w:rsid w:val="002B1937"/>
    <w:rsid w:val="002C7EBC"/>
    <w:rsid w:val="0031789F"/>
    <w:rsid w:val="003312BE"/>
    <w:rsid w:val="00344503"/>
    <w:rsid w:val="00372EDE"/>
    <w:rsid w:val="00376E13"/>
    <w:rsid w:val="0038127C"/>
    <w:rsid w:val="003B6CBA"/>
    <w:rsid w:val="003E3DE6"/>
    <w:rsid w:val="003E448C"/>
    <w:rsid w:val="004040DA"/>
    <w:rsid w:val="00404B05"/>
    <w:rsid w:val="00460190"/>
    <w:rsid w:val="0046745E"/>
    <w:rsid w:val="004718AA"/>
    <w:rsid w:val="0048676E"/>
    <w:rsid w:val="004971C4"/>
    <w:rsid w:val="004C18FC"/>
    <w:rsid w:val="004D4D8D"/>
    <w:rsid w:val="004D7F7F"/>
    <w:rsid w:val="004E512C"/>
    <w:rsid w:val="004F30AF"/>
    <w:rsid w:val="00504FB9"/>
    <w:rsid w:val="00530E57"/>
    <w:rsid w:val="005348CE"/>
    <w:rsid w:val="005350AD"/>
    <w:rsid w:val="00556295"/>
    <w:rsid w:val="0056722E"/>
    <w:rsid w:val="005744BF"/>
    <w:rsid w:val="005827F8"/>
    <w:rsid w:val="005C338E"/>
    <w:rsid w:val="005C4B4D"/>
    <w:rsid w:val="005D0B8A"/>
    <w:rsid w:val="005E00C5"/>
    <w:rsid w:val="005E0627"/>
    <w:rsid w:val="00613B1A"/>
    <w:rsid w:val="00616B5D"/>
    <w:rsid w:val="00620C4F"/>
    <w:rsid w:val="006259F0"/>
    <w:rsid w:val="0064698E"/>
    <w:rsid w:val="00654925"/>
    <w:rsid w:val="0067260D"/>
    <w:rsid w:val="00676114"/>
    <w:rsid w:val="006816E2"/>
    <w:rsid w:val="00695898"/>
    <w:rsid w:val="006A4E23"/>
    <w:rsid w:val="006C275C"/>
    <w:rsid w:val="006D7F95"/>
    <w:rsid w:val="006E0457"/>
    <w:rsid w:val="0071157B"/>
    <w:rsid w:val="00716169"/>
    <w:rsid w:val="007359E3"/>
    <w:rsid w:val="00745AAB"/>
    <w:rsid w:val="00772989"/>
    <w:rsid w:val="007A1ADC"/>
    <w:rsid w:val="007D6FCC"/>
    <w:rsid w:val="007E4AAE"/>
    <w:rsid w:val="00801B6F"/>
    <w:rsid w:val="0080354A"/>
    <w:rsid w:val="0080572E"/>
    <w:rsid w:val="00805ADD"/>
    <w:rsid w:val="008258CB"/>
    <w:rsid w:val="00874D81"/>
    <w:rsid w:val="008808C5"/>
    <w:rsid w:val="00897F02"/>
    <w:rsid w:val="008A405E"/>
    <w:rsid w:val="008F6F6D"/>
    <w:rsid w:val="00916937"/>
    <w:rsid w:val="009176CA"/>
    <w:rsid w:val="00925B91"/>
    <w:rsid w:val="00935640"/>
    <w:rsid w:val="00961768"/>
    <w:rsid w:val="009824C3"/>
    <w:rsid w:val="009A549E"/>
    <w:rsid w:val="009E10D2"/>
    <w:rsid w:val="009F0215"/>
    <w:rsid w:val="00A124F6"/>
    <w:rsid w:val="00A15827"/>
    <w:rsid w:val="00A215AE"/>
    <w:rsid w:val="00A36B76"/>
    <w:rsid w:val="00A47A01"/>
    <w:rsid w:val="00A544F3"/>
    <w:rsid w:val="00A67C3E"/>
    <w:rsid w:val="00A71CBF"/>
    <w:rsid w:val="00AA65ED"/>
    <w:rsid w:val="00B26C03"/>
    <w:rsid w:val="00B67076"/>
    <w:rsid w:val="00BA0486"/>
    <w:rsid w:val="00BB6FC7"/>
    <w:rsid w:val="00C01527"/>
    <w:rsid w:val="00C24B14"/>
    <w:rsid w:val="00C543C8"/>
    <w:rsid w:val="00C55CE1"/>
    <w:rsid w:val="00C70E9A"/>
    <w:rsid w:val="00C81BE6"/>
    <w:rsid w:val="00C91082"/>
    <w:rsid w:val="00CB0B74"/>
    <w:rsid w:val="00CC17F6"/>
    <w:rsid w:val="00CD6F12"/>
    <w:rsid w:val="00CE0DC1"/>
    <w:rsid w:val="00CE5E8C"/>
    <w:rsid w:val="00CF0F55"/>
    <w:rsid w:val="00D4066F"/>
    <w:rsid w:val="00D623A0"/>
    <w:rsid w:val="00D91C60"/>
    <w:rsid w:val="00D96451"/>
    <w:rsid w:val="00DA2DB6"/>
    <w:rsid w:val="00DD04C5"/>
    <w:rsid w:val="00DE4529"/>
    <w:rsid w:val="00DF4FEB"/>
    <w:rsid w:val="00E67A25"/>
    <w:rsid w:val="00E72178"/>
    <w:rsid w:val="00E8060F"/>
    <w:rsid w:val="00E90365"/>
    <w:rsid w:val="00EC4EAF"/>
    <w:rsid w:val="00EE2E94"/>
    <w:rsid w:val="00F013C8"/>
    <w:rsid w:val="00F12FE9"/>
    <w:rsid w:val="00F44A9B"/>
    <w:rsid w:val="00F531ED"/>
    <w:rsid w:val="00F628FE"/>
    <w:rsid w:val="00F74887"/>
    <w:rsid w:val="00FB52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97A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21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44B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4B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B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B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4B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4B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B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B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B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B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4B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B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B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B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B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B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B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B9E"/>
    <w:rPr>
      <w:rFonts w:eastAsiaTheme="majorEastAsia" w:cstheme="majorBidi"/>
      <w:color w:val="272727" w:themeColor="text1" w:themeTint="D8"/>
    </w:rPr>
  </w:style>
  <w:style w:type="paragraph" w:styleId="Title">
    <w:name w:val="Title"/>
    <w:basedOn w:val="Normal"/>
    <w:next w:val="Normal"/>
    <w:link w:val="TitleChar"/>
    <w:uiPriority w:val="10"/>
    <w:qFormat/>
    <w:rsid w:val="00244B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B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B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B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B9E"/>
    <w:pPr>
      <w:spacing w:before="160"/>
      <w:jc w:val="center"/>
    </w:pPr>
    <w:rPr>
      <w:i/>
      <w:iCs/>
      <w:color w:val="404040" w:themeColor="text1" w:themeTint="BF"/>
    </w:rPr>
  </w:style>
  <w:style w:type="character" w:customStyle="1" w:styleId="QuoteChar">
    <w:name w:val="Quote Char"/>
    <w:basedOn w:val="DefaultParagraphFont"/>
    <w:link w:val="Quote"/>
    <w:uiPriority w:val="29"/>
    <w:rsid w:val="00244B9E"/>
    <w:rPr>
      <w:i/>
      <w:iCs/>
      <w:color w:val="404040" w:themeColor="text1" w:themeTint="BF"/>
    </w:rPr>
  </w:style>
  <w:style w:type="paragraph" w:styleId="ListParagraph">
    <w:name w:val="List Paragraph"/>
    <w:basedOn w:val="Normal"/>
    <w:uiPriority w:val="34"/>
    <w:qFormat/>
    <w:rsid w:val="00244B9E"/>
    <w:pPr>
      <w:ind w:left="720"/>
      <w:contextualSpacing/>
    </w:pPr>
  </w:style>
  <w:style w:type="character" w:styleId="IntenseEmphasis">
    <w:name w:val="Intense Emphasis"/>
    <w:basedOn w:val="DefaultParagraphFont"/>
    <w:uiPriority w:val="21"/>
    <w:qFormat/>
    <w:rsid w:val="00244B9E"/>
    <w:rPr>
      <w:i/>
      <w:iCs/>
      <w:color w:val="0F4761" w:themeColor="accent1" w:themeShade="BF"/>
    </w:rPr>
  </w:style>
  <w:style w:type="paragraph" w:styleId="IntenseQuote">
    <w:name w:val="Intense Quote"/>
    <w:basedOn w:val="Normal"/>
    <w:next w:val="Normal"/>
    <w:link w:val="IntenseQuoteChar"/>
    <w:uiPriority w:val="30"/>
    <w:qFormat/>
    <w:rsid w:val="00244B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B9E"/>
    <w:rPr>
      <w:i/>
      <w:iCs/>
      <w:color w:val="0F4761" w:themeColor="accent1" w:themeShade="BF"/>
    </w:rPr>
  </w:style>
  <w:style w:type="character" w:styleId="IntenseReference">
    <w:name w:val="Intense Reference"/>
    <w:basedOn w:val="DefaultParagraphFont"/>
    <w:uiPriority w:val="32"/>
    <w:qFormat/>
    <w:rsid w:val="00244B9E"/>
    <w:rPr>
      <w:b/>
      <w:bCs/>
      <w:smallCaps/>
      <w:color w:val="0F4761" w:themeColor="accent1" w:themeShade="BF"/>
      <w:spacing w:val="5"/>
    </w:rPr>
  </w:style>
  <w:style w:type="paragraph" w:styleId="Footer">
    <w:name w:val="footer"/>
    <w:basedOn w:val="Normal"/>
    <w:link w:val="FooterChar"/>
    <w:uiPriority w:val="99"/>
    <w:unhideWhenUsed/>
    <w:rsid w:val="00FB521A"/>
    <w:pPr>
      <w:tabs>
        <w:tab w:val="center" w:pos="4680"/>
        <w:tab w:val="right" w:pos="9360"/>
      </w:tabs>
    </w:pPr>
  </w:style>
  <w:style w:type="character" w:customStyle="1" w:styleId="FooterChar">
    <w:name w:val="Footer Char"/>
    <w:basedOn w:val="DefaultParagraphFont"/>
    <w:link w:val="Footer"/>
    <w:uiPriority w:val="99"/>
    <w:rsid w:val="00FB521A"/>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FB521A"/>
  </w:style>
  <w:style w:type="paragraph" w:styleId="Header">
    <w:name w:val="header"/>
    <w:basedOn w:val="Normal"/>
    <w:link w:val="HeaderChar"/>
    <w:uiPriority w:val="99"/>
    <w:unhideWhenUsed/>
    <w:rsid w:val="00FB521A"/>
    <w:pPr>
      <w:tabs>
        <w:tab w:val="center" w:pos="4680"/>
        <w:tab w:val="right" w:pos="9360"/>
      </w:tabs>
    </w:pPr>
  </w:style>
  <w:style w:type="character" w:customStyle="1" w:styleId="HeaderChar">
    <w:name w:val="Header Char"/>
    <w:basedOn w:val="DefaultParagraphFont"/>
    <w:link w:val="Header"/>
    <w:uiPriority w:val="99"/>
    <w:rsid w:val="00FB521A"/>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1C4F3D"/>
    <w:rPr>
      <w:sz w:val="16"/>
      <w:szCs w:val="16"/>
    </w:rPr>
  </w:style>
  <w:style w:type="paragraph" w:styleId="CommentText">
    <w:name w:val="annotation text"/>
    <w:basedOn w:val="Normal"/>
    <w:link w:val="CommentTextChar"/>
    <w:uiPriority w:val="99"/>
    <w:semiHidden/>
    <w:unhideWhenUsed/>
    <w:rsid w:val="001C4F3D"/>
    <w:rPr>
      <w:sz w:val="20"/>
      <w:szCs w:val="20"/>
    </w:rPr>
  </w:style>
  <w:style w:type="character" w:customStyle="1" w:styleId="CommentTextChar">
    <w:name w:val="Comment Text Char"/>
    <w:basedOn w:val="DefaultParagraphFont"/>
    <w:link w:val="CommentText"/>
    <w:uiPriority w:val="99"/>
    <w:semiHidden/>
    <w:rsid w:val="001C4F3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C4F3D"/>
    <w:rPr>
      <w:b/>
      <w:bCs/>
    </w:rPr>
  </w:style>
  <w:style w:type="character" w:customStyle="1" w:styleId="CommentSubjectChar">
    <w:name w:val="Comment Subject Char"/>
    <w:basedOn w:val="CommentTextChar"/>
    <w:link w:val="CommentSubject"/>
    <w:uiPriority w:val="99"/>
    <w:semiHidden/>
    <w:rsid w:val="001C4F3D"/>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643A1669-AF89-4A08-A306-7C51624534F6}"/>
</file>

<file path=customXml/itemProps2.xml><?xml version="1.0" encoding="utf-8"?>
<ds:datastoreItem xmlns:ds="http://schemas.openxmlformats.org/officeDocument/2006/customXml" ds:itemID="{B5E42BC3-33D3-4EE8-9588-100CBDF69252}"/>
</file>

<file path=customXml/itemProps3.xml><?xml version="1.0" encoding="utf-8"?>
<ds:datastoreItem xmlns:ds="http://schemas.openxmlformats.org/officeDocument/2006/customXml" ds:itemID="{30E271FD-8DDC-4010-BD33-AB84B54C89AB}"/>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5325</Words>
  <Characters>30354</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2026-09-09T00:37:00Z</dcterms:created>
  <dcterms:modified xsi:type="dcterms:W3CDTF">2026-09-09T00:37:00Z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y fmtid="{D5CDD505-2E9C-101B-9397-08002B2CF9AE}" pid="3" name="GrammarlyDocumentId">
    <vt:lpwstr>1b8f4beabc536363c0b6c596ad5a09b3e7293c148e5f710202c22e1cc5559e94</vt:lpwstr>
  </property>
</Properties>
</file>