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ECFB" w14:textId="65BD40D9" w:rsidR="0083428F" w:rsidRPr="00620BD4" w:rsidRDefault="38F60F22" w:rsidP="6297E0FE">
      <w:pPr>
        <w:jc w:val="center"/>
        <w:rPr>
          <w:rFonts w:eastAsia="Times New Roman"/>
          <w:b/>
          <w:color w:val="000000" w:themeColor="text1"/>
          <w:sz w:val="28"/>
          <w:szCs w:val="28"/>
        </w:rPr>
      </w:pPr>
      <w:r w:rsidRPr="6297E0FE">
        <w:rPr>
          <w:rFonts w:eastAsia="Times New Roman"/>
          <w:b/>
          <w:bCs/>
          <w:color w:val="000000" w:themeColor="text1"/>
          <w:sz w:val="28"/>
          <w:szCs w:val="28"/>
        </w:rPr>
        <w:t>Case No. 2025-CF-00417</w:t>
      </w:r>
    </w:p>
    <w:p w14:paraId="12ED9359" w14:textId="24F0D6F3" w:rsidR="0083428F" w:rsidRPr="00620BD4" w:rsidRDefault="0083428F" w:rsidP="0AA72E0D">
      <w:pPr>
        <w:pBdr>
          <w:bottom w:val="single" w:sz="18" w:space="1" w:color="000000"/>
        </w:pBdr>
        <w:jc w:val="center"/>
      </w:pPr>
    </w:p>
    <w:p w14:paraId="1DF21C4E" w14:textId="4D82DB0D" w:rsidR="0083428F" w:rsidRPr="00620BD4" w:rsidRDefault="38F60F22" w:rsidP="6297E0FE">
      <w:pPr>
        <w:jc w:val="center"/>
      </w:pPr>
      <w:r w:rsidRPr="6297E0FE">
        <w:rPr>
          <w:rFonts w:eastAsia="Times New Roman"/>
          <w:b/>
          <w:bCs/>
          <w:smallCaps/>
          <w:color w:val="000000" w:themeColor="text1"/>
          <w:sz w:val="28"/>
          <w:szCs w:val="28"/>
        </w:rPr>
        <w:t xml:space="preserve">In the </w:t>
      </w:r>
    </w:p>
    <w:p w14:paraId="168E376E" w14:textId="186AA0E2" w:rsidR="0083428F" w:rsidRPr="00620BD4" w:rsidRDefault="38F60F22" w:rsidP="6297E0FE">
      <w:pPr>
        <w:jc w:val="center"/>
      </w:pPr>
      <w:r w:rsidRPr="6297E0FE">
        <w:rPr>
          <w:rFonts w:eastAsia="Times New Roman"/>
          <w:b/>
          <w:bCs/>
          <w:color w:val="000000" w:themeColor="text1"/>
          <w:sz w:val="40"/>
          <w:szCs w:val="40"/>
        </w:rPr>
        <w:t>United States District Court</w:t>
      </w:r>
    </w:p>
    <w:p w14:paraId="45543350" w14:textId="2A67E720" w:rsidR="0083428F" w:rsidRPr="00620BD4" w:rsidRDefault="38F60F22" w:rsidP="2198EDC9">
      <w:pPr>
        <w:jc w:val="center"/>
      </w:pPr>
      <w:r w:rsidRPr="6297E0FE">
        <w:rPr>
          <w:rFonts w:eastAsia="Times New Roman"/>
          <w:b/>
          <w:bCs/>
          <w:color w:val="000000" w:themeColor="text1"/>
          <w:sz w:val="40"/>
          <w:szCs w:val="40"/>
        </w:rPr>
        <w:t>The Fourteenth Judicial District</w:t>
      </w:r>
    </w:p>
    <w:p w14:paraId="7C5B6838" w14:textId="4204066D" w:rsidR="0083428F" w:rsidRPr="00620BD4" w:rsidRDefault="0083428F" w:rsidP="2198EDC9">
      <w:pPr>
        <w:pBdr>
          <w:bottom w:val="single" w:sz="6" w:space="1" w:color="000000"/>
        </w:pBdr>
        <w:jc w:val="center"/>
      </w:pPr>
    </w:p>
    <w:p w14:paraId="55ECAFC9" w14:textId="39BC3DB6" w:rsidR="0083428F" w:rsidRPr="00620BD4" w:rsidRDefault="0083428F" w:rsidP="0083428F">
      <w:pPr>
        <w:jc w:val="center"/>
      </w:pPr>
    </w:p>
    <w:p w14:paraId="4C1BC497" w14:textId="5A1841A2" w:rsidR="0083428F" w:rsidRPr="00620BD4" w:rsidRDefault="38F60F22" w:rsidP="0083428F">
      <w:pPr>
        <w:jc w:val="center"/>
      </w:pPr>
      <w:r w:rsidRPr="6297E0FE">
        <w:rPr>
          <w:rFonts w:eastAsia="Times New Roman"/>
          <w:b/>
          <w:bCs/>
          <w:color w:val="000000" w:themeColor="text1"/>
          <w:sz w:val="28"/>
          <w:szCs w:val="28"/>
        </w:rPr>
        <w:t>UNITED STATES OF AMERICA,</w:t>
      </w:r>
    </w:p>
    <w:p w14:paraId="7BC2E978" w14:textId="13B9EB4B" w:rsidR="0083428F" w:rsidRPr="00620BD4" w:rsidRDefault="38F60F22" w:rsidP="0083428F">
      <w:pPr>
        <w:jc w:val="center"/>
      </w:pPr>
      <w:r w:rsidRPr="6297E0FE">
        <w:rPr>
          <w:rFonts w:eastAsia="Times New Roman"/>
          <w:color w:val="000000" w:themeColor="text1"/>
          <w:sz w:val="28"/>
          <w:szCs w:val="28"/>
        </w:rPr>
        <w:t>v.</w:t>
      </w:r>
    </w:p>
    <w:p w14:paraId="4CFD95AB" w14:textId="651E1FE6" w:rsidR="0083428F" w:rsidRPr="00620BD4" w:rsidRDefault="38F60F22" w:rsidP="6297E0FE">
      <w:pPr>
        <w:jc w:val="center"/>
      </w:pPr>
      <w:r w:rsidRPr="6297E0FE">
        <w:rPr>
          <w:rFonts w:eastAsia="Times New Roman"/>
          <w:b/>
          <w:bCs/>
          <w:color w:val="000000" w:themeColor="text1"/>
          <w:sz w:val="28"/>
          <w:szCs w:val="28"/>
        </w:rPr>
        <w:t>EMILY CALLOWAY,</w:t>
      </w:r>
    </w:p>
    <w:p w14:paraId="3507C840" w14:textId="54383DE7" w:rsidR="0083428F" w:rsidRPr="00620BD4" w:rsidRDefault="38F60F22" w:rsidP="6297E0FE">
      <w:pPr>
        <w:jc w:val="center"/>
      </w:pPr>
      <w:r w:rsidRPr="6297E0FE">
        <w:rPr>
          <w:rFonts w:eastAsia="Times New Roman"/>
          <w:color w:val="000000" w:themeColor="text1"/>
          <w:sz w:val="28"/>
          <w:szCs w:val="28"/>
        </w:rPr>
        <w:t>Defendant.</w:t>
      </w:r>
    </w:p>
    <w:p w14:paraId="6C0F9915" w14:textId="1D90B7A1" w:rsidR="0083428F" w:rsidRPr="00620BD4" w:rsidRDefault="0083428F" w:rsidP="66AAEE34">
      <w:pPr>
        <w:pBdr>
          <w:bottom w:val="single" w:sz="6" w:space="1" w:color="000000"/>
        </w:pBdr>
        <w:jc w:val="center"/>
      </w:pPr>
    </w:p>
    <w:p w14:paraId="105FE81F" w14:textId="696BD0EA" w:rsidR="0083428F" w:rsidRPr="00620BD4" w:rsidRDefault="38F60F22" w:rsidP="6297E0FE">
      <w:pPr>
        <w:jc w:val="center"/>
      </w:pPr>
      <w:r w:rsidRPr="2198EDC9">
        <w:rPr>
          <w:rFonts w:eastAsia="Times New Roman"/>
          <w:b/>
          <w:bCs/>
          <w:color w:val="000000" w:themeColor="text1"/>
          <w:sz w:val="28"/>
          <w:szCs w:val="28"/>
        </w:rPr>
        <w:t>GOVERNMENT’S RESPONSE IN OPPOSITION</w:t>
      </w:r>
      <w:r w:rsidR="5C198E92" w:rsidRPr="2198EDC9">
        <w:rPr>
          <w:rFonts w:eastAsia="Times New Roman"/>
          <w:b/>
          <w:bCs/>
          <w:color w:val="000000" w:themeColor="text1"/>
          <w:sz w:val="28"/>
          <w:szCs w:val="28"/>
        </w:rPr>
        <w:t xml:space="preserve"> OF</w:t>
      </w:r>
      <w:r w:rsidRPr="2198EDC9">
        <w:rPr>
          <w:rFonts w:eastAsia="Times New Roman"/>
          <w:b/>
          <w:bCs/>
          <w:color w:val="000000" w:themeColor="text1"/>
          <w:sz w:val="28"/>
          <w:szCs w:val="28"/>
        </w:rPr>
        <w:t xml:space="preserve"> </w:t>
      </w:r>
    </w:p>
    <w:p w14:paraId="744CF886" w14:textId="362E19FF" w:rsidR="0083428F" w:rsidRPr="00620BD4" w:rsidRDefault="38F60F22" w:rsidP="6297E0FE">
      <w:pPr>
        <w:jc w:val="center"/>
      </w:pPr>
      <w:r w:rsidRPr="6297E0FE">
        <w:rPr>
          <w:rFonts w:eastAsia="Times New Roman"/>
          <w:b/>
          <w:bCs/>
          <w:color w:val="000000" w:themeColor="text1"/>
          <w:sz w:val="28"/>
          <w:szCs w:val="28"/>
        </w:rPr>
        <w:t>MOTION TO SUPPRESS EVIDENCE OBTAINED IN VIOLATION OF COURT ORDER AND MOTION TO QUASH UNITED STATES SUBPOENA DUCES TECUM ON MADDOX ARMANA</w:t>
      </w:r>
    </w:p>
    <w:p w14:paraId="6524BC25" w14:textId="1CBB7D8C" w:rsidR="0083428F" w:rsidRPr="00620BD4" w:rsidRDefault="0083428F" w:rsidP="5A39FBFC">
      <w:pPr>
        <w:pBdr>
          <w:bottom w:val="single" w:sz="18" w:space="1" w:color="000000"/>
        </w:pBdr>
        <w:jc w:val="center"/>
      </w:pPr>
    </w:p>
    <w:p w14:paraId="3BC4E58D" w14:textId="77777777" w:rsidR="008E564A" w:rsidRDefault="008E564A" w:rsidP="577EC780">
      <w:pPr>
        <w:jc w:val="center"/>
        <w:rPr>
          <w:rFonts w:eastAsia="Times New Roman"/>
          <w:b/>
          <w:bCs/>
          <w:color w:val="000000" w:themeColor="text1"/>
          <w:sz w:val="28"/>
          <w:szCs w:val="28"/>
        </w:rPr>
        <w:sectPr w:rsidR="008E564A" w:rsidSect="005901AC">
          <w:headerReference w:type="default" r:id="rId7"/>
          <w:footerReference w:type="default" r:id="rId8"/>
          <w:headerReference w:type="first" r:id="rId9"/>
          <w:footerReference w:type="first" r:id="rId10"/>
          <w:pgSz w:w="12240" w:h="15840"/>
          <w:pgMar w:top="1440" w:right="1440" w:bottom="1440" w:left="1440" w:header="720" w:footer="720" w:gutter="0"/>
          <w:pgNumType w:fmt="lowerRoman" w:start="1"/>
          <w:cols w:space="720"/>
          <w:titlePg/>
          <w:docGrid w:linePitch="360"/>
        </w:sectPr>
      </w:pPr>
    </w:p>
    <w:p w14:paraId="498CCB4E" w14:textId="77777777" w:rsidR="5A39FBFC" w:rsidRDefault="38F60F22" w:rsidP="577EC780">
      <w:pPr>
        <w:jc w:val="center"/>
        <w:rPr>
          <w:rFonts w:eastAsia="Times New Roman"/>
          <w:b/>
          <w:bCs/>
          <w:color w:val="000000" w:themeColor="text1"/>
          <w:sz w:val="28"/>
          <w:szCs w:val="28"/>
        </w:rPr>
      </w:pPr>
      <w:r w:rsidRPr="6297E0FE">
        <w:rPr>
          <w:rFonts w:eastAsia="Times New Roman"/>
          <w:b/>
          <w:bCs/>
          <w:color w:val="000000" w:themeColor="text1"/>
          <w:sz w:val="28"/>
          <w:szCs w:val="28"/>
        </w:rPr>
        <w:lastRenderedPageBreak/>
        <w:t>TABLE OF CONTENTS</w:t>
      </w:r>
    </w:p>
    <w:p w14:paraId="56C717ED" w14:textId="625D7187" w:rsidR="005E437C" w:rsidRPr="005E437C" w:rsidRDefault="005E437C">
      <w:pPr>
        <w:pStyle w:val="TOC1"/>
        <w:tabs>
          <w:tab w:val="right" w:leader="dot" w:pos="9350"/>
        </w:tabs>
        <w:rPr>
          <w:rFonts w:ascii="Times New Roman" w:eastAsiaTheme="minorEastAsia" w:hAnsi="Times New Roman"/>
          <w:b w:val="0"/>
          <w:bCs w:val="0"/>
          <w:caps w:val="0"/>
          <w:noProof/>
          <w:sz w:val="26"/>
          <w:szCs w:val="26"/>
        </w:rPr>
      </w:pPr>
      <w:r w:rsidRPr="005E437C">
        <w:rPr>
          <w:rFonts w:ascii="Times New Roman" w:eastAsia="Times New Roman" w:hAnsi="Times New Roman"/>
          <w:b w:val="0"/>
          <w:bCs w:val="0"/>
          <w:color w:val="000000" w:themeColor="text1"/>
          <w:sz w:val="26"/>
          <w:szCs w:val="26"/>
        </w:rPr>
        <w:fldChar w:fldCharType="begin"/>
      </w:r>
      <w:r w:rsidRPr="005E437C">
        <w:rPr>
          <w:rFonts w:ascii="Times New Roman" w:eastAsia="Times New Roman" w:hAnsi="Times New Roman"/>
          <w:b w:val="0"/>
          <w:bCs w:val="0"/>
          <w:color w:val="000000" w:themeColor="text1"/>
          <w:sz w:val="26"/>
          <w:szCs w:val="26"/>
        </w:rPr>
        <w:instrText xml:space="preserve"> TOC \o "1-3" \f \h \z \u </w:instrText>
      </w:r>
      <w:r w:rsidRPr="005E437C">
        <w:rPr>
          <w:rFonts w:ascii="Times New Roman" w:eastAsia="Times New Roman" w:hAnsi="Times New Roman"/>
          <w:b w:val="0"/>
          <w:bCs w:val="0"/>
          <w:color w:val="000000" w:themeColor="text1"/>
          <w:sz w:val="26"/>
          <w:szCs w:val="26"/>
        </w:rPr>
        <w:fldChar w:fldCharType="separate"/>
      </w:r>
      <w:hyperlink w:anchor="_Toc239161566" w:history="1">
        <w:r w:rsidRPr="005E437C">
          <w:rPr>
            <w:rStyle w:val="Hyperlink"/>
            <w:rFonts w:ascii="Times New Roman" w:eastAsia="Times New Roman" w:hAnsi="Times New Roman"/>
            <w:noProof/>
            <w:sz w:val="26"/>
            <w:szCs w:val="26"/>
          </w:rPr>
          <w:t>TABLE OF AUTHORITIES</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_Toc239161566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iii</w:t>
        </w:r>
        <w:r w:rsidRPr="005E437C">
          <w:rPr>
            <w:rFonts w:ascii="Times New Roman" w:hAnsi="Times New Roman"/>
            <w:noProof/>
            <w:webHidden/>
            <w:sz w:val="26"/>
            <w:szCs w:val="26"/>
          </w:rPr>
          <w:fldChar w:fldCharType="end"/>
        </w:r>
      </w:hyperlink>
    </w:p>
    <w:p w14:paraId="2EEDC141" w14:textId="0C689738" w:rsidR="005E437C" w:rsidRPr="005E437C" w:rsidRDefault="005E437C">
      <w:pPr>
        <w:pStyle w:val="TOC1"/>
        <w:tabs>
          <w:tab w:val="right" w:leader="dot" w:pos="9350"/>
        </w:tabs>
        <w:rPr>
          <w:rFonts w:ascii="Times New Roman" w:eastAsiaTheme="minorEastAsia" w:hAnsi="Times New Roman"/>
          <w:b w:val="0"/>
          <w:bCs w:val="0"/>
          <w:caps w:val="0"/>
          <w:noProof/>
          <w:sz w:val="26"/>
          <w:szCs w:val="26"/>
        </w:rPr>
      </w:pPr>
      <w:hyperlink w:anchor="_Toc239161567" w:history="1">
        <w:r w:rsidRPr="005E437C">
          <w:rPr>
            <w:rStyle w:val="Hyperlink"/>
            <w:rFonts w:ascii="Times New Roman" w:hAnsi="Times New Roman"/>
            <w:noProof/>
            <w:sz w:val="26"/>
            <w:szCs w:val="26"/>
          </w:rPr>
          <w:t>INTRODUCTION</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_Toc239161567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1</w:t>
        </w:r>
        <w:r w:rsidRPr="005E437C">
          <w:rPr>
            <w:rFonts w:ascii="Times New Roman" w:hAnsi="Times New Roman"/>
            <w:noProof/>
            <w:webHidden/>
            <w:sz w:val="26"/>
            <w:szCs w:val="26"/>
          </w:rPr>
          <w:fldChar w:fldCharType="end"/>
        </w:r>
      </w:hyperlink>
    </w:p>
    <w:p w14:paraId="721BB280" w14:textId="31F5F2AB" w:rsidR="005E437C" w:rsidRPr="005E437C" w:rsidRDefault="005E437C">
      <w:pPr>
        <w:pStyle w:val="TOC1"/>
        <w:tabs>
          <w:tab w:val="right" w:leader="dot" w:pos="9350"/>
        </w:tabs>
        <w:rPr>
          <w:rFonts w:ascii="Times New Roman" w:eastAsiaTheme="minorEastAsia" w:hAnsi="Times New Roman"/>
          <w:b w:val="0"/>
          <w:bCs w:val="0"/>
          <w:caps w:val="0"/>
          <w:noProof/>
          <w:sz w:val="26"/>
          <w:szCs w:val="26"/>
        </w:rPr>
      </w:pPr>
      <w:hyperlink w:anchor="_Toc239161568" w:history="1">
        <w:r w:rsidRPr="005E437C">
          <w:rPr>
            <w:rStyle w:val="Hyperlink"/>
            <w:rFonts w:ascii="Times New Roman" w:hAnsi="Times New Roman"/>
            <w:noProof/>
            <w:sz w:val="26"/>
            <w:szCs w:val="26"/>
          </w:rPr>
          <w:t>STATEMENT OF FACTS</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_Toc239161568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2</w:t>
        </w:r>
        <w:r w:rsidRPr="005E437C">
          <w:rPr>
            <w:rFonts w:ascii="Times New Roman" w:hAnsi="Times New Roman"/>
            <w:noProof/>
            <w:webHidden/>
            <w:sz w:val="26"/>
            <w:szCs w:val="26"/>
          </w:rPr>
          <w:fldChar w:fldCharType="end"/>
        </w:r>
      </w:hyperlink>
    </w:p>
    <w:p w14:paraId="2B9BDB2D" w14:textId="09682BBC" w:rsidR="005E437C" w:rsidRPr="005E437C" w:rsidRDefault="005E437C">
      <w:pPr>
        <w:pStyle w:val="TOC1"/>
        <w:tabs>
          <w:tab w:val="right" w:leader="dot" w:pos="9350"/>
        </w:tabs>
        <w:rPr>
          <w:rFonts w:ascii="Times New Roman" w:eastAsiaTheme="minorEastAsia" w:hAnsi="Times New Roman"/>
          <w:b w:val="0"/>
          <w:bCs w:val="0"/>
          <w:caps w:val="0"/>
          <w:noProof/>
          <w:sz w:val="26"/>
          <w:szCs w:val="26"/>
        </w:rPr>
      </w:pPr>
      <w:hyperlink w:anchor="_Toc239161569" w:history="1">
        <w:r w:rsidRPr="005E437C">
          <w:rPr>
            <w:rStyle w:val="Hyperlink"/>
            <w:rFonts w:ascii="Times New Roman" w:hAnsi="Times New Roman"/>
            <w:noProof/>
            <w:sz w:val="26"/>
            <w:szCs w:val="26"/>
          </w:rPr>
          <w:t>ARGUMENT</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_Toc239161569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4</w:t>
        </w:r>
        <w:r w:rsidRPr="005E437C">
          <w:rPr>
            <w:rFonts w:ascii="Times New Roman" w:hAnsi="Times New Roman"/>
            <w:noProof/>
            <w:webHidden/>
            <w:sz w:val="26"/>
            <w:szCs w:val="26"/>
          </w:rPr>
          <w:fldChar w:fldCharType="end"/>
        </w:r>
      </w:hyperlink>
    </w:p>
    <w:p w14:paraId="15341ECC" w14:textId="6802967B"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0" w:history="1">
        <w:r w:rsidRPr="005E437C">
          <w:rPr>
            <w:rStyle w:val="Hyperlink"/>
            <w:rFonts w:ascii="Times New Roman" w:hAnsi="Times New Roman"/>
            <w:b/>
            <w:bCs/>
            <w:noProof/>
            <w:sz w:val="26"/>
            <w:szCs w:val="26"/>
          </w:rPr>
          <w:t>I. The Court Should Deny the Defendant’s Motion to Suppress because the Government Derived Its Evidence Independent of the Defendant’s Immunized Testimony.</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_Toc239161570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5</w:t>
        </w:r>
        <w:r w:rsidRPr="005E437C">
          <w:rPr>
            <w:rFonts w:ascii="Times New Roman" w:hAnsi="Times New Roman"/>
            <w:noProof/>
            <w:webHidden/>
            <w:sz w:val="26"/>
            <w:szCs w:val="26"/>
          </w:rPr>
          <w:fldChar w:fldCharType="end"/>
        </w:r>
      </w:hyperlink>
    </w:p>
    <w:p w14:paraId="0B8E3C99" w14:textId="1AD0A7DE" w:rsidR="005E437C" w:rsidRPr="005E437C" w:rsidRDefault="005E437C">
      <w:pPr>
        <w:pStyle w:val="TOC3"/>
        <w:tabs>
          <w:tab w:val="right" w:leader="dot" w:pos="9350"/>
        </w:tabs>
        <w:rPr>
          <w:rFonts w:ascii="Times New Roman" w:eastAsiaTheme="minorEastAsia" w:hAnsi="Times New Roman"/>
          <w:i w:val="0"/>
          <w:iCs w:val="0"/>
          <w:noProof/>
          <w:sz w:val="26"/>
          <w:szCs w:val="26"/>
        </w:rPr>
      </w:pPr>
      <w:hyperlink w:anchor="_Toc239161571" w:history="1">
        <w:r w:rsidRPr="005E437C">
          <w:rPr>
            <w:rStyle w:val="Hyperlink"/>
            <w:rFonts w:ascii="Times New Roman" w:hAnsi="Times New Roman"/>
            <w:b/>
            <w:bCs/>
            <w:noProof/>
            <w:sz w:val="26"/>
            <w:szCs w:val="26"/>
          </w:rPr>
          <w:t>a. The Government Can Prove It Had Possession of Independent Leads and Evidence Long Before the Defendant’s Immunized Testimony.</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_Toc239161571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6</w:t>
        </w:r>
        <w:r w:rsidRPr="005E437C">
          <w:rPr>
            <w:rFonts w:ascii="Times New Roman" w:hAnsi="Times New Roman"/>
            <w:noProof/>
            <w:webHidden/>
            <w:sz w:val="26"/>
            <w:szCs w:val="26"/>
          </w:rPr>
          <w:fldChar w:fldCharType="end"/>
        </w:r>
      </w:hyperlink>
    </w:p>
    <w:p w14:paraId="6AB76DCE" w14:textId="7FE691F7"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2" w:history="1">
        <w:r w:rsidRPr="005E437C">
          <w:rPr>
            <w:rStyle w:val="Hyperlink"/>
            <w:rFonts w:ascii="Times New Roman" w:hAnsi="Times New Roman"/>
            <w:b/>
            <w:bCs/>
            <w:noProof/>
            <w:sz w:val="26"/>
            <w:szCs w:val="26"/>
          </w:rPr>
          <w:t>II. The Government Properly Separated the Prosecuting Team from the Immunized Testimony; Ensuring Evidence Was Derived from Independent Sources.</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_Toc239161572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9</w:t>
        </w:r>
        <w:r w:rsidRPr="005E437C">
          <w:rPr>
            <w:rFonts w:ascii="Times New Roman" w:hAnsi="Times New Roman"/>
            <w:noProof/>
            <w:webHidden/>
            <w:sz w:val="26"/>
            <w:szCs w:val="26"/>
          </w:rPr>
          <w:fldChar w:fldCharType="end"/>
        </w:r>
      </w:hyperlink>
    </w:p>
    <w:p w14:paraId="19FC68D5" w14:textId="3D330EF3"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3" w:history="1">
        <w:r w:rsidRPr="005E437C">
          <w:rPr>
            <w:rStyle w:val="Hyperlink"/>
            <w:rFonts w:ascii="Times New Roman" w:eastAsia="Times New Roman" w:hAnsi="Times New Roman"/>
            <w:b/>
            <w:bCs/>
            <w:noProof/>
            <w:sz w:val="26"/>
            <w:szCs w:val="26"/>
          </w:rPr>
          <w:t>III. The Court Should Deny the Defense’s Motion Because the Government Anticipates that the Defense Will Call Maddox Armana to Testify on Matters Covered by the Work-Product Privilege.</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_Toc239161573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11</w:t>
        </w:r>
        <w:r w:rsidRPr="005E437C">
          <w:rPr>
            <w:rFonts w:ascii="Times New Roman" w:hAnsi="Times New Roman"/>
            <w:noProof/>
            <w:webHidden/>
            <w:sz w:val="26"/>
            <w:szCs w:val="26"/>
          </w:rPr>
          <w:fldChar w:fldCharType="end"/>
        </w:r>
      </w:hyperlink>
    </w:p>
    <w:p w14:paraId="034E6390" w14:textId="7D6997D5"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4" w:history="1">
        <w:r w:rsidRPr="005E437C">
          <w:rPr>
            <w:rStyle w:val="Hyperlink"/>
            <w:rFonts w:ascii="Times New Roman" w:eastAsia="Times New Roman" w:hAnsi="Times New Roman"/>
            <w:b/>
            <w:bCs/>
            <w:noProof/>
            <w:sz w:val="26"/>
            <w:szCs w:val="26"/>
          </w:rPr>
          <w:t>IV. The Court Should Deny the Defense’s Motion Because the Court Can Disclose Relevant Material Regarding Armana’s Testimony While Protecting the Defense’s Genuine Work Product.</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_Toc239161574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13</w:t>
        </w:r>
        <w:r w:rsidRPr="005E437C">
          <w:rPr>
            <w:rFonts w:ascii="Times New Roman" w:hAnsi="Times New Roman"/>
            <w:noProof/>
            <w:webHidden/>
            <w:sz w:val="26"/>
            <w:szCs w:val="26"/>
          </w:rPr>
          <w:fldChar w:fldCharType="end"/>
        </w:r>
      </w:hyperlink>
    </w:p>
    <w:p w14:paraId="714E36EB" w14:textId="3B264EF6"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5" w:history="1">
        <w:r w:rsidRPr="005E437C">
          <w:rPr>
            <w:rStyle w:val="Hyperlink"/>
            <w:rFonts w:ascii="Times New Roman" w:eastAsia="Times New Roman" w:hAnsi="Times New Roman"/>
            <w:b/>
            <w:bCs/>
            <w:noProof/>
            <w:sz w:val="26"/>
            <w:szCs w:val="26"/>
          </w:rPr>
          <w:t>V. The Court Should Deny the Defense’s Motion Because the Government Has a Substantial Need for the Interview Material and Cannot Obtain Its Substantial Equivalent Without Undue Hardship.</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_Toc239161575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15</w:t>
        </w:r>
        <w:r w:rsidRPr="005E437C">
          <w:rPr>
            <w:rFonts w:ascii="Times New Roman" w:hAnsi="Times New Roman"/>
            <w:noProof/>
            <w:webHidden/>
            <w:sz w:val="26"/>
            <w:szCs w:val="26"/>
          </w:rPr>
          <w:fldChar w:fldCharType="end"/>
        </w:r>
      </w:hyperlink>
    </w:p>
    <w:p w14:paraId="609DCAA2" w14:textId="4878D61B" w:rsidR="005E437C" w:rsidRPr="005E437C" w:rsidRDefault="005E437C">
      <w:pPr>
        <w:pStyle w:val="TOC2"/>
        <w:tabs>
          <w:tab w:val="right" w:leader="dot" w:pos="9350"/>
        </w:tabs>
        <w:rPr>
          <w:rFonts w:ascii="Times New Roman" w:eastAsiaTheme="minorEastAsia" w:hAnsi="Times New Roman"/>
          <w:smallCaps w:val="0"/>
          <w:noProof/>
          <w:sz w:val="26"/>
          <w:szCs w:val="26"/>
        </w:rPr>
      </w:pPr>
      <w:hyperlink w:anchor="_Toc239161576" w:history="1">
        <w:r w:rsidRPr="005E437C">
          <w:rPr>
            <w:rStyle w:val="Hyperlink"/>
            <w:rFonts w:ascii="Times New Roman" w:eastAsia="Times New Roman" w:hAnsi="Times New Roman"/>
            <w:b/>
            <w:bCs/>
            <w:noProof/>
            <w:sz w:val="26"/>
            <w:szCs w:val="26"/>
          </w:rPr>
          <w:t>VI. The Court Should Deny the Defense’s Motion as In-Camera Review May Operate as a Safeguard to Protect Any Potential Legitimate Opinion Work Product Interests.</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_Toc239161576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17</w:t>
        </w:r>
        <w:r w:rsidRPr="005E437C">
          <w:rPr>
            <w:rFonts w:ascii="Times New Roman" w:hAnsi="Times New Roman"/>
            <w:noProof/>
            <w:webHidden/>
            <w:sz w:val="26"/>
            <w:szCs w:val="26"/>
          </w:rPr>
          <w:fldChar w:fldCharType="end"/>
        </w:r>
      </w:hyperlink>
    </w:p>
    <w:p w14:paraId="2073A3F6" w14:textId="3A07FEC3" w:rsidR="005E437C" w:rsidRPr="005E437C" w:rsidRDefault="005E437C">
      <w:pPr>
        <w:pStyle w:val="TOC1"/>
        <w:tabs>
          <w:tab w:val="right" w:leader="dot" w:pos="9350"/>
        </w:tabs>
        <w:rPr>
          <w:rFonts w:ascii="Times New Roman" w:eastAsiaTheme="minorEastAsia" w:hAnsi="Times New Roman"/>
          <w:b w:val="0"/>
          <w:bCs w:val="0"/>
          <w:caps w:val="0"/>
          <w:noProof/>
          <w:sz w:val="26"/>
          <w:szCs w:val="26"/>
        </w:rPr>
      </w:pPr>
      <w:hyperlink w:anchor="_Toc239161577" w:history="1">
        <w:r w:rsidRPr="005E437C">
          <w:rPr>
            <w:rStyle w:val="Hyperlink"/>
            <w:rFonts w:ascii="Times New Roman" w:hAnsi="Times New Roman"/>
            <w:noProof/>
            <w:sz w:val="26"/>
            <w:szCs w:val="26"/>
          </w:rPr>
          <w:t>CONCLUSION WITH PRAYER FOR RELIEF</w:t>
        </w:r>
        <w:r w:rsidRPr="005E437C">
          <w:rPr>
            <w:rFonts w:ascii="Times New Roman" w:hAnsi="Times New Roman"/>
            <w:noProof/>
            <w:webHidden/>
            <w:sz w:val="26"/>
            <w:szCs w:val="26"/>
          </w:rPr>
          <w:tab/>
        </w:r>
        <w:r w:rsidRPr="005E437C">
          <w:rPr>
            <w:rFonts w:ascii="Times New Roman" w:hAnsi="Times New Roman"/>
            <w:noProof/>
            <w:webHidden/>
            <w:sz w:val="26"/>
            <w:szCs w:val="26"/>
          </w:rPr>
          <w:fldChar w:fldCharType="begin"/>
        </w:r>
        <w:r w:rsidRPr="005E437C">
          <w:rPr>
            <w:rFonts w:ascii="Times New Roman" w:hAnsi="Times New Roman"/>
            <w:noProof/>
            <w:webHidden/>
            <w:sz w:val="26"/>
            <w:szCs w:val="26"/>
          </w:rPr>
          <w:instrText xml:space="preserve"> PAGEREF _Toc239161577 \h </w:instrText>
        </w:r>
        <w:r w:rsidRPr="005E437C">
          <w:rPr>
            <w:rFonts w:ascii="Times New Roman" w:hAnsi="Times New Roman"/>
            <w:noProof/>
            <w:webHidden/>
            <w:sz w:val="26"/>
            <w:szCs w:val="26"/>
          </w:rPr>
        </w:r>
        <w:r w:rsidRPr="005E437C">
          <w:rPr>
            <w:rFonts w:ascii="Times New Roman" w:hAnsi="Times New Roman"/>
            <w:noProof/>
            <w:webHidden/>
            <w:sz w:val="26"/>
            <w:szCs w:val="26"/>
          </w:rPr>
          <w:fldChar w:fldCharType="separate"/>
        </w:r>
        <w:r w:rsidR="00A24E22">
          <w:rPr>
            <w:rFonts w:ascii="Times New Roman" w:hAnsi="Times New Roman"/>
            <w:noProof/>
            <w:webHidden/>
            <w:sz w:val="26"/>
            <w:szCs w:val="26"/>
          </w:rPr>
          <w:t>20</w:t>
        </w:r>
        <w:r w:rsidRPr="005E437C">
          <w:rPr>
            <w:rFonts w:ascii="Times New Roman" w:hAnsi="Times New Roman"/>
            <w:noProof/>
            <w:webHidden/>
            <w:sz w:val="26"/>
            <w:szCs w:val="26"/>
          </w:rPr>
          <w:fldChar w:fldCharType="end"/>
        </w:r>
      </w:hyperlink>
    </w:p>
    <w:p w14:paraId="25E2BBBD" w14:textId="0F65D88E" w:rsidR="009A390E" w:rsidRDefault="005E437C" w:rsidP="00185972">
      <w:pPr>
        <w:pStyle w:val="TOC1"/>
        <w:tabs>
          <w:tab w:val="right" w:leader="dot" w:pos="9350"/>
        </w:tabs>
        <w:rPr>
          <w:rFonts w:eastAsia="Times New Roman"/>
          <w:b w:val="0"/>
          <w:bCs w:val="0"/>
          <w:color w:val="000000" w:themeColor="text1"/>
          <w:sz w:val="28"/>
          <w:szCs w:val="28"/>
        </w:rPr>
      </w:pPr>
      <w:r w:rsidRPr="005E437C">
        <w:rPr>
          <w:rFonts w:ascii="Times New Roman" w:eastAsia="Times New Roman" w:hAnsi="Times New Roman"/>
          <w:b w:val="0"/>
          <w:bCs w:val="0"/>
          <w:color w:val="000000" w:themeColor="text1"/>
          <w:sz w:val="26"/>
          <w:szCs w:val="26"/>
        </w:rPr>
        <w:fldChar w:fldCharType="end"/>
      </w:r>
    </w:p>
    <w:p w14:paraId="0DCCB721" w14:textId="77777777" w:rsidR="00D269A1" w:rsidRDefault="002277CA" w:rsidP="6297E0FE">
      <w:pPr>
        <w:jc w:val="center"/>
        <w:rPr>
          <w:rFonts w:eastAsia="Times New Roman"/>
          <w:b/>
          <w:bCs/>
          <w:color w:val="000000" w:themeColor="text1"/>
          <w:sz w:val="28"/>
          <w:szCs w:val="28"/>
        </w:rPr>
      </w:pPr>
      <w:r w:rsidRPr="00A64D8C">
        <w:rPr>
          <w:rFonts w:eastAsia="Times New Roman"/>
          <w:sz w:val="28"/>
          <w:szCs w:val="28"/>
        </w:rPr>
        <w:br w:type="page"/>
      </w:r>
      <w:r w:rsidR="38F60F22" w:rsidRPr="6297E0FE">
        <w:rPr>
          <w:rFonts w:eastAsia="Times New Roman"/>
          <w:b/>
          <w:bCs/>
          <w:color w:val="000000" w:themeColor="text1"/>
          <w:sz w:val="28"/>
          <w:szCs w:val="28"/>
        </w:rPr>
        <w:lastRenderedPageBreak/>
        <w:t xml:space="preserve">TABLE OF </w:t>
      </w:r>
      <w:r w:rsidR="38F60F22" w:rsidRPr="663715E8">
        <w:rPr>
          <w:rFonts w:eastAsia="Times New Roman"/>
          <w:b/>
          <w:bCs/>
          <w:color w:val="000000" w:themeColor="text1"/>
          <w:sz w:val="28"/>
          <w:szCs w:val="28"/>
        </w:rPr>
        <w:t>AUTHORITIE</w:t>
      </w:r>
      <w:r w:rsidR="00A811EC">
        <w:rPr>
          <w:rFonts w:eastAsia="Times New Roman"/>
          <w:b/>
          <w:bCs/>
          <w:color w:val="000000" w:themeColor="text1"/>
          <w:sz w:val="28"/>
          <w:szCs w:val="28"/>
        </w:rPr>
        <w:t>S</w:t>
      </w:r>
    </w:p>
    <w:p w14:paraId="41458768" w14:textId="77777777" w:rsidR="00395B5A" w:rsidRPr="00395B5A" w:rsidRDefault="00395B5A">
      <w:pPr>
        <w:pStyle w:val="TOAHeading"/>
        <w:tabs>
          <w:tab w:val="right" w:leader="hyphen" w:pos="9350"/>
        </w:tabs>
        <w:rPr>
          <w:rFonts w:ascii="Times New Roman" w:eastAsiaTheme="minorEastAsia" w:hAnsi="Times New Roman" w:cs="Times New Roman"/>
          <w:b/>
          <w:bCs/>
          <w:noProof/>
          <w:sz w:val="26"/>
          <w:szCs w:val="26"/>
        </w:rPr>
      </w:pPr>
      <w:r w:rsidRPr="00395B5A">
        <w:rPr>
          <w:rFonts w:ascii="Times New Roman" w:eastAsia="Times New Roman" w:hAnsi="Times New Roman" w:cs="Times New Roman"/>
          <w:b/>
          <w:bCs/>
          <w:color w:val="000000" w:themeColor="text1"/>
          <w:sz w:val="26"/>
          <w:szCs w:val="26"/>
        </w:rPr>
        <w:fldChar w:fldCharType="begin"/>
      </w:r>
      <w:r w:rsidRPr="00395B5A">
        <w:rPr>
          <w:rFonts w:ascii="Times New Roman" w:eastAsia="Times New Roman" w:hAnsi="Times New Roman" w:cs="Times New Roman"/>
          <w:b/>
          <w:bCs/>
          <w:color w:val="000000" w:themeColor="text1"/>
          <w:sz w:val="26"/>
          <w:szCs w:val="26"/>
        </w:rPr>
        <w:instrText xml:space="preserve"> TOA \h \c "1" \p </w:instrText>
      </w:r>
      <w:r w:rsidRPr="00395B5A">
        <w:rPr>
          <w:rFonts w:ascii="Times New Roman" w:eastAsia="Times New Roman" w:hAnsi="Times New Roman" w:cs="Times New Roman"/>
          <w:b/>
          <w:bCs/>
          <w:color w:val="000000" w:themeColor="text1"/>
          <w:sz w:val="26"/>
          <w:szCs w:val="26"/>
        </w:rPr>
        <w:fldChar w:fldCharType="separate"/>
      </w:r>
      <w:r w:rsidRPr="00395B5A">
        <w:rPr>
          <w:rFonts w:ascii="Times New Roman" w:hAnsi="Times New Roman" w:cs="Times New Roman"/>
          <w:noProof/>
          <w:sz w:val="26"/>
          <w:szCs w:val="26"/>
        </w:rPr>
        <w:t>Cases</w:t>
      </w:r>
    </w:p>
    <w:p w14:paraId="236879A6" w14:textId="438911A0"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iCs/>
          <w:noProof/>
          <w:color w:val="000000" w:themeColor="text1"/>
          <w:sz w:val="26"/>
          <w:szCs w:val="26"/>
        </w:rPr>
        <w:t>Castle v. Sangamo Weston, Inc.</w:t>
      </w:r>
      <w:r w:rsidRPr="00395B5A">
        <w:rPr>
          <w:rFonts w:ascii="Times New Roman" w:eastAsia="Times New Roman" w:hAnsi="Times New Roman"/>
          <w:noProof/>
          <w:color w:val="000000" w:themeColor="text1"/>
          <w:sz w:val="26"/>
          <w:szCs w:val="26"/>
        </w:rPr>
        <w:t>, 744 F.2d 1464</w:t>
      </w:r>
      <w:r w:rsidR="005E3E92">
        <w:rPr>
          <w:rFonts w:ascii="Times New Roman" w:eastAsia="Times New Roman" w:hAnsi="Times New Roman"/>
          <w:noProof/>
          <w:color w:val="000000" w:themeColor="text1"/>
          <w:sz w:val="26"/>
          <w:szCs w:val="26"/>
        </w:rPr>
        <w:t xml:space="preserve"> </w:t>
      </w:r>
      <w:r w:rsidRPr="00395B5A">
        <w:rPr>
          <w:rFonts w:ascii="Times New Roman" w:eastAsia="Times New Roman" w:hAnsi="Times New Roman"/>
          <w:noProof/>
          <w:color w:val="000000" w:themeColor="text1"/>
          <w:sz w:val="26"/>
          <w:szCs w:val="26"/>
        </w:rPr>
        <w:t>(11th Cir. 1984)</w:t>
      </w:r>
      <w:r w:rsidRPr="00395B5A">
        <w:rPr>
          <w:rFonts w:ascii="Times New Roman" w:hAnsi="Times New Roman"/>
          <w:noProof/>
          <w:sz w:val="26"/>
          <w:szCs w:val="26"/>
        </w:rPr>
        <w:tab/>
        <w:t>15, 16</w:t>
      </w:r>
    </w:p>
    <w:p w14:paraId="7A0F991D" w14:textId="5433E063"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iCs/>
          <w:noProof/>
          <w:color w:val="000000" w:themeColor="text1"/>
          <w:sz w:val="26"/>
          <w:szCs w:val="26"/>
        </w:rPr>
        <w:t>Cox v. Adm’r U.S. Steel &amp; Carnegie</w:t>
      </w:r>
      <w:r w:rsidRPr="00395B5A">
        <w:rPr>
          <w:rFonts w:ascii="Times New Roman" w:eastAsia="Times New Roman" w:hAnsi="Times New Roman"/>
          <w:noProof/>
          <w:color w:val="000000" w:themeColor="text1"/>
          <w:sz w:val="26"/>
          <w:szCs w:val="26"/>
        </w:rPr>
        <w:t>, 17 F.3d 1386 (11th Cir. 1994)</w:t>
      </w:r>
      <w:r w:rsidRPr="00395B5A">
        <w:rPr>
          <w:rFonts w:ascii="Times New Roman" w:hAnsi="Times New Roman"/>
          <w:noProof/>
          <w:sz w:val="26"/>
          <w:szCs w:val="26"/>
        </w:rPr>
        <w:tab/>
        <w:t>14, 18</w:t>
      </w:r>
    </w:p>
    <w:p w14:paraId="4371D623" w14:textId="254FFC04"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Graves v. United States</w:t>
      </w:r>
      <w:r w:rsidRPr="00395B5A">
        <w:rPr>
          <w:rFonts w:ascii="Times New Roman" w:hAnsi="Times New Roman"/>
          <w:noProof/>
          <w:sz w:val="26"/>
          <w:szCs w:val="26"/>
        </w:rPr>
        <w:t>, 472 A.2d 395 (D.C. App. 1984)</w:t>
      </w:r>
      <w:r w:rsidRPr="00395B5A">
        <w:rPr>
          <w:rFonts w:ascii="Times New Roman" w:hAnsi="Times New Roman"/>
          <w:noProof/>
          <w:sz w:val="26"/>
          <w:szCs w:val="26"/>
        </w:rPr>
        <w:tab/>
        <w:t>5</w:t>
      </w:r>
    </w:p>
    <w:p w14:paraId="0130C613" w14:textId="5546E5E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noProof/>
          <w:color w:val="000000" w:themeColor="text1"/>
          <w:sz w:val="26"/>
          <w:szCs w:val="26"/>
        </w:rPr>
        <w:t>Hickman v. Taylor</w:t>
      </w:r>
      <w:r w:rsidRPr="00395B5A">
        <w:rPr>
          <w:rFonts w:ascii="Times New Roman" w:eastAsia="Times New Roman" w:hAnsi="Times New Roman"/>
          <w:noProof/>
          <w:color w:val="000000" w:themeColor="text1"/>
          <w:sz w:val="26"/>
          <w:szCs w:val="26"/>
        </w:rPr>
        <w:t>, 329 U.S. 495 (1947)</w:t>
      </w:r>
      <w:r w:rsidRPr="00395B5A">
        <w:rPr>
          <w:rFonts w:ascii="Times New Roman" w:hAnsi="Times New Roman"/>
          <w:noProof/>
          <w:sz w:val="26"/>
          <w:szCs w:val="26"/>
        </w:rPr>
        <w:tab/>
        <w:t>14, 15, 18</w:t>
      </w:r>
    </w:p>
    <w:p w14:paraId="472B73B6" w14:textId="0FA7776E"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Kastigar v. United States</w:t>
      </w:r>
      <w:r w:rsidRPr="00395B5A">
        <w:rPr>
          <w:rFonts w:ascii="Times New Roman" w:hAnsi="Times New Roman"/>
          <w:noProof/>
          <w:sz w:val="26"/>
          <w:szCs w:val="26"/>
        </w:rPr>
        <w:t>, 406 U.S. 441</w:t>
      </w:r>
      <w:r w:rsidR="005E3E92">
        <w:rPr>
          <w:rFonts w:ascii="Times New Roman" w:hAnsi="Times New Roman"/>
          <w:noProof/>
          <w:sz w:val="26"/>
          <w:szCs w:val="26"/>
        </w:rPr>
        <w:t xml:space="preserve"> </w:t>
      </w:r>
      <w:r w:rsidRPr="00395B5A">
        <w:rPr>
          <w:rFonts w:ascii="Times New Roman" w:hAnsi="Times New Roman"/>
          <w:noProof/>
          <w:sz w:val="26"/>
          <w:szCs w:val="26"/>
        </w:rPr>
        <w:t>(1972)</w:t>
      </w:r>
      <w:r w:rsidRPr="00395B5A">
        <w:rPr>
          <w:rFonts w:ascii="Times New Roman" w:hAnsi="Times New Roman"/>
          <w:noProof/>
          <w:sz w:val="26"/>
          <w:szCs w:val="26"/>
        </w:rPr>
        <w:tab/>
        <w:t>5</w:t>
      </w:r>
    </w:p>
    <w:p w14:paraId="6902D86B" w14:textId="40225AF9"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Biaggi</w:t>
      </w:r>
      <w:r w:rsidRPr="00395B5A">
        <w:rPr>
          <w:rFonts w:ascii="Times New Roman" w:hAnsi="Times New Roman"/>
          <w:noProof/>
          <w:sz w:val="26"/>
          <w:szCs w:val="26"/>
        </w:rPr>
        <w:t>, 909 F.2d 662 (2nd Cir. 1990)</w:t>
      </w:r>
      <w:r w:rsidRPr="00395B5A">
        <w:rPr>
          <w:rFonts w:ascii="Times New Roman" w:hAnsi="Times New Roman"/>
          <w:noProof/>
          <w:sz w:val="26"/>
          <w:szCs w:val="26"/>
        </w:rPr>
        <w:tab/>
        <w:t>6</w:t>
      </w:r>
    </w:p>
    <w:p w14:paraId="2D357B3B" w14:textId="105324CC"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Byrd</w:t>
      </w:r>
      <w:r w:rsidRPr="00395B5A">
        <w:rPr>
          <w:rFonts w:ascii="Times New Roman" w:hAnsi="Times New Roman"/>
          <w:noProof/>
          <w:sz w:val="26"/>
          <w:szCs w:val="26"/>
        </w:rPr>
        <w:t>, 765 F.2d 1524 (11th Cir. 1985)</w:t>
      </w:r>
      <w:r w:rsidRPr="00395B5A">
        <w:rPr>
          <w:rFonts w:ascii="Times New Roman" w:hAnsi="Times New Roman"/>
          <w:noProof/>
          <w:sz w:val="26"/>
          <w:szCs w:val="26"/>
        </w:rPr>
        <w:tab/>
        <w:t>5</w:t>
      </w:r>
    </w:p>
    <w:p w14:paraId="77C551A9" w14:textId="07CF3C69"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Crowson</w:t>
      </w:r>
      <w:r w:rsidRPr="00395B5A">
        <w:rPr>
          <w:rFonts w:ascii="Times New Roman" w:hAnsi="Times New Roman"/>
          <w:noProof/>
          <w:sz w:val="26"/>
          <w:szCs w:val="26"/>
        </w:rPr>
        <w:t>, 828 F.2d 1427</w:t>
      </w:r>
      <w:r w:rsidR="005E3E92">
        <w:rPr>
          <w:rFonts w:ascii="Times New Roman" w:hAnsi="Times New Roman"/>
          <w:noProof/>
          <w:sz w:val="26"/>
          <w:szCs w:val="26"/>
        </w:rPr>
        <w:t xml:space="preserve"> </w:t>
      </w:r>
      <w:r w:rsidRPr="00395B5A">
        <w:rPr>
          <w:rFonts w:ascii="Times New Roman" w:hAnsi="Times New Roman"/>
          <w:noProof/>
          <w:sz w:val="26"/>
          <w:szCs w:val="26"/>
        </w:rPr>
        <w:t>(9th Cir. 1987).</w:t>
      </w:r>
      <w:r w:rsidRPr="00395B5A">
        <w:rPr>
          <w:rFonts w:ascii="Times New Roman" w:hAnsi="Times New Roman"/>
          <w:noProof/>
          <w:sz w:val="26"/>
          <w:szCs w:val="26"/>
        </w:rPr>
        <w:tab/>
        <w:t>9</w:t>
      </w:r>
    </w:p>
    <w:p w14:paraId="67DAA851" w14:textId="0C0FD995"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Harris</w:t>
      </w:r>
      <w:r w:rsidRPr="00395B5A">
        <w:rPr>
          <w:rFonts w:ascii="Times New Roman" w:hAnsi="Times New Roman"/>
          <w:noProof/>
          <w:sz w:val="26"/>
          <w:szCs w:val="26"/>
        </w:rPr>
        <w:t>, 973 F.2d 333</w:t>
      </w:r>
      <w:r w:rsidR="005E3E92">
        <w:rPr>
          <w:rFonts w:ascii="Times New Roman" w:hAnsi="Times New Roman"/>
          <w:noProof/>
          <w:sz w:val="26"/>
          <w:szCs w:val="26"/>
        </w:rPr>
        <w:t xml:space="preserve"> </w:t>
      </w:r>
      <w:r w:rsidRPr="00395B5A">
        <w:rPr>
          <w:rFonts w:ascii="Times New Roman" w:hAnsi="Times New Roman"/>
          <w:noProof/>
          <w:sz w:val="26"/>
          <w:szCs w:val="26"/>
        </w:rPr>
        <w:t>(4th Cir. 1992)</w:t>
      </w:r>
      <w:r w:rsidRPr="00395B5A">
        <w:rPr>
          <w:rFonts w:ascii="Times New Roman" w:hAnsi="Times New Roman"/>
          <w:noProof/>
          <w:sz w:val="26"/>
          <w:szCs w:val="26"/>
        </w:rPr>
        <w:tab/>
        <w:t>5</w:t>
      </w:r>
    </w:p>
    <w:p w14:paraId="4A78293B" w14:textId="53D386AE"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Montoya</w:t>
      </w:r>
      <w:r w:rsidRPr="00395B5A">
        <w:rPr>
          <w:rFonts w:ascii="Times New Roman" w:hAnsi="Times New Roman"/>
          <w:noProof/>
          <w:sz w:val="26"/>
          <w:szCs w:val="26"/>
        </w:rPr>
        <w:t>, 45 F.3d 1286</w:t>
      </w:r>
      <w:r w:rsidR="005E3E92">
        <w:rPr>
          <w:rFonts w:ascii="Times New Roman" w:hAnsi="Times New Roman"/>
          <w:noProof/>
          <w:sz w:val="26"/>
          <w:szCs w:val="26"/>
        </w:rPr>
        <w:t xml:space="preserve"> </w:t>
      </w:r>
      <w:r w:rsidRPr="00395B5A">
        <w:rPr>
          <w:rFonts w:ascii="Times New Roman" w:hAnsi="Times New Roman"/>
          <w:noProof/>
          <w:sz w:val="26"/>
          <w:szCs w:val="26"/>
        </w:rPr>
        <w:t>(9th Cir. 1995)</w:t>
      </w:r>
      <w:r w:rsidRPr="00395B5A">
        <w:rPr>
          <w:rFonts w:ascii="Times New Roman" w:hAnsi="Times New Roman"/>
          <w:noProof/>
          <w:sz w:val="26"/>
          <w:szCs w:val="26"/>
        </w:rPr>
        <w:tab/>
        <w:t>10</w:t>
      </w:r>
    </w:p>
    <w:p w14:paraId="7ED2954C" w14:textId="3336B0EC"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Nanni</w:t>
      </w:r>
      <w:r w:rsidRPr="00395B5A">
        <w:rPr>
          <w:rFonts w:ascii="Times New Roman" w:hAnsi="Times New Roman"/>
          <w:noProof/>
          <w:sz w:val="26"/>
          <w:szCs w:val="26"/>
        </w:rPr>
        <w:t>, 59 F.3d 1425</w:t>
      </w:r>
      <w:r w:rsidR="005E3E92">
        <w:rPr>
          <w:rFonts w:ascii="Times New Roman" w:hAnsi="Times New Roman"/>
          <w:noProof/>
          <w:sz w:val="26"/>
          <w:szCs w:val="26"/>
        </w:rPr>
        <w:t xml:space="preserve"> </w:t>
      </w:r>
      <w:r w:rsidRPr="00395B5A">
        <w:rPr>
          <w:rFonts w:ascii="Times New Roman" w:hAnsi="Times New Roman"/>
          <w:noProof/>
          <w:sz w:val="26"/>
          <w:szCs w:val="26"/>
        </w:rPr>
        <w:t>(2d Cir. 1995)</w:t>
      </w:r>
      <w:r w:rsidRPr="00395B5A">
        <w:rPr>
          <w:rFonts w:ascii="Times New Roman" w:hAnsi="Times New Roman"/>
          <w:noProof/>
          <w:sz w:val="26"/>
          <w:szCs w:val="26"/>
        </w:rPr>
        <w:tab/>
        <w:t>6, 7</w:t>
      </w:r>
    </w:p>
    <w:p w14:paraId="6FB66EC8"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iCs/>
          <w:noProof/>
          <w:color w:val="000000" w:themeColor="text1"/>
          <w:sz w:val="26"/>
          <w:szCs w:val="26"/>
        </w:rPr>
        <w:t xml:space="preserve">United States v. Nobles, </w:t>
      </w:r>
      <w:r w:rsidRPr="00395B5A">
        <w:rPr>
          <w:rFonts w:ascii="Times New Roman" w:eastAsia="Times New Roman" w:hAnsi="Times New Roman"/>
          <w:noProof/>
          <w:color w:val="000000" w:themeColor="text1"/>
          <w:sz w:val="26"/>
          <w:szCs w:val="26"/>
        </w:rPr>
        <w:t>422 U.S. 225 (1975)</w:t>
      </w:r>
      <w:r w:rsidRPr="00395B5A">
        <w:rPr>
          <w:rFonts w:ascii="Times New Roman" w:hAnsi="Times New Roman"/>
          <w:noProof/>
          <w:sz w:val="26"/>
          <w:szCs w:val="26"/>
        </w:rPr>
        <w:tab/>
        <w:t>11, 12, 14, 18</w:t>
      </w:r>
    </w:p>
    <w:p w14:paraId="44C4D755" w14:textId="78EC9974"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i/>
          <w:iCs/>
          <w:noProof/>
          <w:sz w:val="26"/>
          <w:szCs w:val="26"/>
        </w:rPr>
        <w:t>United States v. Schmidgall</w:t>
      </w:r>
      <w:r w:rsidRPr="00395B5A">
        <w:rPr>
          <w:rFonts w:ascii="Times New Roman" w:hAnsi="Times New Roman"/>
          <w:noProof/>
          <w:sz w:val="26"/>
          <w:szCs w:val="26"/>
        </w:rPr>
        <w:t>, 25 F.3d 1523</w:t>
      </w:r>
      <w:r w:rsidR="005E3E92">
        <w:rPr>
          <w:rFonts w:ascii="Times New Roman" w:hAnsi="Times New Roman"/>
          <w:noProof/>
          <w:sz w:val="26"/>
          <w:szCs w:val="26"/>
        </w:rPr>
        <w:t xml:space="preserve"> </w:t>
      </w:r>
      <w:r w:rsidRPr="00395B5A">
        <w:rPr>
          <w:rFonts w:ascii="Times New Roman" w:hAnsi="Times New Roman"/>
          <w:noProof/>
          <w:sz w:val="26"/>
          <w:szCs w:val="26"/>
        </w:rPr>
        <w:t>(11th Cir. 1994)</w:t>
      </w:r>
      <w:r w:rsidRPr="00395B5A">
        <w:rPr>
          <w:rFonts w:ascii="Times New Roman" w:hAnsi="Times New Roman"/>
          <w:noProof/>
          <w:sz w:val="26"/>
          <w:szCs w:val="26"/>
        </w:rPr>
        <w:tab/>
        <w:t>5</w:t>
      </w:r>
    </w:p>
    <w:p w14:paraId="4E85A847" w14:textId="0E18A7B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noProof/>
          <w:color w:val="000000" w:themeColor="text1"/>
          <w:sz w:val="26"/>
          <w:szCs w:val="26"/>
        </w:rPr>
        <w:t>Upjohn Co. v. United States</w:t>
      </w:r>
      <w:r w:rsidRPr="00395B5A">
        <w:rPr>
          <w:rFonts w:ascii="Times New Roman" w:eastAsia="Times New Roman" w:hAnsi="Times New Roman"/>
          <w:noProof/>
          <w:color w:val="000000" w:themeColor="text1"/>
          <w:sz w:val="26"/>
          <w:szCs w:val="26"/>
        </w:rPr>
        <w:t>, 449 U.S. 383 (1981).</w:t>
      </w:r>
      <w:r w:rsidRPr="00395B5A">
        <w:rPr>
          <w:rFonts w:ascii="Times New Roman" w:hAnsi="Times New Roman"/>
          <w:noProof/>
          <w:sz w:val="26"/>
          <w:szCs w:val="26"/>
        </w:rPr>
        <w:tab/>
        <w:t>14, 15, 18</w:t>
      </w:r>
    </w:p>
    <w:p w14:paraId="36C055E2" w14:textId="77777777" w:rsidR="00395B5A" w:rsidRPr="00395B5A" w:rsidRDefault="00395B5A">
      <w:pPr>
        <w:pStyle w:val="TOAHeading"/>
        <w:tabs>
          <w:tab w:val="right" w:leader="hyphen" w:pos="9350"/>
        </w:tabs>
        <w:rPr>
          <w:rFonts w:ascii="Times New Roman" w:eastAsiaTheme="minorEastAsia" w:hAnsi="Times New Roman" w:cs="Times New Roman"/>
          <w:b/>
          <w:bCs/>
          <w:noProof/>
          <w:sz w:val="26"/>
          <w:szCs w:val="26"/>
        </w:rPr>
      </w:pPr>
      <w:r w:rsidRPr="00395B5A">
        <w:rPr>
          <w:rFonts w:ascii="Times New Roman" w:eastAsia="Times New Roman" w:hAnsi="Times New Roman" w:cs="Times New Roman"/>
          <w:b/>
          <w:bCs/>
          <w:color w:val="000000" w:themeColor="text1"/>
          <w:sz w:val="26"/>
          <w:szCs w:val="26"/>
        </w:rPr>
        <w:fldChar w:fldCharType="end"/>
      </w:r>
      <w:r w:rsidRPr="00395B5A">
        <w:rPr>
          <w:rFonts w:ascii="Times New Roman" w:eastAsia="Times New Roman" w:hAnsi="Times New Roman" w:cs="Times New Roman"/>
          <w:b/>
          <w:bCs/>
          <w:color w:val="000000" w:themeColor="text1"/>
          <w:sz w:val="26"/>
          <w:szCs w:val="26"/>
        </w:rPr>
        <w:fldChar w:fldCharType="begin"/>
      </w:r>
      <w:r w:rsidRPr="00395B5A">
        <w:rPr>
          <w:rFonts w:ascii="Times New Roman" w:eastAsia="Times New Roman" w:hAnsi="Times New Roman" w:cs="Times New Roman"/>
          <w:b/>
          <w:bCs/>
          <w:color w:val="000000" w:themeColor="text1"/>
          <w:sz w:val="26"/>
          <w:szCs w:val="26"/>
        </w:rPr>
        <w:instrText xml:space="preserve"> TOA \h \c "2" \p </w:instrText>
      </w:r>
      <w:r w:rsidRPr="00395B5A">
        <w:rPr>
          <w:rFonts w:ascii="Times New Roman" w:eastAsia="Times New Roman" w:hAnsi="Times New Roman" w:cs="Times New Roman"/>
          <w:b/>
          <w:bCs/>
          <w:color w:val="000000" w:themeColor="text1"/>
          <w:sz w:val="26"/>
          <w:szCs w:val="26"/>
        </w:rPr>
        <w:fldChar w:fldCharType="separate"/>
      </w:r>
      <w:r w:rsidRPr="00395B5A">
        <w:rPr>
          <w:rFonts w:ascii="Times New Roman" w:hAnsi="Times New Roman" w:cs="Times New Roman"/>
          <w:noProof/>
          <w:sz w:val="26"/>
          <w:szCs w:val="26"/>
        </w:rPr>
        <w:t>Statutes</w:t>
      </w:r>
    </w:p>
    <w:p w14:paraId="0BABA130"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noProof/>
          <w:sz w:val="26"/>
          <w:szCs w:val="26"/>
        </w:rPr>
        <w:t>18 U.S.C. § 1512(a)(1)(C)</w:t>
      </w:r>
      <w:r w:rsidRPr="00395B5A">
        <w:rPr>
          <w:rFonts w:ascii="Times New Roman" w:hAnsi="Times New Roman"/>
          <w:noProof/>
          <w:sz w:val="26"/>
          <w:szCs w:val="26"/>
        </w:rPr>
        <w:tab/>
        <w:t>1</w:t>
      </w:r>
    </w:p>
    <w:p w14:paraId="525358FF"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noProof/>
          <w:sz w:val="26"/>
          <w:szCs w:val="26"/>
        </w:rPr>
        <w:t>18 U.S.C. § 1956(h)</w:t>
      </w:r>
      <w:r w:rsidRPr="00395B5A">
        <w:rPr>
          <w:rFonts w:ascii="Times New Roman" w:hAnsi="Times New Roman"/>
          <w:noProof/>
          <w:sz w:val="26"/>
          <w:szCs w:val="26"/>
        </w:rPr>
        <w:tab/>
        <w:t>1</w:t>
      </w:r>
    </w:p>
    <w:p w14:paraId="628A0F11"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noProof/>
          <w:sz w:val="26"/>
          <w:szCs w:val="26"/>
        </w:rPr>
        <w:lastRenderedPageBreak/>
        <w:t>18 U.S.C. §§ 6002, 6003</w:t>
      </w:r>
      <w:r w:rsidRPr="00395B5A">
        <w:rPr>
          <w:rFonts w:ascii="Times New Roman" w:hAnsi="Times New Roman"/>
          <w:noProof/>
          <w:sz w:val="26"/>
          <w:szCs w:val="26"/>
        </w:rPr>
        <w:tab/>
        <w:t>1</w:t>
      </w:r>
    </w:p>
    <w:p w14:paraId="6570F69C"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eastAsia="Times New Roman" w:hAnsi="Times New Roman"/>
          <w:i/>
          <w:iCs/>
          <w:noProof/>
          <w:color w:val="000000" w:themeColor="text1"/>
          <w:sz w:val="26"/>
          <w:szCs w:val="26"/>
        </w:rPr>
        <w:t xml:space="preserve">Fed R. Civ. P. </w:t>
      </w:r>
      <w:r w:rsidRPr="00395B5A">
        <w:rPr>
          <w:rFonts w:ascii="Times New Roman" w:eastAsia="Times New Roman" w:hAnsi="Times New Roman"/>
          <w:noProof/>
          <w:color w:val="000000" w:themeColor="text1"/>
          <w:sz w:val="26"/>
          <w:szCs w:val="26"/>
        </w:rPr>
        <w:t>26(b)(3)(A)(ii)</w:t>
      </w:r>
      <w:r w:rsidRPr="00395B5A">
        <w:rPr>
          <w:rFonts w:ascii="Times New Roman" w:hAnsi="Times New Roman"/>
          <w:noProof/>
          <w:sz w:val="26"/>
          <w:szCs w:val="26"/>
        </w:rPr>
        <w:tab/>
        <w:t>15</w:t>
      </w:r>
    </w:p>
    <w:p w14:paraId="489F5EB0" w14:textId="77777777" w:rsidR="00395B5A" w:rsidRPr="00395B5A" w:rsidRDefault="00395B5A">
      <w:pPr>
        <w:pStyle w:val="TOAHeading"/>
        <w:tabs>
          <w:tab w:val="right" w:leader="hyphen" w:pos="9350"/>
        </w:tabs>
        <w:rPr>
          <w:rFonts w:ascii="Times New Roman" w:eastAsiaTheme="minorEastAsia" w:hAnsi="Times New Roman" w:cs="Times New Roman"/>
          <w:b/>
          <w:bCs/>
          <w:noProof/>
          <w:sz w:val="26"/>
          <w:szCs w:val="26"/>
        </w:rPr>
      </w:pPr>
      <w:r w:rsidRPr="00395B5A">
        <w:rPr>
          <w:rFonts w:ascii="Times New Roman" w:eastAsia="Times New Roman" w:hAnsi="Times New Roman" w:cs="Times New Roman"/>
          <w:b/>
          <w:bCs/>
          <w:color w:val="000000" w:themeColor="text1"/>
          <w:sz w:val="26"/>
          <w:szCs w:val="26"/>
        </w:rPr>
        <w:fldChar w:fldCharType="end"/>
      </w:r>
      <w:r w:rsidRPr="00395B5A">
        <w:rPr>
          <w:rFonts w:ascii="Times New Roman" w:eastAsia="Times New Roman" w:hAnsi="Times New Roman" w:cs="Times New Roman"/>
          <w:b/>
          <w:bCs/>
          <w:color w:val="000000" w:themeColor="text1"/>
          <w:sz w:val="26"/>
          <w:szCs w:val="26"/>
        </w:rPr>
        <w:fldChar w:fldCharType="begin"/>
      </w:r>
      <w:r w:rsidRPr="00395B5A">
        <w:rPr>
          <w:rFonts w:ascii="Times New Roman" w:eastAsia="Times New Roman" w:hAnsi="Times New Roman" w:cs="Times New Roman"/>
          <w:b/>
          <w:bCs/>
          <w:color w:val="000000" w:themeColor="text1"/>
          <w:sz w:val="26"/>
          <w:szCs w:val="26"/>
        </w:rPr>
        <w:instrText xml:space="preserve"> TOA \h \c "3" \p </w:instrText>
      </w:r>
      <w:r w:rsidRPr="00395B5A">
        <w:rPr>
          <w:rFonts w:ascii="Times New Roman" w:eastAsia="Times New Roman" w:hAnsi="Times New Roman" w:cs="Times New Roman"/>
          <w:b/>
          <w:bCs/>
          <w:color w:val="000000" w:themeColor="text1"/>
          <w:sz w:val="26"/>
          <w:szCs w:val="26"/>
        </w:rPr>
        <w:fldChar w:fldCharType="separate"/>
      </w:r>
      <w:r w:rsidRPr="00395B5A">
        <w:rPr>
          <w:rFonts w:ascii="Times New Roman" w:hAnsi="Times New Roman" w:cs="Times New Roman"/>
          <w:noProof/>
          <w:sz w:val="26"/>
          <w:szCs w:val="26"/>
        </w:rPr>
        <w:t>Other Authorities</w:t>
      </w:r>
    </w:p>
    <w:p w14:paraId="25005690" w14:textId="77777777" w:rsidR="00395B5A" w:rsidRPr="00395B5A" w:rsidRDefault="00395B5A">
      <w:pPr>
        <w:pStyle w:val="TableofAuthorities"/>
        <w:tabs>
          <w:tab w:val="right" w:leader="hyphen" w:pos="9350"/>
        </w:tabs>
        <w:rPr>
          <w:rFonts w:ascii="Times New Roman" w:hAnsi="Times New Roman"/>
          <w:noProof/>
          <w:sz w:val="26"/>
          <w:szCs w:val="26"/>
        </w:rPr>
      </w:pPr>
      <w:r w:rsidRPr="00395B5A">
        <w:rPr>
          <w:rFonts w:ascii="Times New Roman" w:hAnsi="Times New Roman"/>
          <w:noProof/>
          <w:sz w:val="26"/>
          <w:szCs w:val="26"/>
        </w:rPr>
        <w:t>U.S. Dep’t of Just., Criminal Resource Manual § 726, Steps to Avoid Taint</w:t>
      </w:r>
      <w:r w:rsidRPr="00395B5A">
        <w:rPr>
          <w:rFonts w:ascii="Times New Roman" w:hAnsi="Times New Roman"/>
          <w:noProof/>
          <w:sz w:val="26"/>
          <w:szCs w:val="26"/>
        </w:rPr>
        <w:tab/>
        <w:t>10</w:t>
      </w:r>
    </w:p>
    <w:p w14:paraId="10F06600" w14:textId="190596E0" w:rsidR="00D269A1" w:rsidRDefault="00395B5A" w:rsidP="6297E0FE">
      <w:pPr>
        <w:jc w:val="center"/>
        <w:rPr>
          <w:rFonts w:eastAsia="Times New Roman"/>
          <w:b/>
          <w:bCs/>
          <w:color w:val="000000" w:themeColor="text1"/>
          <w:sz w:val="28"/>
          <w:szCs w:val="28"/>
        </w:rPr>
      </w:pPr>
      <w:r w:rsidRPr="00395B5A">
        <w:rPr>
          <w:rFonts w:eastAsia="Times New Roman"/>
          <w:b/>
          <w:bCs/>
          <w:color w:val="000000" w:themeColor="text1"/>
        </w:rPr>
        <w:fldChar w:fldCharType="end"/>
      </w:r>
    </w:p>
    <w:p w14:paraId="34626E1F" w14:textId="0AD0F827" w:rsidR="00A909BD" w:rsidRPr="00210F59" w:rsidRDefault="00AA363C" w:rsidP="6297E0FE">
      <w:pPr>
        <w:jc w:val="center"/>
        <w:sectPr w:rsidR="00A909BD" w:rsidRPr="00210F59" w:rsidSect="005901AC">
          <w:footerReference w:type="first" r:id="rId11"/>
          <w:pgSz w:w="12240" w:h="15840"/>
          <w:pgMar w:top="1440" w:right="1440" w:bottom="1440" w:left="1440" w:header="720" w:footer="720" w:gutter="0"/>
          <w:pgNumType w:fmt="lowerRoman" w:start="1"/>
          <w:cols w:space="720"/>
          <w:titlePg/>
          <w:docGrid w:linePitch="360"/>
        </w:sectPr>
      </w:pPr>
      <w:r>
        <w:rPr>
          <w:rFonts w:eastAsia="Times New Roman"/>
          <w:b/>
          <w:bCs/>
          <w:color w:val="000000" w:themeColor="text1"/>
          <w:sz w:val="28"/>
          <w:szCs w:val="28"/>
        </w:rPr>
        <w:fldChar w:fldCharType="begin"/>
      </w:r>
      <w:r>
        <w:instrText xml:space="preserve"> TC "</w:instrText>
      </w:r>
      <w:bookmarkStart w:id="0" w:name="_Toc239161566"/>
      <w:r w:rsidRPr="00B564B5">
        <w:rPr>
          <w:rFonts w:eastAsia="Times New Roman"/>
          <w:b/>
          <w:bCs/>
          <w:color w:val="000000" w:themeColor="text1"/>
          <w:sz w:val="28"/>
          <w:szCs w:val="28"/>
        </w:rPr>
        <w:instrText>TABLE OF AUTHORITIES</w:instrText>
      </w:r>
      <w:bookmarkEnd w:id="0"/>
      <w:r>
        <w:instrText xml:space="preserve">" \f C \l "1" </w:instrText>
      </w:r>
      <w:r>
        <w:rPr>
          <w:rFonts w:eastAsia="Times New Roman"/>
          <w:b/>
          <w:bCs/>
          <w:color w:val="000000" w:themeColor="text1"/>
          <w:sz w:val="28"/>
          <w:szCs w:val="28"/>
        </w:rPr>
        <w:fldChar w:fldCharType="end"/>
      </w:r>
    </w:p>
    <w:p w14:paraId="7FB2D034" w14:textId="5DB5A85A" w:rsidR="0083428F" w:rsidRPr="00A909BD" w:rsidRDefault="00A811EC" w:rsidP="00A909BD">
      <w:pPr>
        <w:jc w:val="center"/>
      </w:pPr>
      <w:r>
        <w:rPr>
          <w:b/>
          <w:bCs/>
          <w:u w:val="single"/>
        </w:rPr>
        <w:lastRenderedPageBreak/>
        <w:t>INTRODUCTION</w:t>
      </w:r>
      <w:r w:rsidR="00AA363C">
        <w:rPr>
          <w:b/>
          <w:bCs/>
          <w:u w:val="single"/>
        </w:rPr>
        <w:fldChar w:fldCharType="begin"/>
      </w:r>
      <w:r w:rsidR="00AA363C">
        <w:instrText xml:space="preserve"> TC "</w:instrText>
      </w:r>
      <w:bookmarkStart w:id="1" w:name="_Toc239161567"/>
      <w:r w:rsidR="00AA363C" w:rsidRPr="00B31C18">
        <w:rPr>
          <w:b/>
          <w:bCs/>
          <w:u w:val="single"/>
        </w:rPr>
        <w:instrText>INTRODUCTION</w:instrText>
      </w:r>
      <w:bookmarkEnd w:id="1"/>
      <w:r w:rsidR="00AA363C">
        <w:instrText xml:space="preserve">" \f C \l "1" </w:instrText>
      </w:r>
      <w:r w:rsidR="00AA363C">
        <w:rPr>
          <w:b/>
          <w:bCs/>
          <w:u w:val="single"/>
        </w:rPr>
        <w:fldChar w:fldCharType="end"/>
      </w:r>
    </w:p>
    <w:p w14:paraId="09EA4F7C" w14:textId="53C54206" w:rsidR="0083428F" w:rsidRDefault="0083428F" w:rsidP="0083428F">
      <w:r>
        <w:tab/>
        <w:t>Emily Calloway</w:t>
      </w:r>
      <w:r w:rsidR="0058005E">
        <w:t xml:space="preserve"> (“Defendant”)</w:t>
      </w:r>
      <w:r>
        <w:t xml:space="preserve"> was indicted by a federal grand jury for the killing of a witness in violation of 18 U.S.C. § 1512(a)(1)(C</w:t>
      </w:r>
      <w:r w:rsidR="00D269A1">
        <w:t>)</w:t>
      </w:r>
      <w:r w:rsidR="00D269A1">
        <w:fldChar w:fldCharType="begin"/>
      </w:r>
      <w:r w:rsidR="00D269A1">
        <w:instrText xml:space="preserve"> TA \l "</w:instrText>
      </w:r>
      <w:r w:rsidR="00D269A1" w:rsidRPr="00503BF3">
        <w:instrText>18 U.S.C. § 1512(a)(1)(C)</w:instrText>
      </w:r>
      <w:r w:rsidR="00D269A1">
        <w:instrText xml:space="preserve">" \s "18 U.S.C. § 1512(a)(1)(C)" \c 2 </w:instrText>
      </w:r>
      <w:r w:rsidR="00D269A1">
        <w:fldChar w:fldCharType="end"/>
      </w:r>
      <w:r w:rsidR="00D269A1">
        <w:t xml:space="preserve"> </w:t>
      </w:r>
      <w:r>
        <w:t>and money laundering conspiracy in violation of 18 U.S.C. § 1956(h)</w:t>
      </w:r>
      <w:r w:rsidR="00D269A1">
        <w:fldChar w:fldCharType="begin"/>
      </w:r>
      <w:r w:rsidR="00D269A1">
        <w:instrText xml:space="preserve"> TA \l "</w:instrText>
      </w:r>
      <w:r w:rsidR="00D269A1" w:rsidRPr="00503BF3">
        <w:instrText>18 U.S.C. § 1956(h)</w:instrText>
      </w:r>
      <w:r w:rsidR="00D269A1">
        <w:instrText xml:space="preserve">" \s "18 U.S.C. § 1956(h)" \c 2 </w:instrText>
      </w:r>
      <w:r w:rsidR="00D269A1">
        <w:fldChar w:fldCharType="end"/>
      </w:r>
      <w:r>
        <w:t xml:space="preserve">. The indictment arose out of the money laundering conspiracy in which the </w:t>
      </w:r>
      <w:r w:rsidR="7E47A12B">
        <w:t>Defendant</w:t>
      </w:r>
      <w:r>
        <w:t xml:space="preserve"> was a co-conspirator beginning on or about September 2018 </w:t>
      </w:r>
      <w:proofErr w:type="gramStart"/>
      <w:r w:rsidR="002269E3">
        <w:t>through</w:t>
      </w:r>
      <w:r>
        <w:t xml:space="preserve"> </w:t>
      </w:r>
      <w:r w:rsidR="00ED1106">
        <w:t>on</w:t>
      </w:r>
      <w:proofErr w:type="gramEnd"/>
      <w:r w:rsidR="00ED1106">
        <w:t xml:space="preserve"> </w:t>
      </w:r>
      <w:r>
        <w:t xml:space="preserve">or about 2024. On December 12, 2023, the </w:t>
      </w:r>
      <w:r w:rsidR="7E47A12B">
        <w:t>Defendant</w:t>
      </w:r>
      <w:r>
        <w:t>, together with others, knowingly procured the killing of Daniel Blake</w:t>
      </w:r>
      <w:r w:rsidR="0058005E">
        <w:t xml:space="preserve"> (“Blake”)</w:t>
      </w:r>
      <w:r>
        <w:t xml:space="preserve"> to prevent communications with law enforcement about the </w:t>
      </w:r>
      <w:r w:rsidR="7E47A12B">
        <w:t>Defendant</w:t>
      </w:r>
      <w:r>
        <w:t xml:space="preserve">’s involvement with the money laundering scheme. On October 10, 2024, the </w:t>
      </w:r>
      <w:r w:rsidR="7E47A12B">
        <w:t>Defendant</w:t>
      </w:r>
      <w:r>
        <w:t xml:space="preserve"> testified in the case of </w:t>
      </w:r>
      <w:r w:rsidR="00E614BB" w:rsidRPr="00E614BB">
        <w:t>Case No. 2024-CF-00416</w:t>
      </w:r>
      <w:r w:rsidR="00E614BB">
        <w:rPr>
          <w:i/>
          <w:iCs/>
        </w:rPr>
        <w:t xml:space="preserve"> </w:t>
      </w:r>
      <w:r>
        <w:t xml:space="preserve">pursuant to a court order and received use and derivative use immunity for her testimony in compliance with 18 U.S.C. </w:t>
      </w:r>
      <w:r w:rsidR="0092206F">
        <w:t>§</w:t>
      </w:r>
      <w:r>
        <w:t>§ 6002,</w:t>
      </w:r>
      <w:r w:rsidR="0092206F">
        <w:t xml:space="preserve"> </w:t>
      </w:r>
      <w:r>
        <w:t>6003</w:t>
      </w:r>
      <w:r w:rsidR="00D269A1">
        <w:fldChar w:fldCharType="begin"/>
      </w:r>
      <w:r w:rsidR="00D269A1">
        <w:instrText xml:space="preserve"> TA \l "</w:instrText>
      </w:r>
      <w:r w:rsidR="00D269A1" w:rsidRPr="00503BF3">
        <w:instrText>18 U.S.C. §§ 6002, 6003</w:instrText>
      </w:r>
      <w:r w:rsidR="00D269A1">
        <w:instrText xml:space="preserve">" \s "18 U.S.C. §§ 6002, 6003" \c 2 </w:instrText>
      </w:r>
      <w:r w:rsidR="00D269A1">
        <w:fldChar w:fldCharType="end"/>
      </w:r>
      <w:r>
        <w:t xml:space="preserve">. </w:t>
      </w:r>
    </w:p>
    <w:p w14:paraId="6F6F7929" w14:textId="3C0B802A" w:rsidR="00A811EC" w:rsidRPr="00F91E65" w:rsidRDefault="0083428F" w:rsidP="00F91E65">
      <w:r>
        <w:tab/>
        <w:t xml:space="preserve">The </w:t>
      </w:r>
      <w:r w:rsidR="7E47A12B">
        <w:t>Defendant</w:t>
      </w:r>
      <w:r>
        <w:t xml:space="preserve"> moves to suppress two pieces of evidence pursuant to 18 U.S.C. §</w:t>
      </w:r>
      <w:r w:rsidR="0092206F">
        <w:t xml:space="preserve">§ </w:t>
      </w:r>
      <w:r>
        <w:t>6002,</w:t>
      </w:r>
      <w:r w:rsidR="0092206F">
        <w:t xml:space="preserve"> </w:t>
      </w:r>
      <w:r>
        <w:t>6003</w:t>
      </w:r>
      <w:r w:rsidR="00D269A1">
        <w:fldChar w:fldCharType="begin"/>
      </w:r>
      <w:r w:rsidR="00D269A1">
        <w:instrText xml:space="preserve"> TA \s "18 U.S.C. §§ 6002, 6003" </w:instrText>
      </w:r>
      <w:r w:rsidR="00D269A1">
        <w:fldChar w:fldCharType="end"/>
      </w:r>
      <w:r w:rsidR="00D269A1">
        <w:fldChar w:fldCharType="begin"/>
      </w:r>
      <w:r w:rsidR="00D269A1">
        <w:instrText xml:space="preserve"> TA \s "18 U.S.C. §§ 6002, 6003" </w:instrText>
      </w:r>
      <w:r w:rsidR="00D269A1">
        <w:fldChar w:fldCharType="end"/>
      </w:r>
      <w:r>
        <w:t xml:space="preserve">: (1) bank records identifying the </w:t>
      </w:r>
      <w:r w:rsidR="7E47A12B">
        <w:t>Defendant</w:t>
      </w:r>
      <w:r>
        <w:t xml:space="preserve"> as the owner of an offshore bank account, </w:t>
      </w:r>
      <w:r w:rsidR="00A502CE">
        <w:t>herein</w:t>
      </w:r>
      <w:r w:rsidR="00976656">
        <w:t xml:space="preserve"> enclosed as </w:t>
      </w:r>
      <w:r>
        <w:t>Exhibit 19</w:t>
      </w:r>
      <w:r w:rsidR="00E007FE">
        <w:t>,</w:t>
      </w:r>
      <w:r>
        <w:t xml:space="preserve"> and (2) the testimony of witness Kennedy Parker</w:t>
      </w:r>
      <w:r w:rsidR="0058005E">
        <w:t xml:space="preserve"> (“Parker”)</w:t>
      </w:r>
      <w:r>
        <w:t xml:space="preserve">. </w:t>
      </w:r>
      <w:r w:rsidR="3B6C5E64">
        <w:t xml:space="preserve">The Defendant also moves to quash the subpoena on Armana ordering the production of </w:t>
      </w:r>
      <w:proofErr w:type="gramStart"/>
      <w:r w:rsidR="3B6C5E64">
        <w:t xml:space="preserve">any and </w:t>
      </w:r>
      <w:r w:rsidR="1A3740C5">
        <w:t>all</w:t>
      </w:r>
      <w:proofErr w:type="gramEnd"/>
      <w:r w:rsidR="1A3740C5">
        <w:t xml:space="preserve"> records of </w:t>
      </w:r>
      <w:r w:rsidR="0058005E">
        <w:t xml:space="preserve">Maddox </w:t>
      </w:r>
      <w:r w:rsidR="1A3740C5">
        <w:t>Armana’s</w:t>
      </w:r>
      <w:r w:rsidR="0058005E">
        <w:t xml:space="preserve"> (“Armana”)</w:t>
      </w:r>
      <w:r w:rsidR="1A3740C5">
        <w:t xml:space="preserve"> February 15, 2024, interview with Sierra Seton</w:t>
      </w:r>
      <w:r w:rsidR="0058005E">
        <w:t xml:space="preserve"> (“Seton”)</w:t>
      </w:r>
      <w:r w:rsidR="2EE6EBA8">
        <w:t>, the former operations manager of a</w:t>
      </w:r>
      <w:r w:rsidR="53DE92EA">
        <w:t xml:space="preserve"> principal payee of </w:t>
      </w:r>
      <w:r w:rsidR="2EE6EBA8">
        <w:t>Silver Palms</w:t>
      </w:r>
      <w:r w:rsidR="1A3740C5">
        <w:t xml:space="preserve">. </w:t>
      </w:r>
      <w:r>
        <w:t xml:space="preserve">For the reasons set forth below, the </w:t>
      </w:r>
      <w:r w:rsidR="7E47A12B">
        <w:t>Defendant</w:t>
      </w:r>
      <w:r>
        <w:t xml:space="preserve">’s </w:t>
      </w:r>
      <w:r w:rsidR="4C8E2E2D">
        <w:t xml:space="preserve">Motion to Suppress Evidence and Motion to Quash United States </w:t>
      </w:r>
      <w:r w:rsidR="2F62903C">
        <w:t xml:space="preserve">Subpoena </w:t>
      </w:r>
      <w:r w:rsidR="4C8E2E2D">
        <w:t xml:space="preserve">Duces </w:t>
      </w:r>
      <w:r w:rsidR="6E8D901D">
        <w:t>Tecum</w:t>
      </w:r>
      <w:r>
        <w:t xml:space="preserve"> should be denied in its entirety.</w:t>
      </w:r>
      <w:r w:rsidR="00A811EC">
        <w:rPr>
          <w:b/>
          <w:bCs/>
          <w:u w:val="single"/>
        </w:rPr>
        <w:br w:type="page"/>
      </w:r>
    </w:p>
    <w:p w14:paraId="4E5CADAA" w14:textId="4CCD22BF" w:rsidR="0083428F" w:rsidRDefault="0083428F" w:rsidP="0083428F">
      <w:pPr>
        <w:jc w:val="center"/>
        <w:rPr>
          <w:b/>
          <w:bCs/>
          <w:u w:val="single"/>
        </w:rPr>
      </w:pPr>
      <w:r w:rsidRPr="56C3E658">
        <w:rPr>
          <w:b/>
          <w:bCs/>
          <w:u w:val="single"/>
        </w:rPr>
        <w:lastRenderedPageBreak/>
        <w:t>STATEMENT OF FACTS</w:t>
      </w:r>
      <w:r w:rsidR="00AA363C">
        <w:rPr>
          <w:b/>
          <w:bCs/>
          <w:u w:val="single"/>
        </w:rPr>
        <w:fldChar w:fldCharType="begin"/>
      </w:r>
      <w:r w:rsidR="00AA363C">
        <w:instrText xml:space="preserve"> TC "</w:instrText>
      </w:r>
      <w:bookmarkStart w:id="2" w:name="_Toc239161568"/>
      <w:r w:rsidR="00AA363C" w:rsidRPr="006D4C64">
        <w:rPr>
          <w:b/>
          <w:bCs/>
          <w:u w:val="single"/>
        </w:rPr>
        <w:instrText>STATEMENT OF FACTS</w:instrText>
      </w:r>
      <w:bookmarkEnd w:id="2"/>
      <w:r w:rsidR="00AA363C">
        <w:instrText xml:space="preserve">" \f C \l "1" </w:instrText>
      </w:r>
      <w:r w:rsidR="00AA363C">
        <w:rPr>
          <w:b/>
          <w:bCs/>
          <w:u w:val="single"/>
        </w:rPr>
        <w:fldChar w:fldCharType="end"/>
      </w:r>
    </w:p>
    <w:p w14:paraId="52B73C40" w14:textId="0558EFD7" w:rsidR="000D7D61" w:rsidRDefault="0083428F" w:rsidP="0083428F">
      <w:r>
        <w:tab/>
      </w:r>
      <w:r w:rsidR="00166B40">
        <w:t xml:space="preserve">In </w:t>
      </w:r>
      <w:r w:rsidR="00FA7F41">
        <w:t>Sep</w:t>
      </w:r>
      <w:r w:rsidR="00E0541D">
        <w:t>t</w:t>
      </w:r>
      <w:r w:rsidR="007B369A">
        <w:t xml:space="preserve">ember </w:t>
      </w:r>
      <w:r>
        <w:t>2018, Saint Donovan</w:t>
      </w:r>
      <w:r w:rsidR="0095294C">
        <w:t xml:space="preserve"> (“Donovan”)</w:t>
      </w:r>
      <w:r>
        <w:t xml:space="preserve"> and the </w:t>
      </w:r>
      <w:r w:rsidR="006C3F9C">
        <w:t>D</w:t>
      </w:r>
      <w:r>
        <w:t xml:space="preserve">efendant </w:t>
      </w:r>
      <w:r w:rsidR="61808484">
        <w:t>entered</w:t>
      </w:r>
      <w:r>
        <w:t xml:space="preserve"> a 50/50 partnership in Silver Palms</w:t>
      </w:r>
      <w:r w:rsidR="00836484">
        <w:t>, a l</w:t>
      </w:r>
      <w:r w:rsidR="0085612E">
        <w:t xml:space="preserve">uxury </w:t>
      </w:r>
      <w:r w:rsidR="005A46B2">
        <w:t>resort</w:t>
      </w:r>
      <w:r w:rsidR="09C4605B">
        <w:t xml:space="preserve"> known for exclusive restaurants, private villas, and other </w:t>
      </w:r>
      <w:r w:rsidR="25F4F067">
        <w:t>impressive</w:t>
      </w:r>
      <w:r w:rsidR="09C4605B">
        <w:t xml:space="preserve"> amenities</w:t>
      </w:r>
      <w:r w:rsidR="00C61A66">
        <w:t>.</w:t>
      </w:r>
      <w:r>
        <w:t xml:space="preserve"> </w:t>
      </w:r>
      <w:r w:rsidR="00E81CB7">
        <w:t>Si</w:t>
      </w:r>
      <w:r w:rsidR="00F747D8">
        <w:t>nclair Dep.</w:t>
      </w:r>
      <w:r w:rsidR="00B90ED0">
        <w:t xml:space="preserve"> </w:t>
      </w:r>
      <w:r w:rsidR="3C6DA318">
        <w:t xml:space="preserve">8:32–37, </w:t>
      </w:r>
      <w:r w:rsidR="00B90ED0">
        <w:t>1</w:t>
      </w:r>
      <w:r w:rsidR="00AD779B">
        <w:t>0:</w:t>
      </w:r>
      <w:r>
        <w:t>77–78</w:t>
      </w:r>
      <w:r w:rsidR="00C9264B">
        <w:t>.</w:t>
      </w:r>
      <w:r>
        <w:t xml:space="preserve"> </w:t>
      </w:r>
    </w:p>
    <w:p w14:paraId="77789B25" w14:textId="0530DF7D" w:rsidR="000D7D61" w:rsidRDefault="000D7D61" w:rsidP="0083428F">
      <w:r>
        <w:tab/>
      </w:r>
      <w:r w:rsidR="0083428F">
        <w:t xml:space="preserve">In October 2023, the Silver Palms accountant, Blake, </w:t>
      </w:r>
      <w:r w:rsidR="007525D9">
        <w:t>uncovered</w:t>
      </w:r>
      <w:r w:rsidR="0083428F">
        <w:t xml:space="preserve"> </w:t>
      </w:r>
      <w:r w:rsidR="00E6574B">
        <w:t>un</w:t>
      </w:r>
      <w:r w:rsidR="00AD3DD6">
        <w:t>usual</w:t>
      </w:r>
      <w:r w:rsidR="0083428F">
        <w:t xml:space="preserve"> expense patterns</w:t>
      </w:r>
      <w:r w:rsidR="001D386E">
        <w:t xml:space="preserve"> </w:t>
      </w:r>
      <w:r w:rsidR="00AC1AE3">
        <w:t>i</w:t>
      </w:r>
      <w:r w:rsidR="009E23A0">
        <w:t>llustr</w:t>
      </w:r>
      <w:r w:rsidR="00963A5D">
        <w:t>ating</w:t>
      </w:r>
      <w:r w:rsidR="0083428F">
        <w:t xml:space="preserve"> millions of dollars in irregularities. </w:t>
      </w:r>
      <w:r w:rsidR="000B6221">
        <w:t>Sinc</w:t>
      </w:r>
      <w:r w:rsidR="000152F3">
        <w:t>lair Dep.</w:t>
      </w:r>
      <w:r w:rsidR="002D30D1">
        <w:t xml:space="preserve"> </w:t>
      </w:r>
      <w:r w:rsidR="00087AB0">
        <w:t>10:</w:t>
      </w:r>
      <w:r w:rsidR="0083428F">
        <w:t>9</w:t>
      </w:r>
      <w:r w:rsidR="00F31B92">
        <w:t>6</w:t>
      </w:r>
      <w:r w:rsidR="0083428F">
        <w:t>–99.</w:t>
      </w:r>
      <w:r w:rsidR="00894A9F">
        <w:t xml:space="preserve"> Soon after</w:t>
      </w:r>
      <w:r w:rsidR="0083428F">
        <w:t xml:space="preserve">, </w:t>
      </w:r>
      <w:r w:rsidR="002E00F4">
        <w:t xml:space="preserve">because of </w:t>
      </w:r>
      <w:r w:rsidR="006204AE">
        <w:t xml:space="preserve">the large </w:t>
      </w:r>
      <w:proofErr w:type="gramStart"/>
      <w:r w:rsidR="00DD50C9">
        <w:t>do</w:t>
      </w:r>
      <w:r w:rsidR="00894C95">
        <w:t xml:space="preserve">llar </w:t>
      </w:r>
      <w:r w:rsidR="002C66E5">
        <w:t>amo</w:t>
      </w:r>
      <w:r w:rsidR="001E7381">
        <w:t>unt</w:t>
      </w:r>
      <w:proofErr w:type="gramEnd"/>
      <w:r w:rsidR="005A0D12">
        <w:t>,</w:t>
      </w:r>
      <w:r w:rsidR="00CC18DF">
        <w:t xml:space="preserve"> </w:t>
      </w:r>
      <w:r w:rsidR="0083428F">
        <w:t>federal law enforcement met with Blake to discuss his findings.</w:t>
      </w:r>
      <w:r w:rsidR="006211F4">
        <w:t xml:space="preserve"> </w:t>
      </w:r>
      <w:r w:rsidR="00AF5118">
        <w:t>Sinclair Dep</w:t>
      </w:r>
      <w:r w:rsidR="000356CE">
        <w:t>.</w:t>
      </w:r>
      <w:r w:rsidR="0083428F">
        <w:t xml:space="preserve"> </w:t>
      </w:r>
      <w:r w:rsidR="001D15B6">
        <w:t>10:</w:t>
      </w:r>
      <w:r w:rsidR="0083428F">
        <w:t>103.</w:t>
      </w:r>
      <w:r>
        <w:t xml:space="preserve"> </w:t>
      </w:r>
      <w:r w:rsidR="00DD0AC9">
        <w:t xml:space="preserve">Concerned, </w:t>
      </w:r>
      <w:r w:rsidR="00C4010E">
        <w:t>Blake</w:t>
      </w:r>
      <w:r w:rsidR="0083428F">
        <w:t xml:space="preserve"> confronted the </w:t>
      </w:r>
      <w:r w:rsidR="004A5986">
        <w:t>D</w:t>
      </w:r>
      <w:r w:rsidR="0083428F">
        <w:t xml:space="preserve">efendant </w:t>
      </w:r>
      <w:r w:rsidR="00004559">
        <w:t xml:space="preserve">twice </w:t>
      </w:r>
      <w:r w:rsidR="0083428F">
        <w:t>about the suspicious vendor invoices.</w:t>
      </w:r>
      <w:r w:rsidR="002937FC">
        <w:t xml:space="preserve"> </w:t>
      </w:r>
      <w:r w:rsidR="00F712AB">
        <w:t>S</w:t>
      </w:r>
      <w:r w:rsidR="000E6854">
        <w:t xml:space="preserve">inclair </w:t>
      </w:r>
      <w:r w:rsidR="000E52B8">
        <w:t xml:space="preserve">Dep. </w:t>
      </w:r>
      <w:r w:rsidR="00E82D9B">
        <w:t>12:</w:t>
      </w:r>
      <w:r w:rsidR="00496E2A">
        <w:t>190</w:t>
      </w:r>
      <w:r w:rsidR="00476C1B">
        <w:t>–</w:t>
      </w:r>
      <w:r w:rsidR="00FE4963">
        <w:t>94</w:t>
      </w:r>
      <w:r w:rsidR="0093275F">
        <w:t xml:space="preserve">. </w:t>
      </w:r>
      <w:r w:rsidR="0083428F">
        <w:t xml:space="preserve">The </w:t>
      </w:r>
      <w:r w:rsidR="007A4382">
        <w:t>D</w:t>
      </w:r>
      <w:r w:rsidR="0083428F">
        <w:t xml:space="preserve">efendant </w:t>
      </w:r>
      <w:r w:rsidR="00107877">
        <w:t>g</w:t>
      </w:r>
      <w:r w:rsidR="00F94885">
        <w:t>rew furious</w:t>
      </w:r>
      <w:r w:rsidR="00CF42C6">
        <w:t xml:space="preserve"> with </w:t>
      </w:r>
      <w:r w:rsidR="009119AB">
        <w:t>Bla</w:t>
      </w:r>
      <w:r w:rsidR="00BB2A34">
        <w:t xml:space="preserve">ke, telling </w:t>
      </w:r>
      <w:r w:rsidR="0083428F">
        <w:t>him to approve the charges</w:t>
      </w:r>
      <w:r w:rsidR="00593260">
        <w:t xml:space="preserve"> and</w:t>
      </w:r>
      <w:r w:rsidR="00645E0A">
        <w:t xml:space="preserve"> to</w:t>
      </w:r>
      <w:r w:rsidR="00593260">
        <w:t xml:space="preserve"> </w:t>
      </w:r>
      <w:r w:rsidR="00A31C8A">
        <w:t>“</w:t>
      </w:r>
      <w:r w:rsidR="005745A5">
        <w:t>leave it alone</w:t>
      </w:r>
      <w:r w:rsidR="0083428F">
        <w:t>.</w:t>
      </w:r>
      <w:r w:rsidR="00586813">
        <w:t>”</w:t>
      </w:r>
      <w:r w:rsidR="007D126F">
        <w:t xml:space="preserve"> </w:t>
      </w:r>
      <w:r w:rsidR="00EA751F">
        <w:t xml:space="preserve">Sinclair Dep. 12:190–94. </w:t>
      </w:r>
    </w:p>
    <w:p w14:paraId="3007CE40" w14:textId="192960F5" w:rsidR="00911353" w:rsidRPr="00794E97" w:rsidRDefault="000D7D61" w:rsidP="00911353">
      <w:r>
        <w:tab/>
      </w:r>
      <w:r w:rsidR="0083428F">
        <w:t>On December 9</w:t>
      </w:r>
      <w:r w:rsidR="000DEC25">
        <w:t>,</w:t>
      </w:r>
      <w:r w:rsidR="004F51D8">
        <w:t xml:space="preserve"> </w:t>
      </w:r>
      <w:r w:rsidR="0083428F">
        <w:t>2023</w:t>
      </w:r>
      <w:r w:rsidR="00D81677">
        <w:t xml:space="preserve">, </w:t>
      </w:r>
      <w:r w:rsidR="0083428F">
        <w:t xml:space="preserve">Blake called </w:t>
      </w:r>
      <w:r w:rsidR="009D53C6">
        <w:t>t</w:t>
      </w:r>
      <w:r w:rsidR="000021E4">
        <w:t xml:space="preserve">he </w:t>
      </w:r>
      <w:r w:rsidR="0083428F">
        <w:t xml:space="preserve">investigators </w:t>
      </w:r>
      <w:r w:rsidR="001A7BF8">
        <w:t>with a</w:t>
      </w:r>
      <w:r w:rsidR="00226D4A">
        <w:t xml:space="preserve"> </w:t>
      </w:r>
      <w:r w:rsidR="0083428F">
        <w:t xml:space="preserve">breakthrough identifying the owner of </w:t>
      </w:r>
      <w:proofErr w:type="gramStart"/>
      <w:r w:rsidR="0083428F">
        <w:t>the Coastal</w:t>
      </w:r>
      <w:proofErr w:type="gramEnd"/>
      <w:r w:rsidR="0083428F">
        <w:t xml:space="preserve"> account</w:t>
      </w:r>
      <w:r>
        <w:t>, one of the shell vendors</w:t>
      </w:r>
      <w:r w:rsidR="0083428F">
        <w:t xml:space="preserve">. </w:t>
      </w:r>
      <w:r w:rsidR="00D66879">
        <w:t>S</w:t>
      </w:r>
      <w:r w:rsidR="0021503E">
        <w:t>inc</w:t>
      </w:r>
      <w:r w:rsidR="00B40778">
        <w:t>lair De</w:t>
      </w:r>
      <w:r w:rsidR="007E3CA7">
        <w:t xml:space="preserve">p. </w:t>
      </w:r>
      <w:r w:rsidR="006E72D3">
        <w:t>1</w:t>
      </w:r>
      <w:r w:rsidR="001F2335">
        <w:t>3</w:t>
      </w:r>
      <w:r w:rsidR="005C259C">
        <w:t>:</w:t>
      </w:r>
      <w:r w:rsidR="009E7354">
        <w:t>199</w:t>
      </w:r>
      <w:r w:rsidR="00C11B4F">
        <w:t>–</w:t>
      </w:r>
      <w:r w:rsidR="00E66F0A">
        <w:t>20</w:t>
      </w:r>
      <w:r w:rsidR="00C11B4F">
        <w:t xml:space="preserve">6. </w:t>
      </w:r>
      <w:r w:rsidR="002C290C">
        <w:t>On December 10</w:t>
      </w:r>
      <w:r w:rsidR="002C290C" w:rsidRPr="002C290C">
        <w:rPr>
          <w:vertAlign w:val="superscript"/>
        </w:rPr>
        <w:t>,</w:t>
      </w:r>
      <w:r w:rsidR="00196BA5">
        <w:t xml:space="preserve"> at the </w:t>
      </w:r>
      <w:bookmarkStart w:id="3" w:name="_Int_kzVcdZiC"/>
      <w:r w:rsidR="00196BA5">
        <w:t>employee</w:t>
      </w:r>
      <w:bookmarkEnd w:id="3"/>
      <w:r w:rsidR="00196BA5">
        <w:t xml:space="preserve"> Christmas party,</w:t>
      </w:r>
      <w:r w:rsidR="002C290C">
        <w:t xml:space="preserve"> </w:t>
      </w:r>
      <w:r w:rsidR="00AF0D8F">
        <w:t xml:space="preserve">Blake and the Defendant got into </w:t>
      </w:r>
      <w:r w:rsidR="00BF2D7A">
        <w:t xml:space="preserve">a </w:t>
      </w:r>
      <w:r w:rsidR="004137BC">
        <w:t xml:space="preserve">fight about </w:t>
      </w:r>
      <w:proofErr w:type="gramStart"/>
      <w:r w:rsidR="004137BC">
        <w:t xml:space="preserve">the </w:t>
      </w:r>
      <w:r w:rsidR="00BF2D7A">
        <w:t>fraudulent</w:t>
      </w:r>
      <w:proofErr w:type="gramEnd"/>
      <w:r w:rsidR="00BF2D7A">
        <w:t xml:space="preserve"> payments</w:t>
      </w:r>
      <w:r w:rsidR="00196BA5">
        <w:t xml:space="preserve">. </w:t>
      </w:r>
      <w:r w:rsidR="00746E3D">
        <w:t>Parker Dep. 38:</w:t>
      </w:r>
      <w:r w:rsidR="003212C4">
        <w:t>176</w:t>
      </w:r>
      <w:r w:rsidR="00875F50">
        <w:t>–89.</w:t>
      </w:r>
      <w:r w:rsidR="00196BA5">
        <w:t xml:space="preserve"> </w:t>
      </w:r>
      <w:r w:rsidR="00911353">
        <w:t xml:space="preserve">On December 12, Blake was murdered before he could meet with </w:t>
      </w:r>
      <w:r w:rsidR="00645E0A">
        <w:t>law enforcement</w:t>
      </w:r>
      <w:r w:rsidR="00911353">
        <w:t>.</w:t>
      </w:r>
      <w:r w:rsidR="0083428F">
        <w:t xml:space="preserve"> </w:t>
      </w:r>
      <w:r w:rsidR="000C4887">
        <w:t xml:space="preserve">Sinclair </w:t>
      </w:r>
      <w:r w:rsidR="00491734">
        <w:t>Dep</w:t>
      </w:r>
      <w:r w:rsidR="00903F1A">
        <w:t xml:space="preserve">. </w:t>
      </w:r>
      <w:r w:rsidR="001A1CE9">
        <w:t>13</w:t>
      </w:r>
      <w:r w:rsidR="00C37B4D">
        <w:t>:</w:t>
      </w:r>
      <w:r w:rsidR="00AC405E">
        <w:t>21</w:t>
      </w:r>
      <w:r w:rsidR="003845E2">
        <w:t>6</w:t>
      </w:r>
      <w:r w:rsidR="00944335">
        <w:t>–</w:t>
      </w:r>
      <w:r w:rsidR="005C6BBA">
        <w:t>17</w:t>
      </w:r>
      <w:r w:rsidR="009E1A6C">
        <w:t>.</w:t>
      </w:r>
      <w:r w:rsidR="00911353">
        <w:t xml:space="preserve"> The following investigation revealed Donovan </w:t>
      </w:r>
      <w:r w:rsidR="00470773">
        <w:t>orchestrated</w:t>
      </w:r>
      <w:r w:rsidR="00911353">
        <w:t xml:space="preserve"> the murder, and he was arrested for homicide. Sinclair Dep. 14:256–15:</w:t>
      </w:r>
      <w:r w:rsidR="629DC99A">
        <w:t>2</w:t>
      </w:r>
      <w:r w:rsidR="00911353">
        <w:t xml:space="preserve">77. </w:t>
      </w:r>
    </w:p>
    <w:p w14:paraId="0AB8E37D" w14:textId="6D824B26" w:rsidR="00DA660D" w:rsidRDefault="00DA660D" w:rsidP="0083428F">
      <w:r>
        <w:tab/>
      </w:r>
      <w:r w:rsidR="00AD1554">
        <w:t xml:space="preserve">In the </w:t>
      </w:r>
      <w:r w:rsidR="00425709">
        <w:t>months</w:t>
      </w:r>
      <w:r w:rsidR="00AD1554">
        <w:t xml:space="preserve"> leading u</w:t>
      </w:r>
      <w:r w:rsidR="006C601A">
        <w:t>p to</w:t>
      </w:r>
      <w:r w:rsidR="006C2C37">
        <w:t xml:space="preserve"> </w:t>
      </w:r>
      <w:r w:rsidR="00017E9C">
        <w:t>Donovan’s</w:t>
      </w:r>
      <w:r w:rsidR="008204BB">
        <w:t xml:space="preserve"> </w:t>
      </w:r>
      <w:r w:rsidR="00AE51D5">
        <w:t xml:space="preserve">trial, the </w:t>
      </w:r>
      <w:r w:rsidR="004A515E">
        <w:t xml:space="preserve">investigative </w:t>
      </w:r>
      <w:r w:rsidR="00A51028">
        <w:t>team</w:t>
      </w:r>
      <w:r w:rsidR="002A021D">
        <w:t xml:space="preserve"> </w:t>
      </w:r>
      <w:r w:rsidR="00AA0059">
        <w:t xml:space="preserve">needed </w:t>
      </w:r>
      <w:r w:rsidR="00117839">
        <w:t>somebody who</w:t>
      </w:r>
      <w:r w:rsidR="008774E8">
        <w:t xml:space="preserve"> could </w:t>
      </w:r>
      <w:r w:rsidR="00750CF4">
        <w:t>explain</w:t>
      </w:r>
      <w:r w:rsidR="00B52F40">
        <w:t xml:space="preserve"> the </w:t>
      </w:r>
      <w:r w:rsidR="00264F39">
        <w:t xml:space="preserve">structure of </w:t>
      </w:r>
      <w:r w:rsidR="00B8437E">
        <w:t xml:space="preserve">the </w:t>
      </w:r>
      <w:r w:rsidR="00610EAC">
        <w:t xml:space="preserve">fraud scheme. </w:t>
      </w:r>
      <w:r w:rsidR="00F959EF">
        <w:t>Nolan</w:t>
      </w:r>
      <w:r w:rsidR="009F474C">
        <w:t xml:space="preserve"> </w:t>
      </w:r>
      <w:r w:rsidR="00B25C2A">
        <w:t>Dep</w:t>
      </w:r>
      <w:r w:rsidR="00E5021F">
        <w:t xml:space="preserve">. </w:t>
      </w:r>
      <w:r w:rsidR="00884D35">
        <w:t>28:</w:t>
      </w:r>
      <w:r w:rsidR="009D6328">
        <w:t>17</w:t>
      </w:r>
      <w:r w:rsidR="00C2310A">
        <w:t>6</w:t>
      </w:r>
      <w:r w:rsidR="006562AB">
        <w:t>–81</w:t>
      </w:r>
      <w:r w:rsidR="00DD3478">
        <w:t>.</w:t>
      </w:r>
      <w:r w:rsidR="005A3F78">
        <w:t xml:space="preserve"> </w:t>
      </w:r>
      <w:r w:rsidR="00AA29E0">
        <w:lastRenderedPageBreak/>
        <w:t>The</w:t>
      </w:r>
      <w:r w:rsidR="00D248FA">
        <w:t>y</w:t>
      </w:r>
      <w:r w:rsidR="009F1F6C">
        <w:t xml:space="preserve"> deci</w:t>
      </w:r>
      <w:r w:rsidR="00AF74AE">
        <w:t xml:space="preserve">ded to </w:t>
      </w:r>
      <w:r w:rsidR="00283FF1">
        <w:t xml:space="preserve">compel </w:t>
      </w:r>
      <w:r w:rsidR="00A84196">
        <w:t>the Defen</w:t>
      </w:r>
      <w:r w:rsidR="00FA3969">
        <w:t>dant’s testimony</w:t>
      </w:r>
      <w:r w:rsidR="00900B1B">
        <w:t xml:space="preserve"> </w:t>
      </w:r>
      <w:r w:rsidR="005B50C7">
        <w:t>and</w:t>
      </w:r>
      <w:r w:rsidR="00E23AA4">
        <w:t xml:space="preserve"> split </w:t>
      </w:r>
      <w:r w:rsidR="00491586">
        <w:t>into</w:t>
      </w:r>
      <w:r w:rsidR="00E23AA4">
        <w:t xml:space="preserve"> two</w:t>
      </w:r>
      <w:r w:rsidR="00091961">
        <w:t xml:space="preserve"> inve</w:t>
      </w:r>
      <w:r w:rsidR="00303813">
        <w:t>stigative</w:t>
      </w:r>
      <w:r w:rsidR="00E23AA4">
        <w:t xml:space="preserve"> </w:t>
      </w:r>
      <w:r w:rsidR="00F54134">
        <w:t xml:space="preserve">teams. </w:t>
      </w:r>
      <w:r w:rsidR="005A3767">
        <w:t>Nola</w:t>
      </w:r>
      <w:r w:rsidR="001A4687">
        <w:t>n Dep.</w:t>
      </w:r>
      <w:r w:rsidR="00C723B0">
        <w:t xml:space="preserve"> </w:t>
      </w:r>
      <w:r w:rsidR="005F70E4">
        <w:t>182</w:t>
      </w:r>
      <w:r w:rsidR="00C07CC0">
        <w:t>–85.</w:t>
      </w:r>
      <w:r w:rsidR="00210015">
        <w:t xml:space="preserve"> </w:t>
      </w:r>
      <w:r w:rsidR="00A059D4">
        <w:t>Underst</w:t>
      </w:r>
      <w:r w:rsidR="002A7DBE">
        <w:t>anding the im</w:t>
      </w:r>
      <w:r w:rsidR="00261B9B">
        <w:t>plications</w:t>
      </w:r>
      <w:r w:rsidR="002B6389">
        <w:t xml:space="preserve"> of compell</w:t>
      </w:r>
      <w:r w:rsidR="00616944">
        <w:t xml:space="preserve">ed </w:t>
      </w:r>
      <w:r w:rsidR="00B65B54">
        <w:t>testimony</w:t>
      </w:r>
      <w:r w:rsidR="00AC7AB1">
        <w:t>,</w:t>
      </w:r>
      <w:r w:rsidR="00B04F4B">
        <w:t xml:space="preserve"> </w:t>
      </w:r>
      <w:r w:rsidR="004E615F">
        <w:t xml:space="preserve">the </w:t>
      </w:r>
      <w:r w:rsidR="00B04F4B">
        <w:t xml:space="preserve">teams </w:t>
      </w:r>
      <w:r w:rsidR="00107F58">
        <w:t>walled off</w:t>
      </w:r>
      <w:r w:rsidR="00E209C7">
        <w:t xml:space="preserve"> from </w:t>
      </w:r>
      <w:r w:rsidR="00107F58">
        <w:t>each other</w:t>
      </w:r>
      <w:r w:rsidR="00576F7D">
        <w:t>,</w:t>
      </w:r>
      <w:r w:rsidR="00983A0C">
        <w:t xml:space="preserve"> meaning the</w:t>
      </w:r>
      <w:r w:rsidR="00906E0D">
        <w:t xml:space="preserve"> team </w:t>
      </w:r>
      <w:r w:rsidR="00EF21AD">
        <w:t>investigatin</w:t>
      </w:r>
      <w:r w:rsidR="00F44B75">
        <w:t>g the Defend</w:t>
      </w:r>
      <w:r w:rsidR="003A147F">
        <w:t xml:space="preserve">ant </w:t>
      </w:r>
      <w:r w:rsidR="009F022E">
        <w:t>had no</w:t>
      </w:r>
      <w:r w:rsidR="006E2130">
        <w:t xml:space="preserve"> </w:t>
      </w:r>
      <w:r w:rsidR="00CA5AF4">
        <w:t>ac</w:t>
      </w:r>
      <w:r w:rsidR="00A307DD">
        <w:t xml:space="preserve">cess to </w:t>
      </w:r>
      <w:r w:rsidR="00B179AD">
        <w:t>the</w:t>
      </w:r>
      <w:r w:rsidR="00CC6747">
        <w:t xml:space="preserve"> compelled tes</w:t>
      </w:r>
      <w:r w:rsidR="00AC5EF9">
        <w:t>timon</w:t>
      </w:r>
      <w:r w:rsidR="00E72E9E">
        <w:t xml:space="preserve">y. </w:t>
      </w:r>
      <w:r w:rsidR="003459AC">
        <w:t>Nolan Dep. 28:</w:t>
      </w:r>
      <w:r w:rsidR="00633F54">
        <w:t>185</w:t>
      </w:r>
      <w:r w:rsidR="0033603E">
        <w:t>–88</w:t>
      </w:r>
      <w:r w:rsidR="005228CD">
        <w:t>; R</w:t>
      </w:r>
      <w:r w:rsidR="00B37FF8">
        <w:t xml:space="preserve">. at </w:t>
      </w:r>
      <w:r w:rsidR="003D1DE7">
        <w:t xml:space="preserve">68. </w:t>
      </w:r>
      <w:r w:rsidR="00D14F18">
        <w:t xml:space="preserve">On </w:t>
      </w:r>
      <w:r w:rsidR="00971D5E">
        <w:t xml:space="preserve">August </w:t>
      </w:r>
      <w:r w:rsidR="00726970">
        <w:t xml:space="preserve">22, 2024, </w:t>
      </w:r>
      <w:r w:rsidR="00FA6686">
        <w:t>the teams</w:t>
      </w:r>
      <w:r w:rsidR="00270088">
        <w:t xml:space="preserve"> formall</w:t>
      </w:r>
      <w:r w:rsidR="000B6101">
        <w:t xml:space="preserve">y </w:t>
      </w:r>
      <w:r w:rsidR="00E10EB8">
        <w:t>sep</w:t>
      </w:r>
      <w:r w:rsidR="00E050EC">
        <w:t>arated</w:t>
      </w:r>
      <w:r w:rsidR="00A07461">
        <w:t xml:space="preserve"> with Agent Nolan (“Nolan”) spearheading the Defendant’s investigation. Nolan Dep. 28:214–20. They outlined</w:t>
      </w:r>
      <w:r w:rsidR="0097637D">
        <w:t xml:space="preserve"> their internal </w:t>
      </w:r>
      <w:r w:rsidR="004A1006">
        <w:t>proce</w:t>
      </w:r>
      <w:r w:rsidR="00B92901">
        <w:t>du</w:t>
      </w:r>
      <w:r w:rsidR="007457F0">
        <w:t>res in a for</w:t>
      </w:r>
      <w:r w:rsidR="00053E63">
        <w:t>mal mem</w:t>
      </w:r>
      <w:r w:rsidR="00D018F4">
        <w:t>o</w:t>
      </w:r>
      <w:r w:rsidR="00E43209">
        <w:t xml:space="preserve">. </w:t>
      </w:r>
      <w:r w:rsidR="00A07461">
        <w:t xml:space="preserve">R. at </w:t>
      </w:r>
      <w:r w:rsidR="008A1E8E">
        <w:t>68</w:t>
      </w:r>
      <w:r w:rsidR="002B2B74">
        <w:t xml:space="preserve">. </w:t>
      </w:r>
      <w:r w:rsidR="00966DE9">
        <w:t>T</w:t>
      </w:r>
      <w:r w:rsidR="00501A5D">
        <w:t xml:space="preserve">his was the last time </w:t>
      </w:r>
      <w:r w:rsidR="00D25941">
        <w:t>the teams di</w:t>
      </w:r>
      <w:r w:rsidR="00152297">
        <w:t>scusse</w:t>
      </w:r>
      <w:r w:rsidR="00A07C76">
        <w:t>d the cases w</w:t>
      </w:r>
      <w:r w:rsidR="00C62160">
        <w:t xml:space="preserve">ith </w:t>
      </w:r>
      <w:r w:rsidR="005D487C">
        <w:t>each other</w:t>
      </w:r>
      <w:r w:rsidR="00376EE8">
        <w:t>.</w:t>
      </w:r>
      <w:r w:rsidR="000D1B6C">
        <w:t xml:space="preserve"> Nolan Dep. 28:2</w:t>
      </w:r>
      <w:r w:rsidR="00AE3F6A">
        <w:t>22</w:t>
      </w:r>
      <w:r w:rsidR="000D1B6C">
        <w:t>–2</w:t>
      </w:r>
      <w:r w:rsidR="00A934A5">
        <w:t>3.</w:t>
      </w:r>
      <w:r w:rsidR="00F32967">
        <w:t xml:space="preserve"> </w:t>
      </w:r>
      <w:r w:rsidR="0030633A">
        <w:t xml:space="preserve">The Defendant </w:t>
      </w:r>
      <w:r w:rsidR="00B263C2">
        <w:t xml:space="preserve">gave her </w:t>
      </w:r>
      <w:r w:rsidR="008C2C72">
        <w:t>imm</w:t>
      </w:r>
      <w:r w:rsidR="00FF691B">
        <w:t>unized</w:t>
      </w:r>
      <w:r w:rsidR="00B263C2">
        <w:t xml:space="preserve"> testimony</w:t>
      </w:r>
      <w:r w:rsidR="000F5E1C">
        <w:t>,</w:t>
      </w:r>
      <w:r w:rsidR="00B263C2">
        <w:t xml:space="preserve"> </w:t>
      </w:r>
      <w:r w:rsidR="000366DA">
        <w:t xml:space="preserve">and </w:t>
      </w:r>
      <w:r w:rsidR="00063C2C">
        <w:t xml:space="preserve">Donovan was </w:t>
      </w:r>
      <w:r w:rsidR="00CA6597">
        <w:t>convicted</w:t>
      </w:r>
      <w:r w:rsidR="005C0605">
        <w:t xml:space="preserve">. </w:t>
      </w:r>
      <w:r w:rsidR="00B01F48">
        <w:t>Nolan</w:t>
      </w:r>
      <w:r w:rsidR="0050028C">
        <w:t xml:space="preserve"> Dep. </w:t>
      </w:r>
      <w:r w:rsidR="00DE5353">
        <w:t>32</w:t>
      </w:r>
      <w:r w:rsidR="00A56E30">
        <w:t>:</w:t>
      </w:r>
      <w:r w:rsidR="00201CBB">
        <w:t>317</w:t>
      </w:r>
      <w:r w:rsidR="006368CD">
        <w:t xml:space="preserve">–26. </w:t>
      </w:r>
    </w:p>
    <w:p w14:paraId="0CF27075" w14:textId="24C00647" w:rsidR="00BE42B2" w:rsidRDefault="002F6E8C" w:rsidP="0083428F">
      <w:r>
        <w:tab/>
      </w:r>
      <w:r w:rsidR="00ED767E">
        <w:t>Le</w:t>
      </w:r>
      <w:r w:rsidR="00860AB9">
        <w:t xml:space="preserve">ading up to </w:t>
      </w:r>
      <w:r w:rsidR="00FF0A98">
        <w:t>the Defendant’</w:t>
      </w:r>
      <w:r w:rsidR="008C0FFB">
        <w:t>s indict</w:t>
      </w:r>
      <w:r w:rsidR="00AF59DD">
        <w:t>ment</w:t>
      </w:r>
      <w:r w:rsidR="00D319E2">
        <w:t xml:space="preserve">, </w:t>
      </w:r>
      <w:r w:rsidR="00407305">
        <w:t>No</w:t>
      </w:r>
      <w:r w:rsidR="00217CE7">
        <w:t xml:space="preserve">lan </w:t>
      </w:r>
      <w:r w:rsidR="00C228AD">
        <w:t>made</w:t>
      </w:r>
      <w:r w:rsidR="00F02CEF">
        <w:t xml:space="preserve"> a </w:t>
      </w:r>
      <w:r w:rsidR="00911970">
        <w:t xml:space="preserve">list of </w:t>
      </w:r>
      <w:r w:rsidR="001C14E5">
        <w:t>investigat</w:t>
      </w:r>
      <w:r w:rsidR="001446F4">
        <w:t>ive steps</w:t>
      </w:r>
      <w:r w:rsidR="00D36101">
        <w:t xml:space="preserve">, </w:t>
      </w:r>
      <w:r w:rsidR="00174D0C">
        <w:t>re</w:t>
      </w:r>
      <w:r w:rsidR="00327749">
        <w:t>q</w:t>
      </w:r>
      <w:r w:rsidR="001171DD">
        <w:t>uiring</w:t>
      </w:r>
      <w:r w:rsidR="00625A53">
        <w:t xml:space="preserve"> </w:t>
      </w:r>
      <w:r w:rsidR="003155D3">
        <w:t xml:space="preserve">that </w:t>
      </w:r>
      <w:r w:rsidR="0054249F">
        <w:t>every n</w:t>
      </w:r>
      <w:r w:rsidR="009369D4">
        <w:t xml:space="preserve">ew piece of </w:t>
      </w:r>
      <w:r w:rsidR="00CF2FB8">
        <w:t>evidence</w:t>
      </w:r>
      <w:r w:rsidR="0097427A">
        <w:t xml:space="preserve"> or </w:t>
      </w:r>
      <w:r w:rsidR="00FF1DD7">
        <w:t xml:space="preserve">investigative </w:t>
      </w:r>
      <w:r w:rsidR="00E4604A">
        <w:t xml:space="preserve">lead </w:t>
      </w:r>
      <w:r w:rsidR="00265E67">
        <w:t xml:space="preserve">be </w:t>
      </w:r>
      <w:r w:rsidR="007E1EA5">
        <w:t>identifi</w:t>
      </w:r>
      <w:r w:rsidR="00BE42B2">
        <w:t xml:space="preserve">ed and </w:t>
      </w:r>
      <w:r w:rsidR="00CC09B7">
        <w:t xml:space="preserve">marked </w:t>
      </w:r>
      <w:r w:rsidR="00BE42B2">
        <w:t>as Team Donovan or Team Calloway</w:t>
      </w:r>
      <w:r w:rsidR="00FF2F30">
        <w:t xml:space="preserve">. </w:t>
      </w:r>
      <w:r w:rsidR="00B3255A">
        <w:t>Nol</w:t>
      </w:r>
      <w:r w:rsidR="00CD0BE6">
        <w:t xml:space="preserve">an Dep. </w:t>
      </w:r>
      <w:r w:rsidR="007E346F">
        <w:t>30:</w:t>
      </w:r>
      <w:r w:rsidR="008A3E67">
        <w:t>2</w:t>
      </w:r>
      <w:r w:rsidR="00976B57">
        <w:t>36</w:t>
      </w:r>
      <w:r w:rsidR="00146481">
        <w:t>–41</w:t>
      </w:r>
      <w:r w:rsidR="00651AE0">
        <w:t>.</w:t>
      </w:r>
      <w:r w:rsidR="001C696C">
        <w:t xml:space="preserve"> </w:t>
      </w:r>
      <w:r w:rsidR="00395AA0">
        <w:t>P</w:t>
      </w:r>
      <w:r w:rsidR="002E19A2">
        <w:t xml:space="preserve">rior to </w:t>
      </w:r>
      <w:r w:rsidR="00B77F8E">
        <w:t>the sep</w:t>
      </w:r>
      <w:r w:rsidR="00F67A62">
        <w:t>aration</w:t>
      </w:r>
      <w:r w:rsidR="00234496">
        <w:t>,</w:t>
      </w:r>
      <w:r w:rsidR="00F67A62">
        <w:t xml:space="preserve"> the </w:t>
      </w:r>
      <w:r w:rsidR="001E229B">
        <w:t>investigator</w:t>
      </w:r>
      <w:r w:rsidR="004260EA">
        <w:t>s</w:t>
      </w:r>
      <w:r w:rsidR="003A7313">
        <w:t xml:space="preserve"> </w:t>
      </w:r>
      <w:r w:rsidR="0041019A">
        <w:t>had</w:t>
      </w:r>
      <w:r w:rsidR="00F47C40">
        <w:t>:</w:t>
      </w:r>
      <w:r w:rsidR="005757D2">
        <w:t xml:space="preserve"> </w:t>
      </w:r>
      <w:r w:rsidR="009E5B04">
        <w:t xml:space="preserve">invoices </w:t>
      </w:r>
      <w:r w:rsidR="00DB56E2">
        <w:t xml:space="preserve">provided by Daniel, </w:t>
      </w:r>
      <w:r w:rsidR="00A63B51">
        <w:t>phone records</w:t>
      </w:r>
      <w:r w:rsidR="00FF207A">
        <w:t xml:space="preserve"> </w:t>
      </w:r>
      <w:r w:rsidR="00701359">
        <w:t>of calls between the</w:t>
      </w:r>
      <w:r w:rsidR="004A60BC">
        <w:t xml:space="preserve"> </w:t>
      </w:r>
      <w:r w:rsidR="00F5598E">
        <w:t>Defendant</w:t>
      </w:r>
      <w:r w:rsidR="00565427">
        <w:t xml:space="preserve">, </w:t>
      </w:r>
      <w:r w:rsidR="00C449FB">
        <w:t>Don</w:t>
      </w:r>
      <w:r w:rsidR="00923E35">
        <w:t xml:space="preserve">ovan, </w:t>
      </w:r>
      <w:r w:rsidR="00E1286F">
        <w:t xml:space="preserve">and </w:t>
      </w:r>
      <w:r w:rsidR="006051E3">
        <w:t>Coastal</w:t>
      </w:r>
      <w:r w:rsidR="00B534BD">
        <w:t xml:space="preserve">, </w:t>
      </w:r>
      <w:r w:rsidR="007C1C0A">
        <w:t>a</w:t>
      </w:r>
      <w:r w:rsidR="004E1AF8">
        <w:t xml:space="preserve"> complet</w:t>
      </w:r>
      <w:r w:rsidR="00AC3E0C">
        <w:t xml:space="preserve">e </w:t>
      </w:r>
      <w:r w:rsidR="007C1C0A">
        <w:t>emp</w:t>
      </w:r>
      <w:r w:rsidR="00B13CE7">
        <w:t>loyee</w:t>
      </w:r>
      <w:r w:rsidR="009D2D86">
        <w:t xml:space="preserve"> list</w:t>
      </w:r>
      <w:r w:rsidR="00C41CCF">
        <w:t xml:space="preserve">, </w:t>
      </w:r>
      <w:r w:rsidR="005F6719">
        <w:t>rec</w:t>
      </w:r>
      <w:r w:rsidR="008A17F0">
        <w:t>ords of previous witness interv</w:t>
      </w:r>
      <w:r w:rsidR="005C30F9">
        <w:t>iews,</w:t>
      </w:r>
      <w:r w:rsidR="00C27911">
        <w:t xml:space="preserve"> and k</w:t>
      </w:r>
      <w:r w:rsidR="00AA679A">
        <w:t>nowled</w:t>
      </w:r>
      <w:r w:rsidR="004D2626">
        <w:t xml:space="preserve">ge of </w:t>
      </w:r>
      <w:r w:rsidR="00090F0D">
        <w:t>an argumen</w:t>
      </w:r>
      <w:r w:rsidR="00780960">
        <w:t xml:space="preserve">t between the Defendant </w:t>
      </w:r>
      <w:proofErr w:type="gramStart"/>
      <w:r w:rsidR="00780960">
        <w:t xml:space="preserve">and </w:t>
      </w:r>
      <w:r w:rsidR="00BE7B18">
        <w:t xml:space="preserve"> Blake</w:t>
      </w:r>
      <w:proofErr w:type="gramEnd"/>
      <w:r w:rsidR="00B95E36">
        <w:t xml:space="preserve"> at the employee Christmas </w:t>
      </w:r>
      <w:r w:rsidR="007813A2">
        <w:t>part</w:t>
      </w:r>
      <w:r w:rsidR="004E028F">
        <w:t xml:space="preserve">y. </w:t>
      </w:r>
      <w:r w:rsidR="00091330">
        <w:t xml:space="preserve">R. at </w:t>
      </w:r>
      <w:r w:rsidR="004547AD">
        <w:t>48</w:t>
      </w:r>
      <w:r w:rsidR="005D54D4">
        <w:t xml:space="preserve">–52, </w:t>
      </w:r>
      <w:r w:rsidR="007E0742">
        <w:t>59</w:t>
      </w:r>
      <w:r w:rsidR="00D828B6">
        <w:t>,</w:t>
      </w:r>
      <w:r w:rsidR="0035336E">
        <w:t xml:space="preserve"> </w:t>
      </w:r>
      <w:r w:rsidR="00C00390">
        <w:t xml:space="preserve">60, </w:t>
      </w:r>
      <w:r w:rsidR="00C749CF">
        <w:t>63</w:t>
      </w:r>
      <w:r w:rsidR="009637A5">
        <w:t xml:space="preserve">, </w:t>
      </w:r>
      <w:r w:rsidR="00137BB3">
        <w:t>70</w:t>
      </w:r>
      <w:r w:rsidR="005F0BB8">
        <w:t xml:space="preserve">; </w:t>
      </w:r>
      <w:r w:rsidR="00BA6FF4">
        <w:t>Sincla</w:t>
      </w:r>
      <w:r w:rsidR="008E1992">
        <w:t>ir Dep</w:t>
      </w:r>
      <w:r w:rsidR="00666DD3">
        <w:t xml:space="preserve">. </w:t>
      </w:r>
      <w:r w:rsidR="00D706D5">
        <w:t>20:</w:t>
      </w:r>
      <w:r w:rsidR="005F1AC4">
        <w:t>491</w:t>
      </w:r>
      <w:r w:rsidR="00873FF4">
        <w:t xml:space="preserve">–94. </w:t>
      </w:r>
      <w:r w:rsidR="003801F7">
        <w:t xml:space="preserve">Going </w:t>
      </w:r>
      <w:r w:rsidR="00910BFF">
        <w:t>fourth</w:t>
      </w:r>
      <w:r w:rsidR="004229F9">
        <w:t>, Nolan</w:t>
      </w:r>
      <w:r w:rsidR="00711534">
        <w:t xml:space="preserve"> d</w:t>
      </w:r>
      <w:r w:rsidR="006262CA">
        <w:t>eveloped an inv</w:t>
      </w:r>
      <w:r w:rsidR="008B04F3">
        <w:t>estigative str</w:t>
      </w:r>
      <w:r w:rsidR="00AF3A67">
        <w:t>ategy</w:t>
      </w:r>
      <w:r w:rsidR="00082161">
        <w:t xml:space="preserve"> </w:t>
      </w:r>
      <w:r w:rsidR="006B22DF">
        <w:t xml:space="preserve">prioritizing </w:t>
      </w:r>
      <w:r w:rsidR="001407D5">
        <w:t>circl</w:t>
      </w:r>
      <w:r w:rsidR="008A1CCC">
        <w:t xml:space="preserve">ing </w:t>
      </w:r>
      <w:r w:rsidR="00B6718C">
        <w:t xml:space="preserve">back to the </w:t>
      </w:r>
      <w:r w:rsidR="00675894">
        <w:t xml:space="preserve">Silver Palms </w:t>
      </w:r>
      <w:r w:rsidR="000F1831">
        <w:t>emplo</w:t>
      </w:r>
      <w:r w:rsidR="00E329E1">
        <w:t xml:space="preserve">yees </w:t>
      </w:r>
      <w:r w:rsidR="00683205">
        <w:t xml:space="preserve">who </w:t>
      </w:r>
      <w:r w:rsidR="00445026">
        <w:t>had not</w:t>
      </w:r>
      <w:r w:rsidR="00683205">
        <w:t xml:space="preserve"> been inte</w:t>
      </w:r>
      <w:r w:rsidR="00B55C05">
        <w:t>rviewed</w:t>
      </w:r>
      <w:r w:rsidR="00906114">
        <w:t>.</w:t>
      </w:r>
      <w:r w:rsidR="00C733DD">
        <w:t xml:space="preserve"> Nolan D</w:t>
      </w:r>
      <w:r w:rsidR="00C55973">
        <w:t xml:space="preserve">ep. </w:t>
      </w:r>
      <w:r w:rsidR="00AE06E8">
        <w:t>30:</w:t>
      </w:r>
      <w:r w:rsidR="002A0F74">
        <w:t>2</w:t>
      </w:r>
      <w:r w:rsidR="005C02FF">
        <w:t>56</w:t>
      </w:r>
      <w:r w:rsidR="005E4254">
        <w:t>–</w:t>
      </w:r>
      <w:r w:rsidR="003E54B8">
        <w:t>6</w:t>
      </w:r>
      <w:r w:rsidR="005E4254">
        <w:t>3.</w:t>
      </w:r>
      <w:r w:rsidR="00B80CE3">
        <w:t xml:space="preserve"> </w:t>
      </w:r>
      <w:r w:rsidR="006E7465">
        <w:t>He r</w:t>
      </w:r>
      <w:r w:rsidR="00676B06">
        <w:t>anked</w:t>
      </w:r>
      <w:r w:rsidR="006B468B">
        <w:t xml:space="preserve"> the roster of </w:t>
      </w:r>
      <w:r w:rsidR="001E6E5D">
        <w:t>emplo</w:t>
      </w:r>
      <w:r w:rsidR="00CA501D">
        <w:t>yees who worked shifts</w:t>
      </w:r>
      <w:r w:rsidR="003542EA">
        <w:t xml:space="preserve"> acros</w:t>
      </w:r>
      <w:r w:rsidR="00F33F55">
        <w:t>s 2023</w:t>
      </w:r>
      <w:r w:rsidR="00A11F05">
        <w:t xml:space="preserve"> </w:t>
      </w:r>
      <w:r w:rsidR="00A04439">
        <w:t xml:space="preserve">by how frequently </w:t>
      </w:r>
      <w:r w:rsidR="62DAD343">
        <w:t>they</w:t>
      </w:r>
      <w:r w:rsidR="00DF099B">
        <w:t xml:space="preserve"> worked that ye</w:t>
      </w:r>
      <w:r w:rsidR="008B2898">
        <w:t xml:space="preserve">ar. </w:t>
      </w:r>
      <w:r w:rsidR="00AC002C">
        <w:t xml:space="preserve">Nolan Dep. </w:t>
      </w:r>
      <w:r w:rsidR="0045349F">
        <w:t>3</w:t>
      </w:r>
      <w:r w:rsidR="005F4FE8">
        <w:t>0:</w:t>
      </w:r>
      <w:r w:rsidR="00B72154">
        <w:t>26</w:t>
      </w:r>
      <w:r w:rsidR="004E3D59">
        <w:t>9</w:t>
      </w:r>
      <w:r w:rsidR="00BB7B14">
        <w:t>–71</w:t>
      </w:r>
      <w:r w:rsidR="006D0ADE">
        <w:t xml:space="preserve">; </w:t>
      </w:r>
      <w:r w:rsidR="005B36E2">
        <w:t xml:space="preserve">R. at </w:t>
      </w:r>
      <w:r w:rsidR="007F3BB7">
        <w:t>7</w:t>
      </w:r>
      <w:r w:rsidR="00BE5520">
        <w:t>0</w:t>
      </w:r>
      <w:r w:rsidR="00BB7B14">
        <w:t xml:space="preserve">. </w:t>
      </w:r>
      <w:r w:rsidR="00672914">
        <w:t>U</w:t>
      </w:r>
      <w:r w:rsidR="00F07187">
        <w:t>sing this strategy</w:t>
      </w:r>
      <w:r w:rsidR="00AB1A35">
        <w:t>, Nolan</w:t>
      </w:r>
      <w:r w:rsidR="00A72D31">
        <w:t xml:space="preserve"> in</w:t>
      </w:r>
      <w:r w:rsidR="00D5573B">
        <w:t>terviewed</w:t>
      </w:r>
      <w:r w:rsidR="00B1585B">
        <w:t xml:space="preserve"> </w:t>
      </w:r>
      <w:r w:rsidR="004A2484">
        <w:t xml:space="preserve">Brie </w:t>
      </w:r>
      <w:r w:rsidR="004A2484">
        <w:lastRenderedPageBreak/>
        <w:t>Collins, Sean Boothe,</w:t>
      </w:r>
      <w:r w:rsidR="006B6BC9">
        <w:t xml:space="preserve"> </w:t>
      </w:r>
      <w:r w:rsidR="004208BA">
        <w:t>Sunshine</w:t>
      </w:r>
      <w:r w:rsidR="006B6BC9">
        <w:t xml:space="preserve"> </w:t>
      </w:r>
      <w:r w:rsidR="007C578D">
        <w:t>Del</w:t>
      </w:r>
      <w:r w:rsidR="00A44697">
        <w:t xml:space="preserve">ray, </w:t>
      </w:r>
      <w:r w:rsidR="009C0000">
        <w:t>Darnell Hah</w:t>
      </w:r>
      <w:r w:rsidR="00F44DA2">
        <w:t>n, and Kennedy Parke</w:t>
      </w:r>
      <w:r w:rsidR="004D0A7B">
        <w:t>r</w:t>
      </w:r>
      <w:r w:rsidR="00E929FA">
        <w:t>, res</w:t>
      </w:r>
      <w:r w:rsidR="00887223">
        <w:t xml:space="preserve">pectively. </w:t>
      </w:r>
      <w:r w:rsidR="002E5911">
        <w:t>Nolan</w:t>
      </w:r>
      <w:r w:rsidR="00671943">
        <w:t xml:space="preserve"> </w:t>
      </w:r>
      <w:r w:rsidR="008B3B7D">
        <w:t xml:space="preserve">Dep. </w:t>
      </w:r>
      <w:r w:rsidR="009470CA">
        <w:t>31:</w:t>
      </w:r>
      <w:r w:rsidR="00D765D8">
        <w:t>303</w:t>
      </w:r>
      <w:r w:rsidR="00072146">
        <w:t xml:space="preserve">–06. </w:t>
      </w:r>
    </w:p>
    <w:p w14:paraId="4C67C1CF" w14:textId="3E8B23B4" w:rsidR="009C00AE" w:rsidRDefault="00BE42B2" w:rsidP="0083428F">
      <w:r>
        <w:tab/>
      </w:r>
      <w:r w:rsidR="00DF3C41">
        <w:t xml:space="preserve">Parker was interviewed on </w:t>
      </w:r>
      <w:r w:rsidR="00563E4D">
        <w:t>October 31, 202</w:t>
      </w:r>
      <w:r w:rsidR="0067785A">
        <w:t>4</w:t>
      </w:r>
      <w:r w:rsidR="000F6D48">
        <w:t xml:space="preserve">. </w:t>
      </w:r>
      <w:r w:rsidR="006977AC">
        <w:t xml:space="preserve">Nolan Dep. </w:t>
      </w:r>
      <w:r w:rsidR="000A5018">
        <w:t>32</w:t>
      </w:r>
      <w:r w:rsidR="006D7E7E">
        <w:t>:</w:t>
      </w:r>
      <w:r w:rsidR="007450B0">
        <w:t>327</w:t>
      </w:r>
      <w:r w:rsidR="000D2ED5">
        <w:t>–2</w:t>
      </w:r>
      <w:r w:rsidR="005D1FCA">
        <w:t>8.</w:t>
      </w:r>
      <w:r>
        <w:t xml:space="preserve"> Signing a </w:t>
      </w:r>
      <w:r w:rsidR="004C13E3">
        <w:t>voluntary witness</w:t>
      </w:r>
      <w:r w:rsidR="00621D59">
        <w:t xml:space="preserve"> statement</w:t>
      </w:r>
      <w:r>
        <w:t xml:space="preserve">, she </w:t>
      </w:r>
      <w:r w:rsidR="005E1EEC">
        <w:t>desc</w:t>
      </w:r>
      <w:r w:rsidR="00B6465B">
        <w:t>ribed the con</w:t>
      </w:r>
      <w:r w:rsidR="00CB3112">
        <w:t xml:space="preserve">frontation she witnessed at the </w:t>
      </w:r>
      <w:r w:rsidR="00965183">
        <w:t xml:space="preserve">Christmas party </w:t>
      </w:r>
      <w:r w:rsidR="00C95D71">
        <w:t>b</w:t>
      </w:r>
      <w:r w:rsidR="00911922">
        <w:t xml:space="preserve">etween </w:t>
      </w:r>
      <w:r w:rsidR="00C63433">
        <w:t xml:space="preserve">Blake and </w:t>
      </w:r>
      <w:r w:rsidR="00061017">
        <w:t>the Defendan</w:t>
      </w:r>
      <w:r w:rsidR="00F46572">
        <w:t>t</w:t>
      </w:r>
      <w:r w:rsidR="00092BB3">
        <w:t xml:space="preserve">. Nolan </w:t>
      </w:r>
      <w:r w:rsidR="00A66493">
        <w:t>Dep. 32</w:t>
      </w:r>
      <w:r w:rsidR="0056394D">
        <w:t>:</w:t>
      </w:r>
      <w:r w:rsidR="00647CD0">
        <w:t>335</w:t>
      </w:r>
      <w:r w:rsidR="00C01EAF">
        <w:t>–</w:t>
      </w:r>
      <w:r w:rsidR="00647CD0">
        <w:t>3</w:t>
      </w:r>
      <w:r w:rsidR="00C01EAF">
        <w:t>6</w:t>
      </w:r>
      <w:r w:rsidR="00DB1284">
        <w:t xml:space="preserve">; </w:t>
      </w:r>
      <w:r w:rsidR="00946435">
        <w:t xml:space="preserve">R. at </w:t>
      </w:r>
      <w:r w:rsidR="00562B91">
        <w:t>18</w:t>
      </w:r>
      <w:r w:rsidR="00C01EAF">
        <w:t xml:space="preserve">. </w:t>
      </w:r>
      <w:r w:rsidR="008557DF">
        <w:t xml:space="preserve">She also </w:t>
      </w:r>
      <w:r w:rsidR="00695AD9">
        <w:t>recounte</w:t>
      </w:r>
      <w:r w:rsidR="002918C1">
        <w:t xml:space="preserve">d that </w:t>
      </w:r>
      <w:r w:rsidR="00E16BCF">
        <w:t>in December 2023, the Defendant had ask</w:t>
      </w:r>
      <w:r w:rsidR="000E1A78">
        <w:t xml:space="preserve">ed Parker to </w:t>
      </w:r>
      <w:r w:rsidR="00425E96">
        <w:t xml:space="preserve">move a file box </w:t>
      </w:r>
      <w:r w:rsidR="00C01DF7">
        <w:t>marke</w:t>
      </w:r>
      <w:r w:rsidR="00FD7E7B">
        <w:t>d “</w:t>
      </w:r>
      <w:r w:rsidR="00700A55">
        <w:t>Coastal</w:t>
      </w:r>
      <w:r w:rsidR="002C7ADD">
        <w:t xml:space="preserve">” out </w:t>
      </w:r>
      <w:r w:rsidR="00367DB2">
        <w:t>of the hotel to an off-site storage unit</w:t>
      </w:r>
      <w:r w:rsidR="00F737B9">
        <w:t xml:space="preserve">. </w:t>
      </w:r>
      <w:r w:rsidR="00E26650">
        <w:t xml:space="preserve">Nolan </w:t>
      </w:r>
      <w:r w:rsidR="00794E4C">
        <w:t xml:space="preserve">Dep. </w:t>
      </w:r>
      <w:r w:rsidR="006A7191">
        <w:t>32:</w:t>
      </w:r>
      <w:r w:rsidR="00C8584F">
        <w:t>334</w:t>
      </w:r>
      <w:r w:rsidR="005F1ED6">
        <w:t>–42.</w:t>
      </w:r>
      <w:r w:rsidR="00A81ABE">
        <w:t xml:space="preserve"> </w:t>
      </w:r>
      <w:r w:rsidR="00866125">
        <w:t xml:space="preserve">The </w:t>
      </w:r>
      <w:r w:rsidR="0040F872">
        <w:t>Government</w:t>
      </w:r>
      <w:r w:rsidR="006E6CB8">
        <w:t xml:space="preserve"> executed </w:t>
      </w:r>
      <w:r w:rsidR="00954224">
        <w:t xml:space="preserve">a warrant on the </w:t>
      </w:r>
      <w:r w:rsidR="00666D91">
        <w:t xml:space="preserve">storage unit and </w:t>
      </w:r>
      <w:r w:rsidR="00650861">
        <w:t xml:space="preserve">recovered </w:t>
      </w:r>
      <w:r w:rsidR="007E6B3E">
        <w:t>Coastal financial records, ownership documents, communications</w:t>
      </w:r>
      <w:r w:rsidR="00300C9A">
        <w:t xml:space="preserve">, and </w:t>
      </w:r>
      <w:r w:rsidR="00B0709B">
        <w:t>an offshore banking record identifying the Defendant as the</w:t>
      </w:r>
      <w:r w:rsidR="00F91E65">
        <w:t xml:space="preserve"> sole</w:t>
      </w:r>
      <w:r w:rsidR="00B0709B">
        <w:t xml:space="preserve"> owner of the </w:t>
      </w:r>
      <w:r w:rsidR="001160A5">
        <w:t xml:space="preserve">offshore bank </w:t>
      </w:r>
      <w:r w:rsidR="00F91E65">
        <w:t xml:space="preserve">account </w:t>
      </w:r>
      <w:r w:rsidR="001160A5">
        <w:t>Coastal had been wiring money to for years. Nolan Dep. 33:</w:t>
      </w:r>
      <w:r w:rsidR="00ED3AED">
        <w:t>361</w:t>
      </w:r>
      <w:r w:rsidR="00766EC2">
        <w:t>–65.</w:t>
      </w:r>
    </w:p>
    <w:p w14:paraId="300DAA69" w14:textId="6619B3D7" w:rsidR="002B0842" w:rsidRDefault="002B0842" w:rsidP="0083428F">
      <w:r>
        <w:tab/>
        <w:t xml:space="preserve">In </w:t>
      </w:r>
      <w:r w:rsidR="000F74A2">
        <w:t>February</w:t>
      </w:r>
      <w:r w:rsidR="00935AC3">
        <w:t xml:space="preserve"> </w:t>
      </w:r>
      <w:r w:rsidR="00A27B4C">
        <w:t xml:space="preserve">2024, </w:t>
      </w:r>
      <w:r w:rsidR="00F3417A">
        <w:t xml:space="preserve">the </w:t>
      </w:r>
      <w:r w:rsidR="00A27B4C">
        <w:t xml:space="preserve">investigative team issued a subpoena for </w:t>
      </w:r>
      <w:r w:rsidR="00F91E65">
        <w:t xml:space="preserve">records of </w:t>
      </w:r>
      <w:r w:rsidR="00A27B4C">
        <w:t xml:space="preserve">Maddox </w:t>
      </w:r>
      <w:r w:rsidR="00935AC3">
        <w:t>Armana’s</w:t>
      </w:r>
      <w:r w:rsidR="00A27B4C">
        <w:t>, a private investigator</w:t>
      </w:r>
      <w:r w:rsidR="004B7E6D">
        <w:t xml:space="preserve"> hired by the Defendant, </w:t>
      </w:r>
      <w:r w:rsidR="00F3417A">
        <w:t>interview with Seton</w:t>
      </w:r>
      <w:r w:rsidR="00C74E25">
        <w:t>, a former operations manager of Coastal Event Solutions</w:t>
      </w:r>
      <w:r w:rsidR="00935AC3">
        <w:t xml:space="preserve">. </w:t>
      </w:r>
      <w:r w:rsidR="000F74A2">
        <w:t xml:space="preserve">R. at 6. </w:t>
      </w:r>
      <w:r w:rsidR="005D2BE3">
        <w:t xml:space="preserve">Seton fled the country and is therefore unavailable to testify. </w:t>
      </w:r>
      <w:r w:rsidR="004F0B5E">
        <w:t xml:space="preserve">Sinclair Dep. </w:t>
      </w:r>
      <w:r w:rsidR="008A3607">
        <w:t>18:</w:t>
      </w:r>
      <w:r w:rsidR="00184E96">
        <w:t>391</w:t>
      </w:r>
      <w:r w:rsidR="00257B4F">
        <w:t xml:space="preserve">–94. </w:t>
      </w:r>
      <w:r w:rsidR="005D2BE3">
        <w:t xml:space="preserve">Armana’s </w:t>
      </w:r>
      <w:r w:rsidR="00DE53DF">
        <w:t xml:space="preserve">records are </w:t>
      </w:r>
      <w:r w:rsidR="1429B1E6">
        <w:t xml:space="preserve">the last detailed account of the </w:t>
      </w:r>
      <w:r w:rsidR="00064AF2">
        <w:t>Setons’</w:t>
      </w:r>
      <w:r w:rsidR="1429B1E6">
        <w:t xml:space="preserve"> knowledge regarding </w:t>
      </w:r>
      <w:proofErr w:type="spellStart"/>
      <w:r w:rsidR="1429B1E6">
        <w:t>Coastal’s</w:t>
      </w:r>
      <w:proofErr w:type="spellEnd"/>
      <w:r w:rsidR="1429B1E6">
        <w:t xml:space="preserve"> internal operations. </w:t>
      </w:r>
      <w:r w:rsidR="00D44434">
        <w:t xml:space="preserve">Armana Dep. </w:t>
      </w:r>
      <w:r w:rsidR="00AF4FAA">
        <w:t>47:</w:t>
      </w:r>
      <w:r w:rsidR="001D475D">
        <w:t>160</w:t>
      </w:r>
      <w:r w:rsidR="004E1446">
        <w:t xml:space="preserve">–70. </w:t>
      </w:r>
    </w:p>
    <w:p w14:paraId="5E7FE545" w14:textId="1EFC7C4D" w:rsidR="008E6B40" w:rsidRPr="00430DC8" w:rsidRDefault="008E6B40" w:rsidP="008E6B40">
      <w:pPr>
        <w:jc w:val="center"/>
        <w:rPr>
          <w:b/>
          <w:bCs/>
          <w:u w:val="single"/>
        </w:rPr>
      </w:pPr>
      <w:r w:rsidRPr="56C3E658">
        <w:rPr>
          <w:b/>
          <w:bCs/>
          <w:u w:val="single"/>
        </w:rPr>
        <w:t>ARGUMENT</w:t>
      </w:r>
      <w:r w:rsidR="00AA363C">
        <w:rPr>
          <w:b/>
          <w:bCs/>
          <w:u w:val="single"/>
        </w:rPr>
        <w:fldChar w:fldCharType="begin"/>
      </w:r>
      <w:r w:rsidR="00AA363C">
        <w:instrText xml:space="preserve"> TC "</w:instrText>
      </w:r>
      <w:bookmarkStart w:id="4" w:name="_Toc239161569"/>
      <w:r w:rsidR="00AA363C" w:rsidRPr="0061550C">
        <w:rPr>
          <w:b/>
          <w:bCs/>
          <w:u w:val="single"/>
        </w:rPr>
        <w:instrText>ARGUMENT</w:instrText>
      </w:r>
      <w:bookmarkEnd w:id="4"/>
      <w:r w:rsidR="00AA363C">
        <w:instrText xml:space="preserve">" \f C \l "1" </w:instrText>
      </w:r>
      <w:r w:rsidR="00AA363C">
        <w:rPr>
          <w:b/>
          <w:bCs/>
          <w:u w:val="single"/>
        </w:rPr>
        <w:fldChar w:fldCharType="end"/>
      </w:r>
    </w:p>
    <w:p w14:paraId="6B8B7503" w14:textId="4795E682" w:rsidR="008E6B40" w:rsidRPr="00645F03" w:rsidRDefault="008E6B40" w:rsidP="00212D30">
      <w:pPr>
        <w:ind w:firstLine="720"/>
      </w:pPr>
      <w:r w:rsidRPr="00677134">
        <w:t>The</w:t>
      </w:r>
      <w:r>
        <w:t xml:space="preserve"> Fifth Amendment provides </w:t>
      </w:r>
      <w:r w:rsidR="096AEEE4">
        <w:t>that</w:t>
      </w:r>
      <w:r>
        <w:t xml:space="preserve"> </w:t>
      </w:r>
      <w:r w:rsidR="6D82E66B">
        <w:t>“</w:t>
      </w:r>
      <w:r>
        <w:t xml:space="preserve">no person shall be compelled in any criminal case to be a witness against himself. . .” U. S. Const. amend. V. However, the Supreme </w:t>
      </w:r>
      <w:r>
        <w:lastRenderedPageBreak/>
        <w:t xml:space="preserve">Court has recognized that </w:t>
      </w:r>
      <w:r w:rsidR="00697E98">
        <w:t>“</w:t>
      </w:r>
      <w:r>
        <w:t xml:space="preserve">the </w:t>
      </w:r>
      <w:r w:rsidR="748E2A2C">
        <w:t>Government</w:t>
      </w:r>
      <w:r>
        <w:t xml:space="preserve"> has the </w:t>
      </w:r>
      <w:r w:rsidR="00697E98">
        <w:t>‘</w:t>
      </w:r>
      <w:r>
        <w:t>essential</w:t>
      </w:r>
      <w:r w:rsidR="00697E98">
        <w:t>’</w:t>
      </w:r>
      <w:r>
        <w:t xml:space="preserve"> power to compel testimony.” </w:t>
      </w:r>
      <w:r>
        <w:rPr>
          <w:i/>
          <w:iCs/>
        </w:rPr>
        <w:t xml:space="preserve">Graves v. United </w:t>
      </w:r>
      <w:r w:rsidRPr="004E515A">
        <w:rPr>
          <w:i/>
          <w:iCs/>
        </w:rPr>
        <w:t>States</w:t>
      </w:r>
      <w:r>
        <w:t>, 472 A.2d 395, 398 (D.C.</w:t>
      </w:r>
      <w:r w:rsidR="00697E98">
        <w:t xml:space="preserve"> </w:t>
      </w:r>
      <w:r>
        <w:t>App. 1984</w:t>
      </w:r>
      <w:r w:rsidR="004D0EDF">
        <w:t>)</w:t>
      </w:r>
      <w:r w:rsidR="00BB0F67">
        <w:fldChar w:fldCharType="begin"/>
      </w:r>
      <w:r w:rsidR="00BB0F67">
        <w:instrText xml:space="preserve"> TA \l "</w:instrText>
      </w:r>
      <w:r w:rsidR="00BB0F67" w:rsidRPr="00503BF3">
        <w:rPr>
          <w:i/>
          <w:iCs/>
        </w:rPr>
        <w:instrText>Graves v. United States</w:instrText>
      </w:r>
      <w:r w:rsidR="00BB0F67" w:rsidRPr="00503BF3">
        <w:instrText>, 472 A.2d 395, 398 (D.C. App. 1984)</w:instrText>
      </w:r>
      <w:r w:rsidR="00BB0F67">
        <w:instrText xml:space="preserve">" \s "Graves v. United States, 472 A.2d 395, 398 (D.C. App. 1984)" \c 1 </w:instrText>
      </w:r>
      <w:r w:rsidR="00BB0F67">
        <w:fldChar w:fldCharType="end"/>
      </w:r>
      <w:r w:rsidR="00F95D2F">
        <w:t xml:space="preserve"> </w:t>
      </w:r>
      <w:r w:rsidR="00F95D2F">
        <w:rPr>
          <w:i/>
          <w:iCs/>
        </w:rPr>
        <w:t>citing Kasti</w:t>
      </w:r>
      <w:r w:rsidR="00EE6A33">
        <w:rPr>
          <w:i/>
          <w:iCs/>
        </w:rPr>
        <w:t xml:space="preserve">gar v. </w:t>
      </w:r>
      <w:r w:rsidR="00645F03">
        <w:rPr>
          <w:i/>
          <w:iCs/>
        </w:rPr>
        <w:t>United States</w:t>
      </w:r>
      <w:r w:rsidR="00645F03">
        <w:t xml:space="preserve">, </w:t>
      </w:r>
      <w:r w:rsidR="00065609">
        <w:t xml:space="preserve">406 U.S. 441, </w:t>
      </w:r>
      <w:r w:rsidR="000C0DDA">
        <w:t>444 (</w:t>
      </w:r>
      <w:r w:rsidR="005917EC">
        <w:t>1972)</w:t>
      </w:r>
      <w:r w:rsidR="00994846">
        <w:fldChar w:fldCharType="begin"/>
      </w:r>
      <w:r w:rsidR="00994846">
        <w:instrText xml:space="preserve"> TA \l "</w:instrText>
      </w:r>
      <w:r w:rsidR="00994846" w:rsidRPr="00503BF3">
        <w:rPr>
          <w:i/>
          <w:iCs/>
        </w:rPr>
        <w:instrText>Kastigar v. United States</w:instrText>
      </w:r>
      <w:r w:rsidR="00994846" w:rsidRPr="00503BF3">
        <w:instrText>, 406 U.S. 441, 444 (1972)</w:instrText>
      </w:r>
      <w:r w:rsidR="00994846">
        <w:instrText xml:space="preserve">" \s "Kastigar v. United States, 406 U.S. 441, 444 (1972)" \c 1 </w:instrText>
      </w:r>
      <w:r w:rsidR="00994846">
        <w:fldChar w:fldCharType="end"/>
      </w:r>
      <w:r w:rsidR="005917EC">
        <w:t xml:space="preserve">. </w:t>
      </w:r>
    </w:p>
    <w:p w14:paraId="6014D1F9" w14:textId="3707D556" w:rsidR="008E6B40" w:rsidRDefault="008E6B40" w:rsidP="008E6B40">
      <w:r>
        <w:tab/>
        <w:t xml:space="preserve">A </w:t>
      </w:r>
      <w:r w:rsidRPr="00430DC8">
        <w:rPr>
          <w:i/>
          <w:iCs/>
        </w:rPr>
        <w:t>Kastigar</w:t>
      </w:r>
      <w:r>
        <w:t xml:space="preserve"> hearing provides the </w:t>
      </w:r>
      <w:r w:rsidR="081B2A02">
        <w:t>Government</w:t>
      </w:r>
      <w:r>
        <w:t xml:space="preserve"> with the opportunity to demonstrate that all its evidence came from independent sources. </w:t>
      </w:r>
      <w:r>
        <w:rPr>
          <w:i/>
          <w:iCs/>
        </w:rPr>
        <w:t xml:space="preserve">United States v. </w:t>
      </w:r>
      <w:r w:rsidRPr="00430DC8">
        <w:rPr>
          <w:i/>
          <w:iCs/>
        </w:rPr>
        <w:t>Harris</w:t>
      </w:r>
      <w:r>
        <w:t>, 973 F.2d 333, 337 (4th Cir. 1992</w:t>
      </w:r>
      <w:r w:rsidR="004D0EDF">
        <w:t>)</w:t>
      </w:r>
      <w:r w:rsidR="001D2C99">
        <w:fldChar w:fldCharType="begin"/>
      </w:r>
      <w:r w:rsidR="001D2C99">
        <w:instrText xml:space="preserve"> TA \l "</w:instrText>
      </w:r>
      <w:r w:rsidR="001D2C99" w:rsidRPr="00503BF3">
        <w:rPr>
          <w:i/>
          <w:iCs/>
        </w:rPr>
        <w:instrText>United States v. Harris</w:instrText>
      </w:r>
      <w:r w:rsidR="001D2C99" w:rsidRPr="00503BF3">
        <w:instrText>, 973 F.2d 333, 337 (4th Cir. 1992)</w:instrText>
      </w:r>
      <w:r w:rsidR="001D2C99">
        <w:instrText xml:space="preserve">" \s "United States v. Harris, 973 F.2d 333, 337 (4th Cir. 1992)" \c 1 </w:instrText>
      </w:r>
      <w:r w:rsidR="001D2C99">
        <w:fldChar w:fldCharType="end"/>
      </w:r>
      <w:r>
        <w:t xml:space="preserve">. </w:t>
      </w:r>
      <w:r w:rsidRPr="00430DC8">
        <w:t>To</w:t>
      </w:r>
      <w:r>
        <w:t xml:space="preserve"> establish a</w:t>
      </w:r>
      <w:r w:rsidR="00AF60E3">
        <w:t>n</w:t>
      </w:r>
      <w:r>
        <w:t xml:space="preserve"> independent source</w:t>
      </w:r>
      <w:r w:rsidR="4F82F2F9">
        <w:t xml:space="preserve"> for disputed evidence</w:t>
      </w:r>
      <w:r>
        <w:t xml:space="preserve">, the </w:t>
      </w:r>
      <w:r w:rsidR="49325C22">
        <w:t>Government</w:t>
      </w:r>
      <w:r>
        <w:t xml:space="preserve"> </w:t>
      </w:r>
      <w:r w:rsidR="0B05B81B">
        <w:t xml:space="preserve">only needs to </w:t>
      </w:r>
      <w:r>
        <w:t>demonstrate that each step of the investigative chain through which the evidence was obtained is untainted</w:t>
      </w:r>
      <w:r>
        <w:rPr>
          <w:i/>
        </w:rPr>
        <w:t xml:space="preserve">. </w:t>
      </w:r>
      <w:r>
        <w:rPr>
          <w:i/>
          <w:iCs/>
        </w:rPr>
        <w:t xml:space="preserve">United States v. </w:t>
      </w:r>
      <w:r w:rsidR="00B7232A">
        <w:rPr>
          <w:i/>
          <w:iCs/>
        </w:rPr>
        <w:t>Schmidgall</w:t>
      </w:r>
      <w:r>
        <w:t xml:space="preserve">, </w:t>
      </w:r>
      <w:r w:rsidR="00B7232A">
        <w:t>25</w:t>
      </w:r>
      <w:r>
        <w:t xml:space="preserve"> F.</w:t>
      </w:r>
      <w:r w:rsidR="00B7232A">
        <w:t>3</w:t>
      </w:r>
      <w:r>
        <w:t xml:space="preserve">d </w:t>
      </w:r>
      <w:r w:rsidR="00B7232A">
        <w:t>1523</w:t>
      </w:r>
      <w:r>
        <w:t xml:space="preserve">, </w:t>
      </w:r>
      <w:r w:rsidR="00F650E3">
        <w:t xml:space="preserve">1528 </w:t>
      </w:r>
      <w:r>
        <w:t xml:space="preserve">(11th Cir. </w:t>
      </w:r>
      <w:r w:rsidR="009F48ED">
        <w:t>1994</w:t>
      </w:r>
      <w:r>
        <w:t>)</w:t>
      </w:r>
      <w:r w:rsidR="001D2C99">
        <w:fldChar w:fldCharType="begin"/>
      </w:r>
      <w:r w:rsidR="001D2C99">
        <w:instrText xml:space="preserve"> TA \l "</w:instrText>
      </w:r>
      <w:r w:rsidR="001D2C99" w:rsidRPr="00503BF3">
        <w:rPr>
          <w:i/>
          <w:iCs/>
        </w:rPr>
        <w:instrText>United States v. Schmidgall</w:instrText>
      </w:r>
      <w:r w:rsidR="001D2C99" w:rsidRPr="00503BF3">
        <w:instrText>, 25 F.3d 1523, 1528 (11th Cir. 1994)</w:instrText>
      </w:r>
      <w:r w:rsidR="001D2C99">
        <w:instrText xml:space="preserve">" \s "United States v. Schmidgall, 25 F.3d 1523, 1528 (11th Cir. 1994)" \c 1 </w:instrText>
      </w:r>
      <w:r w:rsidR="001D2C99">
        <w:fldChar w:fldCharType="end"/>
      </w:r>
      <w:r>
        <w:t xml:space="preserve">. </w:t>
      </w:r>
      <w:r w:rsidR="60BDE0E8">
        <w:t xml:space="preserve">To do so, </w:t>
      </w:r>
      <w:r w:rsidR="3E0A319F">
        <w:t>t</w:t>
      </w:r>
      <w:r>
        <w:t>he</w:t>
      </w:r>
      <w:r w:rsidRPr="006827FC">
        <w:t xml:space="preserve"> </w:t>
      </w:r>
      <w:r w:rsidR="3033BDA8">
        <w:t>Government</w:t>
      </w:r>
      <w:r w:rsidR="66E05144">
        <w:t xml:space="preserve"> </w:t>
      </w:r>
      <w:r w:rsidR="66E05144" w:rsidRPr="006827FC">
        <w:t>only</w:t>
      </w:r>
      <w:r w:rsidRPr="006827FC">
        <w:t xml:space="preserve"> need</w:t>
      </w:r>
      <w:r>
        <w:t>s to show by a</w:t>
      </w:r>
      <w:r w:rsidRPr="006827FC">
        <w:t xml:space="preserve"> preponderance of the evidence that</w:t>
      </w:r>
      <w:r>
        <w:rPr>
          <w:i/>
        </w:rPr>
        <w:t xml:space="preserve"> </w:t>
      </w:r>
      <w:r w:rsidRPr="006827FC">
        <w:t>the evidence used was derived from legitimate, independent sources. </w:t>
      </w:r>
      <w:r>
        <w:rPr>
          <w:i/>
          <w:iCs/>
        </w:rPr>
        <w:t xml:space="preserve">United States v. </w:t>
      </w:r>
      <w:r w:rsidRPr="00860CBF">
        <w:rPr>
          <w:i/>
          <w:iCs/>
        </w:rPr>
        <w:t>Byrd</w:t>
      </w:r>
      <w:r>
        <w:t>, 765 F.2d 1524, 1529 (11th Cir. 1985</w:t>
      </w:r>
      <w:r w:rsidR="004D0EDF">
        <w:t>)</w:t>
      </w:r>
      <w:r w:rsidR="001D2C99">
        <w:fldChar w:fldCharType="begin"/>
      </w:r>
      <w:r w:rsidR="001D2C99">
        <w:instrText xml:space="preserve"> TA \l "</w:instrText>
      </w:r>
      <w:r w:rsidR="001D2C99" w:rsidRPr="00503BF3">
        <w:rPr>
          <w:i/>
          <w:iCs/>
        </w:rPr>
        <w:instrText>United States v. Byrd</w:instrText>
      </w:r>
      <w:r w:rsidR="001D2C99" w:rsidRPr="00503BF3">
        <w:instrText>, 765 F.2d 1524, 1529 (11th Cir. 1985)</w:instrText>
      </w:r>
      <w:r w:rsidR="001D2C99">
        <w:instrText xml:space="preserve">" \s "United States v. Byrd, 765 F.2d 1524, 1529 (11th Cir. 1985)" \c 1 </w:instrText>
      </w:r>
      <w:r w:rsidR="001D2C99">
        <w:fldChar w:fldCharType="end"/>
      </w:r>
      <w:r w:rsidR="004D0EDF">
        <w:t>.</w:t>
      </w:r>
    </w:p>
    <w:p w14:paraId="4C5A4D86" w14:textId="2ABC416F" w:rsidR="003A23E5" w:rsidRDefault="003A23E5" w:rsidP="56C3E658">
      <w:pPr>
        <w:pStyle w:val="ListParagraph"/>
        <w:numPr>
          <w:ilvl w:val="0"/>
          <w:numId w:val="5"/>
        </w:numPr>
        <w:rPr>
          <w:b/>
          <w:bCs/>
        </w:rPr>
      </w:pPr>
      <w:r w:rsidRPr="56C3E658">
        <w:rPr>
          <w:b/>
          <w:bCs/>
        </w:rPr>
        <w:t xml:space="preserve">The </w:t>
      </w:r>
      <w:r w:rsidR="00D15A8A">
        <w:rPr>
          <w:b/>
          <w:bCs/>
        </w:rPr>
        <w:t xml:space="preserve">Court Should Deny the </w:t>
      </w:r>
      <w:r w:rsidR="007D02AE">
        <w:rPr>
          <w:b/>
          <w:bCs/>
        </w:rPr>
        <w:t xml:space="preserve">Defendant’s </w:t>
      </w:r>
      <w:r w:rsidR="00C63EF2">
        <w:rPr>
          <w:b/>
          <w:bCs/>
        </w:rPr>
        <w:t xml:space="preserve">Motion to Suppress because the </w:t>
      </w:r>
      <w:r w:rsidR="08F3D86E" w:rsidRPr="56C3E658">
        <w:rPr>
          <w:b/>
          <w:bCs/>
        </w:rPr>
        <w:t>Government</w:t>
      </w:r>
      <w:r w:rsidRPr="56C3E658">
        <w:rPr>
          <w:b/>
          <w:bCs/>
        </w:rPr>
        <w:t xml:space="preserve"> Derived Its Evidence</w:t>
      </w:r>
      <w:r w:rsidR="003D4B37">
        <w:rPr>
          <w:b/>
          <w:bCs/>
        </w:rPr>
        <w:t xml:space="preserve"> </w:t>
      </w:r>
      <w:r w:rsidRPr="56C3E658">
        <w:rPr>
          <w:b/>
          <w:bCs/>
        </w:rPr>
        <w:t xml:space="preserve">Independent </w:t>
      </w:r>
      <w:r w:rsidR="00D15A8A">
        <w:rPr>
          <w:b/>
          <w:bCs/>
        </w:rPr>
        <w:t>of</w:t>
      </w:r>
      <w:r w:rsidRPr="56C3E658">
        <w:rPr>
          <w:b/>
          <w:bCs/>
        </w:rPr>
        <w:t xml:space="preserve"> </w:t>
      </w:r>
      <w:r w:rsidR="4B545E81" w:rsidRPr="56C3E658">
        <w:rPr>
          <w:b/>
          <w:bCs/>
        </w:rPr>
        <w:t>t</w:t>
      </w:r>
      <w:r w:rsidRPr="56C3E658">
        <w:rPr>
          <w:b/>
          <w:bCs/>
        </w:rPr>
        <w:t xml:space="preserve">he </w:t>
      </w:r>
      <w:r w:rsidR="7E47A12B" w:rsidRPr="56C3E658">
        <w:rPr>
          <w:b/>
          <w:bCs/>
        </w:rPr>
        <w:t>Defendant</w:t>
      </w:r>
      <w:r w:rsidRPr="56C3E658">
        <w:rPr>
          <w:b/>
          <w:bCs/>
        </w:rPr>
        <w:t>’s Immunized Testimony</w:t>
      </w:r>
      <w:r w:rsidR="00AA363C">
        <w:rPr>
          <w:b/>
          <w:bCs/>
        </w:rPr>
        <w:t>.</w:t>
      </w:r>
      <w:r w:rsidR="007C287F">
        <w:rPr>
          <w:b/>
          <w:bCs/>
        </w:rPr>
        <w:fldChar w:fldCharType="begin"/>
      </w:r>
      <w:r w:rsidR="007C287F">
        <w:instrText xml:space="preserve"> TC "</w:instrText>
      </w:r>
      <w:bookmarkStart w:id="5" w:name="_Toc239161570"/>
      <w:r w:rsidR="007C287F" w:rsidRPr="00A26D7F">
        <w:rPr>
          <w:b/>
          <w:bCs/>
        </w:rPr>
        <w:instrText>I. The Court Should Deny the Defendant’s Motion to Suppress because the Government Derived Its Evidence Independent of the Defendant’s Immunized Testimony.</w:instrText>
      </w:r>
      <w:bookmarkEnd w:id="5"/>
      <w:r w:rsidR="007C287F">
        <w:instrText xml:space="preserve">" \f C \l "2" </w:instrText>
      </w:r>
      <w:r w:rsidR="007C287F">
        <w:rPr>
          <w:b/>
          <w:bCs/>
        </w:rPr>
        <w:fldChar w:fldCharType="end"/>
      </w:r>
    </w:p>
    <w:p w14:paraId="3F5CF72E" w14:textId="3F038717" w:rsidR="003A23E5" w:rsidRPr="00B65997" w:rsidRDefault="20554F47">
      <w:pPr>
        <w:ind w:firstLine="720"/>
      </w:pPr>
      <w:r>
        <w:t>The evidence clearly demonstrates</w:t>
      </w:r>
      <w:r w:rsidR="003A23E5">
        <w:t xml:space="preserve"> that Kennedy Parker’s testimony and the </w:t>
      </w:r>
      <w:r w:rsidR="48C68BBF">
        <w:t>subsequent</w:t>
      </w:r>
      <w:r w:rsidR="003A23E5">
        <w:t xml:space="preserve"> discovery of Exhibit 19 </w:t>
      </w:r>
      <w:r w:rsidR="6DE510F3">
        <w:t>were</w:t>
      </w:r>
      <w:r w:rsidR="2A748699">
        <w:t xml:space="preserve"> </w:t>
      </w:r>
      <w:r w:rsidR="003A23E5">
        <w:t xml:space="preserve">derived from legitimate independent sources. First, the </w:t>
      </w:r>
      <w:r w:rsidR="58F27133">
        <w:t>Government</w:t>
      </w:r>
      <w:r w:rsidR="003A23E5">
        <w:t xml:space="preserve"> independently possessed evidence naming Parker before the </w:t>
      </w:r>
      <w:r w:rsidR="7E47A12B">
        <w:t>Defendant</w:t>
      </w:r>
      <w:r w:rsidR="003A23E5">
        <w:t xml:space="preserve">’s immunized testimony. Second, the interview </w:t>
      </w:r>
      <w:r w:rsidR="53B80D00">
        <w:t xml:space="preserve">with </w:t>
      </w:r>
      <w:r w:rsidR="003A23E5">
        <w:t xml:space="preserve">Parker was the result of an independent investigatory lead. </w:t>
      </w:r>
      <w:r w:rsidR="64F61410">
        <w:t>Finally</w:t>
      </w:r>
      <w:r w:rsidR="003A23E5">
        <w:t xml:space="preserve">, even in the unlikely event that the </w:t>
      </w:r>
      <w:r w:rsidR="55DB5064">
        <w:t>Government</w:t>
      </w:r>
      <w:r w:rsidR="003A23E5">
        <w:t xml:space="preserve"> </w:t>
      </w:r>
      <w:r w:rsidR="003A23E5">
        <w:lastRenderedPageBreak/>
        <w:t xml:space="preserve">was exposed to </w:t>
      </w:r>
      <w:r w:rsidR="627F94E1">
        <w:t xml:space="preserve">some of </w:t>
      </w:r>
      <w:r w:rsidR="003A23E5">
        <w:t xml:space="preserve">the immunized testimony, it did not influence the </w:t>
      </w:r>
      <w:r w:rsidR="2D7D975B">
        <w:t>Government</w:t>
      </w:r>
      <w:r w:rsidR="003A23E5">
        <w:t>’s investigation.</w:t>
      </w:r>
    </w:p>
    <w:p w14:paraId="1A57ABC0" w14:textId="0C9FF11E" w:rsidR="004D6398" w:rsidRDefault="004D6398" w:rsidP="56C3E658">
      <w:pPr>
        <w:pStyle w:val="ListParagraph"/>
        <w:numPr>
          <w:ilvl w:val="1"/>
          <w:numId w:val="5"/>
        </w:numPr>
        <w:rPr>
          <w:b/>
          <w:bCs/>
        </w:rPr>
      </w:pPr>
      <w:r w:rsidRPr="56C3E658">
        <w:rPr>
          <w:b/>
          <w:bCs/>
        </w:rPr>
        <w:t xml:space="preserve">The </w:t>
      </w:r>
      <w:r w:rsidR="5739B9F7" w:rsidRPr="56C3E658">
        <w:rPr>
          <w:b/>
          <w:bCs/>
        </w:rPr>
        <w:t>Government</w:t>
      </w:r>
      <w:r w:rsidRPr="56C3E658">
        <w:rPr>
          <w:b/>
          <w:bCs/>
        </w:rPr>
        <w:t xml:space="preserve"> Can Prove It Had Possession </w:t>
      </w:r>
      <w:r w:rsidR="7350113F" w:rsidRPr="56C3E658">
        <w:rPr>
          <w:b/>
          <w:bCs/>
        </w:rPr>
        <w:t>of</w:t>
      </w:r>
      <w:r w:rsidRPr="56C3E658">
        <w:rPr>
          <w:b/>
          <w:bCs/>
        </w:rPr>
        <w:t xml:space="preserve"> Independent Leads </w:t>
      </w:r>
      <w:r w:rsidR="213F2F73" w:rsidRPr="56C3E658">
        <w:rPr>
          <w:b/>
          <w:bCs/>
        </w:rPr>
        <w:t>and</w:t>
      </w:r>
      <w:r w:rsidRPr="56C3E658">
        <w:rPr>
          <w:b/>
          <w:bCs/>
        </w:rPr>
        <w:t xml:space="preserve"> Evidence </w:t>
      </w:r>
      <w:r w:rsidR="3189F16F" w:rsidRPr="56C3E658">
        <w:rPr>
          <w:b/>
          <w:bCs/>
        </w:rPr>
        <w:t xml:space="preserve">Long </w:t>
      </w:r>
      <w:r w:rsidRPr="56C3E658">
        <w:rPr>
          <w:b/>
          <w:bCs/>
        </w:rPr>
        <w:t xml:space="preserve">Before </w:t>
      </w:r>
      <w:r w:rsidR="68192A24" w:rsidRPr="56C3E658">
        <w:rPr>
          <w:b/>
          <w:bCs/>
        </w:rPr>
        <w:t>the</w:t>
      </w:r>
      <w:r w:rsidRPr="56C3E658">
        <w:rPr>
          <w:b/>
          <w:bCs/>
        </w:rPr>
        <w:t xml:space="preserve"> </w:t>
      </w:r>
      <w:r w:rsidR="7E47A12B" w:rsidRPr="56C3E658">
        <w:rPr>
          <w:b/>
          <w:bCs/>
        </w:rPr>
        <w:t>Defendant</w:t>
      </w:r>
      <w:r w:rsidRPr="56C3E658">
        <w:rPr>
          <w:b/>
          <w:bCs/>
        </w:rPr>
        <w:t>’s Immunized Testimony.</w:t>
      </w:r>
      <w:r w:rsidR="00B033FD">
        <w:rPr>
          <w:b/>
          <w:bCs/>
        </w:rPr>
        <w:fldChar w:fldCharType="begin"/>
      </w:r>
      <w:r w:rsidR="00B033FD">
        <w:instrText xml:space="preserve"> TC "</w:instrText>
      </w:r>
      <w:bookmarkStart w:id="6" w:name="_Toc239161571"/>
      <w:r w:rsidR="00B033FD" w:rsidRPr="006F30E2">
        <w:rPr>
          <w:b/>
          <w:bCs/>
        </w:rPr>
        <w:instrText>a. The Government Can Prove It Had Possession of Independent Leads and Evidence Long Before the Defendant’s Immunized Testimony.</w:instrText>
      </w:r>
      <w:bookmarkEnd w:id="6"/>
      <w:r w:rsidR="00B033FD">
        <w:instrText xml:space="preserve">" \f C \l "3" </w:instrText>
      </w:r>
      <w:r w:rsidR="00B033FD">
        <w:rPr>
          <w:b/>
          <w:bCs/>
        </w:rPr>
        <w:fldChar w:fldCharType="end"/>
      </w:r>
    </w:p>
    <w:p w14:paraId="11E410F8" w14:textId="24A58F50" w:rsidR="00C442C8" w:rsidRDefault="00F5406C" w:rsidP="0071529A">
      <w:pPr>
        <w:ind w:firstLine="720"/>
      </w:pPr>
      <w:r>
        <w:t xml:space="preserve">Evidence that the </w:t>
      </w:r>
      <w:r w:rsidR="0C954469">
        <w:t>Government</w:t>
      </w:r>
      <w:r>
        <w:t xml:space="preserve"> was in</w:t>
      </w:r>
      <w:r w:rsidR="007736CF">
        <w:t xml:space="preserve"> prior</w:t>
      </w:r>
      <w:r>
        <w:t xml:space="preserve"> possession of independent leads or evidence is strong proof </w:t>
      </w:r>
      <w:r w:rsidR="007736CF">
        <w:t>of</w:t>
      </w:r>
      <w:r>
        <w:t xml:space="preserve"> an independent source. </w:t>
      </w:r>
      <w:r w:rsidRPr="00F5406C">
        <w:rPr>
          <w:i/>
          <w:iCs/>
        </w:rPr>
        <w:t>United States v. Nanni</w:t>
      </w:r>
      <w:r>
        <w:t>, 59 F.3d 1425, 1431 (2d Cir. 1995</w:t>
      </w:r>
      <w:r w:rsidR="00C442C8">
        <w:t>)</w:t>
      </w:r>
      <w:r w:rsidR="001D2C99">
        <w:fldChar w:fldCharType="begin"/>
      </w:r>
      <w:r w:rsidR="001D2C99">
        <w:instrText xml:space="preserve"> TA \l "</w:instrText>
      </w:r>
      <w:r w:rsidR="001D2C99" w:rsidRPr="00503BF3">
        <w:rPr>
          <w:i/>
          <w:iCs/>
        </w:rPr>
        <w:instrText>United States v. Nanni</w:instrText>
      </w:r>
      <w:r w:rsidR="001D2C99" w:rsidRPr="00503BF3">
        <w:instrText>, 59 F.3d 1425, 1431 (2d Cir. 1995)</w:instrText>
      </w:r>
      <w:r w:rsidR="001D2C99">
        <w:instrText xml:space="preserve">" \s "United States v. Nanni, 59 F.3d 1425, 1431 (2d Cir. 1995)" \c 1 </w:instrText>
      </w:r>
      <w:r w:rsidR="001D2C99">
        <w:fldChar w:fldCharType="end"/>
      </w:r>
      <w:r w:rsidR="004D0EDF">
        <w:t>.</w:t>
      </w:r>
      <w:r w:rsidR="00C442C8">
        <w:t xml:space="preserve"> </w:t>
      </w:r>
      <w:r>
        <w:t xml:space="preserve">When determining whether the immunized testimony could have influenced the line of investigation, “if it appears that that pursuit could have been motivated by both tainted and independent factors, the court must determine whether the </w:t>
      </w:r>
      <w:r w:rsidR="09A77970">
        <w:t xml:space="preserve">Government </w:t>
      </w:r>
      <w:r>
        <w:t xml:space="preserve">would have taken the same steps </w:t>
      </w:r>
      <w:r w:rsidR="00A445CA">
        <w:t>‘</w:t>
      </w:r>
      <w:r>
        <w:t>entirely apart from the motivating effect of the immunized testimony.</w:t>
      </w:r>
      <w:r w:rsidR="00A445CA">
        <w:t>’”</w:t>
      </w:r>
      <w:r>
        <w:t xml:space="preserve"> </w:t>
      </w:r>
      <w:r w:rsidRPr="00F5406C">
        <w:rPr>
          <w:i/>
          <w:iCs/>
        </w:rPr>
        <w:t>Nanni</w:t>
      </w:r>
      <w:r>
        <w:t>, 59 F.3d at 1430</w:t>
      </w:r>
      <w:r w:rsidR="001D09D3">
        <w:fldChar w:fldCharType="begin"/>
      </w:r>
      <w:r w:rsidR="001D09D3">
        <w:instrText xml:space="preserve"> TA \s "United States v. Nanni, 59 F.3d 1425, 1431 (2d Cir. 1995)" </w:instrText>
      </w:r>
      <w:r w:rsidR="001D09D3">
        <w:fldChar w:fldCharType="end"/>
      </w:r>
      <w:r>
        <w:t xml:space="preserve"> </w:t>
      </w:r>
      <w:r w:rsidRPr="00F5406C">
        <w:rPr>
          <w:i/>
          <w:iCs/>
        </w:rPr>
        <w:t>citing United States v. Biaggi</w:t>
      </w:r>
      <w:r>
        <w:t>, 909 F.2d 662, 689 (2</w:t>
      </w:r>
      <w:r w:rsidR="00564E38">
        <w:t>n</w:t>
      </w:r>
      <w:r>
        <w:t>d Cir. 1990)</w:t>
      </w:r>
      <w:r w:rsidR="001D09D3">
        <w:fldChar w:fldCharType="begin"/>
      </w:r>
      <w:r w:rsidR="001D09D3">
        <w:instrText xml:space="preserve"> TA \l "</w:instrText>
      </w:r>
      <w:r w:rsidR="001D09D3" w:rsidRPr="00503BF3">
        <w:rPr>
          <w:i/>
          <w:iCs/>
        </w:rPr>
        <w:instrText>United States v. Biaggi</w:instrText>
      </w:r>
      <w:r w:rsidR="001D09D3" w:rsidRPr="00503BF3">
        <w:instrText>, 909 F.2d 662, 689 (2nd Cir. 1990)</w:instrText>
      </w:r>
      <w:r w:rsidR="001D09D3">
        <w:instrText xml:space="preserve">" \s "United States v. Biaggi, 909 F.2d 662, 689 (2nd Cir. 1990)" \c 1 </w:instrText>
      </w:r>
      <w:r w:rsidR="001D09D3">
        <w:fldChar w:fldCharType="end"/>
      </w:r>
      <w:r w:rsidR="00C356AD">
        <w:t xml:space="preserve">. </w:t>
      </w:r>
    </w:p>
    <w:p w14:paraId="7AC7D8FD" w14:textId="7712E021" w:rsidR="00524DCB" w:rsidRDefault="00B76F7B" w:rsidP="00524DCB">
      <w:pPr>
        <w:ind w:firstLine="720"/>
      </w:pPr>
      <w:r>
        <w:t xml:space="preserve">In </w:t>
      </w:r>
      <w:r w:rsidRPr="56C3E658">
        <w:rPr>
          <w:i/>
          <w:iCs/>
        </w:rPr>
        <w:t>Nanni</w:t>
      </w:r>
      <w:r>
        <w:t xml:space="preserve">, the court upheld the district court’s finding that there was no improper use of the </w:t>
      </w:r>
      <w:r w:rsidR="00564E38">
        <w:t>d</w:t>
      </w:r>
      <w:r w:rsidR="7E47A12B">
        <w:t>efendant</w:t>
      </w:r>
      <w:r>
        <w:t xml:space="preserve">’s immunized testimony. </w:t>
      </w:r>
      <w:r w:rsidRPr="56C3E658">
        <w:rPr>
          <w:i/>
          <w:iCs/>
        </w:rPr>
        <w:t>Nanni</w:t>
      </w:r>
      <w:r>
        <w:t>, 59 F.3d at</w:t>
      </w:r>
      <w:r w:rsidR="00267736">
        <w:t xml:space="preserve"> </w:t>
      </w:r>
      <w:r>
        <w:t>1430</w:t>
      </w:r>
      <w:r w:rsidR="001D09D3">
        <w:fldChar w:fldCharType="begin"/>
      </w:r>
      <w:r w:rsidR="001D09D3">
        <w:instrText xml:space="preserve"> TA \s "United States v. Nanni, 59 F.3d 1425, 1431 (2d Cir. 1995)" </w:instrText>
      </w:r>
      <w:r w:rsidR="001D09D3">
        <w:fldChar w:fldCharType="end"/>
      </w:r>
      <w:r>
        <w:t>.</w:t>
      </w:r>
      <w:r w:rsidR="00564E38">
        <w:t xml:space="preserve"> The defendant argued that the evidence used against him was impermissibly obtained from his immunized testimony in a prior proceeding.</w:t>
      </w:r>
      <w:r w:rsidR="00564E38" w:rsidRPr="56C3E658">
        <w:rPr>
          <w:i/>
          <w:iCs/>
        </w:rPr>
        <w:t xml:space="preserve"> </w:t>
      </w:r>
      <w:r w:rsidR="00564E38" w:rsidRPr="00D75E7D">
        <w:rPr>
          <w:i/>
          <w:iCs/>
        </w:rPr>
        <w:t>Id.</w:t>
      </w:r>
      <w:r w:rsidR="00564E38">
        <w:t xml:space="preserve"> at 1427</w:t>
      </w:r>
      <w:r w:rsidR="00BC5212">
        <w:t>–30</w:t>
      </w:r>
      <w:r w:rsidR="001D09D3">
        <w:fldChar w:fldCharType="begin"/>
      </w:r>
      <w:r w:rsidR="001D09D3">
        <w:instrText xml:space="preserve"> TA \s "United States v. Nanni, 59 F.3d 1425, 1431 (2d Cir. 1995)" </w:instrText>
      </w:r>
      <w:r w:rsidR="001D09D3">
        <w:fldChar w:fldCharType="end"/>
      </w:r>
      <w:r w:rsidR="00BC5212">
        <w:t xml:space="preserve">. </w:t>
      </w:r>
      <w:r w:rsidR="159744EA">
        <w:t>However, the court held that a</w:t>
      </w:r>
      <w:r w:rsidR="5F97CE58">
        <w:t>n</w:t>
      </w:r>
      <w:r w:rsidR="159744EA">
        <w:t xml:space="preserve"> </w:t>
      </w:r>
      <w:r w:rsidR="5F97CE58">
        <w:t>IRS</w:t>
      </w:r>
      <w:r w:rsidR="159744EA">
        <w:t xml:space="preserve"> report</w:t>
      </w:r>
      <w:r w:rsidR="10550F97">
        <w:t xml:space="preserve"> which</w:t>
      </w:r>
      <w:r w:rsidR="6D41A569">
        <w:t xml:space="preserve"> was prepared independently</w:t>
      </w:r>
      <w:r w:rsidR="159744EA">
        <w:t xml:space="preserve"> </w:t>
      </w:r>
      <w:r w:rsidR="007736CF">
        <w:t>of</w:t>
      </w:r>
      <w:r w:rsidR="6D41A569">
        <w:t xml:space="preserve"> the immunized testimony</w:t>
      </w:r>
      <w:r w:rsidR="159744EA">
        <w:t xml:space="preserve"> </w:t>
      </w:r>
      <w:r w:rsidR="196DD697">
        <w:t xml:space="preserve">was the basis for the criminal investigation and, therefore, there was no evidence the immunized testimony had tainted the </w:t>
      </w:r>
      <w:r w:rsidR="7429D0C5">
        <w:t>evidence</w:t>
      </w:r>
      <w:r w:rsidR="00464E32">
        <w:t xml:space="preserve">. </w:t>
      </w:r>
      <w:r w:rsidR="00464E32" w:rsidRPr="00D75E7D">
        <w:rPr>
          <w:i/>
          <w:iCs/>
        </w:rPr>
        <w:t xml:space="preserve">Id. </w:t>
      </w:r>
      <w:r w:rsidR="00464E32">
        <w:t>at 1438</w:t>
      </w:r>
      <w:r w:rsidR="001D09D3">
        <w:fldChar w:fldCharType="begin"/>
      </w:r>
      <w:r w:rsidR="001D09D3">
        <w:instrText xml:space="preserve"> TA \s "United States v. Nanni, 59 F.3d 1425, 1431 (2d Cir. 1995)" </w:instrText>
      </w:r>
      <w:r w:rsidR="001D09D3">
        <w:fldChar w:fldCharType="end"/>
      </w:r>
      <w:r w:rsidR="00464E32">
        <w:t xml:space="preserve">. </w:t>
      </w:r>
    </w:p>
    <w:p w14:paraId="70F31B06" w14:textId="29837318" w:rsidR="00E31CF7" w:rsidRDefault="00E31CF7" w:rsidP="00524DCB">
      <w:pPr>
        <w:ind w:firstLine="720"/>
      </w:pPr>
      <w:r>
        <w:lastRenderedPageBreak/>
        <w:t xml:space="preserve">The report was prepared as part of a year-long investigation, where the agent interviewed various witnesses, reviewed financial documents, and bank records that </w:t>
      </w:r>
      <w:r w:rsidR="005A16B8">
        <w:t>led</w:t>
      </w:r>
      <w:r>
        <w:t xml:space="preserve"> her to independently conclude</w:t>
      </w:r>
      <w:r w:rsidR="005679B8">
        <w:t xml:space="preserve"> (1) </w:t>
      </w:r>
      <w:r>
        <w:t>the non-existence of “</w:t>
      </w:r>
      <w:proofErr w:type="spellStart"/>
      <w:r>
        <w:t>Sureaz</w:t>
      </w:r>
      <w:proofErr w:type="spellEnd"/>
      <w:r w:rsidR="00E247E8">
        <w:t>,</w:t>
      </w:r>
      <w:r>
        <w:t>”</w:t>
      </w:r>
      <w:r w:rsidR="00E247E8">
        <w:t xml:space="preserve"> </w:t>
      </w:r>
      <w:r w:rsidR="005A16B8">
        <w:t>a fictitious person used in</w:t>
      </w:r>
      <w:r w:rsidR="00F30824">
        <w:t xml:space="preserve"> a</w:t>
      </w:r>
      <w:r w:rsidR="005A16B8">
        <w:t xml:space="preserve"> larger tax evasion scheme, </w:t>
      </w:r>
      <w:r>
        <w:t xml:space="preserve">and </w:t>
      </w:r>
      <w:r w:rsidR="005679B8">
        <w:t xml:space="preserve">(2) </w:t>
      </w:r>
      <w:r>
        <w:t xml:space="preserve">the role the </w:t>
      </w:r>
      <w:r w:rsidR="7E47A12B">
        <w:t>Defendant</w:t>
      </w:r>
      <w:r>
        <w:t xml:space="preserve"> played </w:t>
      </w:r>
      <w:r w:rsidR="00DD1CAB">
        <w:t xml:space="preserve">in </w:t>
      </w:r>
      <w:r w:rsidR="00156D10">
        <w:t>said</w:t>
      </w:r>
      <w:r>
        <w:t xml:space="preserve"> fraudulent tax scheme. </w:t>
      </w:r>
      <w:r w:rsidRPr="00156D10">
        <w:rPr>
          <w:i/>
          <w:iCs/>
        </w:rPr>
        <w:t xml:space="preserve">Id. </w:t>
      </w:r>
      <w:r>
        <w:t>at 1435–37.</w:t>
      </w:r>
      <w:r w:rsidR="001D09D3">
        <w:fldChar w:fldCharType="begin"/>
      </w:r>
      <w:r w:rsidR="001D09D3">
        <w:instrText xml:space="preserve"> TA \s "United States v. Nanni, 59 F.3d 1425, 1431 (2d Cir. 1995)" </w:instrText>
      </w:r>
      <w:r w:rsidR="001D09D3">
        <w:fldChar w:fldCharType="end"/>
      </w:r>
      <w:r>
        <w:t xml:space="preserve"> </w:t>
      </w:r>
      <w:r w:rsidR="1355EA81">
        <w:t xml:space="preserve">Therefore, </w:t>
      </w:r>
      <w:r w:rsidR="37187783">
        <w:t>t</w:t>
      </w:r>
      <w:r>
        <w:t xml:space="preserve">he court concluded that “although at the start of </w:t>
      </w:r>
      <w:r w:rsidR="005A16B8">
        <w:t>the agent’s</w:t>
      </w:r>
      <w:r>
        <w:t xml:space="preserve"> investigation she received partially tainted suggestion that </w:t>
      </w:r>
      <w:r w:rsidR="005A16B8">
        <w:t>‘</w:t>
      </w:r>
      <w:proofErr w:type="spellStart"/>
      <w:r>
        <w:t>Sur</w:t>
      </w:r>
      <w:r w:rsidR="007C479A">
        <w:t>ea</w:t>
      </w:r>
      <w:r>
        <w:t>z</w:t>
      </w:r>
      <w:proofErr w:type="spellEnd"/>
      <w:r w:rsidR="005A16B8">
        <w:t>’</w:t>
      </w:r>
      <w:r>
        <w:t xml:space="preserve"> did not exist, she certainly would have reached the same conclusion even absent any cont</w:t>
      </w:r>
      <w:r w:rsidR="008A1A78">
        <w:t>ac</w:t>
      </w:r>
      <w:r>
        <w:t xml:space="preserve">t with [the prosecutor].” </w:t>
      </w:r>
      <w:r w:rsidRPr="0001160E">
        <w:rPr>
          <w:i/>
          <w:iCs/>
        </w:rPr>
        <w:t xml:space="preserve">Id. </w:t>
      </w:r>
      <w:r>
        <w:t>at 1437.</w:t>
      </w:r>
      <w:r w:rsidR="001D09D3">
        <w:fldChar w:fldCharType="begin"/>
      </w:r>
      <w:r w:rsidR="001D09D3">
        <w:instrText xml:space="preserve"> TA \s "United States v. Nanni, 59 F.3d 1425, 1431 (2d Cir. 1995)" </w:instrText>
      </w:r>
      <w:r w:rsidR="001D09D3">
        <w:fldChar w:fldCharType="end"/>
      </w:r>
      <w:r>
        <w:t xml:space="preserve"> </w:t>
      </w:r>
      <w:r w:rsidR="4E8B2D4D">
        <w:t>Furthermore</w:t>
      </w:r>
      <w:r w:rsidR="005A16B8">
        <w:t xml:space="preserve">, </w:t>
      </w:r>
      <w:r>
        <w:t xml:space="preserve">the suspect circumstances surrounding the investigation of the </w:t>
      </w:r>
      <w:r w:rsidR="5803ECD1">
        <w:t>codefendant</w:t>
      </w:r>
      <w:r>
        <w:t xml:space="preserve"> would have caused the agent to take </w:t>
      </w:r>
      <w:proofErr w:type="gramStart"/>
      <w:r>
        <w:t>the further</w:t>
      </w:r>
      <w:proofErr w:type="gramEnd"/>
      <w:r>
        <w:t xml:space="preserve"> investigative steps to come to her ultimate conclusions. </w:t>
      </w:r>
      <w:r w:rsidRPr="003971BD">
        <w:rPr>
          <w:i/>
          <w:iCs/>
        </w:rPr>
        <w:t>Id.</w:t>
      </w:r>
    </w:p>
    <w:p w14:paraId="024231AD" w14:textId="1E9CA13D" w:rsidR="5D5EE912" w:rsidRDefault="005679B8">
      <w:r>
        <w:tab/>
      </w:r>
      <w:r w:rsidR="6887A205">
        <w:t>Like</w:t>
      </w:r>
      <w:r w:rsidR="00F3671A">
        <w:t xml:space="preserve"> </w:t>
      </w:r>
      <w:r w:rsidR="32A39DBD">
        <w:t xml:space="preserve">the investigator in </w:t>
      </w:r>
      <w:r w:rsidR="00F3671A" w:rsidRPr="5516267F">
        <w:rPr>
          <w:i/>
          <w:iCs/>
        </w:rPr>
        <w:t>Nanni</w:t>
      </w:r>
      <w:r w:rsidR="00F3671A">
        <w:t xml:space="preserve">, the </w:t>
      </w:r>
      <w:r w:rsidR="52C0EAA3">
        <w:t>Government</w:t>
      </w:r>
      <w:r w:rsidR="34E9C241">
        <w:t xml:space="preserve"> here</w:t>
      </w:r>
      <w:r w:rsidR="00F3671A">
        <w:t xml:space="preserve"> had independent evidence naming Kennedy Parker. In April 2023, Parker’s name first appeared in financial documents provided by Blake.</w:t>
      </w:r>
      <w:r w:rsidR="00E54836">
        <w:t xml:space="preserve"> R. at 52</w:t>
      </w:r>
      <w:r w:rsidR="677F13B2">
        <w:t xml:space="preserve">. </w:t>
      </w:r>
      <w:r w:rsidR="00F3671A">
        <w:t xml:space="preserve">In February 2024, months before the separation and testimony, the </w:t>
      </w:r>
      <w:r w:rsidR="314A659E">
        <w:t>G</w:t>
      </w:r>
      <w:r w:rsidR="783774AF">
        <w:t>overnment</w:t>
      </w:r>
      <w:r w:rsidR="00F3671A">
        <w:t xml:space="preserve"> subpoenaed the entire Silver Palms employee roster, which lists Parker. </w:t>
      </w:r>
      <w:r w:rsidR="00E54836">
        <w:t xml:space="preserve">R. at </w:t>
      </w:r>
      <w:r w:rsidR="00700542">
        <w:t xml:space="preserve">63. </w:t>
      </w:r>
      <w:r w:rsidR="19E74A87">
        <w:t xml:space="preserve">Additionally, </w:t>
      </w:r>
      <w:r w:rsidR="17B7804C">
        <w:t>Parker</w:t>
      </w:r>
      <w:r w:rsidR="00F3671A">
        <w:t xml:space="preserve"> was </w:t>
      </w:r>
      <w:r w:rsidR="00B70ACB">
        <w:t xml:space="preserve">named </w:t>
      </w:r>
      <w:r w:rsidR="00F3671A">
        <w:t xml:space="preserve">on an </w:t>
      </w:r>
      <w:r w:rsidR="00700542">
        <w:t>“E</w:t>
      </w:r>
      <w:r w:rsidR="00F3671A">
        <w:t xml:space="preserve">mployee </w:t>
      </w:r>
      <w:r w:rsidR="00700542">
        <w:t>I</w:t>
      </w:r>
      <w:r w:rsidR="00F3671A">
        <w:t>nterview</w:t>
      </w:r>
      <w:r w:rsidR="00700542">
        <w:t xml:space="preserve"> — Priority List” </w:t>
      </w:r>
      <w:r w:rsidR="000445B5">
        <w:t xml:space="preserve">and a to-do list </w:t>
      </w:r>
      <w:r w:rsidR="00F3671A">
        <w:t xml:space="preserve">prepared by Nolan </w:t>
      </w:r>
      <w:r w:rsidR="00B70ACB">
        <w:t>before</w:t>
      </w:r>
      <w:r w:rsidR="00F3671A">
        <w:t xml:space="preserve"> the </w:t>
      </w:r>
      <w:r w:rsidR="7E47A12B">
        <w:t>Defendant</w:t>
      </w:r>
      <w:r w:rsidR="00F3671A">
        <w:t xml:space="preserve">’s testimony. </w:t>
      </w:r>
      <w:r w:rsidR="000445B5">
        <w:t xml:space="preserve">R. at 69, 70. </w:t>
      </w:r>
      <w:r w:rsidR="5ABE5530">
        <w:t xml:space="preserve">Therefore, like in </w:t>
      </w:r>
      <w:r w:rsidR="5ABE5530" w:rsidRPr="00D15A8A">
        <w:rPr>
          <w:i/>
        </w:rPr>
        <w:t xml:space="preserve">Nanni </w:t>
      </w:r>
      <w:r w:rsidR="5ABE5530">
        <w:t xml:space="preserve">where the IRS agent reached her conclusion independent of any immunized testimony, </w:t>
      </w:r>
      <w:r w:rsidR="71F98A4A">
        <w:t>t</w:t>
      </w:r>
      <w:r w:rsidR="00F3671A">
        <w:t xml:space="preserve">he </w:t>
      </w:r>
      <w:r w:rsidR="2A96E774">
        <w:t xml:space="preserve">Government </w:t>
      </w:r>
      <w:r w:rsidR="00F3671A">
        <w:t xml:space="preserve">did not learn about Parker from the </w:t>
      </w:r>
      <w:r w:rsidR="7E47A12B">
        <w:t>Defendant</w:t>
      </w:r>
      <w:r w:rsidR="00FE44B9">
        <w:t xml:space="preserve">’s </w:t>
      </w:r>
      <w:r w:rsidR="00F3671A">
        <w:t>testimony</w:t>
      </w:r>
      <w:r w:rsidR="000445B5">
        <w:t xml:space="preserve"> </w:t>
      </w:r>
      <w:r w:rsidR="40E2F1A5">
        <w:t>but instead</w:t>
      </w:r>
      <w:r w:rsidR="00F3671A">
        <w:t xml:space="preserve"> </w:t>
      </w:r>
      <w:r w:rsidR="00FB41C9">
        <w:t xml:space="preserve">through </w:t>
      </w:r>
      <w:r w:rsidR="0D77A1ED">
        <w:t xml:space="preserve">independently obtained </w:t>
      </w:r>
      <w:r w:rsidR="001A7B1B">
        <w:t>financial documents and employee rosters.</w:t>
      </w:r>
      <w:r w:rsidR="00F3671A">
        <w:t xml:space="preserve"> </w:t>
      </w:r>
    </w:p>
    <w:p w14:paraId="05ACC6DA" w14:textId="1ECAFE2C" w:rsidR="003D7B6D" w:rsidRDefault="00F3671A" w:rsidP="00F3671A">
      <w:r>
        <w:lastRenderedPageBreak/>
        <w:tab/>
      </w:r>
      <w:r w:rsidR="4CA5A066">
        <w:t>On top of that</w:t>
      </w:r>
      <w:r>
        <w:t xml:space="preserve">, the </w:t>
      </w:r>
      <w:r w:rsidR="56BC980C">
        <w:t>G</w:t>
      </w:r>
      <w:r w:rsidR="4437090C">
        <w:t>overnment</w:t>
      </w:r>
      <w:r>
        <w:t xml:space="preserve"> had prior independent investigatory leads.</w:t>
      </w:r>
      <w:r w:rsidR="001A7B1B">
        <w:t xml:space="preserve"> </w:t>
      </w:r>
      <w:r w:rsidRPr="00EC3DF8">
        <w:t>The</w:t>
      </w:r>
      <w:r>
        <w:t xml:space="preserve"> </w:t>
      </w:r>
      <w:r w:rsidR="1AD83A21">
        <w:t>G</w:t>
      </w:r>
      <w:r w:rsidR="472EE1F4">
        <w:t>overnment</w:t>
      </w:r>
      <w:r>
        <w:t xml:space="preserve"> had an independent investigatory lead of interviewing employees by</w:t>
      </w:r>
      <w:r w:rsidR="00EB2A81">
        <w:t xml:space="preserve"> </w:t>
      </w:r>
      <w:r>
        <w:t xml:space="preserve">frequency of </w:t>
      </w:r>
      <w:proofErr w:type="gramStart"/>
      <w:r>
        <w:t>worked</w:t>
      </w:r>
      <w:proofErr w:type="gramEnd"/>
      <w:r>
        <w:t xml:space="preserve"> events.</w:t>
      </w:r>
      <w:r w:rsidR="00EB2A81">
        <w:t xml:space="preserve"> Nolan Dep. 30:269–71</w:t>
      </w:r>
      <w:r w:rsidR="00545A63">
        <w:t>.</w:t>
      </w:r>
      <w:r>
        <w:t xml:space="preserve"> Parker</w:t>
      </w:r>
      <w:r w:rsidR="004F12EA">
        <w:t xml:space="preserve"> was a priority witness</w:t>
      </w:r>
      <w:r w:rsidR="5ACEFD7C">
        <w:t xml:space="preserve"> that</w:t>
      </w:r>
      <w:r w:rsidR="004F12EA">
        <w:t xml:space="preserve"> </w:t>
      </w:r>
      <w:r w:rsidR="00FF4A42">
        <w:t xml:space="preserve">the </w:t>
      </w:r>
      <w:r w:rsidR="0D11864A">
        <w:t>Government</w:t>
      </w:r>
      <w:r w:rsidR="00FF4A42">
        <w:t xml:space="preserve"> intended to interview, as seen on the Priority Interview list prepared by Agent Nolan.</w:t>
      </w:r>
      <w:r w:rsidR="00EB2A81">
        <w:t xml:space="preserve"> R. at 69.</w:t>
      </w:r>
      <w:r w:rsidR="00FF4A42">
        <w:t xml:space="preserve"> </w:t>
      </w:r>
      <w:r>
        <w:t>In fact, Nolan explicitly states</w:t>
      </w:r>
      <w:r w:rsidR="00EB2A81">
        <w:t>,</w:t>
      </w:r>
      <w:r>
        <w:t xml:space="preserve"> circling back to employee interviews on </w:t>
      </w:r>
      <w:r w:rsidR="00EB2A81">
        <w:t>his to-do list</w:t>
      </w:r>
      <w:r>
        <w:t xml:space="preserve"> created the week of August 25.</w:t>
      </w:r>
      <w:r w:rsidR="00EB2A81">
        <w:t xml:space="preserve"> R. at </w:t>
      </w:r>
      <w:r w:rsidR="00FD789D">
        <w:t>16.</w:t>
      </w:r>
    </w:p>
    <w:p w14:paraId="44AC011B" w14:textId="0B0799CB" w:rsidR="00C76C65" w:rsidRDefault="00F3671A" w:rsidP="00055B25">
      <w:r>
        <w:tab/>
      </w:r>
      <w:r w:rsidR="00EB2A81">
        <w:t>Furthermore</w:t>
      </w:r>
      <w:r>
        <w:t xml:space="preserve">, </w:t>
      </w:r>
      <w:r w:rsidR="00BC28CC">
        <w:t xml:space="preserve">as </w:t>
      </w:r>
      <w:r w:rsidR="00DD1CAB">
        <w:t xml:space="preserve">determined in </w:t>
      </w:r>
      <w:r w:rsidR="004D130B" w:rsidRPr="004D130B">
        <w:rPr>
          <w:i/>
          <w:iCs/>
        </w:rPr>
        <w:t>Nanni</w:t>
      </w:r>
      <w:r w:rsidR="004D130B">
        <w:t xml:space="preserve">, </w:t>
      </w:r>
      <w:r w:rsidR="00BC28CC">
        <w:t xml:space="preserve">the </w:t>
      </w:r>
      <w:r w:rsidR="05C2DA7C">
        <w:t>Government</w:t>
      </w:r>
      <w:r w:rsidR="00990811">
        <w:t xml:space="preserve"> would have uncovered all the evidence </w:t>
      </w:r>
      <w:r w:rsidR="00494475">
        <w:t xml:space="preserve">intended to be used against the </w:t>
      </w:r>
      <w:r w:rsidR="7E47A12B">
        <w:t>Defendant</w:t>
      </w:r>
      <w:r w:rsidR="00494475">
        <w:t xml:space="preserve"> regardless of any potential taint.</w:t>
      </w:r>
      <w:r w:rsidR="00BB27F4">
        <w:t xml:space="preserve"> </w:t>
      </w:r>
      <w:r w:rsidR="15047BCD">
        <w:t>Notably</w:t>
      </w:r>
      <w:r w:rsidR="75E2E2AB">
        <w:t xml:space="preserve">, </w:t>
      </w:r>
      <w:r w:rsidR="00494475">
        <w:t>Parker’s interview</w:t>
      </w:r>
      <w:r w:rsidR="0B874F0E">
        <w:t xml:space="preserve"> on October 31, 2024,</w:t>
      </w:r>
      <w:r w:rsidR="00494475">
        <w:t xml:space="preserve"> fits into the independent investigative timeline. Before interviewing Parker, </w:t>
      </w:r>
      <w:r w:rsidR="00EB2A81">
        <w:t>the only</w:t>
      </w:r>
      <w:r w:rsidR="0FBA912B">
        <w:t xml:space="preserve"> </w:t>
      </w:r>
      <w:r w:rsidR="00EB2A81">
        <w:t xml:space="preserve">other </w:t>
      </w:r>
      <w:r w:rsidR="0FBA912B">
        <w:t>interviewed employees</w:t>
      </w:r>
      <w:r w:rsidR="00EB2A81">
        <w:t xml:space="preserve"> were</w:t>
      </w:r>
      <w:r w:rsidR="0FBA912B">
        <w:t xml:space="preserve"> listed on Nolan’s </w:t>
      </w:r>
      <w:r w:rsidR="001A7B4D">
        <w:t xml:space="preserve">priority </w:t>
      </w:r>
      <w:r w:rsidR="0FBA912B">
        <w:t xml:space="preserve">list created before </w:t>
      </w:r>
      <w:r w:rsidR="00306908">
        <w:t>the Defendant’s</w:t>
      </w:r>
      <w:r w:rsidR="0FBA912B">
        <w:t xml:space="preserve"> testimony. </w:t>
      </w:r>
      <w:r w:rsidR="001A7B4D">
        <w:t xml:space="preserve">R. at </w:t>
      </w:r>
      <w:r w:rsidR="00ED1188">
        <w:t xml:space="preserve">70. </w:t>
      </w:r>
      <w:r w:rsidR="00494475">
        <w:t xml:space="preserve">When the </w:t>
      </w:r>
      <w:r w:rsidR="271986DB">
        <w:t>G</w:t>
      </w:r>
      <w:r w:rsidR="1BC5AE22">
        <w:t>overnment</w:t>
      </w:r>
      <w:r w:rsidR="00494475">
        <w:t xml:space="preserve"> </w:t>
      </w:r>
      <w:r w:rsidR="38A69601">
        <w:t xml:space="preserve">finally </w:t>
      </w:r>
      <w:r w:rsidR="00494475">
        <w:t xml:space="preserve">interviewed Parker, she was next on the priority list, with only </w:t>
      </w:r>
      <w:r w:rsidR="00ED1188">
        <w:t>two</w:t>
      </w:r>
      <w:r w:rsidR="00494475">
        <w:t xml:space="preserve"> employee</w:t>
      </w:r>
      <w:r w:rsidR="00ED1188">
        <w:t>s</w:t>
      </w:r>
      <w:r w:rsidR="00494475">
        <w:t xml:space="preserve"> ahead of her, separated by</w:t>
      </w:r>
      <w:r w:rsidR="00306908">
        <w:t xml:space="preserve"> only</w:t>
      </w:r>
      <w:r w:rsidR="00494475">
        <w:t xml:space="preserve"> </w:t>
      </w:r>
      <w:r w:rsidR="00ED1188">
        <w:t>two</w:t>
      </w:r>
      <w:r w:rsidR="00494475">
        <w:t xml:space="preserve"> shift</w:t>
      </w:r>
      <w:r w:rsidR="00306908">
        <w:t xml:space="preserve"> </w:t>
      </w:r>
      <w:proofErr w:type="gramStart"/>
      <w:r w:rsidR="00306908">
        <w:t>difference</w:t>
      </w:r>
      <w:proofErr w:type="gramEnd"/>
      <w:r w:rsidR="00494475">
        <w:t xml:space="preserve">. </w:t>
      </w:r>
      <w:r w:rsidR="00ED1188">
        <w:t xml:space="preserve">R. at 70. </w:t>
      </w:r>
      <w:r w:rsidR="3BD59A9C">
        <w:t xml:space="preserve">Therefore, </w:t>
      </w:r>
      <w:r w:rsidR="2260CE12">
        <w:t>i</w:t>
      </w:r>
      <w:r w:rsidR="00494475">
        <w:t xml:space="preserve">t is non-dispositive that Parker was interviewed after the </w:t>
      </w:r>
      <w:r w:rsidR="7E47A12B">
        <w:t>Defendant</w:t>
      </w:r>
      <w:r w:rsidR="00494475">
        <w:t>’s immunized testimony</w:t>
      </w:r>
      <w:r w:rsidR="47241427">
        <w:t xml:space="preserve"> because she was already in line to be interviewed</w:t>
      </w:r>
      <w:r w:rsidR="00494475">
        <w:t xml:space="preserve">. </w:t>
      </w:r>
      <w:r w:rsidR="2F96DD96">
        <w:t xml:space="preserve">Simply put, </w:t>
      </w:r>
      <w:r w:rsidR="00494475">
        <w:t xml:space="preserve">Parker’s interview timeline fell neatly into </w:t>
      </w:r>
      <w:r w:rsidR="00ED1188">
        <w:t>the</w:t>
      </w:r>
      <w:r w:rsidR="00494475">
        <w:t xml:space="preserve"> interviewing strategy by number of shifts worked in 2023</w:t>
      </w:r>
      <w:r w:rsidR="00ED1188">
        <w:t>,</w:t>
      </w:r>
      <w:r w:rsidR="4D733632">
        <w:t xml:space="preserve"> and she</w:t>
      </w:r>
      <w:r w:rsidR="00494475">
        <w:t xml:space="preserve"> was interviewed in accordance with the order outlined on the priority list. </w:t>
      </w:r>
      <w:r w:rsidR="00ED1188">
        <w:t xml:space="preserve">R. at 70. </w:t>
      </w:r>
    </w:p>
    <w:p w14:paraId="7EEDF262" w14:textId="5990F5C5" w:rsidR="00055B25" w:rsidRDefault="00C76C65" w:rsidP="00055B25">
      <w:r>
        <w:tab/>
      </w:r>
      <w:r w:rsidR="2F16005D">
        <w:t>E</w:t>
      </w:r>
      <w:r w:rsidR="00F3671A">
        <w:t xml:space="preserve">ven in the unlikely event of exposure, the </w:t>
      </w:r>
      <w:r w:rsidR="3A827CF0">
        <w:t xml:space="preserve">investigators’ </w:t>
      </w:r>
      <w:r w:rsidR="00F3671A">
        <w:t xml:space="preserve">strategy would have </w:t>
      </w:r>
      <w:r w:rsidR="63FC5509">
        <w:t>followed</w:t>
      </w:r>
      <w:r w:rsidR="64447185">
        <w:t xml:space="preserve"> the </w:t>
      </w:r>
      <w:r w:rsidR="63FC5509">
        <w:t>same path and arrived at the same results</w:t>
      </w:r>
      <w:r w:rsidR="00F3671A">
        <w:t xml:space="preserve">. From the beginning, it was clear that </w:t>
      </w:r>
      <w:r w:rsidR="4BCF6970">
        <w:t xml:space="preserve">the investigators </w:t>
      </w:r>
      <w:r w:rsidR="00F3671A">
        <w:t xml:space="preserve">intended to investigate Parker long before the </w:t>
      </w:r>
      <w:r w:rsidR="7E47A12B">
        <w:t>Defendant</w:t>
      </w:r>
      <w:r w:rsidR="00F3671A">
        <w:t xml:space="preserve">’s </w:t>
      </w:r>
      <w:r w:rsidR="00F3671A">
        <w:lastRenderedPageBreak/>
        <w:t xml:space="preserve">testimony. </w:t>
      </w:r>
      <w:r w:rsidR="087D7314">
        <w:t xml:space="preserve">As a result, regardless of </w:t>
      </w:r>
      <w:r w:rsidR="00FD789D">
        <w:t>whether</w:t>
      </w:r>
      <w:r w:rsidR="087D7314">
        <w:t xml:space="preserve"> the investigators were somehow exposed to the Defendant’s immunized testimony despite their precautions, their investigation </w:t>
      </w:r>
      <w:r w:rsidR="2E04266F">
        <w:t xml:space="preserve">would have </w:t>
      </w:r>
      <w:r w:rsidR="00F3671A">
        <w:t xml:space="preserve">led to the voluntary statement regarding the substance of the Christmas party fight and the </w:t>
      </w:r>
      <w:r w:rsidR="18146CB5">
        <w:t xml:space="preserve">discovery </w:t>
      </w:r>
      <w:r w:rsidR="00F3671A">
        <w:t>of Exhibit 19</w:t>
      </w:r>
      <w:r w:rsidR="1BE0A673">
        <w:t xml:space="preserve"> either way</w:t>
      </w:r>
      <w:r w:rsidR="00F3671A">
        <w:t xml:space="preserve">. </w:t>
      </w:r>
      <w:r w:rsidR="763FF352">
        <w:t xml:space="preserve">In fact, </w:t>
      </w:r>
      <w:r w:rsidR="2CB4EEC3">
        <w:t>n</w:t>
      </w:r>
      <w:r w:rsidR="00F3671A">
        <w:t xml:space="preserve">either the </w:t>
      </w:r>
      <w:r w:rsidR="7E47A12B">
        <w:t>Defendant</w:t>
      </w:r>
      <w:r w:rsidR="00F3671A">
        <w:t>’s testimony nor reports of her testimony offer information useful regarding Exhibit 19.</w:t>
      </w:r>
      <w:r w:rsidR="00FD789D">
        <w:t xml:space="preserve"> R. at 66, 67.</w:t>
      </w:r>
      <w:r w:rsidR="00F3671A">
        <w:t xml:space="preserve"> </w:t>
      </w:r>
      <w:r w:rsidR="3F7D77C5">
        <w:t xml:space="preserve">Indeed, </w:t>
      </w:r>
      <w:r w:rsidR="3B851D5E">
        <w:t>t</w:t>
      </w:r>
      <w:r w:rsidR="00F3671A">
        <w:t xml:space="preserve">he immunized testimony does not </w:t>
      </w:r>
      <w:r w:rsidR="2B50C210">
        <w:t xml:space="preserve">even </w:t>
      </w:r>
      <w:r w:rsidR="00F3671A">
        <w:t xml:space="preserve">discuss the location or existence of a self-storage unit or box. </w:t>
      </w:r>
      <w:r w:rsidR="0FC4A6F0">
        <w:t xml:space="preserve">Instead, </w:t>
      </w:r>
      <w:r w:rsidR="00F3671A">
        <w:t xml:space="preserve">the </w:t>
      </w:r>
      <w:r w:rsidR="20CA0E95">
        <w:t>Government</w:t>
      </w:r>
      <w:r w:rsidR="00F3671A">
        <w:t xml:space="preserve"> </w:t>
      </w:r>
      <w:r w:rsidR="19A81168">
        <w:t xml:space="preserve">obtained that information </w:t>
      </w:r>
      <w:r w:rsidR="00FD789D">
        <w:t>independently</w:t>
      </w:r>
      <w:r w:rsidR="19A81168">
        <w:t xml:space="preserve"> of the Defendant’s testimony when they</w:t>
      </w:r>
      <w:r w:rsidR="20CA0E95">
        <w:t xml:space="preserve"> </w:t>
      </w:r>
      <w:r w:rsidR="00FD789D">
        <w:t>interviewed</w:t>
      </w:r>
      <w:r w:rsidR="1FDA5636">
        <w:t xml:space="preserve"> Parker in accordance with their original plan.</w:t>
      </w:r>
      <w:r w:rsidR="00F3671A">
        <w:t xml:space="preserve"> </w:t>
      </w:r>
    </w:p>
    <w:p w14:paraId="65CAA105" w14:textId="1D59C7AC" w:rsidR="00055B25" w:rsidRPr="00055B25" w:rsidRDefault="00055B25" w:rsidP="56C3E658">
      <w:pPr>
        <w:pStyle w:val="ListParagraph"/>
        <w:numPr>
          <w:ilvl w:val="0"/>
          <w:numId w:val="5"/>
        </w:numPr>
        <w:rPr>
          <w:b/>
          <w:bCs/>
        </w:rPr>
      </w:pPr>
      <w:r w:rsidRPr="56C3E658">
        <w:rPr>
          <w:b/>
          <w:bCs/>
        </w:rPr>
        <w:t xml:space="preserve">The </w:t>
      </w:r>
      <w:r w:rsidR="33A3F83C" w:rsidRPr="56C3E658">
        <w:rPr>
          <w:b/>
          <w:bCs/>
        </w:rPr>
        <w:t>Government</w:t>
      </w:r>
      <w:r w:rsidRPr="56C3E658">
        <w:rPr>
          <w:b/>
          <w:bCs/>
        </w:rPr>
        <w:t xml:space="preserve"> </w:t>
      </w:r>
      <w:r w:rsidR="005820D8" w:rsidRPr="56C3E658">
        <w:rPr>
          <w:b/>
          <w:bCs/>
        </w:rPr>
        <w:t xml:space="preserve">Properly Separated </w:t>
      </w:r>
      <w:r w:rsidR="7953591D" w:rsidRPr="56C3E658">
        <w:rPr>
          <w:b/>
          <w:bCs/>
        </w:rPr>
        <w:t>the</w:t>
      </w:r>
      <w:r w:rsidR="005820D8" w:rsidRPr="56C3E658">
        <w:rPr>
          <w:b/>
          <w:bCs/>
        </w:rPr>
        <w:t xml:space="preserve"> Prosecuting Team </w:t>
      </w:r>
      <w:r w:rsidR="0899D283" w:rsidRPr="56C3E658">
        <w:rPr>
          <w:b/>
          <w:bCs/>
        </w:rPr>
        <w:t>from</w:t>
      </w:r>
      <w:r w:rsidR="005820D8" w:rsidRPr="56C3E658">
        <w:rPr>
          <w:b/>
          <w:bCs/>
        </w:rPr>
        <w:t xml:space="preserve"> </w:t>
      </w:r>
      <w:r w:rsidR="20E63C06" w:rsidRPr="56C3E658">
        <w:rPr>
          <w:b/>
          <w:bCs/>
        </w:rPr>
        <w:t>t</w:t>
      </w:r>
      <w:r w:rsidRPr="56C3E658">
        <w:rPr>
          <w:b/>
          <w:bCs/>
        </w:rPr>
        <w:t xml:space="preserve">he Immunized </w:t>
      </w:r>
      <w:r w:rsidR="00D15A8A" w:rsidRPr="56C3E658">
        <w:rPr>
          <w:b/>
          <w:bCs/>
        </w:rPr>
        <w:t>Testimony;</w:t>
      </w:r>
      <w:r w:rsidR="005820D8" w:rsidRPr="56C3E658">
        <w:rPr>
          <w:b/>
          <w:bCs/>
        </w:rPr>
        <w:t xml:space="preserve"> Ensuring</w:t>
      </w:r>
      <w:r w:rsidRPr="56C3E658">
        <w:rPr>
          <w:b/>
          <w:bCs/>
        </w:rPr>
        <w:t xml:space="preserve"> Evidence Was Derived </w:t>
      </w:r>
      <w:r w:rsidR="52D3EB28" w:rsidRPr="56C3E658">
        <w:rPr>
          <w:b/>
          <w:bCs/>
        </w:rPr>
        <w:t>f</w:t>
      </w:r>
      <w:r w:rsidRPr="56C3E658">
        <w:rPr>
          <w:b/>
          <w:bCs/>
        </w:rPr>
        <w:t>rom Independent Sources.</w:t>
      </w:r>
      <w:r w:rsidR="00B033FD">
        <w:rPr>
          <w:b/>
          <w:bCs/>
        </w:rPr>
        <w:fldChar w:fldCharType="begin"/>
      </w:r>
      <w:r w:rsidR="00B033FD">
        <w:instrText xml:space="preserve"> TC "</w:instrText>
      </w:r>
      <w:bookmarkStart w:id="7" w:name="_Toc239161572"/>
      <w:r w:rsidR="00B033FD" w:rsidRPr="0034418B">
        <w:rPr>
          <w:b/>
          <w:bCs/>
        </w:rPr>
        <w:instrText>II. The Government Properly Separated the Prosecuting Team from the Immunized Testimony; Ensuring Evidence Was Derived from Independent Sources.</w:instrText>
      </w:r>
      <w:bookmarkEnd w:id="7"/>
      <w:r w:rsidR="00B033FD">
        <w:instrText xml:space="preserve">" \f C \l "2" </w:instrText>
      </w:r>
      <w:r w:rsidR="00B033FD">
        <w:rPr>
          <w:b/>
          <w:bCs/>
        </w:rPr>
        <w:fldChar w:fldCharType="end"/>
      </w:r>
    </w:p>
    <w:p w14:paraId="5952AE12" w14:textId="339A1C82" w:rsidR="00024A6C" w:rsidRDefault="00055B25" w:rsidP="00055B25">
      <w:r>
        <w:tab/>
        <w:t xml:space="preserve">The </w:t>
      </w:r>
      <w:r w:rsidR="4BEFF83A">
        <w:t>Government</w:t>
      </w:r>
      <w:r>
        <w:t xml:space="preserve"> relied on reliable wall-off procedures to separate the </w:t>
      </w:r>
      <w:r w:rsidR="7E47A12B">
        <w:t>Defendant</w:t>
      </w:r>
      <w:r>
        <w:t xml:space="preserve">’s investigation from her immunized testimony. There is no per se rule requiring the withdrawal of an investigative officer who may have been exposed to immunized testimony. </w:t>
      </w:r>
      <w:r>
        <w:rPr>
          <w:i/>
          <w:iCs/>
        </w:rPr>
        <w:t>United States v. Crowson</w:t>
      </w:r>
      <w:r>
        <w:t>, 828 F.2d 1427, 1430 (9th Cir. 1987).</w:t>
      </w:r>
      <w:r w:rsidR="001D09D3">
        <w:fldChar w:fldCharType="begin"/>
      </w:r>
      <w:r w:rsidR="001D09D3">
        <w:instrText xml:space="preserve"> TA \l "</w:instrText>
      </w:r>
      <w:r w:rsidR="001D09D3" w:rsidRPr="00503BF3">
        <w:rPr>
          <w:i/>
          <w:iCs/>
        </w:rPr>
        <w:instrText>United States v. Crowson</w:instrText>
      </w:r>
      <w:r w:rsidR="001D09D3" w:rsidRPr="00503BF3">
        <w:instrText>, 828 F.2d 1427, 1430 (9th Cir. 1987).</w:instrText>
      </w:r>
      <w:r w:rsidR="001D09D3">
        <w:instrText xml:space="preserve">" \s "United States v. Crowson, 828 F.2d 1427, 1430 (9th Cir. 1987)." \c 1 </w:instrText>
      </w:r>
      <w:r w:rsidR="001D09D3">
        <w:fldChar w:fldCharType="end"/>
      </w:r>
      <w:r>
        <w:t xml:space="preserve"> </w:t>
      </w:r>
      <w:r w:rsidR="004B6CE2">
        <w:t xml:space="preserve">The </w:t>
      </w:r>
      <w:r w:rsidR="00DC251E">
        <w:t>Government’s</w:t>
      </w:r>
      <w:r w:rsidR="004B6CE2">
        <w:t xml:space="preserve"> burden does not change “merely because members of [the] prosecution team had access to testimony.” </w:t>
      </w:r>
      <w:r w:rsidR="004B6CE2">
        <w:rPr>
          <w:i/>
          <w:iCs/>
        </w:rPr>
        <w:t>Id.</w:t>
      </w:r>
      <w:r w:rsidR="004B6CE2">
        <w:t xml:space="preserve"> at</w:t>
      </w:r>
      <w:r w:rsidR="00DC251E">
        <w:t xml:space="preserve"> 1429.</w:t>
      </w:r>
      <w:r w:rsidR="001D09D3">
        <w:fldChar w:fldCharType="begin"/>
      </w:r>
      <w:r w:rsidR="001D09D3">
        <w:instrText xml:space="preserve"> TA \s "United States v. Crowson, 828 F.2d 1427, 1430 (9th Cir. 1987)." </w:instrText>
      </w:r>
      <w:r w:rsidR="001D09D3">
        <w:fldChar w:fldCharType="end"/>
      </w:r>
      <w:r w:rsidR="001B7CAD">
        <w:t xml:space="preserve"> </w:t>
      </w:r>
    </w:p>
    <w:p w14:paraId="788C939B" w14:textId="2BCCE050" w:rsidR="00914144" w:rsidRDefault="00055B25" w:rsidP="00055B25">
      <w:r>
        <w:tab/>
      </w:r>
      <w:r w:rsidR="00A77099">
        <w:t>T</w:t>
      </w:r>
      <w:r>
        <w:t xml:space="preserve">he </w:t>
      </w:r>
      <w:r w:rsidR="7DDE8DD9">
        <w:t>Government</w:t>
      </w:r>
      <w:r>
        <w:t xml:space="preserve"> here successfully </w:t>
      </w:r>
      <w:r w:rsidR="005A2A49">
        <w:t>separated</w:t>
      </w:r>
      <w:r>
        <w:t xml:space="preserve"> the prosecuting teams. While Sinclair and Nolan worked together initially to prosecute Saint Donovan, </w:t>
      </w:r>
      <w:proofErr w:type="gramStart"/>
      <w:r>
        <w:t>overlap</w:t>
      </w:r>
      <w:proofErr w:type="gramEnd"/>
      <w:r>
        <w:t xml:space="preserve"> </w:t>
      </w:r>
      <w:r w:rsidR="005820D8">
        <w:t xml:space="preserve">itself </w:t>
      </w:r>
      <w:r>
        <w:t xml:space="preserve">does not </w:t>
      </w:r>
      <w:r>
        <w:lastRenderedPageBreak/>
        <w:t xml:space="preserve">establish taint. </w:t>
      </w:r>
      <w:r w:rsidRPr="56C3E658">
        <w:rPr>
          <w:i/>
          <w:iCs/>
        </w:rPr>
        <w:t>See</w:t>
      </w:r>
      <w:r>
        <w:t xml:space="preserve"> </w:t>
      </w:r>
      <w:r w:rsidR="00071865" w:rsidRPr="56C3E658">
        <w:rPr>
          <w:i/>
          <w:iCs/>
        </w:rPr>
        <w:t>United States v. Montoya</w:t>
      </w:r>
      <w:r w:rsidR="00071865">
        <w:t>, 45 F.3d 1286, 1290 (9th Cir. 1995)</w:t>
      </w:r>
      <w:r w:rsidR="001D09D3">
        <w:fldChar w:fldCharType="begin"/>
      </w:r>
      <w:r w:rsidR="001D09D3">
        <w:instrText xml:space="preserve"> TA \l "</w:instrText>
      </w:r>
      <w:r w:rsidR="001D09D3" w:rsidRPr="00503BF3">
        <w:rPr>
          <w:i/>
          <w:iCs/>
        </w:rPr>
        <w:instrText>United States v. Montoya</w:instrText>
      </w:r>
      <w:r w:rsidR="001D09D3" w:rsidRPr="00503BF3">
        <w:instrText>, 45 F.3d 1286, 1290 (9th Cir. 1995)</w:instrText>
      </w:r>
      <w:r w:rsidR="001D09D3">
        <w:instrText xml:space="preserve">" \s "United States v. Montoya, 45 F.3d 1286, 1290 (9th Cir. 1995)" \c 1 </w:instrText>
      </w:r>
      <w:r w:rsidR="001D09D3">
        <w:fldChar w:fldCharType="end"/>
      </w:r>
      <w:r w:rsidR="00071865">
        <w:t xml:space="preserve"> (</w:t>
      </w:r>
      <w:r w:rsidR="00994087">
        <w:t>finding the Government is not required to show absence of all overlap between testimony and prosecution</w:t>
      </w:r>
      <w:r w:rsidR="00A77099">
        <w:t>)</w:t>
      </w:r>
      <w:r w:rsidR="00B50F66">
        <w:t>.</w:t>
      </w:r>
      <w:r w:rsidR="00A77099">
        <w:t xml:space="preserve"> </w:t>
      </w:r>
      <w:r w:rsidRPr="00DE5026">
        <w:t>Once</w:t>
      </w:r>
      <w:r>
        <w:t xml:space="preserve"> it became clear that the </w:t>
      </w:r>
      <w:r w:rsidR="7E47A12B">
        <w:t>Defendant</w:t>
      </w:r>
      <w:r>
        <w:t xml:space="preserve">’s testimony would be compelled, the teams </w:t>
      </w:r>
      <w:r w:rsidR="6C8CD321">
        <w:t xml:space="preserve">created </w:t>
      </w:r>
      <w:r>
        <w:t xml:space="preserve">reliable wall-off procedures </w:t>
      </w:r>
      <w:r w:rsidR="10E17E4E">
        <w:t>and took extensive measures</w:t>
      </w:r>
      <w:r>
        <w:t xml:space="preserve"> to separate the investigations.</w:t>
      </w:r>
      <w:r w:rsidR="00A77099">
        <w:t xml:space="preserve"> R. </w:t>
      </w:r>
      <w:r w:rsidR="009C681C">
        <w:t xml:space="preserve">at </w:t>
      </w:r>
      <w:r w:rsidR="00A46C2D">
        <w:t>15</w:t>
      </w:r>
      <w:r w:rsidR="00941544">
        <w:t xml:space="preserve">. </w:t>
      </w:r>
      <w:r w:rsidR="00941544" w:rsidRPr="56C3E658">
        <w:rPr>
          <w:i/>
          <w:iCs/>
        </w:rPr>
        <w:t xml:space="preserve">See </w:t>
      </w:r>
      <w:r w:rsidR="00811B40">
        <w:t xml:space="preserve">U.S. </w:t>
      </w:r>
      <w:proofErr w:type="spellStart"/>
      <w:r w:rsidR="00811B40">
        <w:t>Dep’t</w:t>
      </w:r>
      <w:proofErr w:type="spellEnd"/>
      <w:r w:rsidR="00811B40">
        <w:t xml:space="preserve"> of Just</w:t>
      </w:r>
      <w:r w:rsidR="00056D8C">
        <w:t xml:space="preserve">., </w:t>
      </w:r>
      <w:r w:rsidR="00CE0DBB">
        <w:t>Criminal Resource Manual § 726</w:t>
      </w:r>
      <w:r w:rsidR="00056D8C">
        <w:t>, Steps to Avoid Taint</w:t>
      </w:r>
      <w:r w:rsidR="001D09D3">
        <w:fldChar w:fldCharType="begin"/>
      </w:r>
      <w:r w:rsidR="001D09D3">
        <w:instrText xml:space="preserve"> TA \l "</w:instrText>
      </w:r>
      <w:r w:rsidR="001D09D3" w:rsidRPr="00503BF3">
        <w:instrText>U.S. Dep’t of Just., Criminal Resource Manual § 726, Steps to Avoid Taint</w:instrText>
      </w:r>
      <w:r w:rsidR="001D09D3">
        <w:instrText xml:space="preserve">" \s "U.S. Dep’t of Just., Criminal Resource Manual § 726, Steps to Avoid Taint" \c 3 </w:instrText>
      </w:r>
      <w:r w:rsidR="001D09D3">
        <w:fldChar w:fldCharType="end"/>
      </w:r>
      <w:r w:rsidR="00564FB8">
        <w:t>,</w:t>
      </w:r>
      <w:r w:rsidR="002F621E">
        <w:t xml:space="preserve"> (</w:t>
      </w:r>
      <w:r w:rsidR="00563526">
        <w:t>recommending</w:t>
      </w:r>
      <w:r w:rsidR="00F91910">
        <w:t xml:space="preserve"> </w:t>
      </w:r>
      <w:r w:rsidR="00563526">
        <w:t xml:space="preserve">documentation of the sources and dates of </w:t>
      </w:r>
      <w:r w:rsidR="00824D55">
        <w:t xml:space="preserve">any </w:t>
      </w:r>
      <w:r w:rsidR="00563526">
        <w:t xml:space="preserve">evidence </w:t>
      </w:r>
      <w:r w:rsidR="00B50F66">
        <w:t>obtained</w:t>
      </w:r>
      <w:r w:rsidR="00563526">
        <w:t xml:space="preserve"> </w:t>
      </w:r>
      <w:r w:rsidR="00824D55">
        <w:t xml:space="preserve">related to the witness and maintaining a recorded </w:t>
      </w:r>
      <w:r w:rsidR="00646DC7">
        <w:t>verbatim transcription of the immunized testimony in a safe location</w:t>
      </w:r>
      <w:r w:rsidR="00563526">
        <w:t>).</w:t>
      </w:r>
      <w:r w:rsidR="002F621E">
        <w:t xml:space="preserve"> </w:t>
      </w:r>
    </w:p>
    <w:p w14:paraId="5A1FFDCE" w14:textId="2799335E" w:rsidR="13C85157" w:rsidRDefault="00914144" w:rsidP="5CC26B30">
      <w:r>
        <w:tab/>
      </w:r>
      <w:r w:rsidR="2246BC73">
        <w:t xml:space="preserve">Furthermore, </w:t>
      </w:r>
      <w:r w:rsidR="00055B25">
        <w:t xml:space="preserve">the </w:t>
      </w:r>
      <w:r w:rsidR="3E2ED45F">
        <w:t>Government</w:t>
      </w:r>
      <w:r w:rsidR="00055B25">
        <w:t xml:space="preserve"> </w:t>
      </w:r>
      <w:r w:rsidR="6560F4D1">
        <w:t xml:space="preserve">has </w:t>
      </w:r>
      <w:r w:rsidR="00055B25">
        <w:t xml:space="preserve">kept detailed documents and timelines for </w:t>
      </w:r>
      <w:r w:rsidR="39C5163B">
        <w:t xml:space="preserve">all </w:t>
      </w:r>
      <w:r w:rsidR="00055B25">
        <w:t>evidence they collected</w:t>
      </w:r>
      <w:r>
        <w:t xml:space="preserve"> by </w:t>
      </w:r>
      <w:r w:rsidR="00055B25">
        <w:t>duplica</w:t>
      </w:r>
      <w:r>
        <w:t>ting</w:t>
      </w:r>
      <w:r w:rsidR="00055B25">
        <w:t xml:space="preserve"> and </w:t>
      </w:r>
      <w:r>
        <w:t>segregating</w:t>
      </w:r>
      <w:r w:rsidR="00055B25">
        <w:t xml:space="preserve"> existing case files so that each team maintained its own separate copy</w:t>
      </w:r>
      <w:r w:rsidR="00646DC7">
        <w:t>,</w:t>
      </w:r>
      <w:r w:rsidR="0AA3DD8E">
        <w:t xml:space="preserve"> and</w:t>
      </w:r>
      <w:r w:rsidR="00950F8A">
        <w:t xml:space="preserve"> </w:t>
      </w:r>
      <w:r w:rsidR="6EBE4000">
        <w:t>a</w:t>
      </w:r>
      <w:r w:rsidR="00055B25">
        <w:t xml:space="preserve">ll evidence, notes, and work product from the date of segregation were marked and filed. </w:t>
      </w:r>
      <w:r w:rsidR="006B7BFF">
        <w:t xml:space="preserve">Nolan Dep. 29:203–13; </w:t>
      </w:r>
      <w:r w:rsidR="002748D5">
        <w:t>R. at</w:t>
      </w:r>
      <w:r w:rsidR="006B7BFF">
        <w:t xml:space="preserve"> 68.</w:t>
      </w:r>
      <w:r>
        <w:t xml:space="preserve"> </w:t>
      </w:r>
      <w:r w:rsidR="673FFAB8">
        <w:t xml:space="preserve">Finally, </w:t>
      </w:r>
      <w:r w:rsidR="006B7BFF">
        <w:t>t</w:t>
      </w:r>
      <w:r w:rsidR="00055B25">
        <w:t xml:space="preserve">he prosecuting team was restricted from accessing, receiving, reviewing, or being made aware of the content of the </w:t>
      </w:r>
      <w:r w:rsidR="7E47A12B">
        <w:t>Defendant</w:t>
      </w:r>
      <w:r w:rsidR="00055B25">
        <w:t>’s statements.</w:t>
      </w:r>
      <w:r w:rsidR="006B7BFF">
        <w:t xml:space="preserve"> </w:t>
      </w:r>
      <w:r w:rsidR="006B7BFF" w:rsidRPr="56C3E658">
        <w:rPr>
          <w:i/>
          <w:iCs/>
        </w:rPr>
        <w:t>See Montoya</w:t>
      </w:r>
      <w:r w:rsidR="006B7BFF">
        <w:t xml:space="preserve">, 45 F.3d at </w:t>
      </w:r>
      <w:r w:rsidR="00045393">
        <w:t>1429–1430</w:t>
      </w:r>
      <w:r w:rsidR="001D09D3">
        <w:fldChar w:fldCharType="begin"/>
      </w:r>
      <w:r w:rsidR="001D09D3">
        <w:instrText xml:space="preserve"> TA \s "United States v. Montoya, 45 F.3d 1286, 1290 (9th Cir. 1995)" </w:instrText>
      </w:r>
      <w:r w:rsidR="001D09D3">
        <w:fldChar w:fldCharType="end"/>
      </w:r>
      <w:r w:rsidR="00045393">
        <w:t xml:space="preserve"> (reasoning that the Government may </w:t>
      </w:r>
      <w:r w:rsidR="007F1435">
        <w:t xml:space="preserve">protect against a claim </w:t>
      </w:r>
      <w:r w:rsidR="00996953">
        <w:t xml:space="preserve">of </w:t>
      </w:r>
      <w:r w:rsidR="007F1435">
        <w:t xml:space="preserve">indirect use by barring communication </w:t>
      </w:r>
      <w:r w:rsidR="00996953">
        <w:t xml:space="preserve">about the compelled testimony </w:t>
      </w:r>
      <w:r w:rsidR="007F1435">
        <w:t xml:space="preserve">between </w:t>
      </w:r>
      <w:r w:rsidR="00996953">
        <w:t xml:space="preserve">separate teams). </w:t>
      </w:r>
      <w:r w:rsidR="2B85252E">
        <w:t>In fact,</w:t>
      </w:r>
      <w:r w:rsidR="00055B25">
        <w:t xml:space="preserve"> the </w:t>
      </w:r>
      <w:r w:rsidR="536510BD">
        <w:t>Government</w:t>
      </w:r>
      <w:r w:rsidR="00055B25">
        <w:t xml:space="preserve"> explicitly </w:t>
      </w:r>
      <w:r w:rsidR="008529B9">
        <w:t>restricted</w:t>
      </w:r>
      <w:r w:rsidR="00055B25">
        <w:t xml:space="preserve"> any summary, characterization, strategic impression, investigative lead, and discussion of the investigation</w:t>
      </w:r>
      <w:r w:rsidR="008529B9">
        <w:t xml:space="preserve"> in accordance with </w:t>
      </w:r>
      <w:r w:rsidR="00ED7D0C">
        <w:t>its internal policy</w:t>
      </w:r>
      <w:r w:rsidR="00055B25">
        <w:t xml:space="preserve">. </w:t>
      </w:r>
      <w:r w:rsidR="00ED7D0C">
        <w:t xml:space="preserve">R. at </w:t>
      </w:r>
      <w:r w:rsidR="00806242">
        <w:t xml:space="preserve">68; </w:t>
      </w:r>
      <w:r w:rsidR="00806242" w:rsidRPr="56C3E658">
        <w:rPr>
          <w:i/>
          <w:iCs/>
        </w:rPr>
        <w:t>But see Montoya</w:t>
      </w:r>
      <w:r w:rsidR="00806242">
        <w:t xml:space="preserve">, 45 F.3d at </w:t>
      </w:r>
      <w:r w:rsidR="00336C64">
        <w:t>1295</w:t>
      </w:r>
      <w:r w:rsidR="001D09D3">
        <w:fldChar w:fldCharType="begin"/>
      </w:r>
      <w:r w:rsidR="001D09D3">
        <w:instrText xml:space="preserve"> TA \s "United States v. Montoya, 45 F.3d 1286, 1290 (9th Cir. 1995)" </w:instrText>
      </w:r>
      <w:r w:rsidR="001D09D3">
        <w:fldChar w:fldCharType="end"/>
      </w:r>
      <w:r w:rsidR="00336C64">
        <w:t xml:space="preserve"> (“Failure to comply with the United States Attorney’ Manual creates no enforceable rights.</w:t>
      </w:r>
      <w:r w:rsidR="00024A6C">
        <w:t>”).</w:t>
      </w:r>
      <w:r w:rsidR="00806242" w:rsidRPr="56C3E658">
        <w:rPr>
          <w:i/>
          <w:iCs/>
        </w:rPr>
        <w:t xml:space="preserve"> </w:t>
      </w:r>
      <w:r w:rsidR="00055B25">
        <w:t xml:space="preserve">Thus, the separation methods </w:t>
      </w:r>
      <w:r w:rsidR="00055B25">
        <w:lastRenderedPageBreak/>
        <w:t xml:space="preserve">used by the </w:t>
      </w:r>
      <w:r w:rsidR="7B1907E9">
        <w:t xml:space="preserve">Government </w:t>
      </w:r>
      <w:r w:rsidR="00055B25">
        <w:t>were reliable and effectively maintained that the prosecution was derived from independent sources.</w:t>
      </w:r>
    </w:p>
    <w:p w14:paraId="0EA2E11A" w14:textId="24CA13F5" w:rsidR="13C85157" w:rsidRDefault="13C85157" w:rsidP="56C3E658">
      <w:pPr>
        <w:pStyle w:val="ListParagraph"/>
        <w:numPr>
          <w:ilvl w:val="0"/>
          <w:numId w:val="5"/>
        </w:numPr>
        <w:rPr>
          <w:rFonts w:eastAsia="Times New Roman"/>
          <w:b/>
          <w:bCs/>
          <w:color w:val="000000" w:themeColor="text1"/>
        </w:rPr>
      </w:pPr>
      <w:r w:rsidRPr="56C3E658">
        <w:rPr>
          <w:rFonts w:eastAsia="Times New Roman"/>
          <w:b/>
          <w:bCs/>
          <w:color w:val="000000" w:themeColor="text1"/>
        </w:rPr>
        <w:t xml:space="preserve">The Court Should Deny the Defense’s Motion Because the Government Anticipates that the Defense Will Call Maddox Armana to </w:t>
      </w:r>
      <w:bookmarkStart w:id="8" w:name="_Int_0zUUz9E2"/>
      <w:r w:rsidRPr="56C3E658">
        <w:rPr>
          <w:rFonts w:eastAsia="Times New Roman"/>
          <w:b/>
          <w:bCs/>
          <w:color w:val="000000" w:themeColor="text1"/>
        </w:rPr>
        <w:t>Testify on</w:t>
      </w:r>
      <w:bookmarkEnd w:id="8"/>
      <w:r w:rsidRPr="56C3E658">
        <w:rPr>
          <w:rFonts w:eastAsia="Times New Roman"/>
          <w:b/>
          <w:bCs/>
          <w:color w:val="000000" w:themeColor="text1"/>
        </w:rPr>
        <w:t xml:space="preserve"> Matters Covered by </w:t>
      </w:r>
      <w:proofErr w:type="gramStart"/>
      <w:r w:rsidRPr="56C3E658">
        <w:rPr>
          <w:rFonts w:eastAsia="Times New Roman"/>
          <w:b/>
          <w:bCs/>
          <w:color w:val="000000" w:themeColor="text1"/>
        </w:rPr>
        <w:t>the Work</w:t>
      </w:r>
      <w:proofErr w:type="gramEnd"/>
      <w:r w:rsidRPr="56C3E658">
        <w:rPr>
          <w:rFonts w:eastAsia="Times New Roman"/>
          <w:b/>
          <w:bCs/>
          <w:color w:val="000000" w:themeColor="text1"/>
        </w:rPr>
        <w:t>-Product Privilege</w:t>
      </w:r>
      <w:r w:rsidR="4A07BCDE" w:rsidRPr="56C3E658">
        <w:rPr>
          <w:rFonts w:eastAsia="Times New Roman"/>
          <w:b/>
          <w:bCs/>
          <w:color w:val="000000" w:themeColor="text1"/>
        </w:rPr>
        <w:t>.</w:t>
      </w:r>
      <w:r w:rsidR="005E437C">
        <w:rPr>
          <w:rFonts w:eastAsia="Times New Roman"/>
          <w:b/>
          <w:bCs/>
          <w:color w:val="000000" w:themeColor="text1"/>
        </w:rPr>
        <w:fldChar w:fldCharType="begin"/>
      </w:r>
      <w:r w:rsidR="005E437C">
        <w:instrText xml:space="preserve"> TC "</w:instrText>
      </w:r>
      <w:bookmarkStart w:id="9" w:name="_Toc239161573"/>
      <w:r w:rsidR="005E437C" w:rsidRPr="00BF71F0">
        <w:rPr>
          <w:rFonts w:eastAsia="Times New Roman"/>
          <w:b/>
          <w:bCs/>
          <w:color w:val="000000" w:themeColor="text1"/>
        </w:rPr>
        <w:instrText>III. The Court Should Deny the Defense’s Motion Because the Government Anticipates that the Defense Will Call Maddox Armana to Testify on Matters Covered by the Work-Product Privilege.</w:instrText>
      </w:r>
      <w:bookmarkEnd w:id="9"/>
      <w:r w:rsidR="005E437C">
        <w:instrText xml:space="preserve">" \f C \l "2" </w:instrText>
      </w:r>
      <w:r w:rsidR="005E437C">
        <w:rPr>
          <w:rFonts w:eastAsia="Times New Roman"/>
          <w:b/>
          <w:bCs/>
          <w:color w:val="000000" w:themeColor="text1"/>
        </w:rPr>
        <w:fldChar w:fldCharType="end"/>
      </w:r>
      <w:r w:rsidR="4A07BCDE" w:rsidRPr="56C3E658">
        <w:rPr>
          <w:rFonts w:eastAsia="Times New Roman"/>
          <w:b/>
          <w:bCs/>
          <w:color w:val="000000" w:themeColor="text1"/>
        </w:rPr>
        <w:t xml:space="preserve"> </w:t>
      </w:r>
    </w:p>
    <w:p w14:paraId="4B40BCE2" w14:textId="396B8CCE" w:rsidR="13C85157" w:rsidRDefault="13C85157" w:rsidP="5CC26B30">
      <w:pPr>
        <w:ind w:firstLine="720"/>
        <w:rPr>
          <w:rFonts w:eastAsia="Times New Roman"/>
          <w:color w:val="000000" w:themeColor="text1"/>
        </w:rPr>
      </w:pPr>
      <w:r w:rsidRPr="56C3E658">
        <w:rPr>
          <w:rFonts w:eastAsia="Times New Roman"/>
          <w:color w:val="000000" w:themeColor="text1"/>
        </w:rPr>
        <w:t xml:space="preserve">The Court should deny the Defendant’s Motion to Quash because the Defense will call Armana as a witness while seeking to prevent the Government from obtaining the investigative facts that will form the basis of Armana’s testimony. This completely contrasts the Supreme Court’s decision in </w:t>
      </w:r>
      <w:r w:rsidRPr="56C3E658">
        <w:rPr>
          <w:rFonts w:eastAsia="Times New Roman"/>
          <w:i/>
          <w:iCs/>
          <w:color w:val="000000" w:themeColor="text1"/>
        </w:rPr>
        <w:t xml:space="preserve">United States v. Nobles, </w:t>
      </w:r>
      <w:r w:rsidRPr="56C3E658">
        <w:rPr>
          <w:rFonts w:eastAsia="Times New Roman"/>
          <w:color w:val="000000" w:themeColor="text1"/>
        </w:rPr>
        <w:t>422 U.S. 225 (1975)</w:t>
      </w:r>
      <w:r w:rsidR="001D09D3">
        <w:rPr>
          <w:rFonts w:eastAsia="Times New Roman"/>
          <w:color w:val="000000" w:themeColor="text1"/>
        </w:rPr>
        <w:fldChar w:fldCharType="begin"/>
      </w:r>
      <w:r w:rsidR="001D09D3">
        <w:instrText xml:space="preserve"> TA \l "</w:instrText>
      </w:r>
      <w:r w:rsidR="001D09D3" w:rsidRPr="00503BF3">
        <w:rPr>
          <w:rFonts w:eastAsia="Times New Roman"/>
          <w:i/>
          <w:iCs/>
          <w:color w:val="000000" w:themeColor="text1"/>
        </w:rPr>
        <w:instrText xml:space="preserve">United States v. Nobles, </w:instrText>
      </w:r>
      <w:r w:rsidR="001D09D3" w:rsidRPr="00503BF3">
        <w:rPr>
          <w:rFonts w:eastAsia="Times New Roman"/>
          <w:color w:val="000000" w:themeColor="text1"/>
        </w:rPr>
        <w:instrText>422 U.S. 225 (1975)</w:instrText>
      </w:r>
      <w:r w:rsidR="001D09D3">
        <w:instrText xml:space="preserve">" \s "United States v. Nobles, 422 U.S. 225 (1975)" \c 1 </w:instrText>
      </w:r>
      <w:r w:rsidR="001D09D3">
        <w:rPr>
          <w:rFonts w:eastAsia="Times New Roman"/>
          <w:color w:val="000000" w:themeColor="text1"/>
        </w:rPr>
        <w:fldChar w:fldCharType="end"/>
      </w:r>
      <w:r w:rsidRPr="56C3E658">
        <w:rPr>
          <w:rFonts w:eastAsia="Times New Roman"/>
          <w:color w:val="000000" w:themeColor="text1"/>
        </w:rPr>
        <w:t xml:space="preserve">. In </w:t>
      </w:r>
      <w:r w:rsidRPr="56C3E658">
        <w:rPr>
          <w:rFonts w:eastAsia="Times New Roman"/>
          <w:i/>
          <w:iCs/>
          <w:color w:val="000000" w:themeColor="text1"/>
        </w:rPr>
        <w:t>Nobles</w:t>
      </w:r>
      <w:r w:rsidRPr="56C3E658">
        <w:rPr>
          <w:rFonts w:eastAsia="Times New Roman"/>
          <w:color w:val="000000" w:themeColor="text1"/>
        </w:rPr>
        <w:t xml:space="preserve">, the Supreme Court held that “[t]he privilege derived from the work-product doctrine is not absolute. Like other qualified privileges, it may be waived.” </w:t>
      </w:r>
      <w:r w:rsidR="00B117FA">
        <w:rPr>
          <w:rFonts w:eastAsia="Times New Roman"/>
          <w:i/>
          <w:iCs/>
          <w:color w:val="000000" w:themeColor="text1"/>
        </w:rPr>
        <w:t>Id.</w:t>
      </w:r>
      <w:r w:rsidR="00B117FA">
        <w:rPr>
          <w:rFonts w:eastAsia="Times New Roman"/>
          <w:color w:val="000000" w:themeColor="text1"/>
        </w:rPr>
        <w:t xml:space="preserve"> at </w:t>
      </w:r>
      <w:r w:rsidRPr="56C3E658">
        <w:rPr>
          <w:rFonts w:eastAsia="Times New Roman"/>
          <w:color w:val="000000" w:themeColor="text1"/>
        </w:rPr>
        <w:t>239.</w:t>
      </w:r>
      <w:r w:rsidR="001D09D3">
        <w:rPr>
          <w:rFonts w:eastAsia="Times New Roman"/>
          <w:color w:val="000000" w:themeColor="text1"/>
        </w:rPr>
        <w:fldChar w:fldCharType="begin"/>
      </w:r>
      <w:r w:rsidR="001D09D3">
        <w:instrText xml:space="preserve"> TA \s "United States v. Nobles, 422 U.S. 225 (1975)" </w:instrText>
      </w:r>
      <w:r w:rsidR="001D09D3">
        <w:rPr>
          <w:rFonts w:eastAsia="Times New Roman"/>
          <w:color w:val="000000" w:themeColor="text1"/>
        </w:rPr>
        <w:fldChar w:fldCharType="end"/>
      </w:r>
      <w:r w:rsidRPr="56C3E658">
        <w:rPr>
          <w:rFonts w:eastAsia="Times New Roman"/>
          <w:color w:val="000000" w:themeColor="text1"/>
        </w:rPr>
        <w:t xml:space="preserve"> In </w:t>
      </w:r>
      <w:r w:rsidRPr="56C3E658">
        <w:rPr>
          <w:rFonts w:eastAsia="Times New Roman"/>
          <w:i/>
          <w:iCs/>
          <w:color w:val="000000" w:themeColor="text1"/>
        </w:rPr>
        <w:t>Nobles</w:t>
      </w:r>
      <w:r w:rsidRPr="56C3E658">
        <w:rPr>
          <w:rFonts w:eastAsia="Times New Roman"/>
          <w:color w:val="000000" w:themeColor="text1"/>
        </w:rPr>
        <w:t xml:space="preserve">, the Supreme Court held that the defense waived the work-product privilege regarding information covered by their investigator’s testimony when they called the investigator as a witness and sought testimony regarding her work. </w:t>
      </w:r>
      <w:r w:rsidRPr="56C3E658">
        <w:rPr>
          <w:rFonts w:eastAsia="Times New Roman"/>
          <w:i/>
          <w:iCs/>
          <w:color w:val="000000" w:themeColor="text1"/>
        </w:rPr>
        <w:t>Id.</w:t>
      </w:r>
      <w:r w:rsidRPr="56C3E658">
        <w:rPr>
          <w:rFonts w:eastAsia="Times New Roman"/>
          <w:color w:val="000000" w:themeColor="text1"/>
        </w:rPr>
        <w:t xml:space="preserve"> at 239–40.</w:t>
      </w:r>
      <w:r w:rsidR="001D09D3">
        <w:rPr>
          <w:rFonts w:eastAsia="Times New Roman"/>
          <w:color w:val="000000" w:themeColor="text1"/>
        </w:rPr>
        <w:fldChar w:fldCharType="begin"/>
      </w:r>
      <w:r w:rsidR="001D09D3">
        <w:instrText xml:space="preserve"> TA \s "United States v. Nobles, 422 U.S. 225 (1975)" </w:instrText>
      </w:r>
      <w:r w:rsidR="001D09D3">
        <w:rPr>
          <w:rFonts w:eastAsia="Times New Roman"/>
          <w:color w:val="000000" w:themeColor="text1"/>
        </w:rPr>
        <w:fldChar w:fldCharType="end"/>
      </w:r>
    </w:p>
    <w:p w14:paraId="1DBDFFA2" w14:textId="096F3DBD" w:rsidR="13C85157" w:rsidRDefault="13C85157" w:rsidP="5CC26B30">
      <w:pPr>
        <w:ind w:firstLine="720"/>
        <w:rPr>
          <w:rFonts w:eastAsia="Times New Roman"/>
          <w:color w:val="000000" w:themeColor="text1"/>
        </w:rPr>
      </w:pPr>
      <w:r w:rsidRPr="56C3E658">
        <w:rPr>
          <w:rFonts w:eastAsia="Times New Roman"/>
          <w:color w:val="000000" w:themeColor="text1"/>
        </w:rPr>
        <w:t xml:space="preserve">The same principle is present here. The parties have stipulated that “[t]he Government will call Tatum Sinclair and Bryce Nolan” while “[t]he Defense will call Kennedy Parker and Maddox Armana.” R. at 4. The significance of the parties’ stipulations cannot be stressed enough. Because the Defense has elected to have Armana testify, the Government is seeking disclosure of Armana’s investigative work because she </w:t>
      </w:r>
      <w:r w:rsidRPr="56C3E658">
        <w:rPr>
          <w:rFonts w:eastAsia="Times New Roman"/>
          <w:color w:val="000000" w:themeColor="text1"/>
        </w:rPr>
        <w:lastRenderedPageBreak/>
        <w:t xml:space="preserve">will already be testifying about the same material the Defendant wishes to claim privilege for. </w:t>
      </w:r>
    </w:p>
    <w:p w14:paraId="529A1281" w14:textId="4367E4B3" w:rsidR="13C85157" w:rsidRDefault="13C85157" w:rsidP="5CC26B30">
      <w:pPr>
        <w:ind w:firstLine="720"/>
        <w:rPr>
          <w:rFonts w:eastAsia="Times New Roman"/>
          <w:color w:val="000000" w:themeColor="text1"/>
        </w:rPr>
      </w:pPr>
      <w:r w:rsidRPr="56C3E658">
        <w:rPr>
          <w:rFonts w:eastAsia="Times New Roman"/>
          <w:color w:val="000000" w:themeColor="text1"/>
        </w:rPr>
        <w:t xml:space="preserve">In fact, Armana’s own deposition explains how her testimony and interview notes in Exhibit 21 are inextricably intertwined. Armana testified that she is a private investigator who provides litigation support to firms </w:t>
      </w:r>
      <w:proofErr w:type="gramStart"/>
      <w:r w:rsidRPr="56C3E658">
        <w:rPr>
          <w:rFonts w:eastAsia="Times New Roman"/>
          <w:color w:val="000000" w:themeColor="text1"/>
        </w:rPr>
        <w:t>at</w:t>
      </w:r>
      <w:proofErr w:type="gramEnd"/>
      <w:r w:rsidRPr="56C3E658">
        <w:rPr>
          <w:rFonts w:eastAsia="Times New Roman"/>
          <w:color w:val="000000" w:themeColor="text1"/>
        </w:rPr>
        <w:t xml:space="preserve"> the attorney’s direction and that her reports later become a part of the attorney’s case file. Armana Dep. 43:19–31. She further testified that the Defendant’s attorneys retained her in anticipation of litigation after the Defendant’s business partner, Saint Donovan, was arrested.</w:t>
      </w:r>
      <w:r w:rsidR="00F0213D">
        <w:rPr>
          <w:rFonts w:eastAsia="Times New Roman"/>
          <w:color w:val="000000" w:themeColor="text1"/>
        </w:rPr>
        <w:t xml:space="preserve"> Armana Dep. 43:19–31. </w:t>
      </w:r>
      <w:r w:rsidRPr="56C3E658">
        <w:rPr>
          <w:rFonts w:eastAsia="Times New Roman"/>
          <w:color w:val="000000" w:themeColor="text1"/>
        </w:rPr>
        <w:t>Under the attorney’s direction, Armana was told to investigate witnesses, reconstruct timelines, read related records, and more to thoroughly examine the case’s underlying finances.</w:t>
      </w:r>
      <w:r w:rsidR="00EC7A32">
        <w:rPr>
          <w:rFonts w:eastAsia="Times New Roman"/>
          <w:color w:val="000000" w:themeColor="text1"/>
        </w:rPr>
        <w:t xml:space="preserve"> Armana Dep. 43:19–31. </w:t>
      </w:r>
      <w:r w:rsidRPr="56C3E658">
        <w:rPr>
          <w:rFonts w:eastAsia="Times New Roman"/>
          <w:color w:val="000000" w:themeColor="text1"/>
        </w:rPr>
        <w:t xml:space="preserve">Thus, Armana was not a typical fact witness with her own knowledge of the case. Instead, she was retained to investigate facts for the Defense. </w:t>
      </w:r>
    </w:p>
    <w:p w14:paraId="40B41302" w14:textId="09462CC7" w:rsidR="13C85157" w:rsidRDefault="13C85157" w:rsidP="5CC26B30">
      <w:pPr>
        <w:ind w:firstLine="720"/>
        <w:rPr>
          <w:rFonts w:eastAsia="Times New Roman"/>
          <w:color w:val="000000" w:themeColor="text1"/>
        </w:rPr>
      </w:pPr>
      <w:r w:rsidRPr="76F8115C">
        <w:rPr>
          <w:rFonts w:eastAsia="Times New Roman"/>
          <w:color w:val="000000" w:themeColor="text1"/>
        </w:rPr>
        <w:t xml:space="preserve">The Defense cannot introduce Armana’s investigative work into evidence while preventing the Government from reviewing the related material. As explained by the Supreme Court in </w:t>
      </w:r>
      <w:r w:rsidRPr="76F8115C">
        <w:rPr>
          <w:rFonts w:eastAsia="Times New Roman"/>
          <w:i/>
          <w:color w:val="000000" w:themeColor="text1"/>
        </w:rPr>
        <w:t>Nobles</w:t>
      </w:r>
      <w:r w:rsidRPr="76F8115C">
        <w:rPr>
          <w:rFonts w:eastAsia="Times New Roman"/>
          <w:color w:val="000000" w:themeColor="text1"/>
        </w:rPr>
        <w:t xml:space="preserve">, a “[party] can no more advance the work-product doctrine to sustain a unilateral testimonial use of work-product materials than he could elect to testify in his own behalf” and later use the Fifth Amendment to prevent the opposing party from looking at those materials. </w:t>
      </w:r>
      <w:r w:rsidRPr="76F8115C">
        <w:rPr>
          <w:rFonts w:eastAsia="Times New Roman"/>
          <w:i/>
          <w:color w:val="000000" w:themeColor="text1"/>
        </w:rPr>
        <w:t>Nobles</w:t>
      </w:r>
      <w:r w:rsidRPr="76F8115C">
        <w:rPr>
          <w:rFonts w:eastAsia="Times New Roman"/>
          <w:color w:val="000000" w:themeColor="text1"/>
        </w:rPr>
        <w:t>, 422 U.S.</w:t>
      </w:r>
      <w:r w:rsidRPr="76F8115C">
        <w:rPr>
          <w:rFonts w:eastAsia="Times New Roman"/>
          <w:i/>
          <w:color w:val="000000" w:themeColor="text1"/>
        </w:rPr>
        <w:t xml:space="preserve"> </w:t>
      </w:r>
      <w:r w:rsidRPr="76F8115C">
        <w:rPr>
          <w:rFonts w:eastAsia="Times New Roman"/>
          <w:color w:val="000000" w:themeColor="text1"/>
        </w:rPr>
        <w:t>at 240.</w:t>
      </w:r>
      <w:r w:rsidR="001D09D3">
        <w:rPr>
          <w:rFonts w:eastAsia="Times New Roman"/>
          <w:color w:val="000000" w:themeColor="text1"/>
        </w:rPr>
        <w:fldChar w:fldCharType="begin"/>
      </w:r>
      <w:r w:rsidR="001D09D3">
        <w:instrText xml:space="preserve"> TA \s "United States v. Nobles, 422 U.S. 225 (1975)" </w:instrText>
      </w:r>
      <w:r w:rsidR="001D09D3">
        <w:rPr>
          <w:rFonts w:eastAsia="Times New Roman"/>
          <w:color w:val="000000" w:themeColor="text1"/>
        </w:rPr>
        <w:fldChar w:fldCharType="end"/>
      </w:r>
      <w:r w:rsidRPr="76F8115C">
        <w:rPr>
          <w:rFonts w:eastAsia="Times New Roman"/>
          <w:color w:val="000000" w:themeColor="text1"/>
        </w:rPr>
        <w:t xml:space="preserve"> Therefore, the Court should not quash the subpoena. </w:t>
      </w:r>
    </w:p>
    <w:p w14:paraId="3463DBE0" w14:textId="24203992" w:rsidR="13C85157" w:rsidRDefault="13C85157" w:rsidP="007409DC">
      <w:pPr>
        <w:ind w:firstLine="720"/>
        <w:rPr>
          <w:rFonts w:eastAsia="Times New Roman"/>
          <w:color w:val="000000" w:themeColor="text1"/>
        </w:rPr>
      </w:pPr>
      <w:r w:rsidRPr="76F8115C">
        <w:rPr>
          <w:rFonts w:eastAsia="Times New Roman"/>
          <w:color w:val="000000" w:themeColor="text1"/>
        </w:rPr>
        <w:lastRenderedPageBreak/>
        <w:t xml:space="preserve">Armana’s testimony has a direct connection to Exhibit 21. Both parties stipulate that Exhibit 21 accurately reflects the notes that Armana took for the Defense during her February 15, 2024, interview with Seton. R. at 4. Additionally, both parties stipulate that the Defense appropriately filed this exhibit under seal prior to the hearing, and the Government has not seen its contents. </w:t>
      </w:r>
      <w:r w:rsidR="00AA7D93">
        <w:rPr>
          <w:rFonts w:eastAsia="Times New Roman"/>
          <w:iCs/>
          <w:color w:val="000000" w:themeColor="text1"/>
        </w:rPr>
        <w:t xml:space="preserve">R. at 4. </w:t>
      </w:r>
      <w:r w:rsidRPr="76F8115C">
        <w:rPr>
          <w:rFonts w:eastAsia="Times New Roman"/>
          <w:color w:val="000000" w:themeColor="text1"/>
        </w:rPr>
        <w:t>However, in Armana’s deposition, she testified that the body of her notes in Exhibit 21 is Seton’s factual account as it was conveyed to Armana and that she wrote her own thoughts, follow-ups, questions, and theories in red on the document. Armana Dep. 46:140-43.</w:t>
      </w:r>
    </w:p>
    <w:p w14:paraId="771509CE" w14:textId="697A5C5B" w:rsidR="13C85157" w:rsidRDefault="13C85157" w:rsidP="322FF9A6">
      <w:pPr>
        <w:ind w:firstLine="720"/>
        <w:rPr>
          <w:rFonts w:eastAsia="Times New Roman"/>
          <w:color w:val="000000" w:themeColor="text1"/>
        </w:rPr>
      </w:pPr>
      <w:r w:rsidRPr="76F8115C">
        <w:rPr>
          <w:rFonts w:eastAsia="Times New Roman"/>
          <w:color w:val="000000" w:themeColor="text1"/>
        </w:rPr>
        <w:t xml:space="preserve">The Defense’s approach would be contrary to the Supreme Court’s holding in </w:t>
      </w:r>
      <w:r w:rsidRPr="76F8115C">
        <w:rPr>
          <w:rFonts w:eastAsia="Times New Roman"/>
          <w:i/>
          <w:color w:val="000000" w:themeColor="text1"/>
        </w:rPr>
        <w:t>Nobles</w:t>
      </w:r>
      <w:r w:rsidRPr="76F8115C">
        <w:rPr>
          <w:rFonts w:eastAsia="Times New Roman"/>
          <w:color w:val="000000" w:themeColor="text1"/>
        </w:rPr>
        <w:t xml:space="preserve">. It would be gross injustice for this Court to allow the Defense to let Armana testify only to the favorable excerpts of her interview with Seton while withholding additional relevant information for the Government to challenge Armana’s testimony. Indeed, as </w:t>
      </w:r>
      <w:r w:rsidRPr="76F8115C">
        <w:rPr>
          <w:rFonts w:eastAsia="Times New Roman"/>
          <w:i/>
          <w:color w:val="000000" w:themeColor="text1"/>
        </w:rPr>
        <w:t xml:space="preserve">Nobles </w:t>
      </w:r>
      <w:proofErr w:type="gramStart"/>
      <w:r w:rsidRPr="76F8115C">
        <w:rPr>
          <w:rFonts w:eastAsia="Times New Roman"/>
          <w:color w:val="000000" w:themeColor="text1"/>
        </w:rPr>
        <w:t>demonstrates</w:t>
      </w:r>
      <w:proofErr w:type="gramEnd"/>
      <w:r w:rsidRPr="76F8115C">
        <w:rPr>
          <w:rFonts w:eastAsia="Times New Roman"/>
          <w:color w:val="000000" w:themeColor="text1"/>
        </w:rPr>
        <w:t xml:space="preserve">, the work-product doctrine does not allow that type of unilateral use. </w:t>
      </w:r>
      <w:r w:rsidRPr="76F8115C">
        <w:rPr>
          <w:rFonts w:eastAsia="Times New Roman"/>
          <w:i/>
          <w:color w:val="000000" w:themeColor="text1"/>
        </w:rPr>
        <w:t xml:space="preserve">See </w:t>
      </w:r>
      <w:r w:rsidR="00F432EF" w:rsidRPr="00310C3A">
        <w:rPr>
          <w:rFonts w:eastAsia="Times New Roman"/>
          <w:i/>
          <w:color w:val="000000" w:themeColor="text1"/>
        </w:rPr>
        <w:t>Nobles</w:t>
      </w:r>
      <w:r w:rsidR="00F432EF">
        <w:rPr>
          <w:rFonts w:eastAsia="Times New Roman"/>
          <w:iCs/>
          <w:color w:val="000000" w:themeColor="text1"/>
        </w:rPr>
        <w:t xml:space="preserve">, </w:t>
      </w:r>
      <w:r w:rsidRPr="00F432EF">
        <w:rPr>
          <w:rFonts w:eastAsia="Times New Roman"/>
          <w:iCs/>
          <w:color w:val="000000" w:themeColor="text1"/>
        </w:rPr>
        <w:t>422</w:t>
      </w:r>
      <w:r w:rsidRPr="76F8115C">
        <w:rPr>
          <w:rFonts w:eastAsia="Times New Roman"/>
          <w:color w:val="000000" w:themeColor="text1"/>
        </w:rPr>
        <w:t xml:space="preserve"> U.S. at 239–41. </w:t>
      </w:r>
    </w:p>
    <w:p w14:paraId="70546BA2" w14:textId="4E3E54AB" w:rsidR="13C85157" w:rsidRDefault="13C85157" w:rsidP="56C3E658">
      <w:pPr>
        <w:pStyle w:val="ListParagraph"/>
        <w:numPr>
          <w:ilvl w:val="0"/>
          <w:numId w:val="5"/>
        </w:numPr>
        <w:rPr>
          <w:rFonts w:eastAsia="Times New Roman"/>
          <w:b/>
          <w:bCs/>
          <w:color w:val="000000" w:themeColor="text1"/>
        </w:rPr>
      </w:pPr>
      <w:r w:rsidRPr="56C3E658">
        <w:rPr>
          <w:rFonts w:eastAsia="Times New Roman"/>
          <w:b/>
          <w:bCs/>
          <w:color w:val="000000" w:themeColor="text1"/>
        </w:rPr>
        <w:t>The Court Should Deny the Defense’s Motion Because the Court Can Disclose Relevant Material Regarding Armana’s Testimony While Protecting the Defense’s Genuine Work Product</w:t>
      </w:r>
      <w:r w:rsidR="36E125DC" w:rsidRPr="56C3E658">
        <w:rPr>
          <w:rFonts w:eastAsia="Times New Roman"/>
          <w:b/>
          <w:bCs/>
          <w:color w:val="000000" w:themeColor="text1"/>
        </w:rPr>
        <w:t>.</w:t>
      </w:r>
      <w:r w:rsidR="005E437C">
        <w:rPr>
          <w:rFonts w:eastAsia="Times New Roman"/>
          <w:b/>
          <w:bCs/>
          <w:color w:val="000000" w:themeColor="text1"/>
        </w:rPr>
        <w:fldChar w:fldCharType="begin"/>
      </w:r>
      <w:r w:rsidR="005E437C">
        <w:instrText xml:space="preserve"> TC "</w:instrText>
      </w:r>
      <w:bookmarkStart w:id="10" w:name="_Toc239161574"/>
      <w:r w:rsidR="005E437C" w:rsidRPr="00893789">
        <w:rPr>
          <w:rFonts w:eastAsia="Times New Roman"/>
          <w:b/>
          <w:bCs/>
          <w:color w:val="000000" w:themeColor="text1"/>
        </w:rPr>
        <w:instrText>IV. The Court Should Deny the Defense’s Motion Because the Court Can Disclose Relevant Material Regarding Armana’s Testimony While Protecting the Defense’s Genuine Work Product.</w:instrText>
      </w:r>
      <w:bookmarkEnd w:id="10"/>
      <w:r w:rsidR="005E437C">
        <w:instrText xml:space="preserve">" \f C \l "2" </w:instrText>
      </w:r>
      <w:r w:rsidR="005E437C">
        <w:rPr>
          <w:rFonts w:eastAsia="Times New Roman"/>
          <w:b/>
          <w:bCs/>
          <w:color w:val="000000" w:themeColor="text1"/>
        </w:rPr>
        <w:fldChar w:fldCharType="end"/>
      </w:r>
    </w:p>
    <w:p w14:paraId="6B3D66B4" w14:textId="320AD415" w:rsidR="13C85157" w:rsidRDefault="13C85157" w:rsidP="5CC26B30">
      <w:pPr>
        <w:ind w:firstLine="720"/>
        <w:rPr>
          <w:rFonts w:eastAsia="Times New Roman"/>
          <w:color w:val="000000" w:themeColor="text1"/>
        </w:rPr>
      </w:pPr>
      <w:r w:rsidRPr="76F8115C">
        <w:rPr>
          <w:rFonts w:eastAsia="Times New Roman"/>
          <w:color w:val="000000" w:themeColor="text1"/>
        </w:rPr>
        <w:t xml:space="preserve">The Government acknowledges that not every element of Exhibit 21 is waived because Armana will testify. The Supreme Court has held in various cases that there is a difference between litigation preparation for a case and mental impressions, opinions, </w:t>
      </w:r>
      <w:r w:rsidRPr="76F8115C">
        <w:rPr>
          <w:rFonts w:eastAsia="Times New Roman"/>
          <w:color w:val="000000" w:themeColor="text1"/>
        </w:rPr>
        <w:lastRenderedPageBreak/>
        <w:t xml:space="preserve">conclusions, and legal theories that reveal counsel’s thought processes. </w:t>
      </w:r>
      <w:r w:rsidRPr="76F8115C">
        <w:rPr>
          <w:rFonts w:eastAsia="Times New Roman"/>
          <w:i/>
          <w:color w:val="000000" w:themeColor="text1"/>
        </w:rPr>
        <w:t>See Hickman v. Taylor</w:t>
      </w:r>
      <w:r w:rsidRPr="76F8115C">
        <w:rPr>
          <w:rFonts w:eastAsia="Times New Roman"/>
          <w:color w:val="000000" w:themeColor="text1"/>
        </w:rPr>
        <w:t>, 329 U.S. 495, 5</w:t>
      </w:r>
      <w:r w:rsidR="00A0220E">
        <w:rPr>
          <w:rFonts w:eastAsia="Times New Roman"/>
          <w:color w:val="000000" w:themeColor="text1"/>
        </w:rPr>
        <w:t>08</w:t>
      </w:r>
      <w:r w:rsidR="00391B3A">
        <w:rPr>
          <w:rFonts w:eastAsia="Times New Roman"/>
          <w:color w:val="000000" w:themeColor="text1"/>
        </w:rPr>
        <w:t>–11</w:t>
      </w:r>
      <w:r w:rsidRPr="76F8115C">
        <w:rPr>
          <w:rFonts w:eastAsia="Times New Roman"/>
          <w:color w:val="000000" w:themeColor="text1"/>
        </w:rPr>
        <w:t xml:space="preserve"> (1947)</w:t>
      </w:r>
      <w:r w:rsidR="001D09D3">
        <w:rPr>
          <w:rFonts w:eastAsia="Times New Roman"/>
          <w:color w:val="000000" w:themeColor="text1"/>
        </w:rPr>
        <w:fldChar w:fldCharType="begin"/>
      </w:r>
      <w:r w:rsidR="001D09D3">
        <w:instrText xml:space="preserve"> TA \l "</w:instrText>
      </w:r>
      <w:r w:rsidR="001D09D3" w:rsidRPr="00503BF3">
        <w:rPr>
          <w:rFonts w:eastAsia="Times New Roman"/>
          <w:i/>
          <w:color w:val="000000" w:themeColor="text1"/>
        </w:rPr>
        <w:instrText>Hickman v. Taylor</w:instrText>
      </w:r>
      <w:r w:rsidR="001D09D3" w:rsidRPr="00503BF3">
        <w:rPr>
          <w:rFonts w:eastAsia="Times New Roman"/>
          <w:color w:val="000000" w:themeColor="text1"/>
        </w:rPr>
        <w:instrText>, 329 U.S. 495, 508–11 (1947)</w:instrText>
      </w:r>
      <w:r w:rsidR="001D09D3">
        <w:instrText xml:space="preserve">" \s "Hickman v. Taylor, 329 U.S. 495, 508–11 (1947)" \c 1 </w:instrText>
      </w:r>
      <w:r w:rsidR="001D09D3">
        <w:rPr>
          <w:rFonts w:eastAsia="Times New Roman"/>
          <w:color w:val="000000" w:themeColor="text1"/>
        </w:rPr>
        <w:fldChar w:fldCharType="end"/>
      </w:r>
      <w:r w:rsidRPr="76F8115C">
        <w:rPr>
          <w:rFonts w:eastAsia="Times New Roman"/>
          <w:color w:val="000000" w:themeColor="text1"/>
        </w:rPr>
        <w:t xml:space="preserve">; </w:t>
      </w:r>
      <w:r w:rsidRPr="76F8115C">
        <w:rPr>
          <w:rFonts w:eastAsia="Times New Roman"/>
          <w:i/>
          <w:color w:val="000000" w:themeColor="text1"/>
        </w:rPr>
        <w:t>Upjohn Co. v. United States</w:t>
      </w:r>
      <w:r w:rsidRPr="76F8115C">
        <w:rPr>
          <w:rFonts w:eastAsia="Times New Roman"/>
          <w:color w:val="000000" w:themeColor="text1"/>
        </w:rPr>
        <w:t>, 449 U.S. 383, 399–40</w:t>
      </w:r>
      <w:r w:rsidR="00EF3475">
        <w:rPr>
          <w:rFonts w:eastAsia="Times New Roman"/>
          <w:color w:val="000000" w:themeColor="text1"/>
        </w:rPr>
        <w:t>1</w:t>
      </w:r>
      <w:r w:rsidRPr="76F8115C">
        <w:rPr>
          <w:rFonts w:eastAsia="Times New Roman"/>
          <w:color w:val="000000" w:themeColor="text1"/>
        </w:rPr>
        <w:t xml:space="preserve"> (1981).</w:t>
      </w:r>
      <w:r w:rsidR="001D09D3">
        <w:rPr>
          <w:rFonts w:eastAsia="Times New Roman"/>
          <w:color w:val="000000" w:themeColor="text1"/>
        </w:rPr>
        <w:fldChar w:fldCharType="begin"/>
      </w:r>
      <w:r w:rsidR="001D09D3">
        <w:instrText xml:space="preserve"> TA \l "</w:instrText>
      </w:r>
      <w:r w:rsidR="001D09D3" w:rsidRPr="00503BF3">
        <w:rPr>
          <w:rFonts w:eastAsia="Times New Roman"/>
          <w:i/>
          <w:color w:val="000000" w:themeColor="text1"/>
        </w:rPr>
        <w:instrText>Upjohn Co. v. United States</w:instrText>
      </w:r>
      <w:r w:rsidR="001D09D3" w:rsidRPr="00503BF3">
        <w:rPr>
          <w:rFonts w:eastAsia="Times New Roman"/>
          <w:color w:val="000000" w:themeColor="text1"/>
        </w:rPr>
        <w:instrText>, 449 U.S. 383, 399–401 (1981).</w:instrText>
      </w:r>
      <w:r w:rsidR="001D09D3">
        <w:instrText xml:space="preserve">" \s "Upjohn Co. v. United States, 449 U.S. 383, 399–401 (1981)." \c 1 </w:instrText>
      </w:r>
      <w:r w:rsidR="001D09D3">
        <w:rPr>
          <w:rFonts w:eastAsia="Times New Roman"/>
          <w:color w:val="000000" w:themeColor="text1"/>
        </w:rPr>
        <w:fldChar w:fldCharType="end"/>
      </w:r>
      <w:r w:rsidRPr="76F8115C">
        <w:rPr>
          <w:rFonts w:eastAsia="Times New Roman"/>
          <w:color w:val="000000" w:themeColor="text1"/>
        </w:rPr>
        <w:t xml:space="preserve"> </w:t>
      </w:r>
    </w:p>
    <w:p w14:paraId="55421A42" w14:textId="3DC38970" w:rsidR="13C85157" w:rsidRDefault="13C85157" w:rsidP="5CC26B30">
      <w:pPr>
        <w:ind w:firstLine="720"/>
        <w:rPr>
          <w:rFonts w:eastAsia="Times New Roman"/>
          <w:color w:val="000000" w:themeColor="text1"/>
        </w:rPr>
      </w:pPr>
      <w:r w:rsidRPr="56C3E658">
        <w:rPr>
          <w:rFonts w:eastAsia="Times New Roman"/>
          <w:color w:val="000000" w:themeColor="text1"/>
        </w:rPr>
        <w:t xml:space="preserve">Additionally, the Eleventh Circuit provides rather strong protection to opinion work </w:t>
      </w:r>
      <w:bookmarkStart w:id="11" w:name="_Int_q6Ke4QXp"/>
      <w:r w:rsidRPr="56C3E658">
        <w:rPr>
          <w:rFonts w:eastAsia="Times New Roman"/>
          <w:color w:val="000000" w:themeColor="text1"/>
        </w:rPr>
        <w:t>product</w:t>
      </w:r>
      <w:bookmarkEnd w:id="11"/>
      <w:r w:rsidRPr="56C3E658">
        <w:rPr>
          <w:rFonts w:eastAsia="Times New Roman"/>
          <w:color w:val="000000" w:themeColor="text1"/>
        </w:rPr>
        <w:t xml:space="preserve">. For example, in </w:t>
      </w:r>
      <w:r w:rsidRPr="56C3E658">
        <w:rPr>
          <w:rFonts w:eastAsia="Times New Roman"/>
          <w:i/>
          <w:iCs/>
          <w:color w:val="000000" w:themeColor="text1"/>
        </w:rPr>
        <w:t xml:space="preserve">Cox v. </w:t>
      </w:r>
      <w:r w:rsidR="006253BF">
        <w:rPr>
          <w:rFonts w:eastAsia="Times New Roman"/>
          <w:i/>
          <w:iCs/>
          <w:color w:val="000000" w:themeColor="text1"/>
        </w:rPr>
        <w:t>Adm’r</w:t>
      </w:r>
      <w:r w:rsidRPr="56C3E658">
        <w:rPr>
          <w:rFonts w:eastAsia="Times New Roman"/>
          <w:i/>
          <w:iCs/>
          <w:color w:val="000000" w:themeColor="text1"/>
        </w:rPr>
        <w:t xml:space="preserve"> U.S. Steel &amp; Carnegie</w:t>
      </w:r>
      <w:r w:rsidRPr="56C3E658">
        <w:rPr>
          <w:rFonts w:eastAsia="Times New Roman"/>
          <w:color w:val="000000" w:themeColor="text1"/>
        </w:rPr>
        <w:t>, 17 F.3d 1386, 1421–22 (11th Cir. 1994)</w:t>
      </w:r>
      <w:r w:rsidR="001D09D3">
        <w:rPr>
          <w:rFonts w:eastAsia="Times New Roman"/>
          <w:color w:val="000000" w:themeColor="text1"/>
        </w:rPr>
        <w:fldChar w:fldCharType="begin"/>
      </w:r>
      <w:r w:rsidR="001D09D3">
        <w:instrText xml:space="preserve"> TA \l "</w:instrText>
      </w:r>
      <w:r w:rsidR="001D09D3" w:rsidRPr="004A48D6">
        <w:rPr>
          <w:rFonts w:eastAsia="Times New Roman"/>
          <w:i/>
          <w:iCs/>
          <w:color w:val="000000" w:themeColor="text1"/>
        </w:rPr>
        <w:instrText>Cox v. Adm’r U.S. Steel &amp; Carnegie</w:instrText>
      </w:r>
      <w:r w:rsidR="001D09D3" w:rsidRPr="004A48D6">
        <w:rPr>
          <w:rFonts w:eastAsia="Times New Roman"/>
          <w:color w:val="000000" w:themeColor="text1"/>
        </w:rPr>
        <w:instrText>, 17 F.3d 1386, 1421–22 (11th Cir. 1994)</w:instrText>
      </w:r>
      <w:r w:rsidR="001D09D3">
        <w:instrText xml:space="preserve">" \s "Cox v. Adm’r U.S. Steel &amp; Carnegie, 17 F.3d 1386, 1421–22 (11th Cir. 1994)" \c 1 </w:instrText>
      </w:r>
      <w:r w:rsidR="001D09D3">
        <w:rPr>
          <w:rFonts w:eastAsia="Times New Roman"/>
          <w:color w:val="000000" w:themeColor="text1"/>
        </w:rPr>
        <w:fldChar w:fldCharType="end"/>
      </w:r>
      <w:r w:rsidRPr="56C3E658">
        <w:rPr>
          <w:rFonts w:eastAsia="Times New Roman"/>
          <w:color w:val="000000" w:themeColor="text1"/>
        </w:rPr>
        <w:t xml:space="preserve">, the court recognized that mental impressions, opinions, conclusions, and legal theories constitute “opinion work product” and should receive heightened protection. </w:t>
      </w:r>
      <w:r w:rsidRPr="56C3E658">
        <w:rPr>
          <w:rFonts w:eastAsia="Times New Roman"/>
          <w:i/>
          <w:iCs/>
          <w:color w:val="000000" w:themeColor="text1"/>
        </w:rPr>
        <w:t>Id.</w:t>
      </w:r>
      <w:r w:rsidR="001D09D3">
        <w:rPr>
          <w:rFonts w:eastAsia="Times New Roman"/>
          <w:i/>
          <w:iCs/>
          <w:color w:val="000000" w:themeColor="text1"/>
        </w:rPr>
        <w:fldChar w:fldCharType="begin"/>
      </w:r>
      <w:r w:rsidR="001D09D3">
        <w:instrText xml:space="preserve"> TA \s "United States v. Nobles, 422 U.S. 225 (1975)" </w:instrText>
      </w:r>
      <w:r w:rsidR="001D09D3">
        <w:rPr>
          <w:rFonts w:eastAsia="Times New Roman"/>
          <w:i/>
          <w:iCs/>
          <w:color w:val="000000" w:themeColor="text1"/>
        </w:rPr>
        <w:fldChar w:fldCharType="end"/>
      </w:r>
    </w:p>
    <w:p w14:paraId="7D580AB3" w14:textId="6FDD145C" w:rsidR="13C85157" w:rsidRDefault="13C85157" w:rsidP="0E9706CF">
      <w:pPr>
        <w:ind w:firstLine="720"/>
        <w:rPr>
          <w:rFonts w:eastAsia="Times New Roman"/>
          <w:color w:val="000000" w:themeColor="text1"/>
        </w:rPr>
      </w:pPr>
      <w:r w:rsidRPr="76F8115C">
        <w:rPr>
          <w:rFonts w:eastAsia="Times New Roman"/>
          <w:color w:val="000000" w:themeColor="text1"/>
        </w:rPr>
        <w:t xml:space="preserve">Thus, the Government does not assert that every mental impression, conclusion, or theory must be produced but rather requests a more limited ruling consistent with </w:t>
      </w:r>
      <w:r w:rsidRPr="76F8115C">
        <w:rPr>
          <w:rFonts w:eastAsia="Times New Roman"/>
          <w:i/>
          <w:color w:val="000000" w:themeColor="text1"/>
        </w:rPr>
        <w:t>Nobles</w:t>
      </w:r>
      <w:r w:rsidRPr="76F8115C">
        <w:rPr>
          <w:rFonts w:eastAsia="Times New Roman"/>
          <w:color w:val="000000" w:themeColor="text1"/>
        </w:rPr>
        <w:t>. Instead</w:t>
      </w:r>
      <w:r w:rsidR="4A6F5B0F" w:rsidRPr="1AA5D0FE">
        <w:rPr>
          <w:rFonts w:eastAsia="Times New Roman"/>
          <w:color w:val="000000" w:themeColor="text1"/>
        </w:rPr>
        <w:t>,</w:t>
      </w:r>
      <w:r w:rsidRPr="76F8115C">
        <w:rPr>
          <w:rFonts w:eastAsia="Times New Roman"/>
          <w:color w:val="000000" w:themeColor="text1"/>
        </w:rPr>
        <w:t xml:space="preserve"> the Government asserts that to the degree that Exhibit 21 contains information that Armana will testify to, the Defense has waived work-product privilege to that information. Alternatively, to the degree that portions of the exhibit uncover protected theories or mental impressions, the Court may redact those portions. </w:t>
      </w:r>
    </w:p>
    <w:p w14:paraId="07D56C24" w14:textId="03D8B1D5" w:rsidR="13C85157" w:rsidRDefault="13C85157" w:rsidP="46935E88">
      <w:pPr>
        <w:ind w:firstLine="720"/>
        <w:rPr>
          <w:rFonts w:eastAsia="Times New Roman"/>
          <w:color w:val="000000" w:themeColor="text1"/>
        </w:rPr>
      </w:pPr>
      <w:r w:rsidRPr="56C3E658">
        <w:rPr>
          <w:rFonts w:eastAsia="Times New Roman"/>
          <w:color w:val="000000" w:themeColor="text1"/>
        </w:rPr>
        <w:t xml:space="preserve">Conveniently, Armana distinguished Seton’s factual account in the black text of the body of the interview notes while the red text expressed her mental impressions, follow-up concerns, and questions. Armana Dep. 46:140–43. As a result of this distinction as well as the parties having stipulated to the accuracy and authenticity of the notes, the Court can readily decide what relevant portions should be disclosed along with Armana’s testimony and what portions should be protected as opinion work product. </w:t>
      </w:r>
      <w:r w:rsidRPr="56C3E658">
        <w:rPr>
          <w:rFonts w:eastAsia="Times New Roman"/>
          <w:color w:val="000000" w:themeColor="text1"/>
        </w:rPr>
        <w:lastRenderedPageBreak/>
        <w:t xml:space="preserve">Alternatively, for any portion the Court cannot readily </w:t>
      </w:r>
      <w:bookmarkStart w:id="12" w:name="_Int_MtgDXjwr"/>
      <w:r w:rsidRPr="56C3E658">
        <w:rPr>
          <w:rFonts w:eastAsia="Times New Roman"/>
          <w:color w:val="000000" w:themeColor="text1"/>
        </w:rPr>
        <w:t>decide</w:t>
      </w:r>
      <w:r w:rsidR="61FB341D" w:rsidRPr="56C3E658">
        <w:rPr>
          <w:rFonts w:eastAsia="Times New Roman"/>
          <w:color w:val="000000" w:themeColor="text1"/>
        </w:rPr>
        <w:t>,</w:t>
      </w:r>
      <w:bookmarkEnd w:id="12"/>
      <w:r w:rsidRPr="56C3E658">
        <w:rPr>
          <w:rFonts w:eastAsia="Times New Roman"/>
          <w:color w:val="000000" w:themeColor="text1"/>
        </w:rPr>
        <w:t xml:space="preserve"> the Court may conduct an in-camera review of the exhibit to determine which portions of the text are entitled to protection. </w:t>
      </w:r>
    </w:p>
    <w:p w14:paraId="325FCAC4" w14:textId="7438848E" w:rsidR="13C85157" w:rsidRDefault="13C85157" w:rsidP="56C3E658">
      <w:pPr>
        <w:ind w:firstLine="720"/>
        <w:rPr>
          <w:rFonts w:eastAsia="Times New Roman"/>
          <w:color w:val="000000" w:themeColor="text1"/>
        </w:rPr>
      </w:pPr>
      <w:r w:rsidRPr="56C3E658">
        <w:rPr>
          <w:rFonts w:eastAsia="Times New Roman"/>
          <w:color w:val="000000" w:themeColor="text1"/>
        </w:rPr>
        <w:t>Therefore, the Defen</w:t>
      </w:r>
      <w:r w:rsidR="3EC7BCDF" w:rsidRPr="56C3E658">
        <w:rPr>
          <w:rFonts w:eastAsia="Times New Roman"/>
          <w:color w:val="000000" w:themeColor="text1"/>
        </w:rPr>
        <w:t>dant</w:t>
      </w:r>
      <w:r w:rsidRPr="56C3E658">
        <w:rPr>
          <w:rFonts w:eastAsia="Times New Roman"/>
          <w:color w:val="000000" w:themeColor="text1"/>
        </w:rPr>
        <w:t xml:space="preserve">’s requested remedy to quash the subpoena is broader than the interests determined by the Supreme Court in </w:t>
      </w:r>
      <w:r w:rsidRPr="56C3E658">
        <w:rPr>
          <w:rFonts w:eastAsia="Times New Roman"/>
          <w:i/>
          <w:iCs/>
          <w:color w:val="000000" w:themeColor="text1"/>
        </w:rPr>
        <w:t xml:space="preserve">Hickman </w:t>
      </w:r>
      <w:r w:rsidRPr="56C3E658">
        <w:rPr>
          <w:rFonts w:eastAsia="Times New Roman"/>
          <w:color w:val="000000" w:themeColor="text1"/>
        </w:rPr>
        <w:t xml:space="preserve">and </w:t>
      </w:r>
      <w:r w:rsidRPr="56C3E658">
        <w:rPr>
          <w:rFonts w:eastAsia="Times New Roman"/>
          <w:i/>
          <w:iCs/>
          <w:color w:val="000000" w:themeColor="text1"/>
        </w:rPr>
        <w:t>Upjohn</w:t>
      </w:r>
      <w:r w:rsidRPr="56C3E658">
        <w:rPr>
          <w:rFonts w:eastAsia="Times New Roman"/>
          <w:color w:val="000000" w:themeColor="text1"/>
        </w:rPr>
        <w:t xml:space="preserve"> and the Eleventh Circuit in </w:t>
      </w:r>
      <w:r w:rsidRPr="56C3E658">
        <w:rPr>
          <w:rFonts w:eastAsia="Times New Roman"/>
          <w:i/>
          <w:iCs/>
          <w:color w:val="000000" w:themeColor="text1"/>
        </w:rPr>
        <w:t>Cox</w:t>
      </w:r>
      <w:r w:rsidRPr="56C3E658">
        <w:rPr>
          <w:rFonts w:eastAsia="Times New Roman"/>
          <w:color w:val="000000" w:themeColor="text1"/>
        </w:rPr>
        <w:t xml:space="preserve">. While these cases recognize an attorney’s litigation preparation and opinion work product, they do not create an absolute privilege that would allow a party to introduce investigator’s testimony without the opposing party being able to examine the related material. </w:t>
      </w:r>
      <w:r w:rsidRPr="56C3E658">
        <w:rPr>
          <w:rFonts w:eastAsia="Times New Roman"/>
          <w:i/>
          <w:iCs/>
          <w:color w:val="000000" w:themeColor="text1"/>
        </w:rPr>
        <w:t>See Hickman</w:t>
      </w:r>
      <w:r w:rsidRPr="56C3E658">
        <w:rPr>
          <w:rFonts w:eastAsia="Times New Roman"/>
          <w:color w:val="000000" w:themeColor="text1"/>
        </w:rPr>
        <w:t>, 329 U.S. at 510–13</w:t>
      </w:r>
      <w:r w:rsidR="001D09D3">
        <w:rPr>
          <w:rFonts w:eastAsia="Times New Roman"/>
          <w:color w:val="000000" w:themeColor="text1"/>
        </w:rPr>
        <w:fldChar w:fldCharType="begin"/>
      </w:r>
      <w:r w:rsidR="001D09D3">
        <w:instrText xml:space="preserve"> TA \s "Hickman v. Taylor, 329 U.S. 495, 508–11 (1947)" </w:instrText>
      </w:r>
      <w:r w:rsidR="001D09D3">
        <w:rPr>
          <w:rFonts w:eastAsia="Times New Roman"/>
          <w:color w:val="000000" w:themeColor="text1"/>
        </w:rPr>
        <w:fldChar w:fldCharType="end"/>
      </w:r>
      <w:r w:rsidRPr="56C3E658">
        <w:rPr>
          <w:rFonts w:eastAsia="Times New Roman"/>
          <w:color w:val="000000" w:themeColor="text1"/>
        </w:rPr>
        <w:t xml:space="preserve">; </w:t>
      </w:r>
      <w:r w:rsidRPr="56C3E658">
        <w:rPr>
          <w:rFonts w:eastAsia="Times New Roman"/>
          <w:i/>
          <w:iCs/>
          <w:color w:val="000000" w:themeColor="text1"/>
        </w:rPr>
        <w:t>Upjohn</w:t>
      </w:r>
      <w:r w:rsidRPr="56C3E658">
        <w:rPr>
          <w:rFonts w:eastAsia="Times New Roman"/>
          <w:color w:val="000000" w:themeColor="text1"/>
        </w:rPr>
        <w:t>, 449 U.S. at 399–401</w:t>
      </w:r>
      <w:r w:rsidR="001D09D3">
        <w:rPr>
          <w:rFonts w:eastAsia="Times New Roman"/>
          <w:color w:val="000000" w:themeColor="text1"/>
        </w:rPr>
        <w:fldChar w:fldCharType="begin"/>
      </w:r>
      <w:r w:rsidR="001D09D3">
        <w:instrText xml:space="preserve"> TA \s "Upjohn Co. v. United States, 449 U.S. 383, 399–401 (1981)." </w:instrText>
      </w:r>
      <w:r w:rsidR="001D09D3">
        <w:rPr>
          <w:rFonts w:eastAsia="Times New Roman"/>
          <w:color w:val="000000" w:themeColor="text1"/>
        </w:rPr>
        <w:fldChar w:fldCharType="end"/>
      </w:r>
      <w:r w:rsidRPr="56C3E658">
        <w:rPr>
          <w:rFonts w:eastAsia="Times New Roman"/>
          <w:color w:val="000000" w:themeColor="text1"/>
        </w:rPr>
        <w:t xml:space="preserve">. </w:t>
      </w:r>
    </w:p>
    <w:p w14:paraId="10EFB32F" w14:textId="3F7B9EF3" w:rsidR="13C85157" w:rsidRDefault="13C85157" w:rsidP="56C3E658">
      <w:pPr>
        <w:pStyle w:val="ListParagraph"/>
        <w:numPr>
          <w:ilvl w:val="0"/>
          <w:numId w:val="5"/>
        </w:numPr>
        <w:rPr>
          <w:rFonts w:eastAsia="Times New Roman"/>
          <w:b/>
          <w:bCs/>
          <w:color w:val="000000" w:themeColor="text1"/>
        </w:rPr>
      </w:pPr>
      <w:r w:rsidRPr="56C3E658">
        <w:rPr>
          <w:rFonts w:eastAsia="Times New Roman"/>
          <w:b/>
          <w:bCs/>
          <w:color w:val="000000" w:themeColor="text1"/>
        </w:rPr>
        <w:t>The Court Should Deny the Defense’s Motion Because the Government Has a Substantial Need for the Interview Material and Cannot Obtain Its Substantial Equivalent Without Undue Hardship</w:t>
      </w:r>
      <w:r w:rsidR="0017EF02" w:rsidRPr="56C3E658">
        <w:rPr>
          <w:rFonts w:eastAsia="Times New Roman"/>
          <w:b/>
          <w:bCs/>
          <w:color w:val="000000" w:themeColor="text1"/>
        </w:rPr>
        <w:t>.</w:t>
      </w:r>
      <w:r w:rsidR="005E437C">
        <w:rPr>
          <w:rFonts w:eastAsia="Times New Roman"/>
          <w:b/>
          <w:bCs/>
          <w:color w:val="000000" w:themeColor="text1"/>
        </w:rPr>
        <w:fldChar w:fldCharType="begin"/>
      </w:r>
      <w:r w:rsidR="005E437C">
        <w:instrText xml:space="preserve"> TC "</w:instrText>
      </w:r>
      <w:bookmarkStart w:id="13" w:name="_Toc239161575"/>
      <w:r w:rsidR="005E437C" w:rsidRPr="004F29BA">
        <w:rPr>
          <w:rFonts w:eastAsia="Times New Roman"/>
          <w:b/>
          <w:bCs/>
          <w:color w:val="000000" w:themeColor="text1"/>
        </w:rPr>
        <w:instrText>V. The Court Should Deny the Defense’s Motion Because the Government Has a Substantial Need for the Interview Material and Cannot Obtain Its Substantial Equivalent Without Undue Hardship.</w:instrText>
      </w:r>
      <w:bookmarkEnd w:id="13"/>
      <w:r w:rsidR="005E437C">
        <w:instrText xml:space="preserve">" \f C \l "2" </w:instrText>
      </w:r>
      <w:r w:rsidR="005E437C">
        <w:rPr>
          <w:rFonts w:eastAsia="Times New Roman"/>
          <w:b/>
          <w:bCs/>
          <w:color w:val="000000" w:themeColor="text1"/>
        </w:rPr>
        <w:fldChar w:fldCharType="end"/>
      </w:r>
    </w:p>
    <w:p w14:paraId="649EA81A" w14:textId="7E840048" w:rsidR="13C85157" w:rsidRDefault="13C85157" w:rsidP="5CC26B30">
      <w:pPr>
        <w:ind w:firstLine="720"/>
      </w:pPr>
      <w:bookmarkStart w:id="14" w:name="_Int_1K5rUr07"/>
      <w:r w:rsidRPr="56C3E658">
        <w:rPr>
          <w:rFonts w:eastAsia="Times New Roman"/>
          <w:color w:val="000000" w:themeColor="text1"/>
        </w:rPr>
        <w:t xml:space="preserve">Separate from the waiver introduced in </w:t>
      </w:r>
      <w:r w:rsidRPr="56C3E658">
        <w:rPr>
          <w:rFonts w:eastAsia="Times New Roman"/>
          <w:i/>
          <w:iCs/>
          <w:color w:val="000000" w:themeColor="text1"/>
        </w:rPr>
        <w:t>Nobles</w:t>
      </w:r>
      <w:r w:rsidRPr="56C3E658">
        <w:rPr>
          <w:rFonts w:eastAsia="Times New Roman"/>
          <w:color w:val="000000" w:themeColor="text1"/>
        </w:rPr>
        <w:t>, if</w:t>
      </w:r>
      <w:bookmarkEnd w:id="14"/>
      <w:r w:rsidRPr="56C3E658">
        <w:rPr>
          <w:rFonts w:eastAsia="Times New Roman"/>
          <w:color w:val="000000" w:themeColor="text1"/>
        </w:rPr>
        <w:t xml:space="preserve"> the Government has a substantial need for the interview notes and an inability to obtain a substantial equivalent without undue hardship</w:t>
      </w:r>
      <w:r w:rsidR="1D957D59" w:rsidRPr="56C3E658">
        <w:rPr>
          <w:rFonts w:eastAsia="Times New Roman"/>
          <w:color w:val="000000" w:themeColor="text1"/>
        </w:rPr>
        <w:t>,</w:t>
      </w:r>
      <w:r w:rsidRPr="56C3E658">
        <w:rPr>
          <w:rFonts w:eastAsia="Times New Roman"/>
          <w:color w:val="000000" w:themeColor="text1"/>
        </w:rPr>
        <w:t xml:space="preserve"> the Court may disregard the work-product privilege. </w:t>
      </w:r>
      <w:r w:rsidRPr="56C3E658">
        <w:rPr>
          <w:rFonts w:eastAsia="Times New Roman"/>
          <w:i/>
          <w:iCs/>
          <w:color w:val="000000" w:themeColor="text1"/>
        </w:rPr>
        <w:t xml:space="preserve">See Fed R. Civ. P. </w:t>
      </w:r>
      <w:r w:rsidRPr="56C3E658">
        <w:rPr>
          <w:rFonts w:eastAsia="Times New Roman"/>
          <w:color w:val="000000" w:themeColor="text1"/>
        </w:rPr>
        <w:t>26(b)(3)(A)(ii</w:t>
      </w:r>
      <w:r w:rsidR="001D09D3">
        <w:rPr>
          <w:rFonts w:eastAsia="Times New Roman"/>
          <w:color w:val="000000" w:themeColor="text1"/>
        </w:rPr>
        <w:t>)</w:t>
      </w:r>
      <w:r w:rsidR="001D09D3">
        <w:rPr>
          <w:rFonts w:eastAsia="Times New Roman"/>
          <w:color w:val="000000" w:themeColor="text1"/>
        </w:rPr>
        <w:fldChar w:fldCharType="begin"/>
      </w:r>
      <w:r w:rsidR="001D09D3">
        <w:instrText xml:space="preserve"> TA \l "</w:instrText>
      </w:r>
      <w:r w:rsidR="001D09D3" w:rsidRPr="004A48D6">
        <w:rPr>
          <w:rFonts w:eastAsia="Times New Roman"/>
          <w:i/>
          <w:iCs/>
          <w:color w:val="000000" w:themeColor="text1"/>
        </w:rPr>
        <w:instrText xml:space="preserve">Fed R. Civ. P. </w:instrText>
      </w:r>
      <w:r w:rsidR="001D09D3" w:rsidRPr="004A48D6">
        <w:rPr>
          <w:rFonts w:eastAsia="Times New Roman"/>
          <w:color w:val="000000" w:themeColor="text1"/>
        </w:rPr>
        <w:instrText>26(b)(3)(A)(ii)</w:instrText>
      </w:r>
      <w:r w:rsidR="001D09D3">
        <w:instrText xml:space="preserve">" \s "Fed R. Civ. P. 26(b)(3)(A)(ii)" \c 2 </w:instrText>
      </w:r>
      <w:r w:rsidR="001D09D3">
        <w:rPr>
          <w:rFonts w:eastAsia="Times New Roman"/>
          <w:color w:val="000000" w:themeColor="text1"/>
        </w:rPr>
        <w:fldChar w:fldCharType="end"/>
      </w:r>
      <w:r w:rsidRPr="56C3E658">
        <w:rPr>
          <w:rFonts w:eastAsia="Times New Roman"/>
          <w:color w:val="000000" w:themeColor="text1"/>
        </w:rPr>
        <w:t xml:space="preserve">. In </w:t>
      </w:r>
      <w:r w:rsidRPr="56C3E658">
        <w:rPr>
          <w:rFonts w:eastAsia="Times New Roman"/>
          <w:i/>
          <w:iCs/>
          <w:color w:val="000000" w:themeColor="text1"/>
        </w:rPr>
        <w:t>Castle</w:t>
      </w:r>
      <w:r w:rsidRPr="56C3E658">
        <w:rPr>
          <w:rFonts w:eastAsia="Times New Roman"/>
          <w:color w:val="000000" w:themeColor="text1"/>
        </w:rPr>
        <w:t xml:space="preserve">, the Eleventh Circuit recognized that Rule 26(b)(3) illustrates that a party must demonstrate both the substantial need and undue hardship. </w:t>
      </w:r>
      <w:r w:rsidRPr="56C3E658">
        <w:rPr>
          <w:rFonts w:eastAsia="Times New Roman"/>
          <w:i/>
          <w:iCs/>
          <w:color w:val="000000" w:themeColor="text1"/>
        </w:rPr>
        <w:t>Castle v. Sangamo Weston, Inc.</w:t>
      </w:r>
      <w:r w:rsidRPr="56C3E658">
        <w:rPr>
          <w:rFonts w:eastAsia="Times New Roman"/>
          <w:color w:val="000000" w:themeColor="text1"/>
        </w:rPr>
        <w:t>, 744 F.2d 1464, 1467 (11th Cir. 1984)</w:t>
      </w:r>
      <w:r w:rsidR="001D09D3">
        <w:rPr>
          <w:rFonts w:eastAsia="Times New Roman"/>
          <w:color w:val="000000" w:themeColor="text1"/>
        </w:rPr>
        <w:fldChar w:fldCharType="begin"/>
      </w:r>
      <w:r w:rsidR="001D09D3">
        <w:instrText xml:space="preserve"> TA \l "</w:instrText>
      </w:r>
      <w:r w:rsidR="001D09D3" w:rsidRPr="004A48D6">
        <w:rPr>
          <w:rFonts w:eastAsia="Times New Roman"/>
          <w:i/>
          <w:iCs/>
          <w:color w:val="000000" w:themeColor="text1"/>
        </w:rPr>
        <w:instrText>Castle v. Sangamo Weston, Inc.</w:instrText>
      </w:r>
      <w:r w:rsidR="001D09D3" w:rsidRPr="004A48D6">
        <w:rPr>
          <w:rFonts w:eastAsia="Times New Roman"/>
          <w:color w:val="000000" w:themeColor="text1"/>
        </w:rPr>
        <w:instrText>, 744 F.2d 1464, 1467 (11th Cir. 1984)</w:instrText>
      </w:r>
      <w:r w:rsidR="001D09D3">
        <w:instrText xml:space="preserve">" \s "Castle v. Sangamo Weston, Inc., 744 F.2d 1464, 1467 (11th Cir. 1984)" \c 1 </w:instrText>
      </w:r>
      <w:r w:rsidR="001D09D3">
        <w:rPr>
          <w:rFonts w:eastAsia="Times New Roman"/>
          <w:color w:val="000000" w:themeColor="text1"/>
        </w:rPr>
        <w:fldChar w:fldCharType="end"/>
      </w:r>
      <w:r w:rsidRPr="56C3E658">
        <w:rPr>
          <w:rFonts w:eastAsia="Times New Roman"/>
          <w:color w:val="000000" w:themeColor="text1"/>
        </w:rPr>
        <w:t xml:space="preserve">. In that case, the court found that the party did not meet this burden because they only pursued </w:t>
      </w:r>
      <w:r w:rsidRPr="56C3E658">
        <w:rPr>
          <w:rFonts w:eastAsia="Times New Roman"/>
          <w:color w:val="000000" w:themeColor="text1"/>
        </w:rPr>
        <w:lastRenderedPageBreak/>
        <w:t xml:space="preserve">rudimentary methods of discovery like tracking down and deposing witnesses. </w:t>
      </w:r>
      <w:r w:rsidRPr="56C3E658">
        <w:rPr>
          <w:rFonts w:eastAsia="Times New Roman"/>
          <w:i/>
          <w:iCs/>
          <w:color w:val="000000" w:themeColor="text1"/>
        </w:rPr>
        <w:t>Castle</w:t>
      </w:r>
      <w:r w:rsidRPr="56C3E658">
        <w:rPr>
          <w:rFonts w:eastAsia="Times New Roman"/>
          <w:color w:val="000000" w:themeColor="text1"/>
        </w:rPr>
        <w:t>, 744 F.2d at 1467.</w:t>
      </w:r>
      <w:r w:rsidR="001D09D3">
        <w:rPr>
          <w:rFonts w:eastAsia="Times New Roman"/>
          <w:color w:val="000000" w:themeColor="text1"/>
        </w:rPr>
        <w:fldChar w:fldCharType="begin"/>
      </w:r>
      <w:r w:rsidR="001D09D3">
        <w:instrText xml:space="preserve"> TA \s "Castle v. Sangamo Weston, Inc., 744 F.2d 1464, 1467 (11th Cir. 1984)" </w:instrText>
      </w:r>
      <w:r w:rsidR="001D09D3">
        <w:rPr>
          <w:rFonts w:eastAsia="Times New Roman"/>
          <w:color w:val="000000" w:themeColor="text1"/>
        </w:rPr>
        <w:fldChar w:fldCharType="end"/>
      </w:r>
      <w:r w:rsidRPr="56C3E658">
        <w:rPr>
          <w:rFonts w:eastAsia="Times New Roman"/>
          <w:color w:val="000000" w:themeColor="text1"/>
        </w:rPr>
        <w:t xml:space="preserve"> </w:t>
      </w:r>
    </w:p>
    <w:p w14:paraId="4FDCD0EE" w14:textId="4964B57F" w:rsidR="13C85157" w:rsidRDefault="13C85157" w:rsidP="5CC26B30">
      <w:pPr>
        <w:ind w:firstLine="720"/>
        <w:rPr>
          <w:rFonts w:eastAsia="Times New Roman"/>
          <w:color w:val="000000" w:themeColor="text1"/>
        </w:rPr>
      </w:pPr>
      <w:r w:rsidRPr="76F8115C">
        <w:rPr>
          <w:rFonts w:eastAsia="Times New Roman"/>
          <w:color w:val="000000" w:themeColor="text1"/>
        </w:rPr>
        <w:t xml:space="preserve">In contrast, here, the </w:t>
      </w:r>
      <w:proofErr w:type="gramStart"/>
      <w:r w:rsidRPr="76F8115C">
        <w:rPr>
          <w:rFonts w:eastAsia="Times New Roman"/>
          <w:color w:val="000000" w:themeColor="text1"/>
        </w:rPr>
        <w:t>Government was</w:t>
      </w:r>
      <w:proofErr w:type="gramEnd"/>
      <w:r w:rsidRPr="76F8115C">
        <w:rPr>
          <w:rFonts w:eastAsia="Times New Roman"/>
          <w:color w:val="000000" w:themeColor="text1"/>
        </w:rPr>
        <w:t xml:space="preserve"> </w:t>
      </w:r>
      <w:r w:rsidRPr="74EF7F36">
        <w:rPr>
          <w:rFonts w:eastAsia="Times New Roman"/>
          <w:color w:val="000000" w:themeColor="text1"/>
        </w:rPr>
        <w:t>thorough</w:t>
      </w:r>
      <w:r w:rsidR="474172FC" w:rsidRPr="74EF7F36">
        <w:rPr>
          <w:rFonts w:eastAsia="Times New Roman"/>
          <w:color w:val="000000" w:themeColor="text1"/>
        </w:rPr>
        <w:t xml:space="preserve">ly </w:t>
      </w:r>
      <w:proofErr w:type="gramStart"/>
      <w:r w:rsidR="474172FC" w:rsidRPr="172E5BAC">
        <w:rPr>
          <w:rFonts w:eastAsia="Times New Roman"/>
          <w:color w:val="000000" w:themeColor="text1"/>
        </w:rPr>
        <w:t>examining</w:t>
      </w:r>
      <w:proofErr w:type="gramEnd"/>
      <w:r w:rsidRPr="76F8115C">
        <w:rPr>
          <w:rFonts w:eastAsia="Times New Roman"/>
          <w:color w:val="000000" w:themeColor="text1"/>
        </w:rPr>
        <w:t xml:space="preserve"> lists of hundreds of Silver Palm staff employees from 2019 to 2023 and conducted interviews </w:t>
      </w:r>
      <w:r w:rsidR="72295D57" w:rsidRPr="431D4F30">
        <w:rPr>
          <w:rFonts w:eastAsia="Times New Roman"/>
          <w:color w:val="000000" w:themeColor="text1"/>
        </w:rPr>
        <w:t>with</w:t>
      </w:r>
      <w:r w:rsidRPr="76F8115C">
        <w:rPr>
          <w:rFonts w:eastAsia="Times New Roman"/>
          <w:color w:val="000000" w:themeColor="text1"/>
        </w:rPr>
        <w:t xml:space="preserve"> various employees. Sinclair Dep. 18:398–20:497. Also, because Seton fled the country after her interview with Armana, the Government could not easily depose her. </w:t>
      </w:r>
    </w:p>
    <w:p w14:paraId="3FCA033B" w14:textId="7BBB798D" w:rsidR="13C85157" w:rsidRDefault="13C85157" w:rsidP="731D774B">
      <w:pPr>
        <w:ind w:firstLine="720"/>
        <w:rPr>
          <w:rFonts w:eastAsia="Times New Roman"/>
          <w:color w:val="000000" w:themeColor="text1"/>
        </w:rPr>
      </w:pPr>
      <w:r w:rsidRPr="76F8115C">
        <w:rPr>
          <w:rFonts w:eastAsia="Times New Roman"/>
          <w:color w:val="000000" w:themeColor="text1"/>
        </w:rPr>
        <w:t>In fact, even the Defense itself had difficulty finding Seton. Even before Seton fled the country, Armana was only able to locate Seton after pulling old records and speaking to former associates of Seton. Armana Dep. 44:72–78. Furthermore, Armana even testified in her deposition that she thought that she may only have “one shot” with a reluctant witness like Seton. Armana Dep. 45:91–99. Therefore, the Government cannot simply track down Seton and conduct its own interview without facing extreme and undue hardship.</w:t>
      </w:r>
    </w:p>
    <w:p w14:paraId="0EC8431F" w14:textId="08AA6D0C" w:rsidR="13C85157" w:rsidRDefault="13C85157" w:rsidP="53CE3EF8">
      <w:pPr>
        <w:ind w:firstLine="720"/>
        <w:rPr>
          <w:rFonts w:eastAsia="Times New Roman"/>
          <w:color w:val="000000" w:themeColor="text1"/>
        </w:rPr>
      </w:pPr>
      <w:r w:rsidRPr="56C3E658">
        <w:rPr>
          <w:rFonts w:eastAsia="Times New Roman"/>
          <w:color w:val="000000" w:themeColor="text1"/>
        </w:rPr>
        <w:t xml:space="preserve">In fact, even the Defense has been unable to locate Armana despite their best efforts. According to Armana’s testimony, she believes Seton left the country and, despite Armana’s best efforts, Armana has been unable to locate her. Armana Dep. 46:146–59. Additionally, Armana, herself, even testified that no other source would be able to provide the exact extent of </w:t>
      </w:r>
      <w:proofErr w:type="spellStart"/>
      <w:r w:rsidRPr="56C3E658">
        <w:rPr>
          <w:rFonts w:eastAsia="Times New Roman"/>
          <w:color w:val="000000" w:themeColor="text1"/>
        </w:rPr>
        <w:t>Coastal’s</w:t>
      </w:r>
      <w:proofErr w:type="spellEnd"/>
      <w:r w:rsidRPr="56C3E658">
        <w:rPr>
          <w:rFonts w:eastAsia="Times New Roman"/>
          <w:color w:val="000000" w:themeColor="text1"/>
        </w:rPr>
        <w:t xml:space="preserve"> internal operations. Armana Dep. 47:160</w:t>
      </w:r>
      <w:r w:rsidR="004860D2" w:rsidRPr="76F8115C">
        <w:rPr>
          <w:rFonts w:eastAsia="Times New Roman"/>
          <w:color w:val="000000" w:themeColor="text1"/>
        </w:rPr>
        <w:t>–</w:t>
      </w:r>
      <w:r w:rsidRPr="56C3E658">
        <w:rPr>
          <w:rFonts w:eastAsia="Times New Roman"/>
          <w:color w:val="000000" w:themeColor="text1"/>
        </w:rPr>
        <w:t xml:space="preserve">63. Furthermore, Armana also testified that her notes are the only place she knows of that document Seton’s account. Taking these facts into account, the Government has clearly </w:t>
      </w:r>
      <w:r w:rsidRPr="56C3E658">
        <w:rPr>
          <w:rFonts w:eastAsia="Times New Roman"/>
          <w:color w:val="000000" w:themeColor="text1"/>
        </w:rPr>
        <w:lastRenderedPageBreak/>
        <w:t>demonstrated a substantial need for Armana’s interview notes. The Government is not simply seeking these notes because of their potential usefulness to its case, but rather because the witness is unavailable</w:t>
      </w:r>
      <w:r w:rsidR="4C5D4FA6" w:rsidRPr="56C3E658">
        <w:rPr>
          <w:rFonts w:eastAsia="Times New Roman"/>
          <w:color w:val="000000" w:themeColor="text1"/>
        </w:rPr>
        <w:t>,</w:t>
      </w:r>
      <w:r w:rsidRPr="56C3E658">
        <w:rPr>
          <w:rFonts w:eastAsia="Times New Roman"/>
          <w:color w:val="000000" w:themeColor="text1"/>
        </w:rPr>
        <w:t xml:space="preserve"> and Armana’s investigative notes are the only known documentation of Seton’s account. </w:t>
      </w:r>
    </w:p>
    <w:p w14:paraId="2C42B680" w14:textId="14E790CF" w:rsidR="13C85157" w:rsidRDefault="13C85157" w:rsidP="5CC26B30">
      <w:pPr>
        <w:ind w:firstLine="720"/>
        <w:rPr>
          <w:rFonts w:eastAsia="Times New Roman"/>
          <w:color w:val="000000" w:themeColor="text1"/>
        </w:rPr>
      </w:pPr>
      <w:r w:rsidRPr="76F8115C">
        <w:rPr>
          <w:rFonts w:eastAsia="Times New Roman"/>
          <w:color w:val="000000" w:themeColor="text1"/>
        </w:rPr>
        <w:t xml:space="preserve">The account holds material relevance to the Government’s case because Armana’s deposition revealed that Seton was the only willing insider who could share information regarding </w:t>
      </w:r>
      <w:proofErr w:type="spellStart"/>
      <w:r w:rsidRPr="76F8115C">
        <w:rPr>
          <w:rFonts w:eastAsia="Times New Roman"/>
          <w:color w:val="000000" w:themeColor="text1"/>
        </w:rPr>
        <w:t>Coastal’s</w:t>
      </w:r>
      <w:proofErr w:type="spellEnd"/>
      <w:r w:rsidRPr="76F8115C">
        <w:rPr>
          <w:rFonts w:eastAsia="Times New Roman"/>
          <w:color w:val="000000" w:themeColor="text1"/>
        </w:rPr>
        <w:t xml:space="preserve"> operations including payroll, coordination, scheduling, and more. Armana Dep. 44:59–46:134. That is extremely significant because the Government’s financial evidence illustrates substantial payments between Coastal Event Solutions, LLC</w:t>
      </w:r>
      <w:r w:rsidR="2523C97A" w:rsidRPr="47675F9E">
        <w:rPr>
          <w:rFonts w:eastAsia="Times New Roman"/>
          <w:color w:val="000000" w:themeColor="text1"/>
        </w:rPr>
        <w:t>,</w:t>
      </w:r>
      <w:r w:rsidRPr="76F8115C">
        <w:rPr>
          <w:rFonts w:eastAsia="Times New Roman"/>
          <w:color w:val="000000" w:themeColor="text1"/>
        </w:rPr>
        <w:t xml:space="preserve"> and other associated companies. While the Defense may argue that these financial records already reveal enough information on the money movement for the Government’s case against the Defendant, Seton’s factual account can illustrate the internal operations and genuine control. Thus, the Government should not be denied access to Seton’s factual account simply because the Defense was able to locate Seton first. </w:t>
      </w:r>
    </w:p>
    <w:p w14:paraId="49D18D12" w14:textId="30BC9C9A" w:rsidR="13C85157" w:rsidRDefault="13C85157" w:rsidP="56C3E658">
      <w:pPr>
        <w:pStyle w:val="ListParagraph"/>
        <w:numPr>
          <w:ilvl w:val="0"/>
          <w:numId w:val="5"/>
        </w:numPr>
        <w:rPr>
          <w:rFonts w:eastAsia="Times New Roman"/>
          <w:b/>
          <w:bCs/>
          <w:color w:val="000000" w:themeColor="text1"/>
        </w:rPr>
      </w:pPr>
      <w:r w:rsidRPr="56C3E658">
        <w:rPr>
          <w:rFonts w:eastAsia="Times New Roman"/>
          <w:b/>
          <w:bCs/>
          <w:color w:val="000000" w:themeColor="text1"/>
        </w:rPr>
        <w:t>The Court Should Deny the Defense’s Motion as In-Camera Review May Operate as a Safeguard to Protect Any Potential Legitimate Opinion Work Product Interests</w:t>
      </w:r>
      <w:r w:rsidR="2F04B651" w:rsidRPr="56C3E658">
        <w:rPr>
          <w:rFonts w:eastAsia="Times New Roman"/>
          <w:b/>
          <w:bCs/>
          <w:color w:val="000000" w:themeColor="text1"/>
        </w:rPr>
        <w:t>.</w:t>
      </w:r>
      <w:r w:rsidR="005E437C">
        <w:rPr>
          <w:rFonts w:eastAsia="Times New Roman"/>
          <w:b/>
          <w:bCs/>
          <w:color w:val="000000" w:themeColor="text1"/>
        </w:rPr>
        <w:fldChar w:fldCharType="begin"/>
      </w:r>
      <w:r w:rsidR="005E437C">
        <w:instrText xml:space="preserve"> TC "</w:instrText>
      </w:r>
      <w:bookmarkStart w:id="15" w:name="_Toc239161576"/>
      <w:r w:rsidR="005E437C" w:rsidRPr="00D72AAC">
        <w:rPr>
          <w:rFonts w:eastAsia="Times New Roman"/>
          <w:b/>
          <w:bCs/>
          <w:color w:val="000000" w:themeColor="text1"/>
        </w:rPr>
        <w:instrText>VI. The Court Should Deny the Defense’s Motion as In-Camera Review May Operate as a Safeguard to Protect Any Potential Legitimate Opinion Work Product Interests.</w:instrText>
      </w:r>
      <w:bookmarkEnd w:id="15"/>
      <w:r w:rsidR="005E437C">
        <w:instrText xml:space="preserve">" \f C \l "2" </w:instrText>
      </w:r>
      <w:r w:rsidR="005E437C">
        <w:rPr>
          <w:rFonts w:eastAsia="Times New Roman"/>
          <w:b/>
          <w:bCs/>
          <w:color w:val="000000" w:themeColor="text1"/>
        </w:rPr>
        <w:fldChar w:fldCharType="end"/>
      </w:r>
    </w:p>
    <w:p w14:paraId="18331827" w14:textId="334C3740" w:rsidR="13C85157" w:rsidRDefault="13C85157" w:rsidP="5CC26B30">
      <w:pPr>
        <w:ind w:firstLine="720"/>
        <w:rPr>
          <w:rFonts w:eastAsia="Times New Roman"/>
          <w:color w:val="000000" w:themeColor="text1"/>
        </w:rPr>
      </w:pPr>
      <w:r w:rsidRPr="76F8115C">
        <w:rPr>
          <w:rFonts w:eastAsia="Times New Roman"/>
          <w:color w:val="000000" w:themeColor="text1"/>
        </w:rPr>
        <w:t xml:space="preserve">Furthermore, even if the Court determines that a part of Exhibit 21 requires protection, it would not be necessary to quash the subpoena. Instead, the Court can protect the legitimate interests protected by the work-product doctrine while not allowing </w:t>
      </w:r>
      <w:r w:rsidRPr="76F8115C">
        <w:rPr>
          <w:rFonts w:eastAsia="Times New Roman"/>
          <w:color w:val="000000" w:themeColor="text1"/>
        </w:rPr>
        <w:lastRenderedPageBreak/>
        <w:t xml:space="preserve">the Defense to invoke the work-product privilege to protect matters covered by Armana’s testimony. </w:t>
      </w:r>
    </w:p>
    <w:p w14:paraId="66D75A5E" w14:textId="495F97C2" w:rsidR="13C85157" w:rsidRDefault="13C85157" w:rsidP="5CC26B30">
      <w:pPr>
        <w:ind w:firstLine="720"/>
        <w:rPr>
          <w:rFonts w:eastAsia="Times New Roman"/>
          <w:color w:val="000000" w:themeColor="text1"/>
        </w:rPr>
      </w:pPr>
      <w:r w:rsidRPr="76F8115C">
        <w:rPr>
          <w:rFonts w:eastAsia="Times New Roman"/>
          <w:color w:val="000000" w:themeColor="text1"/>
        </w:rPr>
        <w:t xml:space="preserve">The Court may conduct an in-camera review and distinguish between material that falls within the waiver covered in </w:t>
      </w:r>
      <w:r w:rsidRPr="76F8115C">
        <w:rPr>
          <w:rFonts w:eastAsia="Times New Roman"/>
          <w:i/>
          <w:color w:val="000000" w:themeColor="text1"/>
        </w:rPr>
        <w:t>Nobles</w:t>
      </w:r>
      <w:r w:rsidRPr="76F8115C">
        <w:rPr>
          <w:rFonts w:eastAsia="Times New Roman"/>
          <w:color w:val="000000" w:themeColor="text1"/>
        </w:rPr>
        <w:t xml:space="preserve"> and material that independently qualifies as protected opinion work product under </w:t>
      </w:r>
      <w:r w:rsidRPr="76F8115C">
        <w:rPr>
          <w:rFonts w:eastAsia="Times New Roman"/>
          <w:i/>
          <w:color w:val="000000" w:themeColor="text1"/>
        </w:rPr>
        <w:t>Hickman</w:t>
      </w:r>
      <w:r w:rsidRPr="76F8115C">
        <w:rPr>
          <w:rFonts w:eastAsia="Times New Roman"/>
          <w:color w:val="000000" w:themeColor="text1"/>
        </w:rPr>
        <w:t xml:space="preserve">, </w:t>
      </w:r>
      <w:r w:rsidRPr="76F8115C">
        <w:rPr>
          <w:rFonts w:eastAsia="Times New Roman"/>
          <w:i/>
          <w:color w:val="000000" w:themeColor="text1"/>
        </w:rPr>
        <w:t>Upjohn</w:t>
      </w:r>
      <w:r w:rsidRPr="76F8115C">
        <w:rPr>
          <w:rFonts w:eastAsia="Times New Roman"/>
          <w:color w:val="000000" w:themeColor="text1"/>
        </w:rPr>
        <w:t xml:space="preserve">, and </w:t>
      </w:r>
      <w:r w:rsidRPr="76F8115C">
        <w:rPr>
          <w:rFonts w:eastAsia="Times New Roman"/>
          <w:i/>
          <w:color w:val="000000" w:themeColor="text1"/>
        </w:rPr>
        <w:t>Cox</w:t>
      </w:r>
      <w:r w:rsidRPr="76F8115C">
        <w:rPr>
          <w:rFonts w:eastAsia="Times New Roman"/>
          <w:color w:val="000000" w:themeColor="text1"/>
        </w:rPr>
        <w:t xml:space="preserve">. </w:t>
      </w:r>
      <w:r w:rsidRPr="76F8115C">
        <w:rPr>
          <w:rFonts w:eastAsia="Times New Roman"/>
          <w:i/>
          <w:color w:val="000000" w:themeColor="text1"/>
        </w:rPr>
        <w:t>See Hickman</w:t>
      </w:r>
      <w:r w:rsidRPr="76F8115C">
        <w:rPr>
          <w:rFonts w:eastAsia="Times New Roman"/>
          <w:color w:val="000000" w:themeColor="text1"/>
        </w:rPr>
        <w:t>, 329 U.S. at 510</w:t>
      </w:r>
      <w:r w:rsidR="00CB089B" w:rsidRPr="76F8115C">
        <w:rPr>
          <w:rFonts w:eastAsia="Times New Roman"/>
          <w:color w:val="000000" w:themeColor="text1"/>
        </w:rPr>
        <w:t>–</w:t>
      </w:r>
      <w:r w:rsidRPr="76F8115C">
        <w:rPr>
          <w:rFonts w:eastAsia="Times New Roman"/>
          <w:color w:val="000000" w:themeColor="text1"/>
        </w:rPr>
        <w:t>513</w:t>
      </w:r>
      <w:r w:rsidR="001D09D3">
        <w:rPr>
          <w:rFonts w:eastAsia="Times New Roman"/>
          <w:color w:val="000000" w:themeColor="text1"/>
        </w:rPr>
        <w:fldChar w:fldCharType="begin"/>
      </w:r>
      <w:r w:rsidR="001D09D3">
        <w:instrText xml:space="preserve"> TA \s "Hickman v. Taylor, 329 U.S. 495, 508–11 (1947)" </w:instrText>
      </w:r>
      <w:r w:rsidR="001D09D3">
        <w:rPr>
          <w:rFonts w:eastAsia="Times New Roman"/>
          <w:color w:val="000000" w:themeColor="text1"/>
        </w:rPr>
        <w:fldChar w:fldCharType="end"/>
      </w:r>
      <w:r w:rsidRPr="76F8115C">
        <w:rPr>
          <w:rFonts w:eastAsia="Times New Roman"/>
          <w:color w:val="000000" w:themeColor="text1"/>
        </w:rPr>
        <w:t xml:space="preserve">; </w:t>
      </w:r>
      <w:r w:rsidRPr="76F8115C">
        <w:rPr>
          <w:rFonts w:eastAsia="Times New Roman"/>
          <w:i/>
          <w:color w:val="000000" w:themeColor="text1"/>
        </w:rPr>
        <w:t>Upjohn</w:t>
      </w:r>
      <w:r w:rsidRPr="76F8115C">
        <w:rPr>
          <w:rFonts w:eastAsia="Times New Roman"/>
          <w:color w:val="000000" w:themeColor="text1"/>
        </w:rPr>
        <w:t>, 449 U.S. at 399</w:t>
      </w:r>
      <w:r w:rsidR="00CB089B" w:rsidRPr="76F8115C">
        <w:rPr>
          <w:rFonts w:eastAsia="Times New Roman"/>
          <w:color w:val="000000" w:themeColor="text1"/>
        </w:rPr>
        <w:t>–</w:t>
      </w:r>
      <w:r w:rsidRPr="76F8115C">
        <w:rPr>
          <w:rFonts w:eastAsia="Times New Roman"/>
          <w:color w:val="000000" w:themeColor="text1"/>
        </w:rPr>
        <w:t>401</w:t>
      </w:r>
      <w:r w:rsidR="001D09D3">
        <w:rPr>
          <w:rFonts w:eastAsia="Times New Roman"/>
          <w:color w:val="000000" w:themeColor="text1"/>
        </w:rPr>
        <w:fldChar w:fldCharType="begin"/>
      </w:r>
      <w:r w:rsidR="001D09D3">
        <w:instrText xml:space="preserve"> TA \s "Upjohn Co. v. United States, 449 U.S. 383, 399–401 (1981)." </w:instrText>
      </w:r>
      <w:r w:rsidR="001D09D3">
        <w:rPr>
          <w:rFonts w:eastAsia="Times New Roman"/>
          <w:color w:val="000000" w:themeColor="text1"/>
        </w:rPr>
        <w:fldChar w:fldCharType="end"/>
      </w:r>
      <w:r w:rsidRPr="76F8115C">
        <w:rPr>
          <w:rFonts w:eastAsia="Times New Roman"/>
          <w:color w:val="000000" w:themeColor="text1"/>
        </w:rPr>
        <w:t xml:space="preserve">; </w:t>
      </w:r>
      <w:r w:rsidRPr="76F8115C">
        <w:rPr>
          <w:rFonts w:eastAsia="Times New Roman"/>
          <w:i/>
          <w:color w:val="000000" w:themeColor="text1"/>
        </w:rPr>
        <w:t>Cox</w:t>
      </w:r>
      <w:r w:rsidRPr="76F8115C">
        <w:rPr>
          <w:rFonts w:eastAsia="Times New Roman"/>
          <w:color w:val="000000" w:themeColor="text1"/>
        </w:rPr>
        <w:t>, 17 F.3d at 1421</w:t>
      </w:r>
      <w:r w:rsidR="00CB089B" w:rsidRPr="76F8115C">
        <w:rPr>
          <w:rFonts w:eastAsia="Times New Roman"/>
          <w:color w:val="000000" w:themeColor="text1"/>
        </w:rPr>
        <w:t>–</w:t>
      </w:r>
      <w:r w:rsidRPr="76F8115C">
        <w:rPr>
          <w:rFonts w:eastAsia="Times New Roman"/>
          <w:color w:val="000000" w:themeColor="text1"/>
        </w:rPr>
        <w:t>22</w:t>
      </w:r>
      <w:r w:rsidR="00C75B17">
        <w:rPr>
          <w:rFonts w:eastAsia="Times New Roman"/>
          <w:color w:val="000000" w:themeColor="text1"/>
        </w:rPr>
        <w:fldChar w:fldCharType="begin"/>
      </w:r>
      <w:r w:rsidR="00C75B17">
        <w:instrText xml:space="preserve"> TA \s "Cox v. Adm’r U.S. Steel &amp; Carnegie, 17 F.3d 1386, 1421–22 (11th Cir. 1994)" </w:instrText>
      </w:r>
      <w:r w:rsidR="00C75B17">
        <w:rPr>
          <w:rFonts w:eastAsia="Times New Roman"/>
          <w:color w:val="000000" w:themeColor="text1"/>
        </w:rPr>
        <w:fldChar w:fldCharType="end"/>
      </w:r>
      <w:r w:rsidRPr="76F8115C">
        <w:rPr>
          <w:rFonts w:eastAsia="Times New Roman"/>
          <w:color w:val="000000" w:themeColor="text1"/>
        </w:rPr>
        <w:t>. This would be an especially appropriate safeguard since the Government has not had the chance to review the contents of Exhibit 21. R. at 4. Thus, an in-camera review protects the Defense from unnecessary disclosure while allowing the Court to consider the remainder of the investigative notes for work-product privilege.</w:t>
      </w:r>
    </w:p>
    <w:p w14:paraId="7DAB0CB4" w14:textId="062DA1DE" w:rsidR="13C85157" w:rsidRDefault="13C85157" w:rsidP="5CC26B30">
      <w:pPr>
        <w:ind w:firstLine="720"/>
        <w:rPr>
          <w:rFonts w:eastAsia="Times New Roman"/>
          <w:color w:val="000000" w:themeColor="text1"/>
        </w:rPr>
      </w:pPr>
      <w:r w:rsidRPr="76F8115C">
        <w:rPr>
          <w:rFonts w:eastAsia="Times New Roman"/>
          <w:color w:val="000000" w:themeColor="text1"/>
        </w:rPr>
        <w:t xml:space="preserve">The Court should not allow a subpoena to be quashed in its entirety based on the assertion of an absolute work-product privilege. To do so would allow the Defense to have the same unilateral testimonial advantage that the Supreme Court unequivocally rejected in </w:t>
      </w:r>
      <w:r w:rsidRPr="76F8115C">
        <w:rPr>
          <w:rFonts w:eastAsia="Times New Roman"/>
          <w:i/>
          <w:color w:val="000000" w:themeColor="text1"/>
        </w:rPr>
        <w:t>Nobles</w:t>
      </w:r>
      <w:r w:rsidRPr="76F8115C">
        <w:rPr>
          <w:rFonts w:eastAsia="Times New Roman"/>
          <w:color w:val="000000" w:themeColor="text1"/>
        </w:rPr>
        <w:t xml:space="preserve">. </w:t>
      </w:r>
      <w:r w:rsidRPr="76F8115C">
        <w:rPr>
          <w:rFonts w:eastAsia="Times New Roman"/>
          <w:i/>
          <w:color w:val="000000" w:themeColor="text1"/>
        </w:rPr>
        <w:t xml:space="preserve">See </w:t>
      </w:r>
      <w:r w:rsidRPr="76F8115C">
        <w:rPr>
          <w:rFonts w:eastAsia="Times New Roman"/>
          <w:color w:val="000000" w:themeColor="text1"/>
        </w:rPr>
        <w:t>422 U.S. at 239</w:t>
      </w:r>
      <w:r w:rsidR="00CB089B" w:rsidRPr="76F8115C">
        <w:rPr>
          <w:rFonts w:eastAsia="Times New Roman"/>
          <w:color w:val="000000" w:themeColor="text1"/>
        </w:rPr>
        <w:t>–</w:t>
      </w:r>
      <w:r w:rsidRPr="76F8115C">
        <w:rPr>
          <w:rFonts w:eastAsia="Times New Roman"/>
          <w:color w:val="000000" w:themeColor="text1"/>
        </w:rPr>
        <w:t>41</w:t>
      </w:r>
      <w:r w:rsidR="00C75B17">
        <w:rPr>
          <w:rFonts w:eastAsia="Times New Roman"/>
          <w:color w:val="000000" w:themeColor="text1"/>
        </w:rPr>
        <w:fldChar w:fldCharType="begin"/>
      </w:r>
      <w:r w:rsidR="00C75B17">
        <w:instrText xml:space="preserve"> TA \s "United States v. Nobles, 422 U.S. 225 (1975)" </w:instrText>
      </w:r>
      <w:r w:rsidR="00C75B17">
        <w:rPr>
          <w:rFonts w:eastAsia="Times New Roman"/>
          <w:color w:val="000000" w:themeColor="text1"/>
        </w:rPr>
        <w:fldChar w:fldCharType="end"/>
      </w:r>
      <w:r w:rsidRPr="76F8115C">
        <w:rPr>
          <w:rFonts w:eastAsia="Times New Roman"/>
          <w:color w:val="000000" w:themeColor="text1"/>
        </w:rPr>
        <w:t xml:space="preserve">. </w:t>
      </w:r>
    </w:p>
    <w:p w14:paraId="6A8E9F4E" w14:textId="25BA5017" w:rsidR="13C85157" w:rsidRDefault="13C85157" w:rsidP="5CC26B30">
      <w:pPr>
        <w:ind w:firstLine="720"/>
        <w:rPr>
          <w:rFonts w:eastAsia="Times New Roman"/>
          <w:color w:val="000000" w:themeColor="text1"/>
        </w:rPr>
      </w:pPr>
      <w:r w:rsidRPr="56C3E658">
        <w:rPr>
          <w:rFonts w:eastAsia="Times New Roman"/>
          <w:color w:val="000000" w:themeColor="text1"/>
        </w:rPr>
        <w:t xml:space="preserve">The Defense plans to call Armana and present her testimony based on her investigative notes from her interview with Seton as recorded in Exhibit 21. Therefore, because the Government has a substantial need for the requested records and is unable to obtain similar records without undue hardship while Seton remains unavailable, the Government must be allowed to review and analyze the material covered by Armana’s testimony. </w:t>
      </w:r>
    </w:p>
    <w:p w14:paraId="19DC0216" w14:textId="7824A996" w:rsidR="007C28C3" w:rsidRPr="007B3559" w:rsidRDefault="007C28C3" w:rsidP="007C28C3">
      <w:pPr>
        <w:jc w:val="center"/>
        <w:rPr>
          <w:b/>
          <w:bCs/>
          <w:u w:val="single"/>
        </w:rPr>
      </w:pPr>
      <w:r w:rsidRPr="56C3E658">
        <w:rPr>
          <w:b/>
          <w:bCs/>
          <w:u w:val="single"/>
        </w:rPr>
        <w:lastRenderedPageBreak/>
        <w:t>CONCLUSION WITH PRAYER FOR RELIEF</w:t>
      </w:r>
      <w:r w:rsidR="005E437C">
        <w:rPr>
          <w:b/>
          <w:bCs/>
          <w:u w:val="single"/>
        </w:rPr>
        <w:fldChar w:fldCharType="begin"/>
      </w:r>
      <w:r w:rsidR="005E437C">
        <w:instrText xml:space="preserve"> TC "</w:instrText>
      </w:r>
      <w:bookmarkStart w:id="16" w:name="_Toc239161577"/>
      <w:r w:rsidR="005E437C" w:rsidRPr="00F53786">
        <w:rPr>
          <w:b/>
          <w:bCs/>
          <w:u w:val="single"/>
        </w:rPr>
        <w:instrText>CONCLUSION WITH PRAYER FOR RELIEF</w:instrText>
      </w:r>
      <w:bookmarkEnd w:id="16"/>
      <w:r w:rsidR="005E437C">
        <w:instrText xml:space="preserve">" \f C \l "1" </w:instrText>
      </w:r>
      <w:r w:rsidR="005E437C">
        <w:rPr>
          <w:b/>
          <w:bCs/>
          <w:u w:val="single"/>
        </w:rPr>
        <w:fldChar w:fldCharType="end"/>
      </w:r>
    </w:p>
    <w:p w14:paraId="2848C4DC" w14:textId="0EFAA333" w:rsidR="007C28C3" w:rsidRDefault="7B37BA06" w:rsidP="56C3E658">
      <w:pPr>
        <w:ind w:firstLine="720"/>
      </w:pPr>
      <w:r w:rsidRPr="56C3E658">
        <w:rPr>
          <w:rFonts w:eastAsia="Times New Roman"/>
          <w:color w:val="000000" w:themeColor="text1"/>
        </w:rPr>
        <w:t>For the foregoing reasons, the Government respectfully requests that this Court deny the Defendant’s Motion to Suppress Evidence</w:t>
      </w:r>
      <w:r w:rsidR="00A87012">
        <w:rPr>
          <w:rFonts w:eastAsia="Times New Roman"/>
          <w:color w:val="000000" w:themeColor="text1"/>
        </w:rPr>
        <w:t xml:space="preserve"> of Parker’s testimony and Exhibit 19</w:t>
      </w:r>
      <w:r w:rsidRPr="56C3E658">
        <w:rPr>
          <w:rFonts w:eastAsia="Times New Roman"/>
          <w:color w:val="000000" w:themeColor="text1"/>
        </w:rPr>
        <w:t xml:space="preserve"> and Motion to Quash United States Subpoena Duces Tecum on Maddox Armana for the production of any and all records of Armana’s interview of Seton on February 15, 2024</w:t>
      </w:r>
      <w:r w:rsidR="430D1486" w:rsidRPr="56C3E658">
        <w:rPr>
          <w:rFonts w:eastAsia="Times New Roman"/>
          <w:color w:val="000000" w:themeColor="text1"/>
        </w:rPr>
        <w:t>, based on work-product privilege</w:t>
      </w:r>
      <w:r w:rsidRPr="56C3E658">
        <w:rPr>
          <w:rFonts w:eastAsia="Times New Roman"/>
          <w:color w:val="000000" w:themeColor="text1"/>
        </w:rPr>
        <w:t xml:space="preserve">. </w:t>
      </w:r>
      <w:r w:rsidR="007C28C3">
        <w:t xml:space="preserve">The </w:t>
      </w:r>
      <w:r w:rsidR="4EE96D75">
        <w:t xml:space="preserve">Government </w:t>
      </w:r>
      <w:r w:rsidR="007C28C3">
        <w:t xml:space="preserve">properly obtained all the evidence through independent sources. </w:t>
      </w:r>
      <w:r w:rsidR="43A7038B">
        <w:t>In addition, they have shown</w:t>
      </w:r>
      <w:r w:rsidR="007C28C3">
        <w:t xml:space="preserve"> strong </w:t>
      </w:r>
      <w:r w:rsidR="34EC0C5C">
        <w:t xml:space="preserve">evidence </w:t>
      </w:r>
      <w:r w:rsidR="007C28C3">
        <w:t xml:space="preserve">that they were in possession of independent evidence and investigatory leads before the </w:t>
      </w:r>
      <w:r w:rsidR="7E47A12B">
        <w:t>Defendant</w:t>
      </w:r>
      <w:r w:rsidR="007C28C3">
        <w:t xml:space="preserve">’s testimony. </w:t>
      </w:r>
      <w:r w:rsidR="4AD61717">
        <w:t xml:space="preserve">Based on the record, </w:t>
      </w:r>
      <w:r w:rsidR="5EAA39C8">
        <w:t xml:space="preserve">there is no </w:t>
      </w:r>
      <w:r w:rsidR="2CDA0F0A">
        <w:t>doubt</w:t>
      </w:r>
      <w:r w:rsidR="5EAA39C8">
        <w:t xml:space="preserve"> </w:t>
      </w:r>
      <w:r w:rsidR="0AF24D49">
        <w:t>the Government already</w:t>
      </w:r>
      <w:r w:rsidR="007C28C3">
        <w:t xml:space="preserve"> had prior evidence of Kennedy Parker’s involvement and employment with Silver Palms</w:t>
      </w:r>
      <w:r w:rsidR="320742B0">
        <w:t xml:space="preserve"> or that</w:t>
      </w:r>
      <w:r w:rsidR="007C28C3">
        <w:t xml:space="preserve"> they showed an independent </w:t>
      </w:r>
      <w:proofErr w:type="gramStart"/>
      <w:r w:rsidR="007C28C3">
        <w:t>investigatory</w:t>
      </w:r>
      <w:proofErr w:type="gramEnd"/>
      <w:r w:rsidR="007C28C3">
        <w:t xml:space="preserve"> intent to interview Kennedy Parker. </w:t>
      </w:r>
      <w:r w:rsidR="407E0DA4">
        <w:t xml:space="preserve">Accordingly, </w:t>
      </w:r>
      <w:r w:rsidR="2C9524DA">
        <w:t>t</w:t>
      </w:r>
      <w:r w:rsidR="007C28C3">
        <w:t xml:space="preserve">he discovery of Exhibit 19 was the result of this </w:t>
      </w:r>
      <w:proofErr w:type="gramStart"/>
      <w:r w:rsidR="007C28C3">
        <w:t xml:space="preserve">investigative </w:t>
      </w:r>
      <w:r w:rsidR="55A079F5">
        <w:t>chain</w:t>
      </w:r>
      <w:proofErr w:type="gramEnd"/>
      <w:r w:rsidR="55A079F5">
        <w:t>,</w:t>
      </w:r>
      <w:r w:rsidR="1ECB55A3">
        <w:t xml:space="preserve"> not an unauthorized use of the Defendant’s immunized testimony</w:t>
      </w:r>
      <w:r w:rsidR="007C28C3">
        <w:t>.</w:t>
      </w:r>
      <w:r w:rsidR="006D6EF9">
        <w:t xml:space="preserve"> </w:t>
      </w:r>
      <w:r w:rsidR="141F42C4">
        <w:t>Clearly, t</w:t>
      </w:r>
      <w:r w:rsidR="7BCCE689">
        <w:t>here is no evidence to show that the Government</w:t>
      </w:r>
      <w:r w:rsidR="007C28C3">
        <w:t xml:space="preserve"> </w:t>
      </w:r>
      <w:r w:rsidR="5AEB0215">
        <w:t xml:space="preserve">failed to </w:t>
      </w:r>
      <w:r w:rsidR="007C28C3">
        <w:t xml:space="preserve">properly maintain </w:t>
      </w:r>
      <w:r w:rsidR="006D6EF9">
        <w:t xml:space="preserve">separate </w:t>
      </w:r>
      <w:r w:rsidR="007C28C3">
        <w:t>teams throughout</w:t>
      </w:r>
      <w:r w:rsidR="476A49EB">
        <w:t xml:space="preserve"> their investigation</w:t>
      </w:r>
      <w:r w:rsidR="133C6252">
        <w:t xml:space="preserve"> or</w:t>
      </w:r>
      <w:r w:rsidR="007C28C3">
        <w:t xml:space="preserve"> safeguard the investigations from taint.</w:t>
      </w:r>
    </w:p>
    <w:p w14:paraId="5EE9C25E" w14:textId="402B242E" w:rsidR="6E8317A1" w:rsidRDefault="6E8317A1" w:rsidP="56C3E658">
      <w:pPr>
        <w:ind w:firstLine="720"/>
        <w:rPr>
          <w:rFonts w:eastAsia="Times New Roman"/>
          <w:color w:val="000000" w:themeColor="text1"/>
        </w:rPr>
      </w:pPr>
      <w:r w:rsidRPr="56C3E658">
        <w:rPr>
          <w:rFonts w:eastAsia="Times New Roman"/>
          <w:color w:val="000000" w:themeColor="text1"/>
        </w:rPr>
        <w:t>Regarding the motion to quash the subpoena</w:t>
      </w:r>
      <w:r w:rsidR="3F514A9D" w:rsidRPr="56C3E658">
        <w:rPr>
          <w:rFonts w:eastAsia="Times New Roman"/>
          <w:color w:val="000000" w:themeColor="text1"/>
        </w:rPr>
        <w:t>, w</w:t>
      </w:r>
      <w:r w:rsidR="03D9580F" w:rsidRPr="56C3E658">
        <w:rPr>
          <w:rFonts w:eastAsia="Times New Roman"/>
          <w:color w:val="000000" w:themeColor="text1"/>
        </w:rPr>
        <w:t xml:space="preserve">hile the work-product privilege covers authentic defense preparation, the privilege is not absolute. </w:t>
      </w:r>
      <w:r w:rsidR="03D9580F" w:rsidRPr="56C3E658">
        <w:rPr>
          <w:rFonts w:eastAsia="Times New Roman"/>
          <w:i/>
          <w:iCs/>
          <w:color w:val="000000" w:themeColor="text1"/>
        </w:rPr>
        <w:t>See Nobles</w:t>
      </w:r>
      <w:r w:rsidR="03D9580F" w:rsidRPr="56C3E658">
        <w:rPr>
          <w:rFonts w:eastAsia="Times New Roman"/>
          <w:color w:val="000000" w:themeColor="text1"/>
        </w:rPr>
        <w:t xml:space="preserve">, 422 U.S. at 239-41. The Defense cannot have Armana </w:t>
      </w:r>
      <w:bookmarkStart w:id="17" w:name="_Int_LjcQcM8Q"/>
      <w:r w:rsidR="03D9580F" w:rsidRPr="56C3E658">
        <w:rPr>
          <w:rFonts w:eastAsia="Times New Roman"/>
          <w:color w:val="000000" w:themeColor="text1"/>
        </w:rPr>
        <w:t>testify</w:t>
      </w:r>
      <w:bookmarkEnd w:id="17"/>
      <w:r w:rsidR="03D9580F" w:rsidRPr="56C3E658">
        <w:rPr>
          <w:rFonts w:eastAsia="Times New Roman"/>
          <w:color w:val="000000" w:themeColor="text1"/>
        </w:rPr>
        <w:t xml:space="preserve"> to the matters from Seton’s interview while trying to invoke work-product privilege to shield the very same information from the Government. </w:t>
      </w:r>
    </w:p>
    <w:p w14:paraId="3CA66426" w14:textId="2A68FEB9" w:rsidR="03D9580F" w:rsidRDefault="03D9580F" w:rsidP="56C3E658">
      <w:pPr>
        <w:ind w:firstLine="720"/>
      </w:pPr>
      <w:r w:rsidRPr="56C3E658">
        <w:rPr>
          <w:rFonts w:eastAsia="Times New Roman"/>
          <w:color w:val="000000" w:themeColor="text1"/>
        </w:rPr>
        <w:lastRenderedPageBreak/>
        <w:t>Alternatively, if the Court decides that parts of Exhibit 21 require opinion work product protection, the Government requests that the Court conduct an in-camera review of the exhibit, order production of the parts of the exhibit covered by Armana’s testimony and redact the parts that the Court determines to be opinion work product. Therefore, the Government requests that this Court enforce the subpoena and deny the Defendant’s Motion to Quash.</w:t>
      </w:r>
    </w:p>
    <w:p w14:paraId="2CD30292" w14:textId="39F370ED" w:rsidR="66AAEE34" w:rsidRDefault="66AAEE34">
      <w:r>
        <w:br w:type="page"/>
      </w:r>
    </w:p>
    <w:p w14:paraId="0DACA084" w14:textId="7C807069" w:rsidR="66AAEE34" w:rsidRDefault="66AAEE34" w:rsidP="66AAEE34">
      <w:pPr>
        <w:ind w:firstLine="720"/>
        <w:rPr>
          <w:rFonts w:eastAsia="Times New Roman"/>
          <w:color w:val="000000" w:themeColor="text1"/>
        </w:rPr>
      </w:pPr>
    </w:p>
    <w:p w14:paraId="6CCECB81" w14:textId="7916CD50" w:rsidR="00464E32" w:rsidRDefault="007C28C3" w:rsidP="56C3E658">
      <w:pPr>
        <w:ind w:firstLine="720"/>
      </w:pPr>
      <w:r>
        <w:t xml:space="preserve">WHEREFORE, the </w:t>
      </w:r>
      <w:r w:rsidR="127798F8">
        <w:t>Government</w:t>
      </w:r>
      <w:r>
        <w:t xml:space="preserve"> respectfully requests that this Court deny </w:t>
      </w:r>
      <w:r w:rsidR="2ED58DA9">
        <w:t xml:space="preserve">the </w:t>
      </w:r>
      <w:r>
        <w:t xml:space="preserve">Defendant’s Motion to </w:t>
      </w:r>
      <w:r w:rsidR="4E45DA80">
        <w:t>Suppress</w:t>
      </w:r>
      <w:r w:rsidR="4ABB4FFB">
        <w:t xml:space="preserve"> and the Defendant’s Motion to Quash United States Subpoena Duces Tecum</w:t>
      </w:r>
      <w:r w:rsidR="4E45DA80">
        <w:t>.</w:t>
      </w:r>
    </w:p>
    <w:p w14:paraId="51582EEB" w14:textId="271FDA31" w:rsidR="00464E32" w:rsidRDefault="4FA27181" w:rsidP="56C3E658">
      <w:pPr>
        <w:jc w:val="right"/>
      </w:pPr>
      <w:r w:rsidRPr="56C3E658">
        <w:rPr>
          <w:rFonts w:eastAsia="Times New Roman"/>
          <w:sz w:val="28"/>
          <w:szCs w:val="28"/>
        </w:rPr>
        <w:t>Respectfully submitted,</w:t>
      </w:r>
    </w:p>
    <w:p w14:paraId="64C10B4E" w14:textId="43A82C37" w:rsidR="00464E32" w:rsidRDefault="4FA27181" w:rsidP="56C3E658">
      <w:pPr>
        <w:jc w:val="right"/>
      </w:pPr>
      <w:r w:rsidRPr="56C3E658">
        <w:rPr>
          <w:rFonts w:eastAsia="Times New Roman"/>
          <w:sz w:val="28"/>
          <w:szCs w:val="28"/>
        </w:rPr>
        <w:t xml:space="preserve"> </w:t>
      </w:r>
    </w:p>
    <w:p w14:paraId="60B1D7E1" w14:textId="179D2791" w:rsidR="00464E32" w:rsidRDefault="4FA27181" w:rsidP="56C3E658">
      <w:pPr>
        <w:jc w:val="right"/>
      </w:pPr>
      <w:r w:rsidRPr="56C3E658">
        <w:rPr>
          <w:rFonts w:eastAsia="Times New Roman"/>
          <w:sz w:val="28"/>
          <w:szCs w:val="28"/>
          <w:u w:val="single"/>
        </w:rPr>
        <w:t xml:space="preserve">/s/    </w:t>
      </w:r>
      <w:r w:rsidR="0B27E1A0" w:rsidRPr="050DECB6">
        <w:rPr>
          <w:rFonts w:eastAsia="Times New Roman"/>
          <w:sz w:val="28"/>
          <w:szCs w:val="28"/>
          <w:u w:val="single"/>
        </w:rPr>
        <w:t>Team 308</w:t>
      </w:r>
      <w:r w:rsidRPr="56C3E658">
        <w:rPr>
          <w:rFonts w:eastAsia="Times New Roman"/>
          <w:sz w:val="28"/>
          <w:szCs w:val="28"/>
          <w:u w:val="single"/>
        </w:rPr>
        <w:t xml:space="preserve">      </w:t>
      </w:r>
    </w:p>
    <w:p w14:paraId="5876073E" w14:textId="186FFD50" w:rsidR="00464E32" w:rsidRDefault="4FA27181" w:rsidP="56C3E658">
      <w:pPr>
        <w:jc w:val="right"/>
      </w:pPr>
      <w:r w:rsidRPr="56C3E658">
        <w:rPr>
          <w:rFonts w:eastAsia="Times New Roman"/>
          <w:i/>
          <w:iCs/>
          <w:sz w:val="28"/>
          <w:szCs w:val="28"/>
        </w:rPr>
        <w:t>Attorneys for the Government</w:t>
      </w:r>
    </w:p>
    <w:sectPr w:rsidR="00464E32" w:rsidSect="00D11245">
      <w:footerReference w:type="first" r:id="rId1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EC4A6" w14:textId="77777777" w:rsidR="00216073" w:rsidRDefault="00216073">
      <w:pPr>
        <w:spacing w:line="240" w:lineRule="auto"/>
      </w:pPr>
      <w:r>
        <w:separator/>
      </w:r>
    </w:p>
  </w:endnote>
  <w:endnote w:type="continuationSeparator" w:id="0">
    <w:p w14:paraId="6C0D93E3" w14:textId="77777777" w:rsidR="00216073" w:rsidRDefault="002160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62824"/>
      <w:docPartObj>
        <w:docPartGallery w:val="Page Numbers (Bottom of Page)"/>
        <w:docPartUnique/>
      </w:docPartObj>
    </w:sdtPr>
    <w:sdtEndPr>
      <w:rPr>
        <w:noProof/>
      </w:rPr>
    </w:sdtEndPr>
    <w:sdtContent>
      <w:p w14:paraId="33EC5FDD" w14:textId="43ED31B1" w:rsidR="003206C9" w:rsidRDefault="003206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F1A240" w14:textId="043429C0" w:rsidR="00983AE3" w:rsidRDefault="00983AE3" w:rsidP="005901AC">
    <w:pPr>
      <w:pStyle w:val="Footer"/>
      <w:tabs>
        <w:tab w:val="left" w:pos="3780"/>
        <w:tab w:val="left" w:pos="46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774E" w14:textId="2E82C2B0" w:rsidR="00717793" w:rsidRDefault="00717793" w:rsidP="0071779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32482"/>
      <w:docPartObj>
        <w:docPartGallery w:val="Page Numbers (Bottom of Page)"/>
        <w:docPartUnique/>
      </w:docPartObj>
    </w:sdtPr>
    <w:sdtEndPr>
      <w:rPr>
        <w:noProof/>
      </w:rPr>
    </w:sdtEndPr>
    <w:sdtContent>
      <w:p w14:paraId="21852293" w14:textId="26674DD9" w:rsidR="00717793" w:rsidRDefault="000E3667" w:rsidP="007177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250BA" w14:paraId="4C393F61" w14:textId="77777777" w:rsidTr="56C3E658">
      <w:trPr>
        <w:trHeight w:val="300"/>
      </w:trPr>
      <w:tc>
        <w:tcPr>
          <w:tcW w:w="3120" w:type="dxa"/>
        </w:tcPr>
        <w:p w14:paraId="35E7170F" w14:textId="77777777" w:rsidR="004250BA" w:rsidRDefault="004250BA" w:rsidP="56C3E658">
          <w:pPr>
            <w:pStyle w:val="Header"/>
            <w:ind w:left="-115"/>
          </w:pPr>
        </w:p>
      </w:tc>
      <w:tc>
        <w:tcPr>
          <w:tcW w:w="3120" w:type="dxa"/>
        </w:tcPr>
        <w:p w14:paraId="7D6C740F" w14:textId="77777777" w:rsidR="004250BA" w:rsidRDefault="004250BA" w:rsidP="56C3E658">
          <w:pPr>
            <w:pStyle w:val="Header"/>
            <w:jc w:val="center"/>
          </w:pPr>
        </w:p>
      </w:tc>
      <w:tc>
        <w:tcPr>
          <w:tcW w:w="3120" w:type="dxa"/>
        </w:tcPr>
        <w:p w14:paraId="44AD6CF1" w14:textId="77777777" w:rsidR="004250BA" w:rsidRDefault="004250BA" w:rsidP="56C3E658">
          <w:pPr>
            <w:pStyle w:val="Header"/>
            <w:ind w:right="-115"/>
            <w:jc w:val="right"/>
          </w:pPr>
        </w:p>
      </w:tc>
    </w:tr>
  </w:tbl>
  <w:p w14:paraId="4B41404F" w14:textId="6654AA21" w:rsidR="004250BA" w:rsidRDefault="00D11245" w:rsidP="00D11245">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1F65" w14:textId="77777777" w:rsidR="00216073" w:rsidRDefault="00216073">
      <w:pPr>
        <w:spacing w:line="240" w:lineRule="auto"/>
      </w:pPr>
      <w:r>
        <w:separator/>
      </w:r>
    </w:p>
  </w:footnote>
  <w:footnote w:type="continuationSeparator" w:id="0">
    <w:p w14:paraId="586C3A67" w14:textId="77777777" w:rsidR="00216073" w:rsidRDefault="002160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983AE3" w14:paraId="2B4FB601" w14:textId="77777777" w:rsidTr="56C3E658">
      <w:trPr>
        <w:trHeight w:val="300"/>
      </w:trPr>
      <w:tc>
        <w:tcPr>
          <w:tcW w:w="3120" w:type="dxa"/>
        </w:tcPr>
        <w:p w14:paraId="35974D6E" w14:textId="08E4713E" w:rsidR="00983AE3" w:rsidRDefault="00983AE3" w:rsidP="56C3E658">
          <w:pPr>
            <w:pStyle w:val="Header"/>
            <w:ind w:left="-115"/>
          </w:pPr>
        </w:p>
      </w:tc>
      <w:tc>
        <w:tcPr>
          <w:tcW w:w="3120" w:type="dxa"/>
        </w:tcPr>
        <w:p w14:paraId="50C4E749" w14:textId="4362BEF0" w:rsidR="00983AE3" w:rsidRDefault="00983AE3" w:rsidP="56C3E658">
          <w:pPr>
            <w:pStyle w:val="Header"/>
            <w:jc w:val="center"/>
          </w:pPr>
        </w:p>
      </w:tc>
      <w:tc>
        <w:tcPr>
          <w:tcW w:w="3120" w:type="dxa"/>
        </w:tcPr>
        <w:p w14:paraId="7FFBAD33" w14:textId="3EB79093" w:rsidR="00983AE3" w:rsidRDefault="00983AE3" w:rsidP="56C3E658">
          <w:pPr>
            <w:pStyle w:val="Header"/>
            <w:ind w:right="-115"/>
            <w:jc w:val="right"/>
            <w:rPr>
              <w:highlight w:val="yellow"/>
            </w:rPr>
          </w:pPr>
          <w:r>
            <w:t xml:space="preserve"> </w:t>
          </w:r>
        </w:p>
      </w:tc>
    </w:tr>
  </w:tbl>
  <w:p w14:paraId="16F9CC48" w14:textId="1B0D5427" w:rsidR="00983AE3" w:rsidRDefault="00983AE3" w:rsidP="56C3E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983AE3" w14:paraId="6CFC4706" w14:textId="77777777" w:rsidTr="56C3E658">
      <w:trPr>
        <w:trHeight w:val="300"/>
      </w:trPr>
      <w:tc>
        <w:tcPr>
          <w:tcW w:w="3120" w:type="dxa"/>
        </w:tcPr>
        <w:p w14:paraId="63A9F7CE" w14:textId="7BE5EF7C" w:rsidR="00983AE3" w:rsidRDefault="00983AE3" w:rsidP="56C3E658">
          <w:pPr>
            <w:pStyle w:val="Header"/>
            <w:ind w:left="-115"/>
          </w:pPr>
        </w:p>
      </w:tc>
      <w:tc>
        <w:tcPr>
          <w:tcW w:w="3120" w:type="dxa"/>
        </w:tcPr>
        <w:p w14:paraId="76A311DA" w14:textId="6C83367A" w:rsidR="00983AE3" w:rsidRDefault="00983AE3" w:rsidP="56C3E658">
          <w:pPr>
            <w:pStyle w:val="Header"/>
            <w:jc w:val="center"/>
          </w:pPr>
        </w:p>
      </w:tc>
      <w:tc>
        <w:tcPr>
          <w:tcW w:w="3120" w:type="dxa"/>
        </w:tcPr>
        <w:p w14:paraId="6382536F" w14:textId="0C310E45" w:rsidR="00983AE3" w:rsidRDefault="00983AE3" w:rsidP="56C3E658">
          <w:pPr>
            <w:pStyle w:val="Header"/>
            <w:ind w:right="-115"/>
            <w:jc w:val="right"/>
          </w:pPr>
          <w:r>
            <w:t>Team 308</w:t>
          </w:r>
        </w:p>
      </w:tc>
    </w:tr>
  </w:tbl>
  <w:p w14:paraId="09508550" w14:textId="6D82E0A9" w:rsidR="00983AE3" w:rsidRDefault="00983AE3" w:rsidP="56C3E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BB0"/>
    <w:multiLevelType w:val="hybridMultilevel"/>
    <w:tmpl w:val="27B0081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D2AF76"/>
    <w:multiLevelType w:val="hybridMultilevel"/>
    <w:tmpl w:val="FFFFFFFF"/>
    <w:lvl w:ilvl="0" w:tplc="D7B0058A">
      <w:start w:val="2"/>
      <w:numFmt w:val="upperRoman"/>
      <w:lvlText w:val="%1."/>
      <w:lvlJc w:val="right"/>
      <w:pPr>
        <w:ind w:left="720" w:hanging="360"/>
      </w:pPr>
      <w:rPr>
        <w:rFonts w:ascii="Times New Roman" w:hAnsi="Times New Roman" w:hint="default"/>
      </w:rPr>
    </w:lvl>
    <w:lvl w:ilvl="1" w:tplc="EE8AD3BE">
      <w:start w:val="1"/>
      <w:numFmt w:val="lowerLetter"/>
      <w:lvlText w:val="%2."/>
      <w:lvlJc w:val="left"/>
      <w:pPr>
        <w:ind w:left="1440" w:hanging="360"/>
      </w:pPr>
    </w:lvl>
    <w:lvl w:ilvl="2" w:tplc="B27842EA">
      <w:start w:val="1"/>
      <w:numFmt w:val="lowerRoman"/>
      <w:lvlText w:val="%3."/>
      <w:lvlJc w:val="right"/>
      <w:pPr>
        <w:ind w:left="2160" w:hanging="180"/>
      </w:pPr>
    </w:lvl>
    <w:lvl w:ilvl="3" w:tplc="7CA8AC5C">
      <w:start w:val="1"/>
      <w:numFmt w:val="decimal"/>
      <w:lvlText w:val="%4."/>
      <w:lvlJc w:val="left"/>
      <w:pPr>
        <w:ind w:left="2880" w:hanging="360"/>
      </w:pPr>
    </w:lvl>
    <w:lvl w:ilvl="4" w:tplc="D7846914">
      <w:start w:val="1"/>
      <w:numFmt w:val="lowerLetter"/>
      <w:lvlText w:val="%5."/>
      <w:lvlJc w:val="left"/>
      <w:pPr>
        <w:ind w:left="3600" w:hanging="360"/>
      </w:pPr>
    </w:lvl>
    <w:lvl w:ilvl="5" w:tplc="7E40F7E2">
      <w:start w:val="1"/>
      <w:numFmt w:val="lowerRoman"/>
      <w:lvlText w:val="%6."/>
      <w:lvlJc w:val="right"/>
      <w:pPr>
        <w:ind w:left="4320" w:hanging="180"/>
      </w:pPr>
    </w:lvl>
    <w:lvl w:ilvl="6" w:tplc="5D7E282A">
      <w:start w:val="1"/>
      <w:numFmt w:val="decimal"/>
      <w:lvlText w:val="%7."/>
      <w:lvlJc w:val="left"/>
      <w:pPr>
        <w:ind w:left="5040" w:hanging="360"/>
      </w:pPr>
    </w:lvl>
    <w:lvl w:ilvl="7" w:tplc="1938ECB8">
      <w:start w:val="1"/>
      <w:numFmt w:val="lowerLetter"/>
      <w:lvlText w:val="%8."/>
      <w:lvlJc w:val="left"/>
      <w:pPr>
        <w:ind w:left="5760" w:hanging="360"/>
      </w:pPr>
    </w:lvl>
    <w:lvl w:ilvl="8" w:tplc="EBA8277A">
      <w:start w:val="1"/>
      <w:numFmt w:val="lowerRoman"/>
      <w:lvlText w:val="%9."/>
      <w:lvlJc w:val="right"/>
      <w:pPr>
        <w:ind w:left="6480" w:hanging="180"/>
      </w:pPr>
    </w:lvl>
  </w:abstractNum>
  <w:abstractNum w:abstractNumId="2" w15:restartNumberingAfterBreak="0">
    <w:nsid w:val="03D895F7"/>
    <w:multiLevelType w:val="hybridMultilevel"/>
    <w:tmpl w:val="FFFFFFFF"/>
    <w:lvl w:ilvl="0" w:tplc="6D641F06">
      <w:start w:val="2"/>
      <w:numFmt w:val="upperRoman"/>
      <w:lvlText w:val="%1."/>
      <w:lvlJc w:val="right"/>
      <w:pPr>
        <w:ind w:left="720" w:hanging="360"/>
      </w:pPr>
    </w:lvl>
    <w:lvl w:ilvl="1" w:tplc="B2748FDA">
      <w:start w:val="1"/>
      <w:numFmt w:val="lowerLetter"/>
      <w:lvlText w:val="%2."/>
      <w:lvlJc w:val="left"/>
      <w:pPr>
        <w:ind w:left="1440" w:hanging="360"/>
      </w:pPr>
    </w:lvl>
    <w:lvl w:ilvl="2" w:tplc="37B46ADE">
      <w:start w:val="1"/>
      <w:numFmt w:val="lowerRoman"/>
      <w:lvlText w:val="%3."/>
      <w:lvlJc w:val="right"/>
      <w:pPr>
        <w:ind w:left="2160" w:hanging="180"/>
      </w:pPr>
    </w:lvl>
    <w:lvl w:ilvl="3" w:tplc="346435DE">
      <w:start w:val="1"/>
      <w:numFmt w:val="decimal"/>
      <w:lvlText w:val="%4."/>
      <w:lvlJc w:val="left"/>
      <w:pPr>
        <w:ind w:left="2880" w:hanging="360"/>
      </w:pPr>
    </w:lvl>
    <w:lvl w:ilvl="4" w:tplc="CE4E45C6">
      <w:start w:val="1"/>
      <w:numFmt w:val="lowerLetter"/>
      <w:lvlText w:val="%5."/>
      <w:lvlJc w:val="left"/>
      <w:pPr>
        <w:ind w:left="3600" w:hanging="360"/>
      </w:pPr>
    </w:lvl>
    <w:lvl w:ilvl="5" w:tplc="38CE94F2">
      <w:start w:val="1"/>
      <w:numFmt w:val="lowerRoman"/>
      <w:lvlText w:val="%6."/>
      <w:lvlJc w:val="right"/>
      <w:pPr>
        <w:ind w:left="4320" w:hanging="180"/>
      </w:pPr>
    </w:lvl>
    <w:lvl w:ilvl="6" w:tplc="9BE2BDAA">
      <w:start w:val="1"/>
      <w:numFmt w:val="decimal"/>
      <w:lvlText w:val="%7."/>
      <w:lvlJc w:val="left"/>
      <w:pPr>
        <w:ind w:left="5040" w:hanging="360"/>
      </w:pPr>
    </w:lvl>
    <w:lvl w:ilvl="7" w:tplc="9B883812">
      <w:start w:val="1"/>
      <w:numFmt w:val="lowerLetter"/>
      <w:lvlText w:val="%8."/>
      <w:lvlJc w:val="left"/>
      <w:pPr>
        <w:ind w:left="5760" w:hanging="360"/>
      </w:pPr>
    </w:lvl>
    <w:lvl w:ilvl="8" w:tplc="8E0ABD50">
      <w:start w:val="1"/>
      <w:numFmt w:val="lowerRoman"/>
      <w:lvlText w:val="%9."/>
      <w:lvlJc w:val="right"/>
      <w:pPr>
        <w:ind w:left="6480" w:hanging="180"/>
      </w:pPr>
    </w:lvl>
  </w:abstractNum>
  <w:abstractNum w:abstractNumId="3" w15:restartNumberingAfterBreak="0">
    <w:nsid w:val="22C4619D"/>
    <w:multiLevelType w:val="hybridMultilevel"/>
    <w:tmpl w:val="FFFFFFFF"/>
    <w:lvl w:ilvl="0" w:tplc="982C6FC0">
      <w:start w:val="1"/>
      <w:numFmt w:val="upperRoman"/>
      <w:lvlText w:val="%1."/>
      <w:lvlJc w:val="right"/>
      <w:pPr>
        <w:ind w:left="720" w:hanging="360"/>
      </w:pPr>
      <w:rPr>
        <w:rFonts w:ascii="Times New Roman" w:hAnsi="Times New Roman" w:hint="default"/>
      </w:rPr>
    </w:lvl>
    <w:lvl w:ilvl="1" w:tplc="7D8E27F0">
      <w:start w:val="1"/>
      <w:numFmt w:val="lowerLetter"/>
      <w:lvlText w:val="%2."/>
      <w:lvlJc w:val="left"/>
      <w:pPr>
        <w:ind w:left="1440" w:hanging="360"/>
      </w:pPr>
    </w:lvl>
    <w:lvl w:ilvl="2" w:tplc="89C4AF9A">
      <w:start w:val="1"/>
      <w:numFmt w:val="lowerRoman"/>
      <w:lvlText w:val="%3."/>
      <w:lvlJc w:val="right"/>
      <w:pPr>
        <w:ind w:left="2160" w:hanging="180"/>
      </w:pPr>
    </w:lvl>
    <w:lvl w:ilvl="3" w:tplc="3A4E4316">
      <w:start w:val="1"/>
      <w:numFmt w:val="decimal"/>
      <w:lvlText w:val="%4."/>
      <w:lvlJc w:val="left"/>
      <w:pPr>
        <w:ind w:left="2880" w:hanging="360"/>
      </w:pPr>
    </w:lvl>
    <w:lvl w:ilvl="4" w:tplc="10E8D1D2">
      <w:start w:val="1"/>
      <w:numFmt w:val="lowerLetter"/>
      <w:lvlText w:val="%5."/>
      <w:lvlJc w:val="left"/>
      <w:pPr>
        <w:ind w:left="3600" w:hanging="360"/>
      </w:pPr>
    </w:lvl>
    <w:lvl w:ilvl="5" w:tplc="1CA689F2">
      <w:start w:val="1"/>
      <w:numFmt w:val="lowerRoman"/>
      <w:lvlText w:val="%6."/>
      <w:lvlJc w:val="right"/>
      <w:pPr>
        <w:ind w:left="4320" w:hanging="180"/>
      </w:pPr>
    </w:lvl>
    <w:lvl w:ilvl="6" w:tplc="84E6FFC0">
      <w:start w:val="1"/>
      <w:numFmt w:val="decimal"/>
      <w:lvlText w:val="%7."/>
      <w:lvlJc w:val="left"/>
      <w:pPr>
        <w:ind w:left="5040" w:hanging="360"/>
      </w:pPr>
    </w:lvl>
    <w:lvl w:ilvl="7" w:tplc="22A6A126">
      <w:start w:val="1"/>
      <w:numFmt w:val="lowerLetter"/>
      <w:lvlText w:val="%8."/>
      <w:lvlJc w:val="left"/>
      <w:pPr>
        <w:ind w:left="5760" w:hanging="360"/>
      </w:pPr>
    </w:lvl>
    <w:lvl w:ilvl="8" w:tplc="AFC0D74C">
      <w:start w:val="1"/>
      <w:numFmt w:val="lowerRoman"/>
      <w:lvlText w:val="%9."/>
      <w:lvlJc w:val="right"/>
      <w:pPr>
        <w:ind w:left="6480" w:hanging="180"/>
      </w:pPr>
    </w:lvl>
  </w:abstractNum>
  <w:abstractNum w:abstractNumId="4" w15:restartNumberingAfterBreak="0">
    <w:nsid w:val="25C31DE5"/>
    <w:multiLevelType w:val="hybridMultilevel"/>
    <w:tmpl w:val="FFFFFFFF"/>
    <w:lvl w:ilvl="0" w:tplc="A3E0568E">
      <w:start w:val="3"/>
      <w:numFmt w:val="upperRoman"/>
      <w:lvlText w:val="%1."/>
      <w:lvlJc w:val="right"/>
      <w:pPr>
        <w:ind w:left="720" w:hanging="360"/>
      </w:pPr>
      <w:rPr>
        <w:rFonts w:ascii="Times New Roman" w:hAnsi="Times New Roman" w:hint="default"/>
      </w:rPr>
    </w:lvl>
    <w:lvl w:ilvl="1" w:tplc="02D04A30">
      <w:start w:val="1"/>
      <w:numFmt w:val="lowerLetter"/>
      <w:lvlText w:val="%2."/>
      <w:lvlJc w:val="left"/>
      <w:pPr>
        <w:ind w:left="1440" w:hanging="360"/>
      </w:pPr>
    </w:lvl>
    <w:lvl w:ilvl="2" w:tplc="A7E22D8C">
      <w:start w:val="1"/>
      <w:numFmt w:val="lowerRoman"/>
      <w:lvlText w:val="%3."/>
      <w:lvlJc w:val="right"/>
      <w:pPr>
        <w:ind w:left="2160" w:hanging="180"/>
      </w:pPr>
    </w:lvl>
    <w:lvl w:ilvl="3" w:tplc="D1623B1C">
      <w:start w:val="1"/>
      <w:numFmt w:val="decimal"/>
      <w:lvlText w:val="%4."/>
      <w:lvlJc w:val="left"/>
      <w:pPr>
        <w:ind w:left="2880" w:hanging="360"/>
      </w:pPr>
    </w:lvl>
    <w:lvl w:ilvl="4" w:tplc="F15A923E">
      <w:start w:val="1"/>
      <w:numFmt w:val="lowerLetter"/>
      <w:lvlText w:val="%5."/>
      <w:lvlJc w:val="left"/>
      <w:pPr>
        <w:ind w:left="3600" w:hanging="360"/>
      </w:pPr>
    </w:lvl>
    <w:lvl w:ilvl="5" w:tplc="EB581276">
      <w:start w:val="1"/>
      <w:numFmt w:val="lowerRoman"/>
      <w:lvlText w:val="%6."/>
      <w:lvlJc w:val="right"/>
      <w:pPr>
        <w:ind w:left="4320" w:hanging="180"/>
      </w:pPr>
    </w:lvl>
    <w:lvl w:ilvl="6" w:tplc="9926CFC0">
      <w:start w:val="1"/>
      <w:numFmt w:val="decimal"/>
      <w:lvlText w:val="%7."/>
      <w:lvlJc w:val="left"/>
      <w:pPr>
        <w:ind w:left="5040" w:hanging="360"/>
      </w:pPr>
    </w:lvl>
    <w:lvl w:ilvl="7" w:tplc="83468E60">
      <w:start w:val="1"/>
      <w:numFmt w:val="lowerLetter"/>
      <w:lvlText w:val="%8."/>
      <w:lvlJc w:val="left"/>
      <w:pPr>
        <w:ind w:left="5760" w:hanging="360"/>
      </w:pPr>
    </w:lvl>
    <w:lvl w:ilvl="8" w:tplc="6712AE5C">
      <w:start w:val="1"/>
      <w:numFmt w:val="lowerRoman"/>
      <w:lvlText w:val="%9."/>
      <w:lvlJc w:val="right"/>
      <w:pPr>
        <w:ind w:left="6480" w:hanging="180"/>
      </w:pPr>
    </w:lvl>
  </w:abstractNum>
  <w:abstractNum w:abstractNumId="5" w15:restartNumberingAfterBreak="0">
    <w:nsid w:val="2922A7FE"/>
    <w:multiLevelType w:val="hybridMultilevel"/>
    <w:tmpl w:val="FFFFFFFF"/>
    <w:lvl w:ilvl="0" w:tplc="B1BAC060">
      <w:start w:val="1"/>
      <w:numFmt w:val="lowerLetter"/>
      <w:lvlText w:val="%1."/>
      <w:lvlJc w:val="left"/>
      <w:pPr>
        <w:ind w:left="720" w:hanging="360"/>
      </w:pPr>
    </w:lvl>
    <w:lvl w:ilvl="1" w:tplc="C354E752">
      <w:start w:val="1"/>
      <w:numFmt w:val="lowerLetter"/>
      <w:lvlText w:val="%2."/>
      <w:lvlJc w:val="left"/>
      <w:pPr>
        <w:ind w:left="1440" w:hanging="360"/>
      </w:pPr>
    </w:lvl>
    <w:lvl w:ilvl="2" w:tplc="B6E05308">
      <w:start w:val="1"/>
      <w:numFmt w:val="lowerRoman"/>
      <w:lvlText w:val="%3."/>
      <w:lvlJc w:val="right"/>
      <w:pPr>
        <w:ind w:left="2160" w:hanging="180"/>
      </w:pPr>
    </w:lvl>
    <w:lvl w:ilvl="3" w:tplc="C90A169A">
      <w:start w:val="1"/>
      <w:numFmt w:val="decimal"/>
      <w:lvlText w:val="%4."/>
      <w:lvlJc w:val="left"/>
      <w:pPr>
        <w:ind w:left="2880" w:hanging="360"/>
      </w:pPr>
    </w:lvl>
    <w:lvl w:ilvl="4" w:tplc="8D8002FC">
      <w:start w:val="1"/>
      <w:numFmt w:val="lowerLetter"/>
      <w:lvlText w:val="%5."/>
      <w:lvlJc w:val="left"/>
      <w:pPr>
        <w:ind w:left="3600" w:hanging="360"/>
      </w:pPr>
    </w:lvl>
    <w:lvl w:ilvl="5" w:tplc="BBFE9032">
      <w:start w:val="1"/>
      <w:numFmt w:val="lowerRoman"/>
      <w:lvlText w:val="%6."/>
      <w:lvlJc w:val="right"/>
      <w:pPr>
        <w:ind w:left="4320" w:hanging="180"/>
      </w:pPr>
    </w:lvl>
    <w:lvl w:ilvl="6" w:tplc="4414FE94">
      <w:start w:val="1"/>
      <w:numFmt w:val="decimal"/>
      <w:lvlText w:val="%7."/>
      <w:lvlJc w:val="left"/>
      <w:pPr>
        <w:ind w:left="5040" w:hanging="360"/>
      </w:pPr>
    </w:lvl>
    <w:lvl w:ilvl="7" w:tplc="198ED794">
      <w:start w:val="1"/>
      <w:numFmt w:val="lowerLetter"/>
      <w:lvlText w:val="%8."/>
      <w:lvlJc w:val="left"/>
      <w:pPr>
        <w:ind w:left="5760" w:hanging="360"/>
      </w:pPr>
    </w:lvl>
    <w:lvl w:ilvl="8" w:tplc="DD8E1F60">
      <w:start w:val="1"/>
      <w:numFmt w:val="lowerRoman"/>
      <w:lvlText w:val="%9."/>
      <w:lvlJc w:val="right"/>
      <w:pPr>
        <w:ind w:left="6480" w:hanging="180"/>
      </w:pPr>
    </w:lvl>
  </w:abstractNum>
  <w:abstractNum w:abstractNumId="6" w15:restartNumberingAfterBreak="0">
    <w:nsid w:val="33835AEE"/>
    <w:multiLevelType w:val="hybridMultilevel"/>
    <w:tmpl w:val="27B0081A"/>
    <w:lvl w:ilvl="0" w:tplc="9010616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D093F2"/>
    <w:multiLevelType w:val="hybridMultilevel"/>
    <w:tmpl w:val="FFFFFFFF"/>
    <w:lvl w:ilvl="0" w:tplc="47F6171A">
      <w:start w:val="1"/>
      <w:numFmt w:val="lowerRoman"/>
      <w:lvlText w:val="%1."/>
      <w:lvlJc w:val="right"/>
      <w:pPr>
        <w:ind w:left="720" w:hanging="360"/>
      </w:pPr>
    </w:lvl>
    <w:lvl w:ilvl="1" w:tplc="A9CEB126">
      <w:start w:val="1"/>
      <w:numFmt w:val="lowerLetter"/>
      <w:lvlText w:val="%2."/>
      <w:lvlJc w:val="left"/>
      <w:pPr>
        <w:ind w:left="1440" w:hanging="360"/>
      </w:pPr>
    </w:lvl>
    <w:lvl w:ilvl="2" w:tplc="6DB88674">
      <w:start w:val="1"/>
      <w:numFmt w:val="lowerRoman"/>
      <w:lvlText w:val="%3."/>
      <w:lvlJc w:val="right"/>
      <w:pPr>
        <w:ind w:left="2160" w:hanging="180"/>
      </w:pPr>
    </w:lvl>
    <w:lvl w:ilvl="3" w:tplc="7E22769A">
      <w:start w:val="1"/>
      <w:numFmt w:val="decimal"/>
      <w:lvlText w:val="%4."/>
      <w:lvlJc w:val="left"/>
      <w:pPr>
        <w:ind w:left="2880" w:hanging="360"/>
      </w:pPr>
    </w:lvl>
    <w:lvl w:ilvl="4" w:tplc="624EC36A">
      <w:start w:val="1"/>
      <w:numFmt w:val="lowerLetter"/>
      <w:lvlText w:val="%5."/>
      <w:lvlJc w:val="left"/>
      <w:pPr>
        <w:ind w:left="3600" w:hanging="360"/>
      </w:pPr>
    </w:lvl>
    <w:lvl w:ilvl="5" w:tplc="4E487E8E">
      <w:start w:val="1"/>
      <w:numFmt w:val="lowerRoman"/>
      <w:lvlText w:val="%6."/>
      <w:lvlJc w:val="right"/>
      <w:pPr>
        <w:ind w:left="4320" w:hanging="180"/>
      </w:pPr>
    </w:lvl>
    <w:lvl w:ilvl="6" w:tplc="7AEC5408">
      <w:start w:val="1"/>
      <w:numFmt w:val="decimal"/>
      <w:lvlText w:val="%7."/>
      <w:lvlJc w:val="left"/>
      <w:pPr>
        <w:ind w:left="5040" w:hanging="360"/>
      </w:pPr>
    </w:lvl>
    <w:lvl w:ilvl="7" w:tplc="2466C912">
      <w:start w:val="1"/>
      <w:numFmt w:val="lowerLetter"/>
      <w:lvlText w:val="%8."/>
      <w:lvlJc w:val="left"/>
      <w:pPr>
        <w:ind w:left="5760" w:hanging="360"/>
      </w:pPr>
    </w:lvl>
    <w:lvl w:ilvl="8" w:tplc="4B1840FA">
      <w:start w:val="1"/>
      <w:numFmt w:val="lowerRoman"/>
      <w:lvlText w:val="%9."/>
      <w:lvlJc w:val="right"/>
      <w:pPr>
        <w:ind w:left="6480" w:hanging="180"/>
      </w:pPr>
    </w:lvl>
  </w:abstractNum>
  <w:abstractNum w:abstractNumId="8" w15:restartNumberingAfterBreak="0">
    <w:nsid w:val="4F95EBA5"/>
    <w:multiLevelType w:val="hybridMultilevel"/>
    <w:tmpl w:val="FFFFFFFF"/>
    <w:lvl w:ilvl="0" w:tplc="CD8C20B0">
      <w:start w:val="4"/>
      <w:numFmt w:val="upperRoman"/>
      <w:lvlText w:val="%1."/>
      <w:lvlJc w:val="right"/>
      <w:pPr>
        <w:ind w:left="720" w:hanging="360"/>
      </w:pPr>
      <w:rPr>
        <w:rFonts w:ascii="Times New Roman" w:hAnsi="Times New Roman" w:hint="default"/>
      </w:rPr>
    </w:lvl>
    <w:lvl w:ilvl="1" w:tplc="80FA64A2">
      <w:start w:val="1"/>
      <w:numFmt w:val="lowerLetter"/>
      <w:lvlText w:val="%2."/>
      <w:lvlJc w:val="left"/>
      <w:pPr>
        <w:ind w:left="1440" w:hanging="360"/>
      </w:pPr>
    </w:lvl>
    <w:lvl w:ilvl="2" w:tplc="1CB6C1FE">
      <w:start w:val="1"/>
      <w:numFmt w:val="lowerRoman"/>
      <w:lvlText w:val="%3."/>
      <w:lvlJc w:val="right"/>
      <w:pPr>
        <w:ind w:left="2160" w:hanging="180"/>
      </w:pPr>
    </w:lvl>
    <w:lvl w:ilvl="3" w:tplc="BE02C38C">
      <w:start w:val="1"/>
      <w:numFmt w:val="decimal"/>
      <w:lvlText w:val="%4."/>
      <w:lvlJc w:val="left"/>
      <w:pPr>
        <w:ind w:left="2880" w:hanging="360"/>
      </w:pPr>
    </w:lvl>
    <w:lvl w:ilvl="4" w:tplc="4CA48B0A">
      <w:start w:val="1"/>
      <w:numFmt w:val="lowerLetter"/>
      <w:lvlText w:val="%5."/>
      <w:lvlJc w:val="left"/>
      <w:pPr>
        <w:ind w:left="3600" w:hanging="360"/>
      </w:pPr>
    </w:lvl>
    <w:lvl w:ilvl="5" w:tplc="8EB05C58">
      <w:start w:val="1"/>
      <w:numFmt w:val="lowerRoman"/>
      <w:lvlText w:val="%6."/>
      <w:lvlJc w:val="right"/>
      <w:pPr>
        <w:ind w:left="4320" w:hanging="180"/>
      </w:pPr>
    </w:lvl>
    <w:lvl w:ilvl="6" w:tplc="0EC2A50A">
      <w:start w:val="1"/>
      <w:numFmt w:val="decimal"/>
      <w:lvlText w:val="%7."/>
      <w:lvlJc w:val="left"/>
      <w:pPr>
        <w:ind w:left="5040" w:hanging="360"/>
      </w:pPr>
    </w:lvl>
    <w:lvl w:ilvl="7" w:tplc="231AEA94">
      <w:start w:val="1"/>
      <w:numFmt w:val="lowerLetter"/>
      <w:lvlText w:val="%8."/>
      <w:lvlJc w:val="left"/>
      <w:pPr>
        <w:ind w:left="5760" w:hanging="360"/>
      </w:pPr>
    </w:lvl>
    <w:lvl w:ilvl="8" w:tplc="F21482E0">
      <w:start w:val="1"/>
      <w:numFmt w:val="lowerRoman"/>
      <w:lvlText w:val="%9."/>
      <w:lvlJc w:val="right"/>
      <w:pPr>
        <w:ind w:left="6480" w:hanging="180"/>
      </w:pPr>
    </w:lvl>
  </w:abstractNum>
  <w:abstractNum w:abstractNumId="9" w15:restartNumberingAfterBreak="0">
    <w:nsid w:val="5585AF1B"/>
    <w:multiLevelType w:val="hybridMultilevel"/>
    <w:tmpl w:val="FFFFFFFF"/>
    <w:lvl w:ilvl="0" w:tplc="BC82627A">
      <w:start w:val="1"/>
      <w:numFmt w:val="lowerLetter"/>
      <w:lvlText w:val="%1."/>
      <w:lvlJc w:val="left"/>
      <w:pPr>
        <w:ind w:left="720" w:hanging="360"/>
      </w:pPr>
    </w:lvl>
    <w:lvl w:ilvl="1" w:tplc="67269672">
      <w:start w:val="1"/>
      <w:numFmt w:val="lowerLetter"/>
      <w:lvlText w:val="%2."/>
      <w:lvlJc w:val="left"/>
      <w:pPr>
        <w:ind w:left="1440" w:hanging="360"/>
      </w:pPr>
    </w:lvl>
    <w:lvl w:ilvl="2" w:tplc="32228DEC">
      <w:start w:val="1"/>
      <w:numFmt w:val="lowerRoman"/>
      <w:lvlText w:val="%3."/>
      <w:lvlJc w:val="right"/>
      <w:pPr>
        <w:ind w:left="2160" w:hanging="180"/>
      </w:pPr>
    </w:lvl>
    <w:lvl w:ilvl="3" w:tplc="2904DB38">
      <w:start w:val="1"/>
      <w:numFmt w:val="decimal"/>
      <w:lvlText w:val="%4."/>
      <w:lvlJc w:val="left"/>
      <w:pPr>
        <w:ind w:left="2880" w:hanging="360"/>
      </w:pPr>
    </w:lvl>
    <w:lvl w:ilvl="4" w:tplc="90F469DC">
      <w:start w:val="1"/>
      <w:numFmt w:val="lowerLetter"/>
      <w:lvlText w:val="%5."/>
      <w:lvlJc w:val="left"/>
      <w:pPr>
        <w:ind w:left="3600" w:hanging="360"/>
      </w:pPr>
    </w:lvl>
    <w:lvl w:ilvl="5" w:tplc="BEE4A5FE">
      <w:start w:val="1"/>
      <w:numFmt w:val="lowerRoman"/>
      <w:lvlText w:val="%6."/>
      <w:lvlJc w:val="right"/>
      <w:pPr>
        <w:ind w:left="4320" w:hanging="180"/>
      </w:pPr>
    </w:lvl>
    <w:lvl w:ilvl="6" w:tplc="AA96C222">
      <w:start w:val="1"/>
      <w:numFmt w:val="decimal"/>
      <w:lvlText w:val="%7."/>
      <w:lvlJc w:val="left"/>
      <w:pPr>
        <w:ind w:left="5040" w:hanging="360"/>
      </w:pPr>
    </w:lvl>
    <w:lvl w:ilvl="7" w:tplc="375AE814">
      <w:start w:val="1"/>
      <w:numFmt w:val="lowerLetter"/>
      <w:lvlText w:val="%8."/>
      <w:lvlJc w:val="left"/>
      <w:pPr>
        <w:ind w:left="5760" w:hanging="360"/>
      </w:pPr>
    </w:lvl>
    <w:lvl w:ilvl="8" w:tplc="EA8C7E46">
      <w:start w:val="1"/>
      <w:numFmt w:val="lowerRoman"/>
      <w:lvlText w:val="%9."/>
      <w:lvlJc w:val="right"/>
      <w:pPr>
        <w:ind w:left="6480" w:hanging="180"/>
      </w:pPr>
    </w:lvl>
  </w:abstractNum>
  <w:abstractNum w:abstractNumId="10" w15:restartNumberingAfterBreak="0">
    <w:nsid w:val="660F8925"/>
    <w:multiLevelType w:val="hybridMultilevel"/>
    <w:tmpl w:val="FFFFFFFF"/>
    <w:lvl w:ilvl="0" w:tplc="FF18CEF2">
      <w:start w:val="1"/>
      <w:numFmt w:val="upperRoman"/>
      <w:lvlText w:val="%1."/>
      <w:lvlJc w:val="right"/>
      <w:pPr>
        <w:ind w:left="720" w:hanging="360"/>
      </w:pPr>
    </w:lvl>
    <w:lvl w:ilvl="1" w:tplc="B078955C">
      <w:start w:val="1"/>
      <w:numFmt w:val="lowerLetter"/>
      <w:lvlText w:val="%2."/>
      <w:lvlJc w:val="left"/>
      <w:pPr>
        <w:ind w:left="1440" w:hanging="360"/>
      </w:pPr>
    </w:lvl>
    <w:lvl w:ilvl="2" w:tplc="637891E2">
      <w:start w:val="1"/>
      <w:numFmt w:val="lowerRoman"/>
      <w:lvlText w:val="%3."/>
      <w:lvlJc w:val="right"/>
      <w:pPr>
        <w:ind w:left="2160" w:hanging="180"/>
      </w:pPr>
    </w:lvl>
    <w:lvl w:ilvl="3" w:tplc="0986BABC">
      <w:start w:val="1"/>
      <w:numFmt w:val="decimal"/>
      <w:lvlText w:val="%4."/>
      <w:lvlJc w:val="left"/>
      <w:pPr>
        <w:ind w:left="2880" w:hanging="360"/>
      </w:pPr>
    </w:lvl>
    <w:lvl w:ilvl="4" w:tplc="6FC070A8">
      <w:start w:val="1"/>
      <w:numFmt w:val="lowerLetter"/>
      <w:lvlText w:val="%5."/>
      <w:lvlJc w:val="left"/>
      <w:pPr>
        <w:ind w:left="3600" w:hanging="360"/>
      </w:pPr>
    </w:lvl>
    <w:lvl w:ilvl="5" w:tplc="7BA4B29A">
      <w:start w:val="1"/>
      <w:numFmt w:val="lowerRoman"/>
      <w:lvlText w:val="%6."/>
      <w:lvlJc w:val="right"/>
      <w:pPr>
        <w:ind w:left="4320" w:hanging="180"/>
      </w:pPr>
    </w:lvl>
    <w:lvl w:ilvl="6" w:tplc="7432179E">
      <w:start w:val="1"/>
      <w:numFmt w:val="decimal"/>
      <w:lvlText w:val="%7."/>
      <w:lvlJc w:val="left"/>
      <w:pPr>
        <w:ind w:left="5040" w:hanging="360"/>
      </w:pPr>
    </w:lvl>
    <w:lvl w:ilvl="7" w:tplc="5FFCD3FC">
      <w:start w:val="1"/>
      <w:numFmt w:val="lowerLetter"/>
      <w:lvlText w:val="%8."/>
      <w:lvlJc w:val="left"/>
      <w:pPr>
        <w:ind w:left="5760" w:hanging="360"/>
      </w:pPr>
    </w:lvl>
    <w:lvl w:ilvl="8" w:tplc="1632C0FC">
      <w:start w:val="1"/>
      <w:numFmt w:val="lowerRoman"/>
      <w:lvlText w:val="%9."/>
      <w:lvlJc w:val="right"/>
      <w:pPr>
        <w:ind w:left="6480" w:hanging="180"/>
      </w:pPr>
    </w:lvl>
  </w:abstractNum>
  <w:num w:numId="1" w16cid:durableId="1143811403">
    <w:abstractNumId w:val="3"/>
  </w:num>
  <w:num w:numId="2" w16cid:durableId="128792458">
    <w:abstractNumId w:val="8"/>
  </w:num>
  <w:num w:numId="3" w16cid:durableId="139150537">
    <w:abstractNumId w:val="4"/>
  </w:num>
  <w:num w:numId="4" w16cid:durableId="1523282216">
    <w:abstractNumId w:val="0"/>
  </w:num>
  <w:num w:numId="5" w16cid:durableId="1613854075">
    <w:abstractNumId w:val="6"/>
  </w:num>
  <w:num w:numId="6" w16cid:durableId="233394790">
    <w:abstractNumId w:val="1"/>
  </w:num>
  <w:num w:numId="7" w16cid:durableId="1893929094">
    <w:abstractNumId w:val="7"/>
  </w:num>
  <w:num w:numId="8" w16cid:durableId="233013101">
    <w:abstractNumId w:val="9"/>
  </w:num>
  <w:num w:numId="9" w16cid:durableId="2021469527">
    <w:abstractNumId w:val="2"/>
  </w:num>
  <w:num w:numId="10" w16cid:durableId="1284073858">
    <w:abstractNumId w:val="5"/>
  </w:num>
  <w:num w:numId="11" w16cid:durableId="9519829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2B0"/>
    <w:rsid w:val="0000013A"/>
    <w:rsid w:val="000008EC"/>
    <w:rsid w:val="00000A14"/>
    <w:rsid w:val="00000ECD"/>
    <w:rsid w:val="00001053"/>
    <w:rsid w:val="0000184F"/>
    <w:rsid w:val="000021E4"/>
    <w:rsid w:val="000025E0"/>
    <w:rsid w:val="00002CE4"/>
    <w:rsid w:val="00003A1C"/>
    <w:rsid w:val="00003A4C"/>
    <w:rsid w:val="00003E16"/>
    <w:rsid w:val="00004559"/>
    <w:rsid w:val="000056F5"/>
    <w:rsid w:val="00005E9D"/>
    <w:rsid w:val="00005EB2"/>
    <w:rsid w:val="00007257"/>
    <w:rsid w:val="00007E42"/>
    <w:rsid w:val="00007ED3"/>
    <w:rsid w:val="000104AA"/>
    <w:rsid w:val="0001108A"/>
    <w:rsid w:val="00011197"/>
    <w:rsid w:val="0001160E"/>
    <w:rsid w:val="00012580"/>
    <w:rsid w:val="00012DA5"/>
    <w:rsid w:val="00012DFA"/>
    <w:rsid w:val="00012F09"/>
    <w:rsid w:val="0001302E"/>
    <w:rsid w:val="00013912"/>
    <w:rsid w:val="00013A0F"/>
    <w:rsid w:val="00014FC5"/>
    <w:rsid w:val="00015292"/>
    <w:rsid w:val="000152F3"/>
    <w:rsid w:val="00015A7C"/>
    <w:rsid w:val="00015BD5"/>
    <w:rsid w:val="00016573"/>
    <w:rsid w:val="00016A84"/>
    <w:rsid w:val="0001782D"/>
    <w:rsid w:val="00017B35"/>
    <w:rsid w:val="00017E9C"/>
    <w:rsid w:val="000208AD"/>
    <w:rsid w:val="00020B33"/>
    <w:rsid w:val="00020EEA"/>
    <w:rsid w:val="00021075"/>
    <w:rsid w:val="00021531"/>
    <w:rsid w:val="000215B2"/>
    <w:rsid w:val="000225A1"/>
    <w:rsid w:val="00022EF7"/>
    <w:rsid w:val="00023435"/>
    <w:rsid w:val="000237C4"/>
    <w:rsid w:val="00023E30"/>
    <w:rsid w:val="00024156"/>
    <w:rsid w:val="00024A6C"/>
    <w:rsid w:val="00026061"/>
    <w:rsid w:val="000261A7"/>
    <w:rsid w:val="00026273"/>
    <w:rsid w:val="00030A7C"/>
    <w:rsid w:val="00031185"/>
    <w:rsid w:val="00031FCB"/>
    <w:rsid w:val="000325DA"/>
    <w:rsid w:val="000329D3"/>
    <w:rsid w:val="00033AD4"/>
    <w:rsid w:val="00034722"/>
    <w:rsid w:val="00034BF6"/>
    <w:rsid w:val="00034C5F"/>
    <w:rsid w:val="000356CE"/>
    <w:rsid w:val="00035B69"/>
    <w:rsid w:val="000363ED"/>
    <w:rsid w:val="000366DA"/>
    <w:rsid w:val="000367D0"/>
    <w:rsid w:val="0003702D"/>
    <w:rsid w:val="000377D3"/>
    <w:rsid w:val="000379A3"/>
    <w:rsid w:val="00037E7A"/>
    <w:rsid w:val="00040183"/>
    <w:rsid w:val="00040449"/>
    <w:rsid w:val="000408A7"/>
    <w:rsid w:val="00040F47"/>
    <w:rsid w:val="00041A27"/>
    <w:rsid w:val="00042E91"/>
    <w:rsid w:val="00043083"/>
    <w:rsid w:val="00043160"/>
    <w:rsid w:val="00043A6A"/>
    <w:rsid w:val="000445B5"/>
    <w:rsid w:val="00044799"/>
    <w:rsid w:val="00045213"/>
    <w:rsid w:val="00045255"/>
    <w:rsid w:val="00045393"/>
    <w:rsid w:val="00045F56"/>
    <w:rsid w:val="00046556"/>
    <w:rsid w:val="00046647"/>
    <w:rsid w:val="0004723C"/>
    <w:rsid w:val="000476AF"/>
    <w:rsid w:val="000477F5"/>
    <w:rsid w:val="00047E39"/>
    <w:rsid w:val="000502B0"/>
    <w:rsid w:val="0005030A"/>
    <w:rsid w:val="00050354"/>
    <w:rsid w:val="000505D4"/>
    <w:rsid w:val="0005076F"/>
    <w:rsid w:val="000509B6"/>
    <w:rsid w:val="000511DB"/>
    <w:rsid w:val="00051359"/>
    <w:rsid w:val="0005135E"/>
    <w:rsid w:val="00051A74"/>
    <w:rsid w:val="00052193"/>
    <w:rsid w:val="00052378"/>
    <w:rsid w:val="0005249B"/>
    <w:rsid w:val="0005263D"/>
    <w:rsid w:val="000529D8"/>
    <w:rsid w:val="00052F04"/>
    <w:rsid w:val="00053AEE"/>
    <w:rsid w:val="00053DB9"/>
    <w:rsid w:val="00053E63"/>
    <w:rsid w:val="000544B4"/>
    <w:rsid w:val="00054FE5"/>
    <w:rsid w:val="00055B25"/>
    <w:rsid w:val="00055C98"/>
    <w:rsid w:val="00056D8C"/>
    <w:rsid w:val="0005709E"/>
    <w:rsid w:val="00057BD6"/>
    <w:rsid w:val="000604DE"/>
    <w:rsid w:val="00060FE2"/>
    <w:rsid w:val="00061017"/>
    <w:rsid w:val="000610F0"/>
    <w:rsid w:val="000611F9"/>
    <w:rsid w:val="0006171E"/>
    <w:rsid w:val="00061DD2"/>
    <w:rsid w:val="00061DD8"/>
    <w:rsid w:val="00062247"/>
    <w:rsid w:val="00062798"/>
    <w:rsid w:val="00062982"/>
    <w:rsid w:val="00062BBF"/>
    <w:rsid w:val="00062BE7"/>
    <w:rsid w:val="00062C2C"/>
    <w:rsid w:val="00063107"/>
    <w:rsid w:val="00063113"/>
    <w:rsid w:val="000633D3"/>
    <w:rsid w:val="00063C2C"/>
    <w:rsid w:val="00063C87"/>
    <w:rsid w:val="00064AF2"/>
    <w:rsid w:val="00064D2E"/>
    <w:rsid w:val="00065609"/>
    <w:rsid w:val="000658CF"/>
    <w:rsid w:val="000658FA"/>
    <w:rsid w:val="000665D3"/>
    <w:rsid w:val="00067B3B"/>
    <w:rsid w:val="000715D4"/>
    <w:rsid w:val="000716CD"/>
    <w:rsid w:val="00071865"/>
    <w:rsid w:val="000718E8"/>
    <w:rsid w:val="00071E37"/>
    <w:rsid w:val="00072146"/>
    <w:rsid w:val="00072375"/>
    <w:rsid w:val="000727A1"/>
    <w:rsid w:val="00072EFF"/>
    <w:rsid w:val="0007324B"/>
    <w:rsid w:val="000734FF"/>
    <w:rsid w:val="00073632"/>
    <w:rsid w:val="0007411F"/>
    <w:rsid w:val="00074320"/>
    <w:rsid w:val="000744F4"/>
    <w:rsid w:val="000753CB"/>
    <w:rsid w:val="0007598A"/>
    <w:rsid w:val="00075D16"/>
    <w:rsid w:val="00076D09"/>
    <w:rsid w:val="00076F1B"/>
    <w:rsid w:val="00077C1A"/>
    <w:rsid w:val="00077C9B"/>
    <w:rsid w:val="00080E75"/>
    <w:rsid w:val="00080EF0"/>
    <w:rsid w:val="00081B99"/>
    <w:rsid w:val="00081CE6"/>
    <w:rsid w:val="00082161"/>
    <w:rsid w:val="00082702"/>
    <w:rsid w:val="00083015"/>
    <w:rsid w:val="000835DC"/>
    <w:rsid w:val="00084EBB"/>
    <w:rsid w:val="00085667"/>
    <w:rsid w:val="00085C75"/>
    <w:rsid w:val="00085EA3"/>
    <w:rsid w:val="00086184"/>
    <w:rsid w:val="00086B4D"/>
    <w:rsid w:val="00086E4C"/>
    <w:rsid w:val="00087506"/>
    <w:rsid w:val="0008763D"/>
    <w:rsid w:val="0008768C"/>
    <w:rsid w:val="00087AB0"/>
    <w:rsid w:val="00087E34"/>
    <w:rsid w:val="00087E58"/>
    <w:rsid w:val="00090654"/>
    <w:rsid w:val="00090698"/>
    <w:rsid w:val="00090D8C"/>
    <w:rsid w:val="00090F0D"/>
    <w:rsid w:val="00091330"/>
    <w:rsid w:val="0009192C"/>
    <w:rsid w:val="00091961"/>
    <w:rsid w:val="00091D18"/>
    <w:rsid w:val="00091E3D"/>
    <w:rsid w:val="0009233F"/>
    <w:rsid w:val="00092385"/>
    <w:rsid w:val="00092584"/>
    <w:rsid w:val="000925E8"/>
    <w:rsid w:val="00092A9C"/>
    <w:rsid w:val="00092BB3"/>
    <w:rsid w:val="00093CDC"/>
    <w:rsid w:val="0009462F"/>
    <w:rsid w:val="00094C4A"/>
    <w:rsid w:val="00094DDE"/>
    <w:rsid w:val="000A07A0"/>
    <w:rsid w:val="000A129C"/>
    <w:rsid w:val="000A19DF"/>
    <w:rsid w:val="000A19E4"/>
    <w:rsid w:val="000A27EE"/>
    <w:rsid w:val="000A29A6"/>
    <w:rsid w:val="000A2DF0"/>
    <w:rsid w:val="000A2F69"/>
    <w:rsid w:val="000A2F7F"/>
    <w:rsid w:val="000A46A1"/>
    <w:rsid w:val="000A47DF"/>
    <w:rsid w:val="000A4C1B"/>
    <w:rsid w:val="000A5018"/>
    <w:rsid w:val="000A5272"/>
    <w:rsid w:val="000A5495"/>
    <w:rsid w:val="000A5632"/>
    <w:rsid w:val="000A676F"/>
    <w:rsid w:val="000A694C"/>
    <w:rsid w:val="000A6AA6"/>
    <w:rsid w:val="000A6D34"/>
    <w:rsid w:val="000A6D6B"/>
    <w:rsid w:val="000A708C"/>
    <w:rsid w:val="000A754E"/>
    <w:rsid w:val="000A78D5"/>
    <w:rsid w:val="000A7B19"/>
    <w:rsid w:val="000B0708"/>
    <w:rsid w:val="000B07E3"/>
    <w:rsid w:val="000B09F2"/>
    <w:rsid w:val="000B1267"/>
    <w:rsid w:val="000B1437"/>
    <w:rsid w:val="000B162C"/>
    <w:rsid w:val="000B198C"/>
    <w:rsid w:val="000B1B10"/>
    <w:rsid w:val="000B1FD0"/>
    <w:rsid w:val="000B4524"/>
    <w:rsid w:val="000B5644"/>
    <w:rsid w:val="000B581C"/>
    <w:rsid w:val="000B587A"/>
    <w:rsid w:val="000B6101"/>
    <w:rsid w:val="000B6221"/>
    <w:rsid w:val="000B6503"/>
    <w:rsid w:val="000B6BDE"/>
    <w:rsid w:val="000B6D00"/>
    <w:rsid w:val="000B7CD1"/>
    <w:rsid w:val="000B7EA0"/>
    <w:rsid w:val="000C02D8"/>
    <w:rsid w:val="000C0504"/>
    <w:rsid w:val="000C0C08"/>
    <w:rsid w:val="000C0DDA"/>
    <w:rsid w:val="000C1311"/>
    <w:rsid w:val="000C198B"/>
    <w:rsid w:val="000C2C35"/>
    <w:rsid w:val="000C3449"/>
    <w:rsid w:val="000C361A"/>
    <w:rsid w:val="000C36FA"/>
    <w:rsid w:val="000C41AC"/>
    <w:rsid w:val="000C41F2"/>
    <w:rsid w:val="000C4887"/>
    <w:rsid w:val="000C517A"/>
    <w:rsid w:val="000C52D3"/>
    <w:rsid w:val="000C55FE"/>
    <w:rsid w:val="000C5672"/>
    <w:rsid w:val="000C5F1E"/>
    <w:rsid w:val="000C6A3D"/>
    <w:rsid w:val="000C6D9D"/>
    <w:rsid w:val="000C70E0"/>
    <w:rsid w:val="000D0410"/>
    <w:rsid w:val="000D063F"/>
    <w:rsid w:val="000D07E0"/>
    <w:rsid w:val="000D0F06"/>
    <w:rsid w:val="000D1249"/>
    <w:rsid w:val="000D1B6C"/>
    <w:rsid w:val="000D22A3"/>
    <w:rsid w:val="000D27F8"/>
    <w:rsid w:val="000D2D65"/>
    <w:rsid w:val="000D2ED5"/>
    <w:rsid w:val="000D3477"/>
    <w:rsid w:val="000D397A"/>
    <w:rsid w:val="000D3B50"/>
    <w:rsid w:val="000D4F2A"/>
    <w:rsid w:val="000D5B2D"/>
    <w:rsid w:val="000D5C42"/>
    <w:rsid w:val="000D6252"/>
    <w:rsid w:val="000D6297"/>
    <w:rsid w:val="000D6FC3"/>
    <w:rsid w:val="000D7905"/>
    <w:rsid w:val="000D7D61"/>
    <w:rsid w:val="000DEC25"/>
    <w:rsid w:val="000E009C"/>
    <w:rsid w:val="000E1138"/>
    <w:rsid w:val="000E1A78"/>
    <w:rsid w:val="000E2FF6"/>
    <w:rsid w:val="000E3667"/>
    <w:rsid w:val="000E4306"/>
    <w:rsid w:val="000E52B8"/>
    <w:rsid w:val="000E5485"/>
    <w:rsid w:val="000E56C9"/>
    <w:rsid w:val="000E57BB"/>
    <w:rsid w:val="000E583F"/>
    <w:rsid w:val="000E5C92"/>
    <w:rsid w:val="000E6854"/>
    <w:rsid w:val="000E7111"/>
    <w:rsid w:val="000E7564"/>
    <w:rsid w:val="000E7746"/>
    <w:rsid w:val="000E7D5B"/>
    <w:rsid w:val="000F0876"/>
    <w:rsid w:val="000F0AC2"/>
    <w:rsid w:val="000F0E26"/>
    <w:rsid w:val="000F1831"/>
    <w:rsid w:val="000F1A43"/>
    <w:rsid w:val="000F28E3"/>
    <w:rsid w:val="000F39EE"/>
    <w:rsid w:val="000F3A9A"/>
    <w:rsid w:val="000F3C1A"/>
    <w:rsid w:val="000F3CF3"/>
    <w:rsid w:val="000F407F"/>
    <w:rsid w:val="000F4266"/>
    <w:rsid w:val="000F43B6"/>
    <w:rsid w:val="000F4B42"/>
    <w:rsid w:val="000F5448"/>
    <w:rsid w:val="000F592C"/>
    <w:rsid w:val="000F5AEA"/>
    <w:rsid w:val="000F5E1C"/>
    <w:rsid w:val="000F6928"/>
    <w:rsid w:val="000F69E8"/>
    <w:rsid w:val="000F6D48"/>
    <w:rsid w:val="000F70C7"/>
    <w:rsid w:val="000F74A2"/>
    <w:rsid w:val="000F7CF8"/>
    <w:rsid w:val="000F7DAD"/>
    <w:rsid w:val="00101901"/>
    <w:rsid w:val="00101D15"/>
    <w:rsid w:val="001024CB"/>
    <w:rsid w:val="001025F3"/>
    <w:rsid w:val="00102667"/>
    <w:rsid w:val="00103381"/>
    <w:rsid w:val="001049BA"/>
    <w:rsid w:val="00104A0F"/>
    <w:rsid w:val="00105214"/>
    <w:rsid w:val="0010732E"/>
    <w:rsid w:val="00107814"/>
    <w:rsid w:val="00107877"/>
    <w:rsid w:val="00107CFC"/>
    <w:rsid w:val="00107F58"/>
    <w:rsid w:val="0011078B"/>
    <w:rsid w:val="00110EB9"/>
    <w:rsid w:val="00110F8A"/>
    <w:rsid w:val="00110FB8"/>
    <w:rsid w:val="00112050"/>
    <w:rsid w:val="00112067"/>
    <w:rsid w:val="00112113"/>
    <w:rsid w:val="001128A0"/>
    <w:rsid w:val="00113C4E"/>
    <w:rsid w:val="00114777"/>
    <w:rsid w:val="0011480E"/>
    <w:rsid w:val="00114875"/>
    <w:rsid w:val="00114FC7"/>
    <w:rsid w:val="00115C9D"/>
    <w:rsid w:val="00115D5D"/>
    <w:rsid w:val="00115EC6"/>
    <w:rsid w:val="001160A5"/>
    <w:rsid w:val="001171DD"/>
    <w:rsid w:val="0011755B"/>
    <w:rsid w:val="001175E7"/>
    <w:rsid w:val="00117839"/>
    <w:rsid w:val="00117A38"/>
    <w:rsid w:val="00117ACB"/>
    <w:rsid w:val="0012008D"/>
    <w:rsid w:val="00120B87"/>
    <w:rsid w:val="00121293"/>
    <w:rsid w:val="00121854"/>
    <w:rsid w:val="0012189F"/>
    <w:rsid w:val="00121DC4"/>
    <w:rsid w:val="00122E03"/>
    <w:rsid w:val="00123132"/>
    <w:rsid w:val="00124046"/>
    <w:rsid w:val="001245D4"/>
    <w:rsid w:val="0012488B"/>
    <w:rsid w:val="00124B77"/>
    <w:rsid w:val="00124B90"/>
    <w:rsid w:val="00125231"/>
    <w:rsid w:val="0012558E"/>
    <w:rsid w:val="001259CC"/>
    <w:rsid w:val="00125A29"/>
    <w:rsid w:val="0012678E"/>
    <w:rsid w:val="001276C1"/>
    <w:rsid w:val="00127DFE"/>
    <w:rsid w:val="00127F2F"/>
    <w:rsid w:val="00130BC4"/>
    <w:rsid w:val="00131108"/>
    <w:rsid w:val="00131509"/>
    <w:rsid w:val="00132366"/>
    <w:rsid w:val="001329BD"/>
    <w:rsid w:val="00132E5A"/>
    <w:rsid w:val="00134E23"/>
    <w:rsid w:val="00135336"/>
    <w:rsid w:val="00135B87"/>
    <w:rsid w:val="001363F8"/>
    <w:rsid w:val="00137144"/>
    <w:rsid w:val="001375CD"/>
    <w:rsid w:val="00137BB3"/>
    <w:rsid w:val="00137CF8"/>
    <w:rsid w:val="00140536"/>
    <w:rsid w:val="001407D5"/>
    <w:rsid w:val="0014288B"/>
    <w:rsid w:val="00142AA7"/>
    <w:rsid w:val="00143034"/>
    <w:rsid w:val="00143533"/>
    <w:rsid w:val="001439E0"/>
    <w:rsid w:val="00143BEE"/>
    <w:rsid w:val="00143C83"/>
    <w:rsid w:val="00143CC1"/>
    <w:rsid w:val="00144473"/>
    <w:rsid w:val="0014457F"/>
    <w:rsid w:val="001446F4"/>
    <w:rsid w:val="00144A82"/>
    <w:rsid w:val="00144C11"/>
    <w:rsid w:val="00144F66"/>
    <w:rsid w:val="00145AC7"/>
    <w:rsid w:val="00145B40"/>
    <w:rsid w:val="00145D1A"/>
    <w:rsid w:val="001461CF"/>
    <w:rsid w:val="00146481"/>
    <w:rsid w:val="001465A4"/>
    <w:rsid w:val="00146FB0"/>
    <w:rsid w:val="001472BE"/>
    <w:rsid w:val="00147708"/>
    <w:rsid w:val="00147738"/>
    <w:rsid w:val="0014785C"/>
    <w:rsid w:val="001506F2"/>
    <w:rsid w:val="00150995"/>
    <w:rsid w:val="00151E49"/>
    <w:rsid w:val="00152297"/>
    <w:rsid w:val="001527E9"/>
    <w:rsid w:val="00152D92"/>
    <w:rsid w:val="001531DA"/>
    <w:rsid w:val="00153204"/>
    <w:rsid w:val="00153E51"/>
    <w:rsid w:val="00154731"/>
    <w:rsid w:val="00154CBB"/>
    <w:rsid w:val="00154EB9"/>
    <w:rsid w:val="001550A0"/>
    <w:rsid w:val="00155674"/>
    <w:rsid w:val="001557E6"/>
    <w:rsid w:val="001563D2"/>
    <w:rsid w:val="00156944"/>
    <w:rsid w:val="00156D10"/>
    <w:rsid w:val="0015705C"/>
    <w:rsid w:val="001570D6"/>
    <w:rsid w:val="00157470"/>
    <w:rsid w:val="0015754E"/>
    <w:rsid w:val="00157BE2"/>
    <w:rsid w:val="00157F4C"/>
    <w:rsid w:val="001612DA"/>
    <w:rsid w:val="00162125"/>
    <w:rsid w:val="00164B43"/>
    <w:rsid w:val="00164C7D"/>
    <w:rsid w:val="00165958"/>
    <w:rsid w:val="00165F90"/>
    <w:rsid w:val="001666C5"/>
    <w:rsid w:val="0016697F"/>
    <w:rsid w:val="00166B40"/>
    <w:rsid w:val="00166CCC"/>
    <w:rsid w:val="00170910"/>
    <w:rsid w:val="00170A64"/>
    <w:rsid w:val="00170FB9"/>
    <w:rsid w:val="00171630"/>
    <w:rsid w:val="00172030"/>
    <w:rsid w:val="00173564"/>
    <w:rsid w:val="00173604"/>
    <w:rsid w:val="00173CF0"/>
    <w:rsid w:val="00174A06"/>
    <w:rsid w:val="00174D0C"/>
    <w:rsid w:val="00175555"/>
    <w:rsid w:val="001755B3"/>
    <w:rsid w:val="00176C21"/>
    <w:rsid w:val="00176DCF"/>
    <w:rsid w:val="00177B11"/>
    <w:rsid w:val="00177CBB"/>
    <w:rsid w:val="0017EF02"/>
    <w:rsid w:val="00180C68"/>
    <w:rsid w:val="00181F2B"/>
    <w:rsid w:val="0018240F"/>
    <w:rsid w:val="00182457"/>
    <w:rsid w:val="001840DA"/>
    <w:rsid w:val="001845DF"/>
    <w:rsid w:val="00184771"/>
    <w:rsid w:val="001847BB"/>
    <w:rsid w:val="001849AF"/>
    <w:rsid w:val="00184E96"/>
    <w:rsid w:val="0018504B"/>
    <w:rsid w:val="001853A5"/>
    <w:rsid w:val="00185972"/>
    <w:rsid w:val="00185EE5"/>
    <w:rsid w:val="001867CF"/>
    <w:rsid w:val="00186BDA"/>
    <w:rsid w:val="0018718E"/>
    <w:rsid w:val="0018756F"/>
    <w:rsid w:val="00187C68"/>
    <w:rsid w:val="00190950"/>
    <w:rsid w:val="00191159"/>
    <w:rsid w:val="00191FCA"/>
    <w:rsid w:val="0019223B"/>
    <w:rsid w:val="0019258A"/>
    <w:rsid w:val="001928F4"/>
    <w:rsid w:val="00192BFE"/>
    <w:rsid w:val="00192EFD"/>
    <w:rsid w:val="001935EE"/>
    <w:rsid w:val="001949BE"/>
    <w:rsid w:val="001953A9"/>
    <w:rsid w:val="001955FB"/>
    <w:rsid w:val="00195765"/>
    <w:rsid w:val="001959A5"/>
    <w:rsid w:val="00196540"/>
    <w:rsid w:val="00196BA5"/>
    <w:rsid w:val="00196D91"/>
    <w:rsid w:val="001A01CC"/>
    <w:rsid w:val="001A09DF"/>
    <w:rsid w:val="001A0E16"/>
    <w:rsid w:val="001A1CE9"/>
    <w:rsid w:val="001A2335"/>
    <w:rsid w:val="001A2685"/>
    <w:rsid w:val="001A3246"/>
    <w:rsid w:val="001A4109"/>
    <w:rsid w:val="001A4687"/>
    <w:rsid w:val="001A5BFB"/>
    <w:rsid w:val="001A5F95"/>
    <w:rsid w:val="001A63E1"/>
    <w:rsid w:val="001A7433"/>
    <w:rsid w:val="001A75E1"/>
    <w:rsid w:val="001A785A"/>
    <w:rsid w:val="001A786A"/>
    <w:rsid w:val="001A79EB"/>
    <w:rsid w:val="001A7B1B"/>
    <w:rsid w:val="001A7B3C"/>
    <w:rsid w:val="001A7B4D"/>
    <w:rsid w:val="001A7BF8"/>
    <w:rsid w:val="001B090A"/>
    <w:rsid w:val="001B1C48"/>
    <w:rsid w:val="001B1E67"/>
    <w:rsid w:val="001B2AD9"/>
    <w:rsid w:val="001B2C88"/>
    <w:rsid w:val="001B2E0A"/>
    <w:rsid w:val="001B30C9"/>
    <w:rsid w:val="001B326B"/>
    <w:rsid w:val="001B366D"/>
    <w:rsid w:val="001B3740"/>
    <w:rsid w:val="001B3B2A"/>
    <w:rsid w:val="001B43DB"/>
    <w:rsid w:val="001B4479"/>
    <w:rsid w:val="001B4D4A"/>
    <w:rsid w:val="001B5AAD"/>
    <w:rsid w:val="001B611E"/>
    <w:rsid w:val="001B622E"/>
    <w:rsid w:val="001B6A1F"/>
    <w:rsid w:val="001B7853"/>
    <w:rsid w:val="001B7CAD"/>
    <w:rsid w:val="001C02AE"/>
    <w:rsid w:val="001C0B9C"/>
    <w:rsid w:val="001C1409"/>
    <w:rsid w:val="001C14E5"/>
    <w:rsid w:val="001C1686"/>
    <w:rsid w:val="001C19AD"/>
    <w:rsid w:val="001C21A5"/>
    <w:rsid w:val="001C21B1"/>
    <w:rsid w:val="001C2E2F"/>
    <w:rsid w:val="001C4C84"/>
    <w:rsid w:val="001C5122"/>
    <w:rsid w:val="001C58B4"/>
    <w:rsid w:val="001C696C"/>
    <w:rsid w:val="001C711E"/>
    <w:rsid w:val="001C7590"/>
    <w:rsid w:val="001C7ECB"/>
    <w:rsid w:val="001D040E"/>
    <w:rsid w:val="001D09D3"/>
    <w:rsid w:val="001D15B6"/>
    <w:rsid w:val="001D1DBC"/>
    <w:rsid w:val="001D2BCF"/>
    <w:rsid w:val="001D2C99"/>
    <w:rsid w:val="001D32F5"/>
    <w:rsid w:val="001D3472"/>
    <w:rsid w:val="001D3573"/>
    <w:rsid w:val="001D386E"/>
    <w:rsid w:val="001D41A6"/>
    <w:rsid w:val="001D475D"/>
    <w:rsid w:val="001D541E"/>
    <w:rsid w:val="001D5543"/>
    <w:rsid w:val="001D631A"/>
    <w:rsid w:val="001D63AC"/>
    <w:rsid w:val="001D63CF"/>
    <w:rsid w:val="001D7ADD"/>
    <w:rsid w:val="001D7ADE"/>
    <w:rsid w:val="001E0CA4"/>
    <w:rsid w:val="001E0CAE"/>
    <w:rsid w:val="001E0F11"/>
    <w:rsid w:val="001E10A7"/>
    <w:rsid w:val="001E13A5"/>
    <w:rsid w:val="001E1852"/>
    <w:rsid w:val="001E1ACD"/>
    <w:rsid w:val="001E1EF9"/>
    <w:rsid w:val="001E2053"/>
    <w:rsid w:val="001E229B"/>
    <w:rsid w:val="001E2374"/>
    <w:rsid w:val="001E2D5C"/>
    <w:rsid w:val="001E3488"/>
    <w:rsid w:val="001E3642"/>
    <w:rsid w:val="001E4127"/>
    <w:rsid w:val="001E4279"/>
    <w:rsid w:val="001E43D8"/>
    <w:rsid w:val="001E4AFA"/>
    <w:rsid w:val="001E4F38"/>
    <w:rsid w:val="001E4FB2"/>
    <w:rsid w:val="001E50D2"/>
    <w:rsid w:val="001E5D01"/>
    <w:rsid w:val="001E6460"/>
    <w:rsid w:val="001E6865"/>
    <w:rsid w:val="001E6AF9"/>
    <w:rsid w:val="001E6DB4"/>
    <w:rsid w:val="001E6E5D"/>
    <w:rsid w:val="001E6ED2"/>
    <w:rsid w:val="001E71DE"/>
    <w:rsid w:val="001E7381"/>
    <w:rsid w:val="001E7A42"/>
    <w:rsid w:val="001F0AC7"/>
    <w:rsid w:val="001F1129"/>
    <w:rsid w:val="001F189B"/>
    <w:rsid w:val="001F1C4F"/>
    <w:rsid w:val="001F2335"/>
    <w:rsid w:val="001F2939"/>
    <w:rsid w:val="001F335E"/>
    <w:rsid w:val="001F4823"/>
    <w:rsid w:val="001F53E5"/>
    <w:rsid w:val="001F5633"/>
    <w:rsid w:val="001F59CA"/>
    <w:rsid w:val="001F5C6B"/>
    <w:rsid w:val="001F5EC1"/>
    <w:rsid w:val="001F69E6"/>
    <w:rsid w:val="001F6D8B"/>
    <w:rsid w:val="001F7050"/>
    <w:rsid w:val="001F7E58"/>
    <w:rsid w:val="00200437"/>
    <w:rsid w:val="00200F39"/>
    <w:rsid w:val="00201A0A"/>
    <w:rsid w:val="00201CBB"/>
    <w:rsid w:val="00201ED3"/>
    <w:rsid w:val="0020237A"/>
    <w:rsid w:val="0020239A"/>
    <w:rsid w:val="002029C2"/>
    <w:rsid w:val="00202B7C"/>
    <w:rsid w:val="00203203"/>
    <w:rsid w:val="00203782"/>
    <w:rsid w:val="002043B2"/>
    <w:rsid w:val="00204B6E"/>
    <w:rsid w:val="00205717"/>
    <w:rsid w:val="00205956"/>
    <w:rsid w:val="00205B3E"/>
    <w:rsid w:val="00206D68"/>
    <w:rsid w:val="00206F90"/>
    <w:rsid w:val="00207DE7"/>
    <w:rsid w:val="00210015"/>
    <w:rsid w:val="002102F7"/>
    <w:rsid w:val="00210819"/>
    <w:rsid w:val="00210F59"/>
    <w:rsid w:val="0021114D"/>
    <w:rsid w:val="00211247"/>
    <w:rsid w:val="00211DAD"/>
    <w:rsid w:val="00212D30"/>
    <w:rsid w:val="00212FA9"/>
    <w:rsid w:val="00213099"/>
    <w:rsid w:val="002139BF"/>
    <w:rsid w:val="00213A7D"/>
    <w:rsid w:val="00213DFF"/>
    <w:rsid w:val="0021405F"/>
    <w:rsid w:val="00214ACE"/>
    <w:rsid w:val="00214C98"/>
    <w:rsid w:val="00214F8C"/>
    <w:rsid w:val="0021503E"/>
    <w:rsid w:val="00216073"/>
    <w:rsid w:val="0021631A"/>
    <w:rsid w:val="00216480"/>
    <w:rsid w:val="00216622"/>
    <w:rsid w:val="00216F8D"/>
    <w:rsid w:val="00217B61"/>
    <w:rsid w:val="00217CE7"/>
    <w:rsid w:val="00220169"/>
    <w:rsid w:val="00220548"/>
    <w:rsid w:val="002207CE"/>
    <w:rsid w:val="002208B9"/>
    <w:rsid w:val="00220B85"/>
    <w:rsid w:val="0022172C"/>
    <w:rsid w:val="00221FC2"/>
    <w:rsid w:val="0022279C"/>
    <w:rsid w:val="002227FF"/>
    <w:rsid w:val="00222A99"/>
    <w:rsid w:val="00222AE8"/>
    <w:rsid w:val="002232AE"/>
    <w:rsid w:val="0022360E"/>
    <w:rsid w:val="00223D42"/>
    <w:rsid w:val="00224647"/>
    <w:rsid w:val="00224B0A"/>
    <w:rsid w:val="00224DC2"/>
    <w:rsid w:val="002252EF"/>
    <w:rsid w:val="002257F8"/>
    <w:rsid w:val="00226426"/>
    <w:rsid w:val="002264A1"/>
    <w:rsid w:val="00226863"/>
    <w:rsid w:val="002269E3"/>
    <w:rsid w:val="00226D4A"/>
    <w:rsid w:val="00226F4C"/>
    <w:rsid w:val="00226F4F"/>
    <w:rsid w:val="00226FB4"/>
    <w:rsid w:val="0022777F"/>
    <w:rsid w:val="002277CA"/>
    <w:rsid w:val="002278BE"/>
    <w:rsid w:val="002302DF"/>
    <w:rsid w:val="00230C37"/>
    <w:rsid w:val="00231D52"/>
    <w:rsid w:val="002320BC"/>
    <w:rsid w:val="002322A7"/>
    <w:rsid w:val="00232E65"/>
    <w:rsid w:val="002337AB"/>
    <w:rsid w:val="00233AFD"/>
    <w:rsid w:val="00233C37"/>
    <w:rsid w:val="00234496"/>
    <w:rsid w:val="00234A41"/>
    <w:rsid w:val="00234DC2"/>
    <w:rsid w:val="00235AF7"/>
    <w:rsid w:val="00235CCB"/>
    <w:rsid w:val="00235E37"/>
    <w:rsid w:val="00235EBF"/>
    <w:rsid w:val="00236095"/>
    <w:rsid w:val="002361C9"/>
    <w:rsid w:val="002362CF"/>
    <w:rsid w:val="00236726"/>
    <w:rsid w:val="00236CD3"/>
    <w:rsid w:val="00237FA5"/>
    <w:rsid w:val="002403B7"/>
    <w:rsid w:val="00240893"/>
    <w:rsid w:val="00242437"/>
    <w:rsid w:val="00242633"/>
    <w:rsid w:val="002430AE"/>
    <w:rsid w:val="00243700"/>
    <w:rsid w:val="00243BA9"/>
    <w:rsid w:val="00244E0E"/>
    <w:rsid w:val="00244EB9"/>
    <w:rsid w:val="00245461"/>
    <w:rsid w:val="002457A1"/>
    <w:rsid w:val="002459FD"/>
    <w:rsid w:val="00245A50"/>
    <w:rsid w:val="00245AA0"/>
    <w:rsid w:val="0024620B"/>
    <w:rsid w:val="0024623E"/>
    <w:rsid w:val="00246393"/>
    <w:rsid w:val="0024685C"/>
    <w:rsid w:val="00246A9B"/>
    <w:rsid w:val="00247635"/>
    <w:rsid w:val="002500DC"/>
    <w:rsid w:val="00251706"/>
    <w:rsid w:val="00251CA3"/>
    <w:rsid w:val="00251D83"/>
    <w:rsid w:val="00251E1E"/>
    <w:rsid w:val="0025224A"/>
    <w:rsid w:val="00252321"/>
    <w:rsid w:val="00252A99"/>
    <w:rsid w:val="00252C4F"/>
    <w:rsid w:val="002530D4"/>
    <w:rsid w:val="00253236"/>
    <w:rsid w:val="00253B3A"/>
    <w:rsid w:val="0025551A"/>
    <w:rsid w:val="00255A62"/>
    <w:rsid w:val="00255F15"/>
    <w:rsid w:val="0025650E"/>
    <w:rsid w:val="002565DC"/>
    <w:rsid w:val="0025699C"/>
    <w:rsid w:val="00256A19"/>
    <w:rsid w:val="00257B4F"/>
    <w:rsid w:val="00257CF2"/>
    <w:rsid w:val="0026055D"/>
    <w:rsid w:val="00260C70"/>
    <w:rsid w:val="00261226"/>
    <w:rsid w:val="002613DB"/>
    <w:rsid w:val="00261B9B"/>
    <w:rsid w:val="0026256F"/>
    <w:rsid w:val="00262632"/>
    <w:rsid w:val="00262C8B"/>
    <w:rsid w:val="0026372B"/>
    <w:rsid w:val="00264F39"/>
    <w:rsid w:val="00265B12"/>
    <w:rsid w:val="00265E67"/>
    <w:rsid w:val="00265F44"/>
    <w:rsid w:val="00266A6B"/>
    <w:rsid w:val="0026733C"/>
    <w:rsid w:val="00267736"/>
    <w:rsid w:val="00267EEB"/>
    <w:rsid w:val="00270088"/>
    <w:rsid w:val="0027058F"/>
    <w:rsid w:val="002706D2"/>
    <w:rsid w:val="00270B67"/>
    <w:rsid w:val="00270ECF"/>
    <w:rsid w:val="0027157D"/>
    <w:rsid w:val="00271D24"/>
    <w:rsid w:val="00272014"/>
    <w:rsid w:val="002743BC"/>
    <w:rsid w:val="002748D5"/>
    <w:rsid w:val="00274F68"/>
    <w:rsid w:val="00275C52"/>
    <w:rsid w:val="002764D1"/>
    <w:rsid w:val="00276AC8"/>
    <w:rsid w:val="00277A38"/>
    <w:rsid w:val="00280FC0"/>
    <w:rsid w:val="0028115A"/>
    <w:rsid w:val="0028120D"/>
    <w:rsid w:val="00282085"/>
    <w:rsid w:val="0028231A"/>
    <w:rsid w:val="00282B30"/>
    <w:rsid w:val="0028340F"/>
    <w:rsid w:val="00283643"/>
    <w:rsid w:val="00283AD7"/>
    <w:rsid w:val="00283FF1"/>
    <w:rsid w:val="002855A8"/>
    <w:rsid w:val="00286C2A"/>
    <w:rsid w:val="00287E3E"/>
    <w:rsid w:val="002904BB"/>
    <w:rsid w:val="00290F5A"/>
    <w:rsid w:val="002918C1"/>
    <w:rsid w:val="00291DCE"/>
    <w:rsid w:val="00292857"/>
    <w:rsid w:val="002929AC"/>
    <w:rsid w:val="00292A30"/>
    <w:rsid w:val="00292BBB"/>
    <w:rsid w:val="002935F4"/>
    <w:rsid w:val="002937FC"/>
    <w:rsid w:val="00293EF7"/>
    <w:rsid w:val="00293F50"/>
    <w:rsid w:val="00294207"/>
    <w:rsid w:val="00294757"/>
    <w:rsid w:val="0029475E"/>
    <w:rsid w:val="0029533F"/>
    <w:rsid w:val="0029553B"/>
    <w:rsid w:val="00295C09"/>
    <w:rsid w:val="00297B6D"/>
    <w:rsid w:val="00297E13"/>
    <w:rsid w:val="002A021D"/>
    <w:rsid w:val="002A0339"/>
    <w:rsid w:val="002A0F74"/>
    <w:rsid w:val="002A1138"/>
    <w:rsid w:val="002A1662"/>
    <w:rsid w:val="002A1DD8"/>
    <w:rsid w:val="002A2558"/>
    <w:rsid w:val="002A2C07"/>
    <w:rsid w:val="002A33CE"/>
    <w:rsid w:val="002A378F"/>
    <w:rsid w:val="002A3820"/>
    <w:rsid w:val="002A3B12"/>
    <w:rsid w:val="002A3D6F"/>
    <w:rsid w:val="002A43D5"/>
    <w:rsid w:val="002A4A0B"/>
    <w:rsid w:val="002A4DA9"/>
    <w:rsid w:val="002A51B6"/>
    <w:rsid w:val="002A585F"/>
    <w:rsid w:val="002A6625"/>
    <w:rsid w:val="002A696D"/>
    <w:rsid w:val="002A7DBE"/>
    <w:rsid w:val="002A7F4C"/>
    <w:rsid w:val="002B0483"/>
    <w:rsid w:val="002B050A"/>
    <w:rsid w:val="002B0842"/>
    <w:rsid w:val="002B157A"/>
    <w:rsid w:val="002B1B57"/>
    <w:rsid w:val="002B25B3"/>
    <w:rsid w:val="002B2B74"/>
    <w:rsid w:val="002B3979"/>
    <w:rsid w:val="002B3FD4"/>
    <w:rsid w:val="002B45D1"/>
    <w:rsid w:val="002B47A5"/>
    <w:rsid w:val="002B4936"/>
    <w:rsid w:val="002B4C08"/>
    <w:rsid w:val="002B4DF1"/>
    <w:rsid w:val="002B52C4"/>
    <w:rsid w:val="002B5FD8"/>
    <w:rsid w:val="002B6389"/>
    <w:rsid w:val="002B63B1"/>
    <w:rsid w:val="002B67D0"/>
    <w:rsid w:val="002B6CA6"/>
    <w:rsid w:val="002B78AB"/>
    <w:rsid w:val="002B7AF6"/>
    <w:rsid w:val="002B7FE8"/>
    <w:rsid w:val="002C086B"/>
    <w:rsid w:val="002C1EE5"/>
    <w:rsid w:val="002C1EF3"/>
    <w:rsid w:val="002C2013"/>
    <w:rsid w:val="002C290C"/>
    <w:rsid w:val="002C294B"/>
    <w:rsid w:val="002C328A"/>
    <w:rsid w:val="002C45C2"/>
    <w:rsid w:val="002C4E23"/>
    <w:rsid w:val="002C511C"/>
    <w:rsid w:val="002C63E1"/>
    <w:rsid w:val="002C6481"/>
    <w:rsid w:val="002C66E5"/>
    <w:rsid w:val="002C7ADD"/>
    <w:rsid w:val="002C7E28"/>
    <w:rsid w:val="002C7FF7"/>
    <w:rsid w:val="002D0264"/>
    <w:rsid w:val="002D095B"/>
    <w:rsid w:val="002D1231"/>
    <w:rsid w:val="002D15CC"/>
    <w:rsid w:val="002D1D30"/>
    <w:rsid w:val="002D1E09"/>
    <w:rsid w:val="002D20EA"/>
    <w:rsid w:val="002D245D"/>
    <w:rsid w:val="002D2BF5"/>
    <w:rsid w:val="002D30D1"/>
    <w:rsid w:val="002D31C5"/>
    <w:rsid w:val="002D3D48"/>
    <w:rsid w:val="002D4313"/>
    <w:rsid w:val="002D44D9"/>
    <w:rsid w:val="002D4B7E"/>
    <w:rsid w:val="002D55F7"/>
    <w:rsid w:val="002D5975"/>
    <w:rsid w:val="002D5DF4"/>
    <w:rsid w:val="002D67AA"/>
    <w:rsid w:val="002D7C35"/>
    <w:rsid w:val="002E00F4"/>
    <w:rsid w:val="002E1914"/>
    <w:rsid w:val="002E1956"/>
    <w:rsid w:val="002E19A2"/>
    <w:rsid w:val="002E19F3"/>
    <w:rsid w:val="002E1E82"/>
    <w:rsid w:val="002E27F6"/>
    <w:rsid w:val="002E2B3F"/>
    <w:rsid w:val="002E2B42"/>
    <w:rsid w:val="002E3AD4"/>
    <w:rsid w:val="002E401F"/>
    <w:rsid w:val="002E52C4"/>
    <w:rsid w:val="002E5911"/>
    <w:rsid w:val="002E5C87"/>
    <w:rsid w:val="002E6451"/>
    <w:rsid w:val="002E731E"/>
    <w:rsid w:val="002F026C"/>
    <w:rsid w:val="002F0AF4"/>
    <w:rsid w:val="002F10AF"/>
    <w:rsid w:val="002F1459"/>
    <w:rsid w:val="002F164F"/>
    <w:rsid w:val="002F186E"/>
    <w:rsid w:val="002F2106"/>
    <w:rsid w:val="002F22E5"/>
    <w:rsid w:val="002F2CF8"/>
    <w:rsid w:val="002F2E45"/>
    <w:rsid w:val="002F2FEF"/>
    <w:rsid w:val="002F34B4"/>
    <w:rsid w:val="002F3639"/>
    <w:rsid w:val="002F42F1"/>
    <w:rsid w:val="002F48D2"/>
    <w:rsid w:val="002F4D8F"/>
    <w:rsid w:val="002F50D6"/>
    <w:rsid w:val="002F60FB"/>
    <w:rsid w:val="002F621E"/>
    <w:rsid w:val="002F6D53"/>
    <w:rsid w:val="002F6E8C"/>
    <w:rsid w:val="002F7366"/>
    <w:rsid w:val="002F7990"/>
    <w:rsid w:val="00300C9A"/>
    <w:rsid w:val="003010A9"/>
    <w:rsid w:val="00301A75"/>
    <w:rsid w:val="003024F3"/>
    <w:rsid w:val="00303813"/>
    <w:rsid w:val="00303A7C"/>
    <w:rsid w:val="00303F1E"/>
    <w:rsid w:val="00304315"/>
    <w:rsid w:val="00304AA0"/>
    <w:rsid w:val="00304C26"/>
    <w:rsid w:val="003051D3"/>
    <w:rsid w:val="00305787"/>
    <w:rsid w:val="00305887"/>
    <w:rsid w:val="00305CD9"/>
    <w:rsid w:val="00305DCA"/>
    <w:rsid w:val="0030633A"/>
    <w:rsid w:val="003065B6"/>
    <w:rsid w:val="00306908"/>
    <w:rsid w:val="00306D97"/>
    <w:rsid w:val="00307453"/>
    <w:rsid w:val="00307869"/>
    <w:rsid w:val="003078EA"/>
    <w:rsid w:val="00307D58"/>
    <w:rsid w:val="00307E91"/>
    <w:rsid w:val="0031088C"/>
    <w:rsid w:val="00310AB6"/>
    <w:rsid w:val="00310C3A"/>
    <w:rsid w:val="0031127A"/>
    <w:rsid w:val="003113EF"/>
    <w:rsid w:val="00311E12"/>
    <w:rsid w:val="0031375C"/>
    <w:rsid w:val="00314D40"/>
    <w:rsid w:val="00314D6E"/>
    <w:rsid w:val="003155D3"/>
    <w:rsid w:val="00315BBE"/>
    <w:rsid w:val="00315BD0"/>
    <w:rsid w:val="00316158"/>
    <w:rsid w:val="00317C56"/>
    <w:rsid w:val="003206C9"/>
    <w:rsid w:val="003210F5"/>
    <w:rsid w:val="003212C4"/>
    <w:rsid w:val="0032201E"/>
    <w:rsid w:val="003233A9"/>
    <w:rsid w:val="00323834"/>
    <w:rsid w:val="003239B3"/>
    <w:rsid w:val="00324C75"/>
    <w:rsid w:val="0032562B"/>
    <w:rsid w:val="00325E78"/>
    <w:rsid w:val="00326684"/>
    <w:rsid w:val="00326AE3"/>
    <w:rsid w:val="00326FC1"/>
    <w:rsid w:val="003271BC"/>
    <w:rsid w:val="00327749"/>
    <w:rsid w:val="003304D4"/>
    <w:rsid w:val="00330C87"/>
    <w:rsid w:val="003310FC"/>
    <w:rsid w:val="00331295"/>
    <w:rsid w:val="003318D3"/>
    <w:rsid w:val="00331F16"/>
    <w:rsid w:val="00332C1D"/>
    <w:rsid w:val="003340FD"/>
    <w:rsid w:val="003341B8"/>
    <w:rsid w:val="003350BB"/>
    <w:rsid w:val="00335495"/>
    <w:rsid w:val="0033549B"/>
    <w:rsid w:val="00335700"/>
    <w:rsid w:val="003357BF"/>
    <w:rsid w:val="0033603E"/>
    <w:rsid w:val="003362DE"/>
    <w:rsid w:val="00336C64"/>
    <w:rsid w:val="00336F40"/>
    <w:rsid w:val="003379DE"/>
    <w:rsid w:val="00337B04"/>
    <w:rsid w:val="00340065"/>
    <w:rsid w:val="0034011E"/>
    <w:rsid w:val="00340367"/>
    <w:rsid w:val="0034053C"/>
    <w:rsid w:val="0034177F"/>
    <w:rsid w:val="00341914"/>
    <w:rsid w:val="0034259C"/>
    <w:rsid w:val="003432E5"/>
    <w:rsid w:val="003450CC"/>
    <w:rsid w:val="00345194"/>
    <w:rsid w:val="003455E0"/>
    <w:rsid w:val="003459AC"/>
    <w:rsid w:val="00345D72"/>
    <w:rsid w:val="00346192"/>
    <w:rsid w:val="0034621D"/>
    <w:rsid w:val="0034633E"/>
    <w:rsid w:val="003467E8"/>
    <w:rsid w:val="003468BA"/>
    <w:rsid w:val="0034695C"/>
    <w:rsid w:val="00346ABC"/>
    <w:rsid w:val="0034710D"/>
    <w:rsid w:val="0034C857"/>
    <w:rsid w:val="003500FE"/>
    <w:rsid w:val="00350B9D"/>
    <w:rsid w:val="0035111D"/>
    <w:rsid w:val="00351544"/>
    <w:rsid w:val="003515A0"/>
    <w:rsid w:val="0035185D"/>
    <w:rsid w:val="00351DB0"/>
    <w:rsid w:val="00352AC4"/>
    <w:rsid w:val="0035336E"/>
    <w:rsid w:val="003542EA"/>
    <w:rsid w:val="003552CF"/>
    <w:rsid w:val="003555F7"/>
    <w:rsid w:val="00355FF7"/>
    <w:rsid w:val="0035688F"/>
    <w:rsid w:val="00357676"/>
    <w:rsid w:val="00357900"/>
    <w:rsid w:val="00361C2C"/>
    <w:rsid w:val="00362126"/>
    <w:rsid w:val="00362287"/>
    <w:rsid w:val="0036368C"/>
    <w:rsid w:val="003636B7"/>
    <w:rsid w:val="00363F58"/>
    <w:rsid w:val="00364527"/>
    <w:rsid w:val="003648AD"/>
    <w:rsid w:val="00364DAF"/>
    <w:rsid w:val="0036505E"/>
    <w:rsid w:val="003655FA"/>
    <w:rsid w:val="00365876"/>
    <w:rsid w:val="00366C3A"/>
    <w:rsid w:val="00366F92"/>
    <w:rsid w:val="003678EE"/>
    <w:rsid w:val="00367DB2"/>
    <w:rsid w:val="00370C7C"/>
    <w:rsid w:val="0037111F"/>
    <w:rsid w:val="0037155E"/>
    <w:rsid w:val="00371572"/>
    <w:rsid w:val="003717F5"/>
    <w:rsid w:val="00371DF0"/>
    <w:rsid w:val="00372768"/>
    <w:rsid w:val="00372AF5"/>
    <w:rsid w:val="0037309D"/>
    <w:rsid w:val="003736A1"/>
    <w:rsid w:val="003740AD"/>
    <w:rsid w:val="003745CD"/>
    <w:rsid w:val="00374D18"/>
    <w:rsid w:val="00374DE4"/>
    <w:rsid w:val="003751CA"/>
    <w:rsid w:val="003769DF"/>
    <w:rsid w:val="00376EE8"/>
    <w:rsid w:val="00377895"/>
    <w:rsid w:val="003801F7"/>
    <w:rsid w:val="003806F6"/>
    <w:rsid w:val="00380BFD"/>
    <w:rsid w:val="003811D7"/>
    <w:rsid w:val="003818CA"/>
    <w:rsid w:val="00381AB7"/>
    <w:rsid w:val="00382187"/>
    <w:rsid w:val="003827E8"/>
    <w:rsid w:val="00383039"/>
    <w:rsid w:val="0038341D"/>
    <w:rsid w:val="003845E2"/>
    <w:rsid w:val="00384769"/>
    <w:rsid w:val="00384785"/>
    <w:rsid w:val="003847F6"/>
    <w:rsid w:val="0038563F"/>
    <w:rsid w:val="003857C0"/>
    <w:rsid w:val="00385B32"/>
    <w:rsid w:val="00385D9D"/>
    <w:rsid w:val="003863B9"/>
    <w:rsid w:val="003867B4"/>
    <w:rsid w:val="00386FE2"/>
    <w:rsid w:val="0038741D"/>
    <w:rsid w:val="00387B98"/>
    <w:rsid w:val="00390751"/>
    <w:rsid w:val="00390E4B"/>
    <w:rsid w:val="00390E5C"/>
    <w:rsid w:val="00391B3A"/>
    <w:rsid w:val="0039206A"/>
    <w:rsid w:val="00394C1C"/>
    <w:rsid w:val="00395AA0"/>
    <w:rsid w:val="00395AED"/>
    <w:rsid w:val="00395B5A"/>
    <w:rsid w:val="00395CE0"/>
    <w:rsid w:val="00395DA2"/>
    <w:rsid w:val="00396367"/>
    <w:rsid w:val="003965C7"/>
    <w:rsid w:val="003969E3"/>
    <w:rsid w:val="00396DE8"/>
    <w:rsid w:val="003971BD"/>
    <w:rsid w:val="0039744C"/>
    <w:rsid w:val="0039768B"/>
    <w:rsid w:val="003A0313"/>
    <w:rsid w:val="003A0EC4"/>
    <w:rsid w:val="003A147F"/>
    <w:rsid w:val="003A16D1"/>
    <w:rsid w:val="003A178C"/>
    <w:rsid w:val="003A1952"/>
    <w:rsid w:val="003A1FEC"/>
    <w:rsid w:val="003A2123"/>
    <w:rsid w:val="003A23E5"/>
    <w:rsid w:val="003A2805"/>
    <w:rsid w:val="003A29F3"/>
    <w:rsid w:val="003A2F11"/>
    <w:rsid w:val="003A2F94"/>
    <w:rsid w:val="003A3F2B"/>
    <w:rsid w:val="003A4A7B"/>
    <w:rsid w:val="003A4F7F"/>
    <w:rsid w:val="003A53F6"/>
    <w:rsid w:val="003A5466"/>
    <w:rsid w:val="003A5A49"/>
    <w:rsid w:val="003A5D63"/>
    <w:rsid w:val="003A5E14"/>
    <w:rsid w:val="003A6471"/>
    <w:rsid w:val="003A66D9"/>
    <w:rsid w:val="003A695C"/>
    <w:rsid w:val="003A6997"/>
    <w:rsid w:val="003A6BEE"/>
    <w:rsid w:val="003A7313"/>
    <w:rsid w:val="003A7905"/>
    <w:rsid w:val="003B00AF"/>
    <w:rsid w:val="003B18E5"/>
    <w:rsid w:val="003B2B04"/>
    <w:rsid w:val="003B2E0D"/>
    <w:rsid w:val="003B316B"/>
    <w:rsid w:val="003B46FC"/>
    <w:rsid w:val="003B4CA7"/>
    <w:rsid w:val="003B54AE"/>
    <w:rsid w:val="003B5DD2"/>
    <w:rsid w:val="003B60E2"/>
    <w:rsid w:val="003B6D6C"/>
    <w:rsid w:val="003B7290"/>
    <w:rsid w:val="003B7AFF"/>
    <w:rsid w:val="003B7B87"/>
    <w:rsid w:val="003B7C76"/>
    <w:rsid w:val="003B7D3B"/>
    <w:rsid w:val="003C02DE"/>
    <w:rsid w:val="003C03A6"/>
    <w:rsid w:val="003C0591"/>
    <w:rsid w:val="003C1322"/>
    <w:rsid w:val="003C1610"/>
    <w:rsid w:val="003C168F"/>
    <w:rsid w:val="003C1D09"/>
    <w:rsid w:val="003C1D81"/>
    <w:rsid w:val="003C2247"/>
    <w:rsid w:val="003C2350"/>
    <w:rsid w:val="003C264B"/>
    <w:rsid w:val="003C2836"/>
    <w:rsid w:val="003C2A7A"/>
    <w:rsid w:val="003C2B0C"/>
    <w:rsid w:val="003C2F82"/>
    <w:rsid w:val="003C3053"/>
    <w:rsid w:val="003C31D8"/>
    <w:rsid w:val="003C3E3D"/>
    <w:rsid w:val="003C4CD3"/>
    <w:rsid w:val="003C51D4"/>
    <w:rsid w:val="003C54C2"/>
    <w:rsid w:val="003C5700"/>
    <w:rsid w:val="003C57A6"/>
    <w:rsid w:val="003C5C1A"/>
    <w:rsid w:val="003C6ADA"/>
    <w:rsid w:val="003C708E"/>
    <w:rsid w:val="003C70A2"/>
    <w:rsid w:val="003C70C3"/>
    <w:rsid w:val="003C7947"/>
    <w:rsid w:val="003C7D45"/>
    <w:rsid w:val="003D0529"/>
    <w:rsid w:val="003D1C72"/>
    <w:rsid w:val="003D1DE7"/>
    <w:rsid w:val="003D220A"/>
    <w:rsid w:val="003D23DB"/>
    <w:rsid w:val="003D299D"/>
    <w:rsid w:val="003D2A85"/>
    <w:rsid w:val="003D3809"/>
    <w:rsid w:val="003D3A46"/>
    <w:rsid w:val="003D3CDD"/>
    <w:rsid w:val="003D3E8D"/>
    <w:rsid w:val="003D4284"/>
    <w:rsid w:val="003D457D"/>
    <w:rsid w:val="003D4A1B"/>
    <w:rsid w:val="003D4B36"/>
    <w:rsid w:val="003D4B37"/>
    <w:rsid w:val="003D548E"/>
    <w:rsid w:val="003D56B2"/>
    <w:rsid w:val="003D5EAD"/>
    <w:rsid w:val="003D6F1F"/>
    <w:rsid w:val="003D6F32"/>
    <w:rsid w:val="003D72A8"/>
    <w:rsid w:val="003D7A29"/>
    <w:rsid w:val="003D7B6D"/>
    <w:rsid w:val="003E0AF6"/>
    <w:rsid w:val="003E243A"/>
    <w:rsid w:val="003E26F2"/>
    <w:rsid w:val="003E2C79"/>
    <w:rsid w:val="003E3740"/>
    <w:rsid w:val="003E3808"/>
    <w:rsid w:val="003E3BE6"/>
    <w:rsid w:val="003E40A2"/>
    <w:rsid w:val="003E496E"/>
    <w:rsid w:val="003E4C59"/>
    <w:rsid w:val="003E50D9"/>
    <w:rsid w:val="003E54B8"/>
    <w:rsid w:val="003E5B21"/>
    <w:rsid w:val="003E684B"/>
    <w:rsid w:val="003E6D72"/>
    <w:rsid w:val="003E6E2A"/>
    <w:rsid w:val="003E7198"/>
    <w:rsid w:val="003E74D4"/>
    <w:rsid w:val="003E7B35"/>
    <w:rsid w:val="003F07A0"/>
    <w:rsid w:val="003F07BD"/>
    <w:rsid w:val="003F19B3"/>
    <w:rsid w:val="003F2393"/>
    <w:rsid w:val="003F239D"/>
    <w:rsid w:val="003F25A1"/>
    <w:rsid w:val="003F2FEC"/>
    <w:rsid w:val="003F31C8"/>
    <w:rsid w:val="003F36F6"/>
    <w:rsid w:val="003F402A"/>
    <w:rsid w:val="003F52A4"/>
    <w:rsid w:val="003F63FB"/>
    <w:rsid w:val="003F6FC0"/>
    <w:rsid w:val="003F78D9"/>
    <w:rsid w:val="003F796C"/>
    <w:rsid w:val="003F7E9F"/>
    <w:rsid w:val="004009DE"/>
    <w:rsid w:val="00400A21"/>
    <w:rsid w:val="00400AA8"/>
    <w:rsid w:val="00400E02"/>
    <w:rsid w:val="00401B54"/>
    <w:rsid w:val="00402425"/>
    <w:rsid w:val="00402805"/>
    <w:rsid w:val="00402B99"/>
    <w:rsid w:val="004033FE"/>
    <w:rsid w:val="00403472"/>
    <w:rsid w:val="0040355C"/>
    <w:rsid w:val="0040366A"/>
    <w:rsid w:val="004037E2"/>
    <w:rsid w:val="00403C14"/>
    <w:rsid w:val="00404463"/>
    <w:rsid w:val="00404BE9"/>
    <w:rsid w:val="0040541B"/>
    <w:rsid w:val="00405D9E"/>
    <w:rsid w:val="00406B6C"/>
    <w:rsid w:val="004071E3"/>
    <w:rsid w:val="00407305"/>
    <w:rsid w:val="0040F872"/>
    <w:rsid w:val="00410115"/>
    <w:rsid w:val="0041019A"/>
    <w:rsid w:val="00411253"/>
    <w:rsid w:val="00411A5D"/>
    <w:rsid w:val="00411C70"/>
    <w:rsid w:val="004133A2"/>
    <w:rsid w:val="00413523"/>
    <w:rsid w:val="004137BC"/>
    <w:rsid w:val="00413B47"/>
    <w:rsid w:val="00413F49"/>
    <w:rsid w:val="00414258"/>
    <w:rsid w:val="0041436A"/>
    <w:rsid w:val="00414662"/>
    <w:rsid w:val="00415912"/>
    <w:rsid w:val="004160ED"/>
    <w:rsid w:val="00416140"/>
    <w:rsid w:val="00416285"/>
    <w:rsid w:val="004168FE"/>
    <w:rsid w:val="004170DB"/>
    <w:rsid w:val="00417B81"/>
    <w:rsid w:val="004208BA"/>
    <w:rsid w:val="00420E07"/>
    <w:rsid w:val="00421038"/>
    <w:rsid w:val="004219FF"/>
    <w:rsid w:val="00421F17"/>
    <w:rsid w:val="00422572"/>
    <w:rsid w:val="004229F9"/>
    <w:rsid w:val="00422ABC"/>
    <w:rsid w:val="00423FAB"/>
    <w:rsid w:val="00424183"/>
    <w:rsid w:val="004243C3"/>
    <w:rsid w:val="00424940"/>
    <w:rsid w:val="00424E7D"/>
    <w:rsid w:val="004250BA"/>
    <w:rsid w:val="00425709"/>
    <w:rsid w:val="004258B4"/>
    <w:rsid w:val="00425E96"/>
    <w:rsid w:val="004260EA"/>
    <w:rsid w:val="00426826"/>
    <w:rsid w:val="00427202"/>
    <w:rsid w:val="00427338"/>
    <w:rsid w:val="00427D27"/>
    <w:rsid w:val="00430167"/>
    <w:rsid w:val="004311A9"/>
    <w:rsid w:val="004318A7"/>
    <w:rsid w:val="004318E1"/>
    <w:rsid w:val="00431DB8"/>
    <w:rsid w:val="00432CDA"/>
    <w:rsid w:val="0043305D"/>
    <w:rsid w:val="0043361F"/>
    <w:rsid w:val="004346A5"/>
    <w:rsid w:val="00434857"/>
    <w:rsid w:val="00434D2C"/>
    <w:rsid w:val="004355DD"/>
    <w:rsid w:val="00435677"/>
    <w:rsid w:val="00435F25"/>
    <w:rsid w:val="00436DE9"/>
    <w:rsid w:val="00436F2A"/>
    <w:rsid w:val="004401EF"/>
    <w:rsid w:val="00440930"/>
    <w:rsid w:val="00441869"/>
    <w:rsid w:val="004425B7"/>
    <w:rsid w:val="004431C9"/>
    <w:rsid w:val="00443370"/>
    <w:rsid w:val="004433EB"/>
    <w:rsid w:val="004434F2"/>
    <w:rsid w:val="0044374B"/>
    <w:rsid w:val="004438EB"/>
    <w:rsid w:val="0044392A"/>
    <w:rsid w:val="00443A8D"/>
    <w:rsid w:val="00443BAA"/>
    <w:rsid w:val="00443E4B"/>
    <w:rsid w:val="00444690"/>
    <w:rsid w:val="00445026"/>
    <w:rsid w:val="0044514D"/>
    <w:rsid w:val="00445ADC"/>
    <w:rsid w:val="00447255"/>
    <w:rsid w:val="004475A7"/>
    <w:rsid w:val="004477DC"/>
    <w:rsid w:val="00447FB7"/>
    <w:rsid w:val="00450A69"/>
    <w:rsid w:val="00451476"/>
    <w:rsid w:val="0045154F"/>
    <w:rsid w:val="00451B4B"/>
    <w:rsid w:val="0045284B"/>
    <w:rsid w:val="00452DFE"/>
    <w:rsid w:val="00452E57"/>
    <w:rsid w:val="0045349F"/>
    <w:rsid w:val="00453AA0"/>
    <w:rsid w:val="00453D29"/>
    <w:rsid w:val="004540C3"/>
    <w:rsid w:val="004547AD"/>
    <w:rsid w:val="0045517B"/>
    <w:rsid w:val="00455485"/>
    <w:rsid w:val="00456D91"/>
    <w:rsid w:val="00456EF2"/>
    <w:rsid w:val="00457257"/>
    <w:rsid w:val="0045784F"/>
    <w:rsid w:val="00457B3B"/>
    <w:rsid w:val="00460F57"/>
    <w:rsid w:val="00461CB0"/>
    <w:rsid w:val="00461DE9"/>
    <w:rsid w:val="00462070"/>
    <w:rsid w:val="004620C3"/>
    <w:rsid w:val="00462357"/>
    <w:rsid w:val="00462920"/>
    <w:rsid w:val="00462D39"/>
    <w:rsid w:val="00462F92"/>
    <w:rsid w:val="00463738"/>
    <w:rsid w:val="00463EA8"/>
    <w:rsid w:val="00463FFD"/>
    <w:rsid w:val="004646C5"/>
    <w:rsid w:val="00464E32"/>
    <w:rsid w:val="004658F9"/>
    <w:rsid w:val="00465DF3"/>
    <w:rsid w:val="004662D5"/>
    <w:rsid w:val="004664B5"/>
    <w:rsid w:val="00467075"/>
    <w:rsid w:val="00467CDF"/>
    <w:rsid w:val="00470773"/>
    <w:rsid w:val="00471868"/>
    <w:rsid w:val="004718E4"/>
    <w:rsid w:val="00471905"/>
    <w:rsid w:val="0047225F"/>
    <w:rsid w:val="0047241B"/>
    <w:rsid w:val="00472990"/>
    <w:rsid w:val="00473099"/>
    <w:rsid w:val="00473998"/>
    <w:rsid w:val="00474005"/>
    <w:rsid w:val="004744FA"/>
    <w:rsid w:val="0047456A"/>
    <w:rsid w:val="00474B4E"/>
    <w:rsid w:val="00474B7B"/>
    <w:rsid w:val="0047592F"/>
    <w:rsid w:val="00475A9C"/>
    <w:rsid w:val="00475EC0"/>
    <w:rsid w:val="004761EA"/>
    <w:rsid w:val="00476C1B"/>
    <w:rsid w:val="00477EFA"/>
    <w:rsid w:val="004800D8"/>
    <w:rsid w:val="00480299"/>
    <w:rsid w:val="004816F0"/>
    <w:rsid w:val="0048288E"/>
    <w:rsid w:val="00482AC4"/>
    <w:rsid w:val="00483B04"/>
    <w:rsid w:val="00483B74"/>
    <w:rsid w:val="0048438C"/>
    <w:rsid w:val="004849B4"/>
    <w:rsid w:val="00485DA7"/>
    <w:rsid w:val="004860D2"/>
    <w:rsid w:val="00486B41"/>
    <w:rsid w:val="004875ED"/>
    <w:rsid w:val="004904D3"/>
    <w:rsid w:val="0049081B"/>
    <w:rsid w:val="004908A6"/>
    <w:rsid w:val="00490BA7"/>
    <w:rsid w:val="00490C40"/>
    <w:rsid w:val="00490CF2"/>
    <w:rsid w:val="004911D7"/>
    <w:rsid w:val="00491270"/>
    <w:rsid w:val="00491586"/>
    <w:rsid w:val="00491734"/>
    <w:rsid w:val="00491C53"/>
    <w:rsid w:val="00492313"/>
    <w:rsid w:val="00492B61"/>
    <w:rsid w:val="00492DBE"/>
    <w:rsid w:val="00493E2B"/>
    <w:rsid w:val="004943AA"/>
    <w:rsid w:val="00494475"/>
    <w:rsid w:val="00494885"/>
    <w:rsid w:val="00495566"/>
    <w:rsid w:val="0049617D"/>
    <w:rsid w:val="0049658E"/>
    <w:rsid w:val="00496E2A"/>
    <w:rsid w:val="00496EEC"/>
    <w:rsid w:val="004970B6"/>
    <w:rsid w:val="004A0A74"/>
    <w:rsid w:val="004A0C0E"/>
    <w:rsid w:val="004A1006"/>
    <w:rsid w:val="004A13EA"/>
    <w:rsid w:val="004A143F"/>
    <w:rsid w:val="004A157E"/>
    <w:rsid w:val="004A203D"/>
    <w:rsid w:val="004A2484"/>
    <w:rsid w:val="004A264F"/>
    <w:rsid w:val="004A3165"/>
    <w:rsid w:val="004A34A9"/>
    <w:rsid w:val="004A3539"/>
    <w:rsid w:val="004A36B1"/>
    <w:rsid w:val="004A3714"/>
    <w:rsid w:val="004A37B2"/>
    <w:rsid w:val="004A3B51"/>
    <w:rsid w:val="004A3FA2"/>
    <w:rsid w:val="004A4FC5"/>
    <w:rsid w:val="004A515E"/>
    <w:rsid w:val="004A5598"/>
    <w:rsid w:val="004A5986"/>
    <w:rsid w:val="004A5F91"/>
    <w:rsid w:val="004A60BC"/>
    <w:rsid w:val="004A61AD"/>
    <w:rsid w:val="004A64F4"/>
    <w:rsid w:val="004A71ED"/>
    <w:rsid w:val="004A77AE"/>
    <w:rsid w:val="004A7C29"/>
    <w:rsid w:val="004A7CB0"/>
    <w:rsid w:val="004B07A9"/>
    <w:rsid w:val="004B112A"/>
    <w:rsid w:val="004B1348"/>
    <w:rsid w:val="004B1D14"/>
    <w:rsid w:val="004B27AC"/>
    <w:rsid w:val="004B2DE7"/>
    <w:rsid w:val="004B2FED"/>
    <w:rsid w:val="004B3118"/>
    <w:rsid w:val="004B351B"/>
    <w:rsid w:val="004B3D28"/>
    <w:rsid w:val="004B4091"/>
    <w:rsid w:val="004B4A21"/>
    <w:rsid w:val="004B4AF2"/>
    <w:rsid w:val="004B4F13"/>
    <w:rsid w:val="004B4F2D"/>
    <w:rsid w:val="004B5639"/>
    <w:rsid w:val="004B57B8"/>
    <w:rsid w:val="004B58DF"/>
    <w:rsid w:val="004B5E4E"/>
    <w:rsid w:val="004B646A"/>
    <w:rsid w:val="004B6611"/>
    <w:rsid w:val="004B6CE2"/>
    <w:rsid w:val="004B7042"/>
    <w:rsid w:val="004B727E"/>
    <w:rsid w:val="004B7E6D"/>
    <w:rsid w:val="004C0D7E"/>
    <w:rsid w:val="004C1348"/>
    <w:rsid w:val="004C13E3"/>
    <w:rsid w:val="004C19D6"/>
    <w:rsid w:val="004C1F8E"/>
    <w:rsid w:val="004C2AEF"/>
    <w:rsid w:val="004C30DE"/>
    <w:rsid w:val="004C3117"/>
    <w:rsid w:val="004C31E4"/>
    <w:rsid w:val="004C342F"/>
    <w:rsid w:val="004C3DE4"/>
    <w:rsid w:val="004C4211"/>
    <w:rsid w:val="004C4946"/>
    <w:rsid w:val="004C4C64"/>
    <w:rsid w:val="004C5605"/>
    <w:rsid w:val="004C57FF"/>
    <w:rsid w:val="004C6411"/>
    <w:rsid w:val="004D075D"/>
    <w:rsid w:val="004D0831"/>
    <w:rsid w:val="004D0A7B"/>
    <w:rsid w:val="004D0CB8"/>
    <w:rsid w:val="004D0EDF"/>
    <w:rsid w:val="004D130B"/>
    <w:rsid w:val="004D13A7"/>
    <w:rsid w:val="004D1848"/>
    <w:rsid w:val="004D1B48"/>
    <w:rsid w:val="004D2114"/>
    <w:rsid w:val="004D2271"/>
    <w:rsid w:val="004D24E5"/>
    <w:rsid w:val="004D2626"/>
    <w:rsid w:val="004D2C5C"/>
    <w:rsid w:val="004D34FB"/>
    <w:rsid w:val="004D45C7"/>
    <w:rsid w:val="004D496A"/>
    <w:rsid w:val="004D4AF8"/>
    <w:rsid w:val="004D4D9F"/>
    <w:rsid w:val="004D51B5"/>
    <w:rsid w:val="004D54B2"/>
    <w:rsid w:val="004D5825"/>
    <w:rsid w:val="004D5F40"/>
    <w:rsid w:val="004D6398"/>
    <w:rsid w:val="004D6571"/>
    <w:rsid w:val="004D6B8D"/>
    <w:rsid w:val="004D6E41"/>
    <w:rsid w:val="004D6ED6"/>
    <w:rsid w:val="004D7715"/>
    <w:rsid w:val="004E01D1"/>
    <w:rsid w:val="004E028F"/>
    <w:rsid w:val="004E02DA"/>
    <w:rsid w:val="004E0534"/>
    <w:rsid w:val="004E06B3"/>
    <w:rsid w:val="004E0831"/>
    <w:rsid w:val="004E086B"/>
    <w:rsid w:val="004E08A0"/>
    <w:rsid w:val="004E0ADC"/>
    <w:rsid w:val="004E0CB8"/>
    <w:rsid w:val="004E0D0F"/>
    <w:rsid w:val="004E1446"/>
    <w:rsid w:val="004E1AF8"/>
    <w:rsid w:val="004E1EA5"/>
    <w:rsid w:val="004E1F02"/>
    <w:rsid w:val="004E2798"/>
    <w:rsid w:val="004E299A"/>
    <w:rsid w:val="004E3254"/>
    <w:rsid w:val="004E3D59"/>
    <w:rsid w:val="004E4432"/>
    <w:rsid w:val="004E4477"/>
    <w:rsid w:val="004E4964"/>
    <w:rsid w:val="004E4C05"/>
    <w:rsid w:val="004E5026"/>
    <w:rsid w:val="004E615F"/>
    <w:rsid w:val="004E67F1"/>
    <w:rsid w:val="004E7226"/>
    <w:rsid w:val="004E7467"/>
    <w:rsid w:val="004E7D52"/>
    <w:rsid w:val="004F0B5E"/>
    <w:rsid w:val="004F0BF9"/>
    <w:rsid w:val="004F12EA"/>
    <w:rsid w:val="004F1796"/>
    <w:rsid w:val="004F17F4"/>
    <w:rsid w:val="004F1DAD"/>
    <w:rsid w:val="004F2060"/>
    <w:rsid w:val="004F379C"/>
    <w:rsid w:val="004F37EA"/>
    <w:rsid w:val="004F3A01"/>
    <w:rsid w:val="004F3BF7"/>
    <w:rsid w:val="004F4465"/>
    <w:rsid w:val="004F466C"/>
    <w:rsid w:val="004F4868"/>
    <w:rsid w:val="004F4C7A"/>
    <w:rsid w:val="004F4E50"/>
    <w:rsid w:val="004F51D8"/>
    <w:rsid w:val="004F6375"/>
    <w:rsid w:val="004F6520"/>
    <w:rsid w:val="004F69CD"/>
    <w:rsid w:val="004F75DC"/>
    <w:rsid w:val="004F78E8"/>
    <w:rsid w:val="004F7926"/>
    <w:rsid w:val="0050028C"/>
    <w:rsid w:val="00500645"/>
    <w:rsid w:val="005006B2"/>
    <w:rsid w:val="00500A4C"/>
    <w:rsid w:val="00500D54"/>
    <w:rsid w:val="0050126B"/>
    <w:rsid w:val="005014AC"/>
    <w:rsid w:val="00501A5D"/>
    <w:rsid w:val="00501A84"/>
    <w:rsid w:val="00501CEF"/>
    <w:rsid w:val="00502DE4"/>
    <w:rsid w:val="00504F68"/>
    <w:rsid w:val="0050510C"/>
    <w:rsid w:val="00505586"/>
    <w:rsid w:val="00505A41"/>
    <w:rsid w:val="00506C29"/>
    <w:rsid w:val="00507026"/>
    <w:rsid w:val="005070EA"/>
    <w:rsid w:val="005071FA"/>
    <w:rsid w:val="00507396"/>
    <w:rsid w:val="005078E9"/>
    <w:rsid w:val="0051003D"/>
    <w:rsid w:val="0051052C"/>
    <w:rsid w:val="00510A4D"/>
    <w:rsid w:val="00511672"/>
    <w:rsid w:val="00511E73"/>
    <w:rsid w:val="0051280F"/>
    <w:rsid w:val="00513366"/>
    <w:rsid w:val="0051386B"/>
    <w:rsid w:val="00514255"/>
    <w:rsid w:val="00515409"/>
    <w:rsid w:val="005162C2"/>
    <w:rsid w:val="00516641"/>
    <w:rsid w:val="00516A50"/>
    <w:rsid w:val="00517EB0"/>
    <w:rsid w:val="005201D5"/>
    <w:rsid w:val="00520532"/>
    <w:rsid w:val="005209C0"/>
    <w:rsid w:val="0052162A"/>
    <w:rsid w:val="00521D44"/>
    <w:rsid w:val="005228CD"/>
    <w:rsid w:val="00522B53"/>
    <w:rsid w:val="005230C1"/>
    <w:rsid w:val="00523638"/>
    <w:rsid w:val="00523E3D"/>
    <w:rsid w:val="00524DCB"/>
    <w:rsid w:val="005253A0"/>
    <w:rsid w:val="005257BA"/>
    <w:rsid w:val="00525E18"/>
    <w:rsid w:val="0052621D"/>
    <w:rsid w:val="00527613"/>
    <w:rsid w:val="005277C3"/>
    <w:rsid w:val="00527CB8"/>
    <w:rsid w:val="00527F26"/>
    <w:rsid w:val="0053031A"/>
    <w:rsid w:val="00530B61"/>
    <w:rsid w:val="00530CDD"/>
    <w:rsid w:val="005316B8"/>
    <w:rsid w:val="00531905"/>
    <w:rsid w:val="005322C7"/>
    <w:rsid w:val="00532B8F"/>
    <w:rsid w:val="00532FAD"/>
    <w:rsid w:val="00533524"/>
    <w:rsid w:val="005335F2"/>
    <w:rsid w:val="00533D46"/>
    <w:rsid w:val="00534030"/>
    <w:rsid w:val="005346BC"/>
    <w:rsid w:val="00534AE5"/>
    <w:rsid w:val="00535842"/>
    <w:rsid w:val="005361DB"/>
    <w:rsid w:val="0053699F"/>
    <w:rsid w:val="005401AE"/>
    <w:rsid w:val="0054101C"/>
    <w:rsid w:val="0054139A"/>
    <w:rsid w:val="005418E4"/>
    <w:rsid w:val="00541AD8"/>
    <w:rsid w:val="0054249F"/>
    <w:rsid w:val="00542F86"/>
    <w:rsid w:val="00543A5F"/>
    <w:rsid w:val="00543A87"/>
    <w:rsid w:val="00543E93"/>
    <w:rsid w:val="00544679"/>
    <w:rsid w:val="00544BAD"/>
    <w:rsid w:val="00545A63"/>
    <w:rsid w:val="00545F6A"/>
    <w:rsid w:val="005464BF"/>
    <w:rsid w:val="005476BB"/>
    <w:rsid w:val="00547D3F"/>
    <w:rsid w:val="00547EF1"/>
    <w:rsid w:val="0055058D"/>
    <w:rsid w:val="00551620"/>
    <w:rsid w:val="00551711"/>
    <w:rsid w:val="0055311A"/>
    <w:rsid w:val="00553163"/>
    <w:rsid w:val="005531A5"/>
    <w:rsid w:val="0055405A"/>
    <w:rsid w:val="005559A7"/>
    <w:rsid w:val="00555CDD"/>
    <w:rsid w:val="00555E8C"/>
    <w:rsid w:val="0055625F"/>
    <w:rsid w:val="00556260"/>
    <w:rsid w:val="00556A54"/>
    <w:rsid w:val="00556CAE"/>
    <w:rsid w:val="00557592"/>
    <w:rsid w:val="005604AB"/>
    <w:rsid w:val="00560EFD"/>
    <w:rsid w:val="00560F14"/>
    <w:rsid w:val="005614DE"/>
    <w:rsid w:val="00561701"/>
    <w:rsid w:val="00561A29"/>
    <w:rsid w:val="00562B91"/>
    <w:rsid w:val="00563526"/>
    <w:rsid w:val="0056394D"/>
    <w:rsid w:val="00563E4D"/>
    <w:rsid w:val="00564434"/>
    <w:rsid w:val="00564E38"/>
    <w:rsid w:val="00564FB8"/>
    <w:rsid w:val="005650AF"/>
    <w:rsid w:val="005652F5"/>
    <w:rsid w:val="00565427"/>
    <w:rsid w:val="00565A43"/>
    <w:rsid w:val="0056600B"/>
    <w:rsid w:val="0056608F"/>
    <w:rsid w:val="005660A7"/>
    <w:rsid w:val="00566500"/>
    <w:rsid w:val="00566F08"/>
    <w:rsid w:val="00566F4E"/>
    <w:rsid w:val="005679B8"/>
    <w:rsid w:val="00567DBF"/>
    <w:rsid w:val="0057029E"/>
    <w:rsid w:val="00570551"/>
    <w:rsid w:val="00571439"/>
    <w:rsid w:val="00571609"/>
    <w:rsid w:val="00571ADA"/>
    <w:rsid w:val="005728C8"/>
    <w:rsid w:val="005743AA"/>
    <w:rsid w:val="00574437"/>
    <w:rsid w:val="005745A5"/>
    <w:rsid w:val="00574DE1"/>
    <w:rsid w:val="00574EB9"/>
    <w:rsid w:val="0057548D"/>
    <w:rsid w:val="005757D2"/>
    <w:rsid w:val="00575AA7"/>
    <w:rsid w:val="00575D1E"/>
    <w:rsid w:val="0057625B"/>
    <w:rsid w:val="00576B68"/>
    <w:rsid w:val="00576C68"/>
    <w:rsid w:val="00576D7D"/>
    <w:rsid w:val="00576F7D"/>
    <w:rsid w:val="00577219"/>
    <w:rsid w:val="00577411"/>
    <w:rsid w:val="00577760"/>
    <w:rsid w:val="0058005E"/>
    <w:rsid w:val="00580457"/>
    <w:rsid w:val="00580750"/>
    <w:rsid w:val="005808D6"/>
    <w:rsid w:val="00581538"/>
    <w:rsid w:val="005817B0"/>
    <w:rsid w:val="005820D8"/>
    <w:rsid w:val="00582301"/>
    <w:rsid w:val="0058233E"/>
    <w:rsid w:val="00582866"/>
    <w:rsid w:val="00583086"/>
    <w:rsid w:val="00583C2B"/>
    <w:rsid w:val="00584088"/>
    <w:rsid w:val="00584423"/>
    <w:rsid w:val="00584D99"/>
    <w:rsid w:val="00585BB4"/>
    <w:rsid w:val="00586149"/>
    <w:rsid w:val="00586813"/>
    <w:rsid w:val="00586BAA"/>
    <w:rsid w:val="00586D5C"/>
    <w:rsid w:val="005901AC"/>
    <w:rsid w:val="005917EC"/>
    <w:rsid w:val="00591BFF"/>
    <w:rsid w:val="00591CD6"/>
    <w:rsid w:val="005924D4"/>
    <w:rsid w:val="00593260"/>
    <w:rsid w:val="00593969"/>
    <w:rsid w:val="00593C97"/>
    <w:rsid w:val="00593CDB"/>
    <w:rsid w:val="00593FA6"/>
    <w:rsid w:val="00594291"/>
    <w:rsid w:val="00594484"/>
    <w:rsid w:val="0059467B"/>
    <w:rsid w:val="00594C6E"/>
    <w:rsid w:val="00595B23"/>
    <w:rsid w:val="00595D48"/>
    <w:rsid w:val="00596365"/>
    <w:rsid w:val="005965F2"/>
    <w:rsid w:val="00597064"/>
    <w:rsid w:val="00597D99"/>
    <w:rsid w:val="005A0104"/>
    <w:rsid w:val="005A01BB"/>
    <w:rsid w:val="005A0D12"/>
    <w:rsid w:val="005A14E6"/>
    <w:rsid w:val="005A16B8"/>
    <w:rsid w:val="005A1782"/>
    <w:rsid w:val="005A1A5C"/>
    <w:rsid w:val="005A1A8F"/>
    <w:rsid w:val="005A1F1D"/>
    <w:rsid w:val="005A1FAB"/>
    <w:rsid w:val="005A2A49"/>
    <w:rsid w:val="005A2C94"/>
    <w:rsid w:val="005A2E7C"/>
    <w:rsid w:val="005A3767"/>
    <w:rsid w:val="005A38DD"/>
    <w:rsid w:val="005A3AA4"/>
    <w:rsid w:val="005A3F78"/>
    <w:rsid w:val="005A46B2"/>
    <w:rsid w:val="005A4AB9"/>
    <w:rsid w:val="005A51B9"/>
    <w:rsid w:val="005A5F89"/>
    <w:rsid w:val="005A61EA"/>
    <w:rsid w:val="005A66CA"/>
    <w:rsid w:val="005A6D7E"/>
    <w:rsid w:val="005A7162"/>
    <w:rsid w:val="005A72D0"/>
    <w:rsid w:val="005A7E88"/>
    <w:rsid w:val="005B0307"/>
    <w:rsid w:val="005B04A3"/>
    <w:rsid w:val="005B0858"/>
    <w:rsid w:val="005B08EA"/>
    <w:rsid w:val="005B1BB4"/>
    <w:rsid w:val="005B1FA7"/>
    <w:rsid w:val="005B233B"/>
    <w:rsid w:val="005B25DE"/>
    <w:rsid w:val="005B265A"/>
    <w:rsid w:val="005B2B78"/>
    <w:rsid w:val="005B331C"/>
    <w:rsid w:val="005B36E2"/>
    <w:rsid w:val="005B4644"/>
    <w:rsid w:val="005B4F73"/>
    <w:rsid w:val="005B50C7"/>
    <w:rsid w:val="005B5824"/>
    <w:rsid w:val="005B59EE"/>
    <w:rsid w:val="005B61C4"/>
    <w:rsid w:val="005B6DBF"/>
    <w:rsid w:val="005B73F3"/>
    <w:rsid w:val="005C0157"/>
    <w:rsid w:val="005C02FF"/>
    <w:rsid w:val="005C037E"/>
    <w:rsid w:val="005C0605"/>
    <w:rsid w:val="005C087B"/>
    <w:rsid w:val="005C1B1B"/>
    <w:rsid w:val="005C2395"/>
    <w:rsid w:val="005C259C"/>
    <w:rsid w:val="005C2A2D"/>
    <w:rsid w:val="005C2E7F"/>
    <w:rsid w:val="005C30F9"/>
    <w:rsid w:val="005C35C2"/>
    <w:rsid w:val="005C45D7"/>
    <w:rsid w:val="005C48F1"/>
    <w:rsid w:val="005C51CA"/>
    <w:rsid w:val="005C62A0"/>
    <w:rsid w:val="005C6BBA"/>
    <w:rsid w:val="005C7AD8"/>
    <w:rsid w:val="005D07EE"/>
    <w:rsid w:val="005D1B21"/>
    <w:rsid w:val="005D1D58"/>
    <w:rsid w:val="005D1D90"/>
    <w:rsid w:val="005D1FCA"/>
    <w:rsid w:val="005D2384"/>
    <w:rsid w:val="005D25E0"/>
    <w:rsid w:val="005D2BE3"/>
    <w:rsid w:val="005D3157"/>
    <w:rsid w:val="005D3A61"/>
    <w:rsid w:val="005D42E6"/>
    <w:rsid w:val="005D43F2"/>
    <w:rsid w:val="005D487C"/>
    <w:rsid w:val="005D4E61"/>
    <w:rsid w:val="005D54D4"/>
    <w:rsid w:val="005D5CE8"/>
    <w:rsid w:val="005D67D3"/>
    <w:rsid w:val="005D67FB"/>
    <w:rsid w:val="005D6B51"/>
    <w:rsid w:val="005D6CF6"/>
    <w:rsid w:val="005D7474"/>
    <w:rsid w:val="005D7632"/>
    <w:rsid w:val="005D7825"/>
    <w:rsid w:val="005D7AF5"/>
    <w:rsid w:val="005D7B0C"/>
    <w:rsid w:val="005E0090"/>
    <w:rsid w:val="005E0F5F"/>
    <w:rsid w:val="005E109F"/>
    <w:rsid w:val="005E13C9"/>
    <w:rsid w:val="005E15C7"/>
    <w:rsid w:val="005E1EEC"/>
    <w:rsid w:val="005E288C"/>
    <w:rsid w:val="005E3972"/>
    <w:rsid w:val="005E3E92"/>
    <w:rsid w:val="005E4254"/>
    <w:rsid w:val="005E437C"/>
    <w:rsid w:val="005E4535"/>
    <w:rsid w:val="005E4711"/>
    <w:rsid w:val="005E4F92"/>
    <w:rsid w:val="005E5F99"/>
    <w:rsid w:val="005E64CA"/>
    <w:rsid w:val="005F0179"/>
    <w:rsid w:val="005F041C"/>
    <w:rsid w:val="005F07E4"/>
    <w:rsid w:val="005F0BB8"/>
    <w:rsid w:val="005F100C"/>
    <w:rsid w:val="005F1708"/>
    <w:rsid w:val="005F1A9F"/>
    <w:rsid w:val="005F1AC4"/>
    <w:rsid w:val="005F1ED6"/>
    <w:rsid w:val="005F2EE1"/>
    <w:rsid w:val="005F35D8"/>
    <w:rsid w:val="005F466A"/>
    <w:rsid w:val="005F4C2D"/>
    <w:rsid w:val="005F4FE8"/>
    <w:rsid w:val="005F5485"/>
    <w:rsid w:val="005F6502"/>
    <w:rsid w:val="005F6719"/>
    <w:rsid w:val="005F70E4"/>
    <w:rsid w:val="005F7342"/>
    <w:rsid w:val="005F7E4D"/>
    <w:rsid w:val="006003D7"/>
    <w:rsid w:val="00600525"/>
    <w:rsid w:val="0060076E"/>
    <w:rsid w:val="00600ED7"/>
    <w:rsid w:val="00601FEB"/>
    <w:rsid w:val="00602A35"/>
    <w:rsid w:val="00603533"/>
    <w:rsid w:val="00603E76"/>
    <w:rsid w:val="00604046"/>
    <w:rsid w:val="006042C3"/>
    <w:rsid w:val="0060476F"/>
    <w:rsid w:val="00605022"/>
    <w:rsid w:val="006051E3"/>
    <w:rsid w:val="006058C9"/>
    <w:rsid w:val="0060638A"/>
    <w:rsid w:val="00606860"/>
    <w:rsid w:val="00606CA8"/>
    <w:rsid w:val="00607D16"/>
    <w:rsid w:val="00607D1C"/>
    <w:rsid w:val="00607E4A"/>
    <w:rsid w:val="0061020B"/>
    <w:rsid w:val="006109FE"/>
    <w:rsid w:val="00610E26"/>
    <w:rsid w:val="00610EAC"/>
    <w:rsid w:val="006110DE"/>
    <w:rsid w:val="006115C4"/>
    <w:rsid w:val="0061194C"/>
    <w:rsid w:val="00611E17"/>
    <w:rsid w:val="0061212D"/>
    <w:rsid w:val="00612794"/>
    <w:rsid w:val="006129A6"/>
    <w:rsid w:val="0061306F"/>
    <w:rsid w:val="00614AF5"/>
    <w:rsid w:val="00615335"/>
    <w:rsid w:val="00615BD8"/>
    <w:rsid w:val="00615F46"/>
    <w:rsid w:val="00616944"/>
    <w:rsid w:val="00616E9F"/>
    <w:rsid w:val="00617C57"/>
    <w:rsid w:val="0062033B"/>
    <w:rsid w:val="00620493"/>
    <w:rsid w:val="006204AE"/>
    <w:rsid w:val="006211F4"/>
    <w:rsid w:val="00621C39"/>
    <w:rsid w:val="00621D59"/>
    <w:rsid w:val="0062208A"/>
    <w:rsid w:val="00622EF5"/>
    <w:rsid w:val="006232B1"/>
    <w:rsid w:val="00623846"/>
    <w:rsid w:val="00623AF9"/>
    <w:rsid w:val="00623C62"/>
    <w:rsid w:val="00624105"/>
    <w:rsid w:val="00624757"/>
    <w:rsid w:val="00624CF9"/>
    <w:rsid w:val="006253BF"/>
    <w:rsid w:val="00625A53"/>
    <w:rsid w:val="006262CA"/>
    <w:rsid w:val="00626566"/>
    <w:rsid w:val="0062760A"/>
    <w:rsid w:val="006276FC"/>
    <w:rsid w:val="00630600"/>
    <w:rsid w:val="00631256"/>
    <w:rsid w:val="006312A2"/>
    <w:rsid w:val="006312FA"/>
    <w:rsid w:val="0063134A"/>
    <w:rsid w:val="00631B3C"/>
    <w:rsid w:val="00631C39"/>
    <w:rsid w:val="00631E33"/>
    <w:rsid w:val="00632999"/>
    <w:rsid w:val="00632CF0"/>
    <w:rsid w:val="006330B8"/>
    <w:rsid w:val="006332DC"/>
    <w:rsid w:val="00633485"/>
    <w:rsid w:val="0063356C"/>
    <w:rsid w:val="00633F54"/>
    <w:rsid w:val="006340C6"/>
    <w:rsid w:val="0063469C"/>
    <w:rsid w:val="00635CED"/>
    <w:rsid w:val="00635D92"/>
    <w:rsid w:val="006362AF"/>
    <w:rsid w:val="0063666D"/>
    <w:rsid w:val="006368CD"/>
    <w:rsid w:val="00636BD3"/>
    <w:rsid w:val="00637328"/>
    <w:rsid w:val="00637709"/>
    <w:rsid w:val="006408EA"/>
    <w:rsid w:val="006411C4"/>
    <w:rsid w:val="00641A1E"/>
    <w:rsid w:val="006426B5"/>
    <w:rsid w:val="00642BB2"/>
    <w:rsid w:val="00642E62"/>
    <w:rsid w:val="00643206"/>
    <w:rsid w:val="0064347B"/>
    <w:rsid w:val="00643EA4"/>
    <w:rsid w:val="006440BC"/>
    <w:rsid w:val="006441CD"/>
    <w:rsid w:val="006443FB"/>
    <w:rsid w:val="00644464"/>
    <w:rsid w:val="00644E64"/>
    <w:rsid w:val="00645E0A"/>
    <w:rsid w:val="00645F03"/>
    <w:rsid w:val="0064687D"/>
    <w:rsid w:val="00646918"/>
    <w:rsid w:val="00646DC7"/>
    <w:rsid w:val="00646DE3"/>
    <w:rsid w:val="00646F5C"/>
    <w:rsid w:val="00647CD0"/>
    <w:rsid w:val="00650484"/>
    <w:rsid w:val="00650861"/>
    <w:rsid w:val="006509E0"/>
    <w:rsid w:val="00650BF4"/>
    <w:rsid w:val="00650EC5"/>
    <w:rsid w:val="006511E7"/>
    <w:rsid w:val="00651311"/>
    <w:rsid w:val="00651AE0"/>
    <w:rsid w:val="006522D3"/>
    <w:rsid w:val="00652F27"/>
    <w:rsid w:val="00653455"/>
    <w:rsid w:val="0065367F"/>
    <w:rsid w:val="0065379F"/>
    <w:rsid w:val="006538F3"/>
    <w:rsid w:val="00654579"/>
    <w:rsid w:val="00655305"/>
    <w:rsid w:val="0065580E"/>
    <w:rsid w:val="0065617A"/>
    <w:rsid w:val="006562AB"/>
    <w:rsid w:val="00656899"/>
    <w:rsid w:val="00657164"/>
    <w:rsid w:val="00657FDC"/>
    <w:rsid w:val="006601E1"/>
    <w:rsid w:val="00660755"/>
    <w:rsid w:val="00660EFA"/>
    <w:rsid w:val="00661D4B"/>
    <w:rsid w:val="006621E9"/>
    <w:rsid w:val="0066263B"/>
    <w:rsid w:val="00662908"/>
    <w:rsid w:val="00662C62"/>
    <w:rsid w:val="0066309A"/>
    <w:rsid w:val="0066385F"/>
    <w:rsid w:val="00663F87"/>
    <w:rsid w:val="00664588"/>
    <w:rsid w:val="006645CC"/>
    <w:rsid w:val="00664C1F"/>
    <w:rsid w:val="0066664C"/>
    <w:rsid w:val="006666C0"/>
    <w:rsid w:val="00666CAB"/>
    <w:rsid w:val="00666D00"/>
    <w:rsid w:val="00666D64"/>
    <w:rsid w:val="00666D90"/>
    <w:rsid w:val="00666D91"/>
    <w:rsid w:val="00666DD3"/>
    <w:rsid w:val="00667484"/>
    <w:rsid w:val="00667865"/>
    <w:rsid w:val="006706E3"/>
    <w:rsid w:val="0067093F"/>
    <w:rsid w:val="00670C5B"/>
    <w:rsid w:val="00670DCE"/>
    <w:rsid w:val="00670E69"/>
    <w:rsid w:val="00670F4A"/>
    <w:rsid w:val="00671006"/>
    <w:rsid w:val="00671943"/>
    <w:rsid w:val="006722F6"/>
    <w:rsid w:val="00672914"/>
    <w:rsid w:val="0067291A"/>
    <w:rsid w:val="00672AB2"/>
    <w:rsid w:val="00673421"/>
    <w:rsid w:val="0067399C"/>
    <w:rsid w:val="006745FB"/>
    <w:rsid w:val="00674751"/>
    <w:rsid w:val="00675894"/>
    <w:rsid w:val="006758FC"/>
    <w:rsid w:val="00676653"/>
    <w:rsid w:val="00676B06"/>
    <w:rsid w:val="0067710B"/>
    <w:rsid w:val="00677134"/>
    <w:rsid w:val="006773BF"/>
    <w:rsid w:val="0067785A"/>
    <w:rsid w:val="00680501"/>
    <w:rsid w:val="00680D6D"/>
    <w:rsid w:val="006811E5"/>
    <w:rsid w:val="00681315"/>
    <w:rsid w:val="006813F9"/>
    <w:rsid w:val="006816A5"/>
    <w:rsid w:val="00681818"/>
    <w:rsid w:val="006819D4"/>
    <w:rsid w:val="00682A37"/>
    <w:rsid w:val="00682A5A"/>
    <w:rsid w:val="00682C52"/>
    <w:rsid w:val="00682CC9"/>
    <w:rsid w:val="0068313C"/>
    <w:rsid w:val="00683205"/>
    <w:rsid w:val="00683B19"/>
    <w:rsid w:val="00683D4E"/>
    <w:rsid w:val="00684619"/>
    <w:rsid w:val="00684FDD"/>
    <w:rsid w:val="006859CC"/>
    <w:rsid w:val="00686078"/>
    <w:rsid w:val="00686237"/>
    <w:rsid w:val="006864F7"/>
    <w:rsid w:val="0068799F"/>
    <w:rsid w:val="00690350"/>
    <w:rsid w:val="006913DF"/>
    <w:rsid w:val="00691FFC"/>
    <w:rsid w:val="0069265A"/>
    <w:rsid w:val="0069369B"/>
    <w:rsid w:val="0069418A"/>
    <w:rsid w:val="00695350"/>
    <w:rsid w:val="00695AD9"/>
    <w:rsid w:val="00695E95"/>
    <w:rsid w:val="00696D40"/>
    <w:rsid w:val="00697029"/>
    <w:rsid w:val="006977AC"/>
    <w:rsid w:val="00697D18"/>
    <w:rsid w:val="00697E3B"/>
    <w:rsid w:val="00697E98"/>
    <w:rsid w:val="006A01EB"/>
    <w:rsid w:val="006A0C25"/>
    <w:rsid w:val="006A1257"/>
    <w:rsid w:val="006A2BE6"/>
    <w:rsid w:val="006A3789"/>
    <w:rsid w:val="006A3885"/>
    <w:rsid w:val="006A3F84"/>
    <w:rsid w:val="006A417A"/>
    <w:rsid w:val="006A44E4"/>
    <w:rsid w:val="006A473A"/>
    <w:rsid w:val="006A4B6D"/>
    <w:rsid w:val="006A4DB1"/>
    <w:rsid w:val="006A5A22"/>
    <w:rsid w:val="006A6983"/>
    <w:rsid w:val="006A6A5B"/>
    <w:rsid w:val="006A6BA7"/>
    <w:rsid w:val="006A6DCE"/>
    <w:rsid w:val="006A6EE8"/>
    <w:rsid w:val="006A7191"/>
    <w:rsid w:val="006A761F"/>
    <w:rsid w:val="006A79E1"/>
    <w:rsid w:val="006A7D6A"/>
    <w:rsid w:val="006A7DC5"/>
    <w:rsid w:val="006A7FE2"/>
    <w:rsid w:val="006B00EB"/>
    <w:rsid w:val="006B0192"/>
    <w:rsid w:val="006B0F54"/>
    <w:rsid w:val="006B115C"/>
    <w:rsid w:val="006B2031"/>
    <w:rsid w:val="006B22DF"/>
    <w:rsid w:val="006B2782"/>
    <w:rsid w:val="006B27B7"/>
    <w:rsid w:val="006B28B5"/>
    <w:rsid w:val="006B2D75"/>
    <w:rsid w:val="006B3291"/>
    <w:rsid w:val="006B359E"/>
    <w:rsid w:val="006B35A9"/>
    <w:rsid w:val="006B3732"/>
    <w:rsid w:val="006B3EC6"/>
    <w:rsid w:val="006B45F8"/>
    <w:rsid w:val="006B468B"/>
    <w:rsid w:val="006B4780"/>
    <w:rsid w:val="006B486C"/>
    <w:rsid w:val="006B498C"/>
    <w:rsid w:val="006B5703"/>
    <w:rsid w:val="006B5D33"/>
    <w:rsid w:val="006B5F02"/>
    <w:rsid w:val="006B64D6"/>
    <w:rsid w:val="006B691C"/>
    <w:rsid w:val="006B6A23"/>
    <w:rsid w:val="006B6BC9"/>
    <w:rsid w:val="006B7BFF"/>
    <w:rsid w:val="006C072E"/>
    <w:rsid w:val="006C17C6"/>
    <w:rsid w:val="006C1D82"/>
    <w:rsid w:val="006C2C37"/>
    <w:rsid w:val="006C2FB2"/>
    <w:rsid w:val="006C3295"/>
    <w:rsid w:val="006C3CCD"/>
    <w:rsid w:val="006C3F9C"/>
    <w:rsid w:val="006C3FF6"/>
    <w:rsid w:val="006C4D61"/>
    <w:rsid w:val="006C5042"/>
    <w:rsid w:val="006C5186"/>
    <w:rsid w:val="006C549B"/>
    <w:rsid w:val="006C5D26"/>
    <w:rsid w:val="006C601A"/>
    <w:rsid w:val="006C60BB"/>
    <w:rsid w:val="006C60C9"/>
    <w:rsid w:val="006C63ED"/>
    <w:rsid w:val="006C6544"/>
    <w:rsid w:val="006C6719"/>
    <w:rsid w:val="006C6846"/>
    <w:rsid w:val="006C6B70"/>
    <w:rsid w:val="006C7171"/>
    <w:rsid w:val="006D0ABC"/>
    <w:rsid w:val="006D0ADE"/>
    <w:rsid w:val="006D0B96"/>
    <w:rsid w:val="006D1E83"/>
    <w:rsid w:val="006D290D"/>
    <w:rsid w:val="006D3C07"/>
    <w:rsid w:val="006D3FF9"/>
    <w:rsid w:val="006D4C2D"/>
    <w:rsid w:val="006D4F37"/>
    <w:rsid w:val="006D51AD"/>
    <w:rsid w:val="006D5AD1"/>
    <w:rsid w:val="006D5D2D"/>
    <w:rsid w:val="006D6907"/>
    <w:rsid w:val="006D6EF9"/>
    <w:rsid w:val="006D6F75"/>
    <w:rsid w:val="006D7E7E"/>
    <w:rsid w:val="006D7F65"/>
    <w:rsid w:val="006E0346"/>
    <w:rsid w:val="006E0A48"/>
    <w:rsid w:val="006E164A"/>
    <w:rsid w:val="006E2130"/>
    <w:rsid w:val="006E21CF"/>
    <w:rsid w:val="006E3C65"/>
    <w:rsid w:val="006E4630"/>
    <w:rsid w:val="006E465F"/>
    <w:rsid w:val="006E49E3"/>
    <w:rsid w:val="006E5274"/>
    <w:rsid w:val="006E5A0E"/>
    <w:rsid w:val="006E6500"/>
    <w:rsid w:val="006E6CB8"/>
    <w:rsid w:val="006E72D3"/>
    <w:rsid w:val="006E7465"/>
    <w:rsid w:val="006E7741"/>
    <w:rsid w:val="006E7797"/>
    <w:rsid w:val="006F00FD"/>
    <w:rsid w:val="006F0BC6"/>
    <w:rsid w:val="006F12C0"/>
    <w:rsid w:val="006F1886"/>
    <w:rsid w:val="006F22A4"/>
    <w:rsid w:val="006F2B86"/>
    <w:rsid w:val="006F32D5"/>
    <w:rsid w:val="006F3C00"/>
    <w:rsid w:val="006F3E32"/>
    <w:rsid w:val="006F4BCF"/>
    <w:rsid w:val="006F4C8D"/>
    <w:rsid w:val="006F5A26"/>
    <w:rsid w:val="006F5F0A"/>
    <w:rsid w:val="006F5F48"/>
    <w:rsid w:val="006F5F6E"/>
    <w:rsid w:val="006F5F7B"/>
    <w:rsid w:val="006F6235"/>
    <w:rsid w:val="006F6CAF"/>
    <w:rsid w:val="006F7305"/>
    <w:rsid w:val="006F7386"/>
    <w:rsid w:val="006F755B"/>
    <w:rsid w:val="006F7A9E"/>
    <w:rsid w:val="006F7F98"/>
    <w:rsid w:val="0070018F"/>
    <w:rsid w:val="00700542"/>
    <w:rsid w:val="00700A55"/>
    <w:rsid w:val="00700CAA"/>
    <w:rsid w:val="00700CD1"/>
    <w:rsid w:val="007012DA"/>
    <w:rsid w:val="00701359"/>
    <w:rsid w:val="0070194B"/>
    <w:rsid w:val="00701A82"/>
    <w:rsid w:val="00701B89"/>
    <w:rsid w:val="00701C47"/>
    <w:rsid w:val="0070283A"/>
    <w:rsid w:val="00703196"/>
    <w:rsid w:val="00703B1A"/>
    <w:rsid w:val="007041C3"/>
    <w:rsid w:val="00704AE0"/>
    <w:rsid w:val="00704E61"/>
    <w:rsid w:val="00704EE9"/>
    <w:rsid w:val="007059EE"/>
    <w:rsid w:val="007065D0"/>
    <w:rsid w:val="00706D50"/>
    <w:rsid w:val="00707435"/>
    <w:rsid w:val="00707E06"/>
    <w:rsid w:val="0071021D"/>
    <w:rsid w:val="0071082B"/>
    <w:rsid w:val="00710C4A"/>
    <w:rsid w:val="0071120E"/>
    <w:rsid w:val="00711534"/>
    <w:rsid w:val="00711698"/>
    <w:rsid w:val="00711A14"/>
    <w:rsid w:val="0071217C"/>
    <w:rsid w:val="00712270"/>
    <w:rsid w:val="00712C5B"/>
    <w:rsid w:val="00712EA5"/>
    <w:rsid w:val="00713433"/>
    <w:rsid w:val="0071349F"/>
    <w:rsid w:val="007136C3"/>
    <w:rsid w:val="00713D47"/>
    <w:rsid w:val="00713DC7"/>
    <w:rsid w:val="007151AA"/>
    <w:rsid w:val="0071529A"/>
    <w:rsid w:val="007152A4"/>
    <w:rsid w:val="007156B9"/>
    <w:rsid w:val="00715D5A"/>
    <w:rsid w:val="00716314"/>
    <w:rsid w:val="00716859"/>
    <w:rsid w:val="0071706C"/>
    <w:rsid w:val="007171A0"/>
    <w:rsid w:val="007173CA"/>
    <w:rsid w:val="0071751F"/>
    <w:rsid w:val="00717793"/>
    <w:rsid w:val="00717BE3"/>
    <w:rsid w:val="00717E22"/>
    <w:rsid w:val="00717E38"/>
    <w:rsid w:val="00717E90"/>
    <w:rsid w:val="00717ECC"/>
    <w:rsid w:val="00720079"/>
    <w:rsid w:val="00720254"/>
    <w:rsid w:val="00720416"/>
    <w:rsid w:val="007219AE"/>
    <w:rsid w:val="00721FDC"/>
    <w:rsid w:val="00722314"/>
    <w:rsid w:val="007239B0"/>
    <w:rsid w:val="00723A38"/>
    <w:rsid w:val="00723F21"/>
    <w:rsid w:val="00724354"/>
    <w:rsid w:val="0072484C"/>
    <w:rsid w:val="00724C50"/>
    <w:rsid w:val="00724DC4"/>
    <w:rsid w:val="00724E59"/>
    <w:rsid w:val="00725366"/>
    <w:rsid w:val="00725BF1"/>
    <w:rsid w:val="0072626F"/>
    <w:rsid w:val="00726970"/>
    <w:rsid w:val="00726E56"/>
    <w:rsid w:val="00726ED5"/>
    <w:rsid w:val="00727342"/>
    <w:rsid w:val="00727535"/>
    <w:rsid w:val="00727556"/>
    <w:rsid w:val="0073071B"/>
    <w:rsid w:val="00732B8A"/>
    <w:rsid w:val="00732C86"/>
    <w:rsid w:val="00732CE2"/>
    <w:rsid w:val="00732FC4"/>
    <w:rsid w:val="007347BF"/>
    <w:rsid w:val="00734E46"/>
    <w:rsid w:val="00735235"/>
    <w:rsid w:val="007355C9"/>
    <w:rsid w:val="00735A3A"/>
    <w:rsid w:val="00735FAF"/>
    <w:rsid w:val="00735FB0"/>
    <w:rsid w:val="00737400"/>
    <w:rsid w:val="0073762B"/>
    <w:rsid w:val="007377BE"/>
    <w:rsid w:val="007407C4"/>
    <w:rsid w:val="007409DC"/>
    <w:rsid w:val="00740CA5"/>
    <w:rsid w:val="00741992"/>
    <w:rsid w:val="00741FF7"/>
    <w:rsid w:val="00742CC4"/>
    <w:rsid w:val="00743644"/>
    <w:rsid w:val="00743A74"/>
    <w:rsid w:val="00744BC2"/>
    <w:rsid w:val="00744CE8"/>
    <w:rsid w:val="007450B0"/>
    <w:rsid w:val="007457F0"/>
    <w:rsid w:val="00745C54"/>
    <w:rsid w:val="00745FD5"/>
    <w:rsid w:val="00746D33"/>
    <w:rsid w:val="00746E3D"/>
    <w:rsid w:val="007472FE"/>
    <w:rsid w:val="00750CDC"/>
    <w:rsid w:val="00750CF4"/>
    <w:rsid w:val="00751C89"/>
    <w:rsid w:val="00751F57"/>
    <w:rsid w:val="00751FE3"/>
    <w:rsid w:val="0075226A"/>
    <w:rsid w:val="00752468"/>
    <w:rsid w:val="0075255D"/>
    <w:rsid w:val="007525D9"/>
    <w:rsid w:val="0075286A"/>
    <w:rsid w:val="0075299A"/>
    <w:rsid w:val="0075320D"/>
    <w:rsid w:val="00753E53"/>
    <w:rsid w:val="00754FA1"/>
    <w:rsid w:val="007558CA"/>
    <w:rsid w:val="00755AB5"/>
    <w:rsid w:val="007576F0"/>
    <w:rsid w:val="007577EE"/>
    <w:rsid w:val="00757BD5"/>
    <w:rsid w:val="00760140"/>
    <w:rsid w:val="007605AB"/>
    <w:rsid w:val="00761AB1"/>
    <w:rsid w:val="00764FFD"/>
    <w:rsid w:val="007652DE"/>
    <w:rsid w:val="007653E9"/>
    <w:rsid w:val="007654C7"/>
    <w:rsid w:val="00765A1E"/>
    <w:rsid w:val="00766EC2"/>
    <w:rsid w:val="007679CE"/>
    <w:rsid w:val="00767B92"/>
    <w:rsid w:val="00767FCD"/>
    <w:rsid w:val="007708C0"/>
    <w:rsid w:val="00771142"/>
    <w:rsid w:val="0077257C"/>
    <w:rsid w:val="00772964"/>
    <w:rsid w:val="00773154"/>
    <w:rsid w:val="007732EA"/>
    <w:rsid w:val="007736CF"/>
    <w:rsid w:val="00773998"/>
    <w:rsid w:val="00774039"/>
    <w:rsid w:val="0077432A"/>
    <w:rsid w:val="00774AE5"/>
    <w:rsid w:val="00774D2D"/>
    <w:rsid w:val="00775448"/>
    <w:rsid w:val="007762B3"/>
    <w:rsid w:val="00777481"/>
    <w:rsid w:val="007779F4"/>
    <w:rsid w:val="007802A1"/>
    <w:rsid w:val="0078079E"/>
    <w:rsid w:val="00780960"/>
    <w:rsid w:val="00780E5A"/>
    <w:rsid w:val="00780FE1"/>
    <w:rsid w:val="007813A2"/>
    <w:rsid w:val="00781551"/>
    <w:rsid w:val="00782426"/>
    <w:rsid w:val="00783160"/>
    <w:rsid w:val="00783435"/>
    <w:rsid w:val="00783BFC"/>
    <w:rsid w:val="00784266"/>
    <w:rsid w:val="007848C5"/>
    <w:rsid w:val="00785688"/>
    <w:rsid w:val="00785A21"/>
    <w:rsid w:val="00786B84"/>
    <w:rsid w:val="0078735F"/>
    <w:rsid w:val="00787DCC"/>
    <w:rsid w:val="007911B2"/>
    <w:rsid w:val="007913E0"/>
    <w:rsid w:val="00791785"/>
    <w:rsid w:val="0079209D"/>
    <w:rsid w:val="0079262B"/>
    <w:rsid w:val="007928AB"/>
    <w:rsid w:val="00793069"/>
    <w:rsid w:val="00793AE3"/>
    <w:rsid w:val="007945D7"/>
    <w:rsid w:val="00794746"/>
    <w:rsid w:val="00794E4C"/>
    <w:rsid w:val="0079523B"/>
    <w:rsid w:val="00795BFA"/>
    <w:rsid w:val="00796490"/>
    <w:rsid w:val="0079761E"/>
    <w:rsid w:val="007977E7"/>
    <w:rsid w:val="007A0132"/>
    <w:rsid w:val="007A0915"/>
    <w:rsid w:val="007A0BDA"/>
    <w:rsid w:val="007A1778"/>
    <w:rsid w:val="007A272D"/>
    <w:rsid w:val="007A28F3"/>
    <w:rsid w:val="007A2DE3"/>
    <w:rsid w:val="007A3A9F"/>
    <w:rsid w:val="007A40E7"/>
    <w:rsid w:val="007A4382"/>
    <w:rsid w:val="007A4D07"/>
    <w:rsid w:val="007A4F49"/>
    <w:rsid w:val="007A54B8"/>
    <w:rsid w:val="007A59A5"/>
    <w:rsid w:val="007A6058"/>
    <w:rsid w:val="007A693F"/>
    <w:rsid w:val="007A6F1D"/>
    <w:rsid w:val="007A72D6"/>
    <w:rsid w:val="007A77A3"/>
    <w:rsid w:val="007A7A10"/>
    <w:rsid w:val="007A7EBC"/>
    <w:rsid w:val="007B06DB"/>
    <w:rsid w:val="007B0B9E"/>
    <w:rsid w:val="007B1458"/>
    <w:rsid w:val="007B2449"/>
    <w:rsid w:val="007B2764"/>
    <w:rsid w:val="007B2D76"/>
    <w:rsid w:val="007B2DD3"/>
    <w:rsid w:val="007B35B0"/>
    <w:rsid w:val="007B369A"/>
    <w:rsid w:val="007B407E"/>
    <w:rsid w:val="007B46FC"/>
    <w:rsid w:val="007B4F43"/>
    <w:rsid w:val="007B502C"/>
    <w:rsid w:val="007B5C64"/>
    <w:rsid w:val="007B6425"/>
    <w:rsid w:val="007B6C51"/>
    <w:rsid w:val="007B725F"/>
    <w:rsid w:val="007B73AA"/>
    <w:rsid w:val="007C036F"/>
    <w:rsid w:val="007C05CA"/>
    <w:rsid w:val="007C06F0"/>
    <w:rsid w:val="007C08AE"/>
    <w:rsid w:val="007C14F2"/>
    <w:rsid w:val="007C17B2"/>
    <w:rsid w:val="007C1C0A"/>
    <w:rsid w:val="007C287F"/>
    <w:rsid w:val="007C28C3"/>
    <w:rsid w:val="007C3D1F"/>
    <w:rsid w:val="007C3EB7"/>
    <w:rsid w:val="007C3FEA"/>
    <w:rsid w:val="007C479A"/>
    <w:rsid w:val="007C5446"/>
    <w:rsid w:val="007C558B"/>
    <w:rsid w:val="007C578D"/>
    <w:rsid w:val="007C584E"/>
    <w:rsid w:val="007C5BE0"/>
    <w:rsid w:val="007C5DD9"/>
    <w:rsid w:val="007C63CB"/>
    <w:rsid w:val="007C657A"/>
    <w:rsid w:val="007C6687"/>
    <w:rsid w:val="007C68C7"/>
    <w:rsid w:val="007C6995"/>
    <w:rsid w:val="007C6EDF"/>
    <w:rsid w:val="007C7553"/>
    <w:rsid w:val="007D0256"/>
    <w:rsid w:val="007D02AE"/>
    <w:rsid w:val="007D04F9"/>
    <w:rsid w:val="007D0D68"/>
    <w:rsid w:val="007D0D87"/>
    <w:rsid w:val="007D0E2B"/>
    <w:rsid w:val="007D126F"/>
    <w:rsid w:val="007D1A63"/>
    <w:rsid w:val="007D216C"/>
    <w:rsid w:val="007D21B4"/>
    <w:rsid w:val="007D24E7"/>
    <w:rsid w:val="007D2A9E"/>
    <w:rsid w:val="007D2F63"/>
    <w:rsid w:val="007D3358"/>
    <w:rsid w:val="007D346B"/>
    <w:rsid w:val="007D3906"/>
    <w:rsid w:val="007D3931"/>
    <w:rsid w:val="007D3CEE"/>
    <w:rsid w:val="007D412F"/>
    <w:rsid w:val="007D50DF"/>
    <w:rsid w:val="007D5990"/>
    <w:rsid w:val="007D5D0A"/>
    <w:rsid w:val="007D6805"/>
    <w:rsid w:val="007D721A"/>
    <w:rsid w:val="007D77E6"/>
    <w:rsid w:val="007D78C0"/>
    <w:rsid w:val="007D797D"/>
    <w:rsid w:val="007E0742"/>
    <w:rsid w:val="007E08A0"/>
    <w:rsid w:val="007E122E"/>
    <w:rsid w:val="007E15F6"/>
    <w:rsid w:val="007E1EA5"/>
    <w:rsid w:val="007E21E1"/>
    <w:rsid w:val="007E31C4"/>
    <w:rsid w:val="007E346F"/>
    <w:rsid w:val="007E3999"/>
    <w:rsid w:val="007E3A50"/>
    <w:rsid w:val="007E3CA7"/>
    <w:rsid w:val="007E436A"/>
    <w:rsid w:val="007E43B0"/>
    <w:rsid w:val="007E4A24"/>
    <w:rsid w:val="007E4A6E"/>
    <w:rsid w:val="007E4CAB"/>
    <w:rsid w:val="007E51FA"/>
    <w:rsid w:val="007E53BF"/>
    <w:rsid w:val="007E5764"/>
    <w:rsid w:val="007E6B3E"/>
    <w:rsid w:val="007E6D9D"/>
    <w:rsid w:val="007E72E7"/>
    <w:rsid w:val="007E7990"/>
    <w:rsid w:val="007F0404"/>
    <w:rsid w:val="007F04F3"/>
    <w:rsid w:val="007F092E"/>
    <w:rsid w:val="007F0C25"/>
    <w:rsid w:val="007F1435"/>
    <w:rsid w:val="007F1442"/>
    <w:rsid w:val="007F1746"/>
    <w:rsid w:val="007F2648"/>
    <w:rsid w:val="007F2850"/>
    <w:rsid w:val="007F2B8C"/>
    <w:rsid w:val="007F31B7"/>
    <w:rsid w:val="007F390A"/>
    <w:rsid w:val="007F3BB7"/>
    <w:rsid w:val="007F3D67"/>
    <w:rsid w:val="007F3DFB"/>
    <w:rsid w:val="007F50DD"/>
    <w:rsid w:val="007F59D9"/>
    <w:rsid w:val="007F6AF7"/>
    <w:rsid w:val="007F79DB"/>
    <w:rsid w:val="007F7F39"/>
    <w:rsid w:val="0080083C"/>
    <w:rsid w:val="00801FF1"/>
    <w:rsid w:val="008022F8"/>
    <w:rsid w:val="008023E0"/>
    <w:rsid w:val="00802902"/>
    <w:rsid w:val="00802A1C"/>
    <w:rsid w:val="008030F5"/>
    <w:rsid w:val="00803248"/>
    <w:rsid w:val="008038AF"/>
    <w:rsid w:val="00803F94"/>
    <w:rsid w:val="00804798"/>
    <w:rsid w:val="00805436"/>
    <w:rsid w:val="00805F0D"/>
    <w:rsid w:val="00806242"/>
    <w:rsid w:val="00806C8C"/>
    <w:rsid w:val="00806CD5"/>
    <w:rsid w:val="00806E36"/>
    <w:rsid w:val="00806EE3"/>
    <w:rsid w:val="00810512"/>
    <w:rsid w:val="008109A6"/>
    <w:rsid w:val="00811207"/>
    <w:rsid w:val="008115F3"/>
    <w:rsid w:val="0081161B"/>
    <w:rsid w:val="00811B40"/>
    <w:rsid w:val="008121CD"/>
    <w:rsid w:val="008124DF"/>
    <w:rsid w:val="008126CC"/>
    <w:rsid w:val="008130A8"/>
    <w:rsid w:val="00813147"/>
    <w:rsid w:val="00813DA8"/>
    <w:rsid w:val="008141E9"/>
    <w:rsid w:val="00814781"/>
    <w:rsid w:val="0081520C"/>
    <w:rsid w:val="00815649"/>
    <w:rsid w:val="00816B56"/>
    <w:rsid w:val="00820465"/>
    <w:rsid w:val="008204BB"/>
    <w:rsid w:val="008206C4"/>
    <w:rsid w:val="00820BA8"/>
    <w:rsid w:val="00821582"/>
    <w:rsid w:val="0082213D"/>
    <w:rsid w:val="0082250A"/>
    <w:rsid w:val="008226EF"/>
    <w:rsid w:val="008234D7"/>
    <w:rsid w:val="00823BAA"/>
    <w:rsid w:val="008242BD"/>
    <w:rsid w:val="00824D55"/>
    <w:rsid w:val="00825276"/>
    <w:rsid w:val="00825458"/>
    <w:rsid w:val="008258FA"/>
    <w:rsid w:val="00825A79"/>
    <w:rsid w:val="00825FFC"/>
    <w:rsid w:val="008268B0"/>
    <w:rsid w:val="008274C3"/>
    <w:rsid w:val="008275DA"/>
    <w:rsid w:val="00827E7E"/>
    <w:rsid w:val="008307B6"/>
    <w:rsid w:val="00830A98"/>
    <w:rsid w:val="00831125"/>
    <w:rsid w:val="008316C8"/>
    <w:rsid w:val="00831B48"/>
    <w:rsid w:val="008323CD"/>
    <w:rsid w:val="00833152"/>
    <w:rsid w:val="00833C79"/>
    <w:rsid w:val="0083428F"/>
    <w:rsid w:val="008348C3"/>
    <w:rsid w:val="00835007"/>
    <w:rsid w:val="00835785"/>
    <w:rsid w:val="00835B82"/>
    <w:rsid w:val="00836484"/>
    <w:rsid w:val="00836A60"/>
    <w:rsid w:val="00837139"/>
    <w:rsid w:val="00837C34"/>
    <w:rsid w:val="00841025"/>
    <w:rsid w:val="00841467"/>
    <w:rsid w:val="00841913"/>
    <w:rsid w:val="0084197E"/>
    <w:rsid w:val="00842045"/>
    <w:rsid w:val="00842273"/>
    <w:rsid w:val="0084277A"/>
    <w:rsid w:val="00842C4F"/>
    <w:rsid w:val="00842F08"/>
    <w:rsid w:val="00843110"/>
    <w:rsid w:val="008440CE"/>
    <w:rsid w:val="008442CB"/>
    <w:rsid w:val="00844B65"/>
    <w:rsid w:val="0084655B"/>
    <w:rsid w:val="008473C4"/>
    <w:rsid w:val="00850161"/>
    <w:rsid w:val="008502FF"/>
    <w:rsid w:val="00850335"/>
    <w:rsid w:val="0085096C"/>
    <w:rsid w:val="00850E34"/>
    <w:rsid w:val="00850E55"/>
    <w:rsid w:val="008511F4"/>
    <w:rsid w:val="00851701"/>
    <w:rsid w:val="008517AB"/>
    <w:rsid w:val="00851902"/>
    <w:rsid w:val="008529B9"/>
    <w:rsid w:val="00852EE4"/>
    <w:rsid w:val="00854D81"/>
    <w:rsid w:val="0085535B"/>
    <w:rsid w:val="008557DF"/>
    <w:rsid w:val="00856016"/>
    <w:rsid w:val="0085612E"/>
    <w:rsid w:val="008563A1"/>
    <w:rsid w:val="00856ED4"/>
    <w:rsid w:val="008572A0"/>
    <w:rsid w:val="00857D64"/>
    <w:rsid w:val="00860AB9"/>
    <w:rsid w:val="00861799"/>
    <w:rsid w:val="00862AD3"/>
    <w:rsid w:val="00863169"/>
    <w:rsid w:val="00863816"/>
    <w:rsid w:val="0086387B"/>
    <w:rsid w:val="00863C38"/>
    <w:rsid w:val="00863D9C"/>
    <w:rsid w:val="00863EF1"/>
    <w:rsid w:val="00863FE9"/>
    <w:rsid w:val="0086469F"/>
    <w:rsid w:val="008647F2"/>
    <w:rsid w:val="008652BB"/>
    <w:rsid w:val="00866125"/>
    <w:rsid w:val="00866B64"/>
    <w:rsid w:val="008701F4"/>
    <w:rsid w:val="008703FF"/>
    <w:rsid w:val="00870883"/>
    <w:rsid w:val="0087116B"/>
    <w:rsid w:val="00871D4C"/>
    <w:rsid w:val="008722A8"/>
    <w:rsid w:val="00872455"/>
    <w:rsid w:val="0087297C"/>
    <w:rsid w:val="00872A7E"/>
    <w:rsid w:val="00873008"/>
    <w:rsid w:val="00873C41"/>
    <w:rsid w:val="00873D73"/>
    <w:rsid w:val="00873F8D"/>
    <w:rsid w:val="00873FF4"/>
    <w:rsid w:val="00875F31"/>
    <w:rsid w:val="00875F50"/>
    <w:rsid w:val="008760BE"/>
    <w:rsid w:val="008765BB"/>
    <w:rsid w:val="008774E8"/>
    <w:rsid w:val="00877A42"/>
    <w:rsid w:val="0088002E"/>
    <w:rsid w:val="00880775"/>
    <w:rsid w:val="008811B2"/>
    <w:rsid w:val="008816A7"/>
    <w:rsid w:val="008816DC"/>
    <w:rsid w:val="008824B8"/>
    <w:rsid w:val="00882524"/>
    <w:rsid w:val="00882857"/>
    <w:rsid w:val="00882D48"/>
    <w:rsid w:val="00882D8A"/>
    <w:rsid w:val="008834E5"/>
    <w:rsid w:val="008839ED"/>
    <w:rsid w:val="00883A77"/>
    <w:rsid w:val="00883E92"/>
    <w:rsid w:val="00884404"/>
    <w:rsid w:val="0088483C"/>
    <w:rsid w:val="008849A9"/>
    <w:rsid w:val="00884D35"/>
    <w:rsid w:val="00884EB5"/>
    <w:rsid w:val="00885043"/>
    <w:rsid w:val="00885109"/>
    <w:rsid w:val="008851A9"/>
    <w:rsid w:val="00885240"/>
    <w:rsid w:val="008853DD"/>
    <w:rsid w:val="0088590B"/>
    <w:rsid w:val="008862FC"/>
    <w:rsid w:val="008863FA"/>
    <w:rsid w:val="008864BA"/>
    <w:rsid w:val="00886EC1"/>
    <w:rsid w:val="00887113"/>
    <w:rsid w:val="00887223"/>
    <w:rsid w:val="00887AB0"/>
    <w:rsid w:val="00887D67"/>
    <w:rsid w:val="00890015"/>
    <w:rsid w:val="008903BE"/>
    <w:rsid w:val="00890F29"/>
    <w:rsid w:val="008916D9"/>
    <w:rsid w:val="0089263D"/>
    <w:rsid w:val="0089308D"/>
    <w:rsid w:val="00893B78"/>
    <w:rsid w:val="00893E18"/>
    <w:rsid w:val="008940B9"/>
    <w:rsid w:val="00894424"/>
    <w:rsid w:val="008948CD"/>
    <w:rsid w:val="00894A9F"/>
    <w:rsid w:val="00894C95"/>
    <w:rsid w:val="00894D23"/>
    <w:rsid w:val="008951FA"/>
    <w:rsid w:val="00895453"/>
    <w:rsid w:val="00895D81"/>
    <w:rsid w:val="00895DB6"/>
    <w:rsid w:val="00895EF1"/>
    <w:rsid w:val="00896518"/>
    <w:rsid w:val="00896625"/>
    <w:rsid w:val="00896676"/>
    <w:rsid w:val="00896D85"/>
    <w:rsid w:val="008971AF"/>
    <w:rsid w:val="008973B9"/>
    <w:rsid w:val="0089762A"/>
    <w:rsid w:val="00897C1E"/>
    <w:rsid w:val="008A0EB0"/>
    <w:rsid w:val="008A0FCA"/>
    <w:rsid w:val="008A1122"/>
    <w:rsid w:val="008A1772"/>
    <w:rsid w:val="008A17F0"/>
    <w:rsid w:val="008A1A78"/>
    <w:rsid w:val="008A1CCC"/>
    <w:rsid w:val="008A1E8E"/>
    <w:rsid w:val="008A1F4F"/>
    <w:rsid w:val="008A2143"/>
    <w:rsid w:val="008A243B"/>
    <w:rsid w:val="008A254E"/>
    <w:rsid w:val="008A29F3"/>
    <w:rsid w:val="008A2BBA"/>
    <w:rsid w:val="008A2C58"/>
    <w:rsid w:val="008A347C"/>
    <w:rsid w:val="008A3607"/>
    <w:rsid w:val="008A3E67"/>
    <w:rsid w:val="008A3FBE"/>
    <w:rsid w:val="008A43C2"/>
    <w:rsid w:val="008A4513"/>
    <w:rsid w:val="008A4CE6"/>
    <w:rsid w:val="008A4D95"/>
    <w:rsid w:val="008A5940"/>
    <w:rsid w:val="008A5D11"/>
    <w:rsid w:val="008A656C"/>
    <w:rsid w:val="008B04F3"/>
    <w:rsid w:val="008B16D8"/>
    <w:rsid w:val="008B1977"/>
    <w:rsid w:val="008B2249"/>
    <w:rsid w:val="008B2898"/>
    <w:rsid w:val="008B2E03"/>
    <w:rsid w:val="008B3025"/>
    <w:rsid w:val="008B370F"/>
    <w:rsid w:val="008B3B7D"/>
    <w:rsid w:val="008B3CE5"/>
    <w:rsid w:val="008B4516"/>
    <w:rsid w:val="008B5377"/>
    <w:rsid w:val="008B5C45"/>
    <w:rsid w:val="008B600C"/>
    <w:rsid w:val="008B6433"/>
    <w:rsid w:val="008B6E39"/>
    <w:rsid w:val="008C0FFB"/>
    <w:rsid w:val="008C114B"/>
    <w:rsid w:val="008C1BCC"/>
    <w:rsid w:val="008C1FBD"/>
    <w:rsid w:val="008C2B58"/>
    <w:rsid w:val="008C2C1D"/>
    <w:rsid w:val="008C2C72"/>
    <w:rsid w:val="008C308F"/>
    <w:rsid w:val="008C3304"/>
    <w:rsid w:val="008C3767"/>
    <w:rsid w:val="008C418C"/>
    <w:rsid w:val="008C4D64"/>
    <w:rsid w:val="008C4E66"/>
    <w:rsid w:val="008C58E7"/>
    <w:rsid w:val="008C72A4"/>
    <w:rsid w:val="008C74CF"/>
    <w:rsid w:val="008C75A2"/>
    <w:rsid w:val="008C7C1E"/>
    <w:rsid w:val="008C7E7C"/>
    <w:rsid w:val="008D03E7"/>
    <w:rsid w:val="008D0F0E"/>
    <w:rsid w:val="008D17E6"/>
    <w:rsid w:val="008D242F"/>
    <w:rsid w:val="008D26EB"/>
    <w:rsid w:val="008D2852"/>
    <w:rsid w:val="008D29E0"/>
    <w:rsid w:val="008D310D"/>
    <w:rsid w:val="008D3468"/>
    <w:rsid w:val="008D36E8"/>
    <w:rsid w:val="008D3824"/>
    <w:rsid w:val="008D4399"/>
    <w:rsid w:val="008D4646"/>
    <w:rsid w:val="008D5290"/>
    <w:rsid w:val="008D5E6A"/>
    <w:rsid w:val="008D60D0"/>
    <w:rsid w:val="008D85E9"/>
    <w:rsid w:val="008E0FE7"/>
    <w:rsid w:val="008E1992"/>
    <w:rsid w:val="008E22A7"/>
    <w:rsid w:val="008E309E"/>
    <w:rsid w:val="008E3579"/>
    <w:rsid w:val="008E4080"/>
    <w:rsid w:val="008E4419"/>
    <w:rsid w:val="008E4CEC"/>
    <w:rsid w:val="008E505C"/>
    <w:rsid w:val="008E564A"/>
    <w:rsid w:val="008E5DFF"/>
    <w:rsid w:val="008E5E02"/>
    <w:rsid w:val="008E6666"/>
    <w:rsid w:val="008E6B40"/>
    <w:rsid w:val="008E78E1"/>
    <w:rsid w:val="008F0615"/>
    <w:rsid w:val="008F0EF4"/>
    <w:rsid w:val="008F14C6"/>
    <w:rsid w:val="008F2244"/>
    <w:rsid w:val="008F2D06"/>
    <w:rsid w:val="008F2DBD"/>
    <w:rsid w:val="008F3234"/>
    <w:rsid w:val="008F3495"/>
    <w:rsid w:val="008F44F0"/>
    <w:rsid w:val="008F4E3A"/>
    <w:rsid w:val="008F5F6B"/>
    <w:rsid w:val="008F643F"/>
    <w:rsid w:val="008F78B6"/>
    <w:rsid w:val="008F7D2C"/>
    <w:rsid w:val="008F7F25"/>
    <w:rsid w:val="00900B1B"/>
    <w:rsid w:val="00901020"/>
    <w:rsid w:val="00901C86"/>
    <w:rsid w:val="0090245F"/>
    <w:rsid w:val="0090259F"/>
    <w:rsid w:val="00902B99"/>
    <w:rsid w:val="0090399F"/>
    <w:rsid w:val="009039BC"/>
    <w:rsid w:val="00903CB1"/>
    <w:rsid w:val="00903CC1"/>
    <w:rsid w:val="00903F1A"/>
    <w:rsid w:val="00904C89"/>
    <w:rsid w:val="00904DE4"/>
    <w:rsid w:val="009051B9"/>
    <w:rsid w:val="009058E5"/>
    <w:rsid w:val="00905BC0"/>
    <w:rsid w:val="00906114"/>
    <w:rsid w:val="00906AD9"/>
    <w:rsid w:val="00906ADD"/>
    <w:rsid w:val="00906E0D"/>
    <w:rsid w:val="009071D0"/>
    <w:rsid w:val="00907423"/>
    <w:rsid w:val="009077F5"/>
    <w:rsid w:val="00907AA2"/>
    <w:rsid w:val="009101E5"/>
    <w:rsid w:val="009107D2"/>
    <w:rsid w:val="00910BFF"/>
    <w:rsid w:val="00911353"/>
    <w:rsid w:val="00911922"/>
    <w:rsid w:val="00911970"/>
    <w:rsid w:val="009119AB"/>
    <w:rsid w:val="00911AAD"/>
    <w:rsid w:val="0091274D"/>
    <w:rsid w:val="00913758"/>
    <w:rsid w:val="00913A15"/>
    <w:rsid w:val="00914144"/>
    <w:rsid w:val="00914B64"/>
    <w:rsid w:val="00915998"/>
    <w:rsid w:val="0092011A"/>
    <w:rsid w:val="00920378"/>
    <w:rsid w:val="00920996"/>
    <w:rsid w:val="009209FE"/>
    <w:rsid w:val="00920A8D"/>
    <w:rsid w:val="00920AC7"/>
    <w:rsid w:val="009211BB"/>
    <w:rsid w:val="0092192C"/>
    <w:rsid w:val="00921A83"/>
    <w:rsid w:val="00921EA9"/>
    <w:rsid w:val="0092206F"/>
    <w:rsid w:val="00922766"/>
    <w:rsid w:val="00922EFE"/>
    <w:rsid w:val="0092341C"/>
    <w:rsid w:val="00923571"/>
    <w:rsid w:val="00923E35"/>
    <w:rsid w:val="0092444C"/>
    <w:rsid w:val="009250DB"/>
    <w:rsid w:val="00925E8D"/>
    <w:rsid w:val="00926418"/>
    <w:rsid w:val="00927F8B"/>
    <w:rsid w:val="00931108"/>
    <w:rsid w:val="009315AE"/>
    <w:rsid w:val="009315FE"/>
    <w:rsid w:val="00932058"/>
    <w:rsid w:val="0093275F"/>
    <w:rsid w:val="00932D1D"/>
    <w:rsid w:val="00933433"/>
    <w:rsid w:val="009334D1"/>
    <w:rsid w:val="00933F28"/>
    <w:rsid w:val="009342B9"/>
    <w:rsid w:val="00934A44"/>
    <w:rsid w:val="00934B3E"/>
    <w:rsid w:val="00935AC3"/>
    <w:rsid w:val="009360B2"/>
    <w:rsid w:val="009369D4"/>
    <w:rsid w:val="00936F4D"/>
    <w:rsid w:val="0093714E"/>
    <w:rsid w:val="0093791D"/>
    <w:rsid w:val="00940536"/>
    <w:rsid w:val="00941544"/>
    <w:rsid w:val="00941B3C"/>
    <w:rsid w:val="00942744"/>
    <w:rsid w:val="00943761"/>
    <w:rsid w:val="00944335"/>
    <w:rsid w:val="00944757"/>
    <w:rsid w:val="00944F7C"/>
    <w:rsid w:val="009458E0"/>
    <w:rsid w:val="00945FD0"/>
    <w:rsid w:val="0094628D"/>
    <w:rsid w:val="00946435"/>
    <w:rsid w:val="00946444"/>
    <w:rsid w:val="009468CC"/>
    <w:rsid w:val="00946BA9"/>
    <w:rsid w:val="00946DAF"/>
    <w:rsid w:val="00947012"/>
    <w:rsid w:val="009470CA"/>
    <w:rsid w:val="00947E32"/>
    <w:rsid w:val="0095097A"/>
    <w:rsid w:val="00950F8A"/>
    <w:rsid w:val="009510FB"/>
    <w:rsid w:val="0095157A"/>
    <w:rsid w:val="00951984"/>
    <w:rsid w:val="0095294C"/>
    <w:rsid w:val="00954224"/>
    <w:rsid w:val="00954EB1"/>
    <w:rsid w:val="00955160"/>
    <w:rsid w:val="00956958"/>
    <w:rsid w:val="009574E4"/>
    <w:rsid w:val="00957505"/>
    <w:rsid w:val="00960F06"/>
    <w:rsid w:val="0096162D"/>
    <w:rsid w:val="00961DA4"/>
    <w:rsid w:val="00962916"/>
    <w:rsid w:val="0096310A"/>
    <w:rsid w:val="009637A5"/>
    <w:rsid w:val="00963A5D"/>
    <w:rsid w:val="00963C48"/>
    <w:rsid w:val="009640E8"/>
    <w:rsid w:val="00964A32"/>
    <w:rsid w:val="00964C8A"/>
    <w:rsid w:val="009650AF"/>
    <w:rsid w:val="00965183"/>
    <w:rsid w:val="0096539C"/>
    <w:rsid w:val="00966194"/>
    <w:rsid w:val="009661C6"/>
    <w:rsid w:val="00966DE9"/>
    <w:rsid w:val="0096727E"/>
    <w:rsid w:val="00967315"/>
    <w:rsid w:val="00967390"/>
    <w:rsid w:val="00967AA9"/>
    <w:rsid w:val="00970195"/>
    <w:rsid w:val="00970E86"/>
    <w:rsid w:val="009710C1"/>
    <w:rsid w:val="009715D9"/>
    <w:rsid w:val="00971D5E"/>
    <w:rsid w:val="00971F04"/>
    <w:rsid w:val="00972120"/>
    <w:rsid w:val="00972263"/>
    <w:rsid w:val="009726E9"/>
    <w:rsid w:val="00972994"/>
    <w:rsid w:val="00972E33"/>
    <w:rsid w:val="00973356"/>
    <w:rsid w:val="00973645"/>
    <w:rsid w:val="00973C88"/>
    <w:rsid w:val="0097427A"/>
    <w:rsid w:val="00974362"/>
    <w:rsid w:val="00974AF2"/>
    <w:rsid w:val="00974C3C"/>
    <w:rsid w:val="00974CC4"/>
    <w:rsid w:val="009753C0"/>
    <w:rsid w:val="0097540B"/>
    <w:rsid w:val="0097637D"/>
    <w:rsid w:val="009763FC"/>
    <w:rsid w:val="00976656"/>
    <w:rsid w:val="00976B57"/>
    <w:rsid w:val="009771A5"/>
    <w:rsid w:val="00977CB8"/>
    <w:rsid w:val="00980360"/>
    <w:rsid w:val="00980448"/>
    <w:rsid w:val="0098078E"/>
    <w:rsid w:val="0098096A"/>
    <w:rsid w:val="00981408"/>
    <w:rsid w:val="009815C3"/>
    <w:rsid w:val="009817E2"/>
    <w:rsid w:val="00981947"/>
    <w:rsid w:val="00981D3C"/>
    <w:rsid w:val="00981EF6"/>
    <w:rsid w:val="00982C34"/>
    <w:rsid w:val="00982CB1"/>
    <w:rsid w:val="00982EEA"/>
    <w:rsid w:val="00982F5B"/>
    <w:rsid w:val="00983A0C"/>
    <w:rsid w:val="00983AE3"/>
    <w:rsid w:val="00985058"/>
    <w:rsid w:val="009856E0"/>
    <w:rsid w:val="009857C8"/>
    <w:rsid w:val="00985B7B"/>
    <w:rsid w:val="00985DF2"/>
    <w:rsid w:val="0098624C"/>
    <w:rsid w:val="00986B93"/>
    <w:rsid w:val="00986D96"/>
    <w:rsid w:val="00987419"/>
    <w:rsid w:val="00987819"/>
    <w:rsid w:val="0098785F"/>
    <w:rsid w:val="0098795B"/>
    <w:rsid w:val="00990811"/>
    <w:rsid w:val="00990BC5"/>
    <w:rsid w:val="009910B0"/>
    <w:rsid w:val="00991446"/>
    <w:rsid w:val="00992F90"/>
    <w:rsid w:val="0099336A"/>
    <w:rsid w:val="009938AF"/>
    <w:rsid w:val="009939D8"/>
    <w:rsid w:val="00993B85"/>
    <w:rsid w:val="00994087"/>
    <w:rsid w:val="009942E5"/>
    <w:rsid w:val="009946FC"/>
    <w:rsid w:val="00994846"/>
    <w:rsid w:val="00994E68"/>
    <w:rsid w:val="009950E0"/>
    <w:rsid w:val="00996150"/>
    <w:rsid w:val="00996953"/>
    <w:rsid w:val="00996BEA"/>
    <w:rsid w:val="00996ED0"/>
    <w:rsid w:val="009978F2"/>
    <w:rsid w:val="00997913"/>
    <w:rsid w:val="00997A2C"/>
    <w:rsid w:val="00997F1A"/>
    <w:rsid w:val="009A034A"/>
    <w:rsid w:val="009A04CB"/>
    <w:rsid w:val="009A0F6B"/>
    <w:rsid w:val="009A1A9A"/>
    <w:rsid w:val="009A1D8D"/>
    <w:rsid w:val="009A2201"/>
    <w:rsid w:val="009A2A06"/>
    <w:rsid w:val="009A3512"/>
    <w:rsid w:val="009A36DD"/>
    <w:rsid w:val="009A390E"/>
    <w:rsid w:val="009A48DD"/>
    <w:rsid w:val="009A4EBC"/>
    <w:rsid w:val="009A50F2"/>
    <w:rsid w:val="009A5162"/>
    <w:rsid w:val="009A688F"/>
    <w:rsid w:val="009A69FB"/>
    <w:rsid w:val="009A7CDB"/>
    <w:rsid w:val="009A7DA0"/>
    <w:rsid w:val="009AADA1"/>
    <w:rsid w:val="009B0258"/>
    <w:rsid w:val="009B18C4"/>
    <w:rsid w:val="009B1BAC"/>
    <w:rsid w:val="009B2D02"/>
    <w:rsid w:val="009B37DF"/>
    <w:rsid w:val="009B3986"/>
    <w:rsid w:val="009B4174"/>
    <w:rsid w:val="009B4C2F"/>
    <w:rsid w:val="009B5D85"/>
    <w:rsid w:val="009B5E29"/>
    <w:rsid w:val="009B673F"/>
    <w:rsid w:val="009B7229"/>
    <w:rsid w:val="009B7F26"/>
    <w:rsid w:val="009C0000"/>
    <w:rsid w:val="009C00AE"/>
    <w:rsid w:val="009C02B7"/>
    <w:rsid w:val="009C2056"/>
    <w:rsid w:val="009C2155"/>
    <w:rsid w:val="009C33A6"/>
    <w:rsid w:val="009C3BC5"/>
    <w:rsid w:val="009C3D2D"/>
    <w:rsid w:val="009C3FDB"/>
    <w:rsid w:val="009C40F0"/>
    <w:rsid w:val="009C413A"/>
    <w:rsid w:val="009C6363"/>
    <w:rsid w:val="009C681C"/>
    <w:rsid w:val="009C6AC0"/>
    <w:rsid w:val="009C6ED8"/>
    <w:rsid w:val="009C7A0F"/>
    <w:rsid w:val="009C7B04"/>
    <w:rsid w:val="009D005C"/>
    <w:rsid w:val="009D031E"/>
    <w:rsid w:val="009D07AD"/>
    <w:rsid w:val="009D17DB"/>
    <w:rsid w:val="009D1B7E"/>
    <w:rsid w:val="009D1CFC"/>
    <w:rsid w:val="009D1F31"/>
    <w:rsid w:val="009D214C"/>
    <w:rsid w:val="009D2D86"/>
    <w:rsid w:val="009D30BF"/>
    <w:rsid w:val="009D326F"/>
    <w:rsid w:val="009D3483"/>
    <w:rsid w:val="009D3914"/>
    <w:rsid w:val="009D41B8"/>
    <w:rsid w:val="009D4251"/>
    <w:rsid w:val="009D4F7B"/>
    <w:rsid w:val="009D5164"/>
    <w:rsid w:val="009D53C6"/>
    <w:rsid w:val="009D5B76"/>
    <w:rsid w:val="009D5B78"/>
    <w:rsid w:val="009D6328"/>
    <w:rsid w:val="009D63A8"/>
    <w:rsid w:val="009D6AB1"/>
    <w:rsid w:val="009D6B69"/>
    <w:rsid w:val="009D7233"/>
    <w:rsid w:val="009D7561"/>
    <w:rsid w:val="009D7CC3"/>
    <w:rsid w:val="009E0215"/>
    <w:rsid w:val="009E0B9C"/>
    <w:rsid w:val="009E1796"/>
    <w:rsid w:val="009E17C3"/>
    <w:rsid w:val="009E1A6C"/>
    <w:rsid w:val="009E22F2"/>
    <w:rsid w:val="009E2325"/>
    <w:rsid w:val="009E23A0"/>
    <w:rsid w:val="009E2841"/>
    <w:rsid w:val="009E2969"/>
    <w:rsid w:val="009E2CC4"/>
    <w:rsid w:val="009E3279"/>
    <w:rsid w:val="009E32D5"/>
    <w:rsid w:val="009E332F"/>
    <w:rsid w:val="009E3654"/>
    <w:rsid w:val="009E3C9D"/>
    <w:rsid w:val="009E408B"/>
    <w:rsid w:val="009E4153"/>
    <w:rsid w:val="009E44CA"/>
    <w:rsid w:val="009E4B69"/>
    <w:rsid w:val="009E4E83"/>
    <w:rsid w:val="009E5B04"/>
    <w:rsid w:val="009E60BA"/>
    <w:rsid w:val="009E6789"/>
    <w:rsid w:val="009E6D7C"/>
    <w:rsid w:val="009E6E5E"/>
    <w:rsid w:val="009E7354"/>
    <w:rsid w:val="009E7887"/>
    <w:rsid w:val="009F0156"/>
    <w:rsid w:val="009F022E"/>
    <w:rsid w:val="009F12CC"/>
    <w:rsid w:val="009F1F6C"/>
    <w:rsid w:val="009F2E34"/>
    <w:rsid w:val="009F2F08"/>
    <w:rsid w:val="009F3196"/>
    <w:rsid w:val="009F3397"/>
    <w:rsid w:val="009F34A9"/>
    <w:rsid w:val="009F3FF0"/>
    <w:rsid w:val="009F4201"/>
    <w:rsid w:val="009F474C"/>
    <w:rsid w:val="009F48ED"/>
    <w:rsid w:val="009F4CA3"/>
    <w:rsid w:val="009F4D0E"/>
    <w:rsid w:val="009F5BF0"/>
    <w:rsid w:val="009F5F5A"/>
    <w:rsid w:val="009F6C8D"/>
    <w:rsid w:val="009F6DA9"/>
    <w:rsid w:val="00A0004B"/>
    <w:rsid w:val="00A014E4"/>
    <w:rsid w:val="00A0220E"/>
    <w:rsid w:val="00A02A4E"/>
    <w:rsid w:val="00A02DA4"/>
    <w:rsid w:val="00A03B43"/>
    <w:rsid w:val="00A03F80"/>
    <w:rsid w:val="00A04053"/>
    <w:rsid w:val="00A0413F"/>
    <w:rsid w:val="00A041B0"/>
    <w:rsid w:val="00A04439"/>
    <w:rsid w:val="00A056A3"/>
    <w:rsid w:val="00A059D4"/>
    <w:rsid w:val="00A05B1A"/>
    <w:rsid w:val="00A05E09"/>
    <w:rsid w:val="00A0698B"/>
    <w:rsid w:val="00A06AB9"/>
    <w:rsid w:val="00A07461"/>
    <w:rsid w:val="00A07511"/>
    <w:rsid w:val="00A07B9E"/>
    <w:rsid w:val="00A07C76"/>
    <w:rsid w:val="00A100C3"/>
    <w:rsid w:val="00A10215"/>
    <w:rsid w:val="00A1078A"/>
    <w:rsid w:val="00A109F0"/>
    <w:rsid w:val="00A10B48"/>
    <w:rsid w:val="00A1101C"/>
    <w:rsid w:val="00A119E1"/>
    <w:rsid w:val="00A11F05"/>
    <w:rsid w:val="00A12882"/>
    <w:rsid w:val="00A12906"/>
    <w:rsid w:val="00A12C9C"/>
    <w:rsid w:val="00A132FE"/>
    <w:rsid w:val="00A135E4"/>
    <w:rsid w:val="00A13B8C"/>
    <w:rsid w:val="00A13F01"/>
    <w:rsid w:val="00A13F90"/>
    <w:rsid w:val="00A148CF"/>
    <w:rsid w:val="00A14E2C"/>
    <w:rsid w:val="00A1527F"/>
    <w:rsid w:val="00A153E3"/>
    <w:rsid w:val="00A16C4B"/>
    <w:rsid w:val="00A17EB0"/>
    <w:rsid w:val="00A20865"/>
    <w:rsid w:val="00A2113A"/>
    <w:rsid w:val="00A21638"/>
    <w:rsid w:val="00A216C6"/>
    <w:rsid w:val="00A21A5A"/>
    <w:rsid w:val="00A221C8"/>
    <w:rsid w:val="00A22A15"/>
    <w:rsid w:val="00A231D1"/>
    <w:rsid w:val="00A237DA"/>
    <w:rsid w:val="00A23821"/>
    <w:rsid w:val="00A242B7"/>
    <w:rsid w:val="00A243E7"/>
    <w:rsid w:val="00A244C5"/>
    <w:rsid w:val="00A2472D"/>
    <w:rsid w:val="00A2476C"/>
    <w:rsid w:val="00A24E22"/>
    <w:rsid w:val="00A2557A"/>
    <w:rsid w:val="00A25A16"/>
    <w:rsid w:val="00A25B2B"/>
    <w:rsid w:val="00A27B4C"/>
    <w:rsid w:val="00A27E34"/>
    <w:rsid w:val="00A27EB7"/>
    <w:rsid w:val="00A27F69"/>
    <w:rsid w:val="00A307DD"/>
    <w:rsid w:val="00A31B1A"/>
    <w:rsid w:val="00A31C8A"/>
    <w:rsid w:val="00A32357"/>
    <w:rsid w:val="00A32496"/>
    <w:rsid w:val="00A3272B"/>
    <w:rsid w:val="00A32DE4"/>
    <w:rsid w:val="00A331C8"/>
    <w:rsid w:val="00A336E2"/>
    <w:rsid w:val="00A351E0"/>
    <w:rsid w:val="00A35362"/>
    <w:rsid w:val="00A353D4"/>
    <w:rsid w:val="00A365F9"/>
    <w:rsid w:val="00A3728D"/>
    <w:rsid w:val="00A37368"/>
    <w:rsid w:val="00A37712"/>
    <w:rsid w:val="00A3793C"/>
    <w:rsid w:val="00A37C93"/>
    <w:rsid w:val="00A4008E"/>
    <w:rsid w:val="00A41BC9"/>
    <w:rsid w:val="00A423E7"/>
    <w:rsid w:val="00A42630"/>
    <w:rsid w:val="00A4268D"/>
    <w:rsid w:val="00A43AF6"/>
    <w:rsid w:val="00A443DC"/>
    <w:rsid w:val="00A445CA"/>
    <w:rsid w:val="00A44697"/>
    <w:rsid w:val="00A4512B"/>
    <w:rsid w:val="00A453F1"/>
    <w:rsid w:val="00A454F6"/>
    <w:rsid w:val="00A45D50"/>
    <w:rsid w:val="00A46025"/>
    <w:rsid w:val="00A4620F"/>
    <w:rsid w:val="00A463BB"/>
    <w:rsid w:val="00A46C2D"/>
    <w:rsid w:val="00A46E15"/>
    <w:rsid w:val="00A4791A"/>
    <w:rsid w:val="00A47A0B"/>
    <w:rsid w:val="00A47D47"/>
    <w:rsid w:val="00A47D8C"/>
    <w:rsid w:val="00A500F7"/>
    <w:rsid w:val="00A5017B"/>
    <w:rsid w:val="00A502CE"/>
    <w:rsid w:val="00A507B2"/>
    <w:rsid w:val="00A50D63"/>
    <w:rsid w:val="00A51028"/>
    <w:rsid w:val="00A51285"/>
    <w:rsid w:val="00A519B0"/>
    <w:rsid w:val="00A51FDF"/>
    <w:rsid w:val="00A524EC"/>
    <w:rsid w:val="00A52691"/>
    <w:rsid w:val="00A533C4"/>
    <w:rsid w:val="00A53460"/>
    <w:rsid w:val="00A54805"/>
    <w:rsid w:val="00A54A68"/>
    <w:rsid w:val="00A54E97"/>
    <w:rsid w:val="00A54F09"/>
    <w:rsid w:val="00A5531B"/>
    <w:rsid w:val="00A55528"/>
    <w:rsid w:val="00A556D7"/>
    <w:rsid w:val="00A55A91"/>
    <w:rsid w:val="00A55B48"/>
    <w:rsid w:val="00A5600B"/>
    <w:rsid w:val="00A56E30"/>
    <w:rsid w:val="00A57324"/>
    <w:rsid w:val="00A578A1"/>
    <w:rsid w:val="00A578E0"/>
    <w:rsid w:val="00A57DBC"/>
    <w:rsid w:val="00A57E33"/>
    <w:rsid w:val="00A601F9"/>
    <w:rsid w:val="00A608F2"/>
    <w:rsid w:val="00A60BA8"/>
    <w:rsid w:val="00A6239B"/>
    <w:rsid w:val="00A6274E"/>
    <w:rsid w:val="00A629C0"/>
    <w:rsid w:val="00A62ACD"/>
    <w:rsid w:val="00A6303A"/>
    <w:rsid w:val="00A63159"/>
    <w:rsid w:val="00A63576"/>
    <w:rsid w:val="00A63B51"/>
    <w:rsid w:val="00A640E4"/>
    <w:rsid w:val="00A64923"/>
    <w:rsid w:val="00A64AA4"/>
    <w:rsid w:val="00A64D8C"/>
    <w:rsid w:val="00A66493"/>
    <w:rsid w:val="00A667F9"/>
    <w:rsid w:val="00A6683C"/>
    <w:rsid w:val="00A67A3E"/>
    <w:rsid w:val="00A70112"/>
    <w:rsid w:val="00A70B6B"/>
    <w:rsid w:val="00A71772"/>
    <w:rsid w:val="00A7222A"/>
    <w:rsid w:val="00A72661"/>
    <w:rsid w:val="00A729CA"/>
    <w:rsid w:val="00A72C53"/>
    <w:rsid w:val="00A72D31"/>
    <w:rsid w:val="00A72F72"/>
    <w:rsid w:val="00A732DD"/>
    <w:rsid w:val="00A733E1"/>
    <w:rsid w:val="00A74240"/>
    <w:rsid w:val="00A74652"/>
    <w:rsid w:val="00A74935"/>
    <w:rsid w:val="00A7510F"/>
    <w:rsid w:val="00A755FE"/>
    <w:rsid w:val="00A7566D"/>
    <w:rsid w:val="00A76178"/>
    <w:rsid w:val="00A76DFD"/>
    <w:rsid w:val="00A77099"/>
    <w:rsid w:val="00A773F8"/>
    <w:rsid w:val="00A800F5"/>
    <w:rsid w:val="00A81088"/>
    <w:rsid w:val="00A811EC"/>
    <w:rsid w:val="00A8188B"/>
    <w:rsid w:val="00A81993"/>
    <w:rsid w:val="00A81ABE"/>
    <w:rsid w:val="00A832AA"/>
    <w:rsid w:val="00A83DE7"/>
    <w:rsid w:val="00A84196"/>
    <w:rsid w:val="00A862FB"/>
    <w:rsid w:val="00A86913"/>
    <w:rsid w:val="00A86B9D"/>
    <w:rsid w:val="00A87012"/>
    <w:rsid w:val="00A909BD"/>
    <w:rsid w:val="00A91A0B"/>
    <w:rsid w:val="00A91AC2"/>
    <w:rsid w:val="00A92089"/>
    <w:rsid w:val="00A934A5"/>
    <w:rsid w:val="00A93992"/>
    <w:rsid w:val="00A96DCA"/>
    <w:rsid w:val="00A9708D"/>
    <w:rsid w:val="00A97520"/>
    <w:rsid w:val="00A97809"/>
    <w:rsid w:val="00AA0059"/>
    <w:rsid w:val="00AA03AE"/>
    <w:rsid w:val="00AA08FF"/>
    <w:rsid w:val="00AA0A0F"/>
    <w:rsid w:val="00AA103A"/>
    <w:rsid w:val="00AA16FA"/>
    <w:rsid w:val="00AA183B"/>
    <w:rsid w:val="00AA1A1D"/>
    <w:rsid w:val="00AA1FF4"/>
    <w:rsid w:val="00AA296E"/>
    <w:rsid w:val="00AA29E0"/>
    <w:rsid w:val="00AA3012"/>
    <w:rsid w:val="00AA30F1"/>
    <w:rsid w:val="00AA363C"/>
    <w:rsid w:val="00AA3653"/>
    <w:rsid w:val="00AA3B31"/>
    <w:rsid w:val="00AA4470"/>
    <w:rsid w:val="00AA4BCE"/>
    <w:rsid w:val="00AA4BF4"/>
    <w:rsid w:val="00AA5428"/>
    <w:rsid w:val="00AA5BD7"/>
    <w:rsid w:val="00AA65BF"/>
    <w:rsid w:val="00AA679A"/>
    <w:rsid w:val="00AA67DD"/>
    <w:rsid w:val="00AA6FF0"/>
    <w:rsid w:val="00AA718F"/>
    <w:rsid w:val="00AA795F"/>
    <w:rsid w:val="00AA7D93"/>
    <w:rsid w:val="00AA7FB9"/>
    <w:rsid w:val="00AAAA95"/>
    <w:rsid w:val="00AB1137"/>
    <w:rsid w:val="00AB16AE"/>
    <w:rsid w:val="00AB1A35"/>
    <w:rsid w:val="00AB5083"/>
    <w:rsid w:val="00AB54B6"/>
    <w:rsid w:val="00AB574F"/>
    <w:rsid w:val="00AB6B53"/>
    <w:rsid w:val="00AB75FB"/>
    <w:rsid w:val="00AB7F42"/>
    <w:rsid w:val="00AB7F6E"/>
    <w:rsid w:val="00AC002C"/>
    <w:rsid w:val="00AC01AA"/>
    <w:rsid w:val="00AC02DC"/>
    <w:rsid w:val="00AC0801"/>
    <w:rsid w:val="00AC09D2"/>
    <w:rsid w:val="00AC10BE"/>
    <w:rsid w:val="00AC131F"/>
    <w:rsid w:val="00AC1AE3"/>
    <w:rsid w:val="00AC2414"/>
    <w:rsid w:val="00AC2986"/>
    <w:rsid w:val="00AC29D2"/>
    <w:rsid w:val="00AC3067"/>
    <w:rsid w:val="00AC3516"/>
    <w:rsid w:val="00AC39E8"/>
    <w:rsid w:val="00AC3E0C"/>
    <w:rsid w:val="00AC405E"/>
    <w:rsid w:val="00AC456E"/>
    <w:rsid w:val="00AC4859"/>
    <w:rsid w:val="00AC4C73"/>
    <w:rsid w:val="00AC5034"/>
    <w:rsid w:val="00AC52C7"/>
    <w:rsid w:val="00AC5EF9"/>
    <w:rsid w:val="00AC5F84"/>
    <w:rsid w:val="00AC65F6"/>
    <w:rsid w:val="00AC6723"/>
    <w:rsid w:val="00AC69CE"/>
    <w:rsid w:val="00AC6B23"/>
    <w:rsid w:val="00AC6F13"/>
    <w:rsid w:val="00AC707B"/>
    <w:rsid w:val="00AC7AB1"/>
    <w:rsid w:val="00AC7B68"/>
    <w:rsid w:val="00AC7EFD"/>
    <w:rsid w:val="00AC7F13"/>
    <w:rsid w:val="00AC7F7A"/>
    <w:rsid w:val="00AD101A"/>
    <w:rsid w:val="00AD1554"/>
    <w:rsid w:val="00AD233A"/>
    <w:rsid w:val="00AD2645"/>
    <w:rsid w:val="00AD3DD6"/>
    <w:rsid w:val="00AD3E7C"/>
    <w:rsid w:val="00AD61D1"/>
    <w:rsid w:val="00AD779B"/>
    <w:rsid w:val="00AE06E8"/>
    <w:rsid w:val="00AE09FB"/>
    <w:rsid w:val="00AE1492"/>
    <w:rsid w:val="00AE1519"/>
    <w:rsid w:val="00AE1A92"/>
    <w:rsid w:val="00AE2C3A"/>
    <w:rsid w:val="00AE2EBC"/>
    <w:rsid w:val="00AE305E"/>
    <w:rsid w:val="00AE306F"/>
    <w:rsid w:val="00AE3F6A"/>
    <w:rsid w:val="00AE400A"/>
    <w:rsid w:val="00AE44AE"/>
    <w:rsid w:val="00AE4A8B"/>
    <w:rsid w:val="00AE4E4D"/>
    <w:rsid w:val="00AE51D5"/>
    <w:rsid w:val="00AE592C"/>
    <w:rsid w:val="00AE5A9B"/>
    <w:rsid w:val="00AE6227"/>
    <w:rsid w:val="00AF01E6"/>
    <w:rsid w:val="00AF0497"/>
    <w:rsid w:val="00AF05FF"/>
    <w:rsid w:val="00AF0D8F"/>
    <w:rsid w:val="00AF0EEC"/>
    <w:rsid w:val="00AF137F"/>
    <w:rsid w:val="00AF1F38"/>
    <w:rsid w:val="00AF2122"/>
    <w:rsid w:val="00AF22DE"/>
    <w:rsid w:val="00AF2E3B"/>
    <w:rsid w:val="00AF3092"/>
    <w:rsid w:val="00AF316E"/>
    <w:rsid w:val="00AF3A67"/>
    <w:rsid w:val="00AF3B5F"/>
    <w:rsid w:val="00AF44F2"/>
    <w:rsid w:val="00AF4599"/>
    <w:rsid w:val="00AF4FAA"/>
    <w:rsid w:val="00AF5118"/>
    <w:rsid w:val="00AF55FC"/>
    <w:rsid w:val="00AF5841"/>
    <w:rsid w:val="00AF59DD"/>
    <w:rsid w:val="00AF60E3"/>
    <w:rsid w:val="00AF6B2B"/>
    <w:rsid w:val="00AF7194"/>
    <w:rsid w:val="00AF74AE"/>
    <w:rsid w:val="00B01A0C"/>
    <w:rsid w:val="00B01F48"/>
    <w:rsid w:val="00B030B1"/>
    <w:rsid w:val="00B033FD"/>
    <w:rsid w:val="00B044EF"/>
    <w:rsid w:val="00B04F4B"/>
    <w:rsid w:val="00B0554F"/>
    <w:rsid w:val="00B05DEA"/>
    <w:rsid w:val="00B062BF"/>
    <w:rsid w:val="00B06507"/>
    <w:rsid w:val="00B06535"/>
    <w:rsid w:val="00B0671E"/>
    <w:rsid w:val="00B06AF2"/>
    <w:rsid w:val="00B0709B"/>
    <w:rsid w:val="00B076BE"/>
    <w:rsid w:val="00B0786D"/>
    <w:rsid w:val="00B07CFF"/>
    <w:rsid w:val="00B1033B"/>
    <w:rsid w:val="00B104C6"/>
    <w:rsid w:val="00B105F5"/>
    <w:rsid w:val="00B105FD"/>
    <w:rsid w:val="00B1080D"/>
    <w:rsid w:val="00B10D13"/>
    <w:rsid w:val="00B10D83"/>
    <w:rsid w:val="00B117FA"/>
    <w:rsid w:val="00B11BAD"/>
    <w:rsid w:val="00B11D6D"/>
    <w:rsid w:val="00B11E42"/>
    <w:rsid w:val="00B12F36"/>
    <w:rsid w:val="00B13391"/>
    <w:rsid w:val="00B1385B"/>
    <w:rsid w:val="00B13A7F"/>
    <w:rsid w:val="00B13CE7"/>
    <w:rsid w:val="00B13EEA"/>
    <w:rsid w:val="00B13FAD"/>
    <w:rsid w:val="00B1503E"/>
    <w:rsid w:val="00B15044"/>
    <w:rsid w:val="00B1585B"/>
    <w:rsid w:val="00B15B09"/>
    <w:rsid w:val="00B161B9"/>
    <w:rsid w:val="00B164D5"/>
    <w:rsid w:val="00B16B61"/>
    <w:rsid w:val="00B17706"/>
    <w:rsid w:val="00B179AD"/>
    <w:rsid w:val="00B17F7B"/>
    <w:rsid w:val="00B202A3"/>
    <w:rsid w:val="00B213E5"/>
    <w:rsid w:val="00B2144D"/>
    <w:rsid w:val="00B222C7"/>
    <w:rsid w:val="00B23591"/>
    <w:rsid w:val="00B2380C"/>
    <w:rsid w:val="00B23969"/>
    <w:rsid w:val="00B2414F"/>
    <w:rsid w:val="00B250ED"/>
    <w:rsid w:val="00B25131"/>
    <w:rsid w:val="00B256E9"/>
    <w:rsid w:val="00B25C2A"/>
    <w:rsid w:val="00B261CA"/>
    <w:rsid w:val="00B263C2"/>
    <w:rsid w:val="00B26495"/>
    <w:rsid w:val="00B270B0"/>
    <w:rsid w:val="00B271A9"/>
    <w:rsid w:val="00B27A7E"/>
    <w:rsid w:val="00B27C0C"/>
    <w:rsid w:val="00B311F0"/>
    <w:rsid w:val="00B31304"/>
    <w:rsid w:val="00B31491"/>
    <w:rsid w:val="00B31CE6"/>
    <w:rsid w:val="00B31D68"/>
    <w:rsid w:val="00B31D9C"/>
    <w:rsid w:val="00B32329"/>
    <w:rsid w:val="00B32379"/>
    <w:rsid w:val="00B3255A"/>
    <w:rsid w:val="00B32B49"/>
    <w:rsid w:val="00B32CD2"/>
    <w:rsid w:val="00B336F4"/>
    <w:rsid w:val="00B337D1"/>
    <w:rsid w:val="00B35D4A"/>
    <w:rsid w:val="00B360CB"/>
    <w:rsid w:val="00B36690"/>
    <w:rsid w:val="00B36BB9"/>
    <w:rsid w:val="00B36CA8"/>
    <w:rsid w:val="00B370F3"/>
    <w:rsid w:val="00B37807"/>
    <w:rsid w:val="00B37BD6"/>
    <w:rsid w:val="00B37FF8"/>
    <w:rsid w:val="00B404AC"/>
    <w:rsid w:val="00B40778"/>
    <w:rsid w:val="00B40BE6"/>
    <w:rsid w:val="00B41682"/>
    <w:rsid w:val="00B42672"/>
    <w:rsid w:val="00B4339A"/>
    <w:rsid w:val="00B43717"/>
    <w:rsid w:val="00B4392E"/>
    <w:rsid w:val="00B444F1"/>
    <w:rsid w:val="00B4501E"/>
    <w:rsid w:val="00B4524E"/>
    <w:rsid w:val="00B45C78"/>
    <w:rsid w:val="00B471E4"/>
    <w:rsid w:val="00B4787B"/>
    <w:rsid w:val="00B478F1"/>
    <w:rsid w:val="00B50010"/>
    <w:rsid w:val="00B50A1F"/>
    <w:rsid w:val="00B50F66"/>
    <w:rsid w:val="00B52D26"/>
    <w:rsid w:val="00B52F40"/>
    <w:rsid w:val="00B52F47"/>
    <w:rsid w:val="00B534BD"/>
    <w:rsid w:val="00B535F6"/>
    <w:rsid w:val="00B537AA"/>
    <w:rsid w:val="00B53B67"/>
    <w:rsid w:val="00B54338"/>
    <w:rsid w:val="00B54905"/>
    <w:rsid w:val="00B552F8"/>
    <w:rsid w:val="00B557D2"/>
    <w:rsid w:val="00B55C05"/>
    <w:rsid w:val="00B56284"/>
    <w:rsid w:val="00B564BA"/>
    <w:rsid w:val="00B56BED"/>
    <w:rsid w:val="00B57226"/>
    <w:rsid w:val="00B57AB2"/>
    <w:rsid w:val="00B57C91"/>
    <w:rsid w:val="00B60995"/>
    <w:rsid w:val="00B60B84"/>
    <w:rsid w:val="00B61354"/>
    <w:rsid w:val="00B61738"/>
    <w:rsid w:val="00B62E00"/>
    <w:rsid w:val="00B63088"/>
    <w:rsid w:val="00B6427D"/>
    <w:rsid w:val="00B64389"/>
    <w:rsid w:val="00B6465B"/>
    <w:rsid w:val="00B65828"/>
    <w:rsid w:val="00B65B54"/>
    <w:rsid w:val="00B65FC4"/>
    <w:rsid w:val="00B661AE"/>
    <w:rsid w:val="00B66AA8"/>
    <w:rsid w:val="00B6718C"/>
    <w:rsid w:val="00B67C40"/>
    <w:rsid w:val="00B7022B"/>
    <w:rsid w:val="00B70ACB"/>
    <w:rsid w:val="00B70C68"/>
    <w:rsid w:val="00B70D15"/>
    <w:rsid w:val="00B70D8C"/>
    <w:rsid w:val="00B71188"/>
    <w:rsid w:val="00B7175D"/>
    <w:rsid w:val="00B72154"/>
    <w:rsid w:val="00B7232A"/>
    <w:rsid w:val="00B7233A"/>
    <w:rsid w:val="00B7260F"/>
    <w:rsid w:val="00B72F0B"/>
    <w:rsid w:val="00B73078"/>
    <w:rsid w:val="00B73A99"/>
    <w:rsid w:val="00B73D41"/>
    <w:rsid w:val="00B73F80"/>
    <w:rsid w:val="00B7432A"/>
    <w:rsid w:val="00B743F1"/>
    <w:rsid w:val="00B74570"/>
    <w:rsid w:val="00B74603"/>
    <w:rsid w:val="00B74651"/>
    <w:rsid w:val="00B74E0E"/>
    <w:rsid w:val="00B75BEB"/>
    <w:rsid w:val="00B76F7B"/>
    <w:rsid w:val="00B77F8E"/>
    <w:rsid w:val="00B8051A"/>
    <w:rsid w:val="00B8067D"/>
    <w:rsid w:val="00B80970"/>
    <w:rsid w:val="00B80CE3"/>
    <w:rsid w:val="00B80DC7"/>
    <w:rsid w:val="00B8181E"/>
    <w:rsid w:val="00B82771"/>
    <w:rsid w:val="00B83216"/>
    <w:rsid w:val="00B83444"/>
    <w:rsid w:val="00B83F11"/>
    <w:rsid w:val="00B841C7"/>
    <w:rsid w:val="00B8437E"/>
    <w:rsid w:val="00B84618"/>
    <w:rsid w:val="00B850FB"/>
    <w:rsid w:val="00B8580F"/>
    <w:rsid w:val="00B85C7B"/>
    <w:rsid w:val="00B86518"/>
    <w:rsid w:val="00B86A1B"/>
    <w:rsid w:val="00B871F7"/>
    <w:rsid w:val="00B875F3"/>
    <w:rsid w:val="00B9083F"/>
    <w:rsid w:val="00B90C46"/>
    <w:rsid w:val="00B90ED0"/>
    <w:rsid w:val="00B91EC0"/>
    <w:rsid w:val="00B92901"/>
    <w:rsid w:val="00B93242"/>
    <w:rsid w:val="00B93A2C"/>
    <w:rsid w:val="00B94117"/>
    <w:rsid w:val="00B943D3"/>
    <w:rsid w:val="00B946EB"/>
    <w:rsid w:val="00B94DC5"/>
    <w:rsid w:val="00B95A7A"/>
    <w:rsid w:val="00B95B2B"/>
    <w:rsid w:val="00B95E36"/>
    <w:rsid w:val="00B95EE6"/>
    <w:rsid w:val="00B9619C"/>
    <w:rsid w:val="00B96BCA"/>
    <w:rsid w:val="00B97755"/>
    <w:rsid w:val="00BA0FDC"/>
    <w:rsid w:val="00BA177A"/>
    <w:rsid w:val="00BA267A"/>
    <w:rsid w:val="00BA359F"/>
    <w:rsid w:val="00BA4101"/>
    <w:rsid w:val="00BA4FB0"/>
    <w:rsid w:val="00BA5377"/>
    <w:rsid w:val="00BA57DE"/>
    <w:rsid w:val="00BA581C"/>
    <w:rsid w:val="00BA5CE0"/>
    <w:rsid w:val="00BA6407"/>
    <w:rsid w:val="00BA66E9"/>
    <w:rsid w:val="00BA6FF4"/>
    <w:rsid w:val="00BA7225"/>
    <w:rsid w:val="00BA74AA"/>
    <w:rsid w:val="00BB0161"/>
    <w:rsid w:val="00BB01EE"/>
    <w:rsid w:val="00BB023C"/>
    <w:rsid w:val="00BB026A"/>
    <w:rsid w:val="00BB0BDE"/>
    <w:rsid w:val="00BB0F67"/>
    <w:rsid w:val="00BB155A"/>
    <w:rsid w:val="00BB27F4"/>
    <w:rsid w:val="00BB2A34"/>
    <w:rsid w:val="00BB2CBB"/>
    <w:rsid w:val="00BB3550"/>
    <w:rsid w:val="00BB37E4"/>
    <w:rsid w:val="00BB38AD"/>
    <w:rsid w:val="00BB390B"/>
    <w:rsid w:val="00BB4D6B"/>
    <w:rsid w:val="00BB53AF"/>
    <w:rsid w:val="00BB6165"/>
    <w:rsid w:val="00BB6547"/>
    <w:rsid w:val="00BB7572"/>
    <w:rsid w:val="00BB7661"/>
    <w:rsid w:val="00BB7B14"/>
    <w:rsid w:val="00BB7CB7"/>
    <w:rsid w:val="00BB7F76"/>
    <w:rsid w:val="00BC15A9"/>
    <w:rsid w:val="00BC1A37"/>
    <w:rsid w:val="00BC23E3"/>
    <w:rsid w:val="00BC2619"/>
    <w:rsid w:val="00BC28CC"/>
    <w:rsid w:val="00BC2EAA"/>
    <w:rsid w:val="00BC30BC"/>
    <w:rsid w:val="00BC3613"/>
    <w:rsid w:val="00BC3AB9"/>
    <w:rsid w:val="00BC481D"/>
    <w:rsid w:val="00BC5212"/>
    <w:rsid w:val="00BC5879"/>
    <w:rsid w:val="00BC6500"/>
    <w:rsid w:val="00BC66E2"/>
    <w:rsid w:val="00BC754C"/>
    <w:rsid w:val="00BC7D4B"/>
    <w:rsid w:val="00BD0452"/>
    <w:rsid w:val="00BD0558"/>
    <w:rsid w:val="00BD09B3"/>
    <w:rsid w:val="00BD0B8E"/>
    <w:rsid w:val="00BD12CD"/>
    <w:rsid w:val="00BD1899"/>
    <w:rsid w:val="00BD20BB"/>
    <w:rsid w:val="00BD21A9"/>
    <w:rsid w:val="00BD2AA5"/>
    <w:rsid w:val="00BD4016"/>
    <w:rsid w:val="00BD4042"/>
    <w:rsid w:val="00BD40E1"/>
    <w:rsid w:val="00BD4756"/>
    <w:rsid w:val="00BD487F"/>
    <w:rsid w:val="00BD49EC"/>
    <w:rsid w:val="00BD4DD8"/>
    <w:rsid w:val="00BD4EF0"/>
    <w:rsid w:val="00BD5022"/>
    <w:rsid w:val="00BD53C5"/>
    <w:rsid w:val="00BD5845"/>
    <w:rsid w:val="00BD64D2"/>
    <w:rsid w:val="00BD654E"/>
    <w:rsid w:val="00BD65B0"/>
    <w:rsid w:val="00BD6DFA"/>
    <w:rsid w:val="00BD72D2"/>
    <w:rsid w:val="00BD7C78"/>
    <w:rsid w:val="00BD7D7C"/>
    <w:rsid w:val="00BE0842"/>
    <w:rsid w:val="00BE0C04"/>
    <w:rsid w:val="00BE13EF"/>
    <w:rsid w:val="00BE15DD"/>
    <w:rsid w:val="00BE1A00"/>
    <w:rsid w:val="00BE2468"/>
    <w:rsid w:val="00BE3627"/>
    <w:rsid w:val="00BE42B2"/>
    <w:rsid w:val="00BE445C"/>
    <w:rsid w:val="00BE467F"/>
    <w:rsid w:val="00BE4755"/>
    <w:rsid w:val="00BE4C0D"/>
    <w:rsid w:val="00BE4CD1"/>
    <w:rsid w:val="00BE508A"/>
    <w:rsid w:val="00BE5449"/>
    <w:rsid w:val="00BE5520"/>
    <w:rsid w:val="00BE5550"/>
    <w:rsid w:val="00BE6436"/>
    <w:rsid w:val="00BE64E1"/>
    <w:rsid w:val="00BE69F6"/>
    <w:rsid w:val="00BE7885"/>
    <w:rsid w:val="00BE7B18"/>
    <w:rsid w:val="00BE7BA7"/>
    <w:rsid w:val="00BE7EC9"/>
    <w:rsid w:val="00BF05AD"/>
    <w:rsid w:val="00BF06BB"/>
    <w:rsid w:val="00BF078F"/>
    <w:rsid w:val="00BF09FC"/>
    <w:rsid w:val="00BF0F22"/>
    <w:rsid w:val="00BF161B"/>
    <w:rsid w:val="00BF1877"/>
    <w:rsid w:val="00BF2D7A"/>
    <w:rsid w:val="00BF33F6"/>
    <w:rsid w:val="00BF3800"/>
    <w:rsid w:val="00BF3FE4"/>
    <w:rsid w:val="00BF4F07"/>
    <w:rsid w:val="00BF52CF"/>
    <w:rsid w:val="00BF5742"/>
    <w:rsid w:val="00BF59DC"/>
    <w:rsid w:val="00BF6076"/>
    <w:rsid w:val="00BF618E"/>
    <w:rsid w:val="00BF6A27"/>
    <w:rsid w:val="00BF6D4B"/>
    <w:rsid w:val="00BF74D5"/>
    <w:rsid w:val="00BF7E02"/>
    <w:rsid w:val="00C00390"/>
    <w:rsid w:val="00C004BF"/>
    <w:rsid w:val="00C005D7"/>
    <w:rsid w:val="00C00B3F"/>
    <w:rsid w:val="00C00B71"/>
    <w:rsid w:val="00C00FEA"/>
    <w:rsid w:val="00C010B6"/>
    <w:rsid w:val="00C01DF7"/>
    <w:rsid w:val="00C01EAF"/>
    <w:rsid w:val="00C01EF9"/>
    <w:rsid w:val="00C02009"/>
    <w:rsid w:val="00C03586"/>
    <w:rsid w:val="00C03726"/>
    <w:rsid w:val="00C03BFE"/>
    <w:rsid w:val="00C03E27"/>
    <w:rsid w:val="00C044CF"/>
    <w:rsid w:val="00C04674"/>
    <w:rsid w:val="00C04BB8"/>
    <w:rsid w:val="00C05649"/>
    <w:rsid w:val="00C05FF6"/>
    <w:rsid w:val="00C0624F"/>
    <w:rsid w:val="00C06A02"/>
    <w:rsid w:val="00C06AB0"/>
    <w:rsid w:val="00C06DA8"/>
    <w:rsid w:val="00C06F0A"/>
    <w:rsid w:val="00C07134"/>
    <w:rsid w:val="00C0713D"/>
    <w:rsid w:val="00C073F1"/>
    <w:rsid w:val="00C07CC0"/>
    <w:rsid w:val="00C11013"/>
    <w:rsid w:val="00C11204"/>
    <w:rsid w:val="00C114D2"/>
    <w:rsid w:val="00C11982"/>
    <w:rsid w:val="00C11B4F"/>
    <w:rsid w:val="00C12400"/>
    <w:rsid w:val="00C1270B"/>
    <w:rsid w:val="00C12874"/>
    <w:rsid w:val="00C12B28"/>
    <w:rsid w:val="00C13067"/>
    <w:rsid w:val="00C13247"/>
    <w:rsid w:val="00C1359E"/>
    <w:rsid w:val="00C13DFF"/>
    <w:rsid w:val="00C13E6B"/>
    <w:rsid w:val="00C14978"/>
    <w:rsid w:val="00C149CB"/>
    <w:rsid w:val="00C15132"/>
    <w:rsid w:val="00C1515E"/>
    <w:rsid w:val="00C15882"/>
    <w:rsid w:val="00C15C88"/>
    <w:rsid w:val="00C16191"/>
    <w:rsid w:val="00C16534"/>
    <w:rsid w:val="00C16E50"/>
    <w:rsid w:val="00C175B2"/>
    <w:rsid w:val="00C17E05"/>
    <w:rsid w:val="00C2110A"/>
    <w:rsid w:val="00C21C07"/>
    <w:rsid w:val="00C228AD"/>
    <w:rsid w:val="00C228EF"/>
    <w:rsid w:val="00C22A01"/>
    <w:rsid w:val="00C22C81"/>
    <w:rsid w:val="00C2310A"/>
    <w:rsid w:val="00C23115"/>
    <w:rsid w:val="00C23410"/>
    <w:rsid w:val="00C23671"/>
    <w:rsid w:val="00C239BF"/>
    <w:rsid w:val="00C24EA9"/>
    <w:rsid w:val="00C250DB"/>
    <w:rsid w:val="00C259FE"/>
    <w:rsid w:val="00C25AB1"/>
    <w:rsid w:val="00C26828"/>
    <w:rsid w:val="00C26AEC"/>
    <w:rsid w:val="00C27009"/>
    <w:rsid w:val="00C273D1"/>
    <w:rsid w:val="00C27911"/>
    <w:rsid w:val="00C31E1D"/>
    <w:rsid w:val="00C31E4C"/>
    <w:rsid w:val="00C32B6F"/>
    <w:rsid w:val="00C33D62"/>
    <w:rsid w:val="00C34901"/>
    <w:rsid w:val="00C34DCA"/>
    <w:rsid w:val="00C3530F"/>
    <w:rsid w:val="00C356AD"/>
    <w:rsid w:val="00C359C0"/>
    <w:rsid w:val="00C36B2B"/>
    <w:rsid w:val="00C36F49"/>
    <w:rsid w:val="00C370DD"/>
    <w:rsid w:val="00C3754D"/>
    <w:rsid w:val="00C37B4D"/>
    <w:rsid w:val="00C37E10"/>
    <w:rsid w:val="00C4010E"/>
    <w:rsid w:val="00C40214"/>
    <w:rsid w:val="00C4104D"/>
    <w:rsid w:val="00C415EF"/>
    <w:rsid w:val="00C41CCF"/>
    <w:rsid w:val="00C41F31"/>
    <w:rsid w:val="00C41FE6"/>
    <w:rsid w:val="00C420A1"/>
    <w:rsid w:val="00C425F8"/>
    <w:rsid w:val="00C42A76"/>
    <w:rsid w:val="00C43C48"/>
    <w:rsid w:val="00C43DB4"/>
    <w:rsid w:val="00C440D8"/>
    <w:rsid w:val="00C442C8"/>
    <w:rsid w:val="00C4443B"/>
    <w:rsid w:val="00C449FB"/>
    <w:rsid w:val="00C44C9F"/>
    <w:rsid w:val="00C450F0"/>
    <w:rsid w:val="00C45367"/>
    <w:rsid w:val="00C4606D"/>
    <w:rsid w:val="00C46111"/>
    <w:rsid w:val="00C46136"/>
    <w:rsid w:val="00C462DB"/>
    <w:rsid w:val="00C46BB4"/>
    <w:rsid w:val="00C476BC"/>
    <w:rsid w:val="00C514C6"/>
    <w:rsid w:val="00C517C9"/>
    <w:rsid w:val="00C518B3"/>
    <w:rsid w:val="00C52249"/>
    <w:rsid w:val="00C52E54"/>
    <w:rsid w:val="00C538B6"/>
    <w:rsid w:val="00C53F23"/>
    <w:rsid w:val="00C543C0"/>
    <w:rsid w:val="00C54E24"/>
    <w:rsid w:val="00C556F2"/>
    <w:rsid w:val="00C55973"/>
    <w:rsid w:val="00C55BD0"/>
    <w:rsid w:val="00C564DD"/>
    <w:rsid w:val="00C60529"/>
    <w:rsid w:val="00C6086B"/>
    <w:rsid w:val="00C6196D"/>
    <w:rsid w:val="00C61A66"/>
    <w:rsid w:val="00C61B08"/>
    <w:rsid w:val="00C62160"/>
    <w:rsid w:val="00C623D6"/>
    <w:rsid w:val="00C6291E"/>
    <w:rsid w:val="00C63433"/>
    <w:rsid w:val="00C636DA"/>
    <w:rsid w:val="00C63EF2"/>
    <w:rsid w:val="00C64075"/>
    <w:rsid w:val="00C6474D"/>
    <w:rsid w:val="00C651C1"/>
    <w:rsid w:val="00C65AC0"/>
    <w:rsid w:val="00C65C85"/>
    <w:rsid w:val="00C66CE3"/>
    <w:rsid w:val="00C671D6"/>
    <w:rsid w:val="00C672B3"/>
    <w:rsid w:val="00C67879"/>
    <w:rsid w:val="00C678E7"/>
    <w:rsid w:val="00C679FC"/>
    <w:rsid w:val="00C70BE2"/>
    <w:rsid w:val="00C71727"/>
    <w:rsid w:val="00C71BD3"/>
    <w:rsid w:val="00C71CE8"/>
    <w:rsid w:val="00C723B0"/>
    <w:rsid w:val="00C724E1"/>
    <w:rsid w:val="00C733DD"/>
    <w:rsid w:val="00C73564"/>
    <w:rsid w:val="00C740C0"/>
    <w:rsid w:val="00C749CF"/>
    <w:rsid w:val="00C74E25"/>
    <w:rsid w:val="00C757D4"/>
    <w:rsid w:val="00C75B17"/>
    <w:rsid w:val="00C75DF7"/>
    <w:rsid w:val="00C75ECE"/>
    <w:rsid w:val="00C76C65"/>
    <w:rsid w:val="00C804C2"/>
    <w:rsid w:val="00C80795"/>
    <w:rsid w:val="00C80FF6"/>
    <w:rsid w:val="00C81CFE"/>
    <w:rsid w:val="00C81D74"/>
    <w:rsid w:val="00C827F7"/>
    <w:rsid w:val="00C82B61"/>
    <w:rsid w:val="00C82FA0"/>
    <w:rsid w:val="00C8360D"/>
    <w:rsid w:val="00C83B98"/>
    <w:rsid w:val="00C83D23"/>
    <w:rsid w:val="00C84413"/>
    <w:rsid w:val="00C84892"/>
    <w:rsid w:val="00C84923"/>
    <w:rsid w:val="00C84970"/>
    <w:rsid w:val="00C84DB4"/>
    <w:rsid w:val="00C8578A"/>
    <w:rsid w:val="00C8584F"/>
    <w:rsid w:val="00C858C9"/>
    <w:rsid w:val="00C85BF8"/>
    <w:rsid w:val="00C86376"/>
    <w:rsid w:val="00C864E2"/>
    <w:rsid w:val="00C86636"/>
    <w:rsid w:val="00C87892"/>
    <w:rsid w:val="00C87895"/>
    <w:rsid w:val="00C9009F"/>
    <w:rsid w:val="00C909B9"/>
    <w:rsid w:val="00C90ED4"/>
    <w:rsid w:val="00C9202B"/>
    <w:rsid w:val="00C920CA"/>
    <w:rsid w:val="00C925C6"/>
    <w:rsid w:val="00C9264B"/>
    <w:rsid w:val="00C926F0"/>
    <w:rsid w:val="00C9271A"/>
    <w:rsid w:val="00C92C56"/>
    <w:rsid w:val="00C931F6"/>
    <w:rsid w:val="00C932E4"/>
    <w:rsid w:val="00C94A56"/>
    <w:rsid w:val="00C94FFE"/>
    <w:rsid w:val="00C9512C"/>
    <w:rsid w:val="00C95863"/>
    <w:rsid w:val="00C95B6E"/>
    <w:rsid w:val="00C95D71"/>
    <w:rsid w:val="00C96955"/>
    <w:rsid w:val="00C9710C"/>
    <w:rsid w:val="00C97563"/>
    <w:rsid w:val="00C975B3"/>
    <w:rsid w:val="00C97D9E"/>
    <w:rsid w:val="00CA02FF"/>
    <w:rsid w:val="00CA1F98"/>
    <w:rsid w:val="00CA218A"/>
    <w:rsid w:val="00CA22B2"/>
    <w:rsid w:val="00CA24CA"/>
    <w:rsid w:val="00CA295A"/>
    <w:rsid w:val="00CA354D"/>
    <w:rsid w:val="00CA3648"/>
    <w:rsid w:val="00CA3A5C"/>
    <w:rsid w:val="00CA3DE2"/>
    <w:rsid w:val="00CA4808"/>
    <w:rsid w:val="00CA501D"/>
    <w:rsid w:val="00CA5245"/>
    <w:rsid w:val="00CA58CD"/>
    <w:rsid w:val="00CA5AF4"/>
    <w:rsid w:val="00CA5BDB"/>
    <w:rsid w:val="00CA6597"/>
    <w:rsid w:val="00CA72DE"/>
    <w:rsid w:val="00CB089B"/>
    <w:rsid w:val="00CB1050"/>
    <w:rsid w:val="00CB1298"/>
    <w:rsid w:val="00CB15E1"/>
    <w:rsid w:val="00CB3112"/>
    <w:rsid w:val="00CB329D"/>
    <w:rsid w:val="00CB4B93"/>
    <w:rsid w:val="00CB4D52"/>
    <w:rsid w:val="00CB56AA"/>
    <w:rsid w:val="00CB57E2"/>
    <w:rsid w:val="00CB5891"/>
    <w:rsid w:val="00CB5EA2"/>
    <w:rsid w:val="00CB6BB9"/>
    <w:rsid w:val="00CB6CFD"/>
    <w:rsid w:val="00CB7188"/>
    <w:rsid w:val="00CB7203"/>
    <w:rsid w:val="00CC09B7"/>
    <w:rsid w:val="00CC0F39"/>
    <w:rsid w:val="00CC1612"/>
    <w:rsid w:val="00CC18DF"/>
    <w:rsid w:val="00CC24AF"/>
    <w:rsid w:val="00CC35A0"/>
    <w:rsid w:val="00CC56DC"/>
    <w:rsid w:val="00CC6121"/>
    <w:rsid w:val="00CC6593"/>
    <w:rsid w:val="00CC6747"/>
    <w:rsid w:val="00CC6D4C"/>
    <w:rsid w:val="00CC6DE7"/>
    <w:rsid w:val="00CC7363"/>
    <w:rsid w:val="00CC7D46"/>
    <w:rsid w:val="00CD0109"/>
    <w:rsid w:val="00CD0211"/>
    <w:rsid w:val="00CD02CC"/>
    <w:rsid w:val="00CD02F1"/>
    <w:rsid w:val="00CD0B91"/>
    <w:rsid w:val="00CD0BE6"/>
    <w:rsid w:val="00CD14D1"/>
    <w:rsid w:val="00CD1915"/>
    <w:rsid w:val="00CD192A"/>
    <w:rsid w:val="00CD1E89"/>
    <w:rsid w:val="00CD452D"/>
    <w:rsid w:val="00CD4E31"/>
    <w:rsid w:val="00CD5BB5"/>
    <w:rsid w:val="00CD5CC4"/>
    <w:rsid w:val="00CD5E3A"/>
    <w:rsid w:val="00CD5E66"/>
    <w:rsid w:val="00CD6436"/>
    <w:rsid w:val="00CD70DC"/>
    <w:rsid w:val="00CD7B51"/>
    <w:rsid w:val="00CE044F"/>
    <w:rsid w:val="00CE0921"/>
    <w:rsid w:val="00CE0CC1"/>
    <w:rsid w:val="00CE0DBB"/>
    <w:rsid w:val="00CE1D21"/>
    <w:rsid w:val="00CE1EC4"/>
    <w:rsid w:val="00CE2156"/>
    <w:rsid w:val="00CE2376"/>
    <w:rsid w:val="00CE27F6"/>
    <w:rsid w:val="00CE3806"/>
    <w:rsid w:val="00CE393B"/>
    <w:rsid w:val="00CE55D6"/>
    <w:rsid w:val="00CE5E5B"/>
    <w:rsid w:val="00CE66D2"/>
    <w:rsid w:val="00CF0744"/>
    <w:rsid w:val="00CF0AB8"/>
    <w:rsid w:val="00CF19A3"/>
    <w:rsid w:val="00CF1CF5"/>
    <w:rsid w:val="00CF23A1"/>
    <w:rsid w:val="00CF2FB8"/>
    <w:rsid w:val="00CF31E5"/>
    <w:rsid w:val="00CF37C0"/>
    <w:rsid w:val="00CF3B52"/>
    <w:rsid w:val="00CF42C6"/>
    <w:rsid w:val="00CF42F0"/>
    <w:rsid w:val="00CF480C"/>
    <w:rsid w:val="00CF4B48"/>
    <w:rsid w:val="00CF57A6"/>
    <w:rsid w:val="00CF5878"/>
    <w:rsid w:val="00CF5DB1"/>
    <w:rsid w:val="00CF6678"/>
    <w:rsid w:val="00CF6A8E"/>
    <w:rsid w:val="00CF6F5B"/>
    <w:rsid w:val="00CF7BF4"/>
    <w:rsid w:val="00D0046D"/>
    <w:rsid w:val="00D005CF"/>
    <w:rsid w:val="00D009C1"/>
    <w:rsid w:val="00D00FEA"/>
    <w:rsid w:val="00D01720"/>
    <w:rsid w:val="00D01782"/>
    <w:rsid w:val="00D01855"/>
    <w:rsid w:val="00D018F4"/>
    <w:rsid w:val="00D01E13"/>
    <w:rsid w:val="00D01FA4"/>
    <w:rsid w:val="00D0235C"/>
    <w:rsid w:val="00D02386"/>
    <w:rsid w:val="00D023EA"/>
    <w:rsid w:val="00D0283E"/>
    <w:rsid w:val="00D03202"/>
    <w:rsid w:val="00D036EC"/>
    <w:rsid w:val="00D0374C"/>
    <w:rsid w:val="00D038F1"/>
    <w:rsid w:val="00D04B89"/>
    <w:rsid w:val="00D05B7C"/>
    <w:rsid w:val="00D0620D"/>
    <w:rsid w:val="00D06492"/>
    <w:rsid w:val="00D06915"/>
    <w:rsid w:val="00D07F5C"/>
    <w:rsid w:val="00D1044D"/>
    <w:rsid w:val="00D11245"/>
    <w:rsid w:val="00D11513"/>
    <w:rsid w:val="00D128F9"/>
    <w:rsid w:val="00D1390F"/>
    <w:rsid w:val="00D14F18"/>
    <w:rsid w:val="00D15A8A"/>
    <w:rsid w:val="00D1681C"/>
    <w:rsid w:val="00D1753A"/>
    <w:rsid w:val="00D17F95"/>
    <w:rsid w:val="00D20C7E"/>
    <w:rsid w:val="00D22812"/>
    <w:rsid w:val="00D232B9"/>
    <w:rsid w:val="00D233DB"/>
    <w:rsid w:val="00D2386B"/>
    <w:rsid w:val="00D23C80"/>
    <w:rsid w:val="00D23F16"/>
    <w:rsid w:val="00D248FA"/>
    <w:rsid w:val="00D24A1D"/>
    <w:rsid w:val="00D24DAC"/>
    <w:rsid w:val="00D24E65"/>
    <w:rsid w:val="00D250B1"/>
    <w:rsid w:val="00D2523A"/>
    <w:rsid w:val="00D25557"/>
    <w:rsid w:val="00D25941"/>
    <w:rsid w:val="00D25AB0"/>
    <w:rsid w:val="00D26271"/>
    <w:rsid w:val="00D269A1"/>
    <w:rsid w:val="00D27770"/>
    <w:rsid w:val="00D27AE4"/>
    <w:rsid w:val="00D30394"/>
    <w:rsid w:val="00D30CB3"/>
    <w:rsid w:val="00D30ED2"/>
    <w:rsid w:val="00D30F8A"/>
    <w:rsid w:val="00D31087"/>
    <w:rsid w:val="00D31550"/>
    <w:rsid w:val="00D3168D"/>
    <w:rsid w:val="00D319E2"/>
    <w:rsid w:val="00D31A6F"/>
    <w:rsid w:val="00D32DDB"/>
    <w:rsid w:val="00D33102"/>
    <w:rsid w:val="00D33C4C"/>
    <w:rsid w:val="00D33E2F"/>
    <w:rsid w:val="00D348C0"/>
    <w:rsid w:val="00D35005"/>
    <w:rsid w:val="00D350D2"/>
    <w:rsid w:val="00D35762"/>
    <w:rsid w:val="00D35E4D"/>
    <w:rsid w:val="00D36101"/>
    <w:rsid w:val="00D36309"/>
    <w:rsid w:val="00D3681A"/>
    <w:rsid w:val="00D378FE"/>
    <w:rsid w:val="00D405A7"/>
    <w:rsid w:val="00D406C8"/>
    <w:rsid w:val="00D408B1"/>
    <w:rsid w:val="00D416FD"/>
    <w:rsid w:val="00D41EB2"/>
    <w:rsid w:val="00D43561"/>
    <w:rsid w:val="00D44434"/>
    <w:rsid w:val="00D44B40"/>
    <w:rsid w:val="00D44F89"/>
    <w:rsid w:val="00D44FF1"/>
    <w:rsid w:val="00D4566F"/>
    <w:rsid w:val="00D460AB"/>
    <w:rsid w:val="00D46329"/>
    <w:rsid w:val="00D46743"/>
    <w:rsid w:val="00D46A59"/>
    <w:rsid w:val="00D47615"/>
    <w:rsid w:val="00D51093"/>
    <w:rsid w:val="00D52763"/>
    <w:rsid w:val="00D53175"/>
    <w:rsid w:val="00D5318F"/>
    <w:rsid w:val="00D535C6"/>
    <w:rsid w:val="00D53AD4"/>
    <w:rsid w:val="00D54896"/>
    <w:rsid w:val="00D54D2A"/>
    <w:rsid w:val="00D5505E"/>
    <w:rsid w:val="00D5573B"/>
    <w:rsid w:val="00D561BF"/>
    <w:rsid w:val="00D563F9"/>
    <w:rsid w:val="00D56CE9"/>
    <w:rsid w:val="00D56D7B"/>
    <w:rsid w:val="00D56EB3"/>
    <w:rsid w:val="00D57D5B"/>
    <w:rsid w:val="00D57E9B"/>
    <w:rsid w:val="00D61E28"/>
    <w:rsid w:val="00D621B4"/>
    <w:rsid w:val="00D628CB"/>
    <w:rsid w:val="00D62A84"/>
    <w:rsid w:val="00D637D2"/>
    <w:rsid w:val="00D63964"/>
    <w:rsid w:val="00D63BC1"/>
    <w:rsid w:val="00D6409C"/>
    <w:rsid w:val="00D64255"/>
    <w:rsid w:val="00D643D0"/>
    <w:rsid w:val="00D6480D"/>
    <w:rsid w:val="00D64A52"/>
    <w:rsid w:val="00D64D11"/>
    <w:rsid w:val="00D65030"/>
    <w:rsid w:val="00D65538"/>
    <w:rsid w:val="00D65EDB"/>
    <w:rsid w:val="00D66879"/>
    <w:rsid w:val="00D706D5"/>
    <w:rsid w:val="00D70741"/>
    <w:rsid w:val="00D70C30"/>
    <w:rsid w:val="00D71C89"/>
    <w:rsid w:val="00D756FD"/>
    <w:rsid w:val="00D75E7D"/>
    <w:rsid w:val="00D765D8"/>
    <w:rsid w:val="00D7691C"/>
    <w:rsid w:val="00D77922"/>
    <w:rsid w:val="00D77B53"/>
    <w:rsid w:val="00D77EC4"/>
    <w:rsid w:val="00D8007C"/>
    <w:rsid w:val="00D8019A"/>
    <w:rsid w:val="00D80D7C"/>
    <w:rsid w:val="00D80EF7"/>
    <w:rsid w:val="00D80FED"/>
    <w:rsid w:val="00D81150"/>
    <w:rsid w:val="00D8160D"/>
    <w:rsid w:val="00D81677"/>
    <w:rsid w:val="00D82286"/>
    <w:rsid w:val="00D82424"/>
    <w:rsid w:val="00D828B6"/>
    <w:rsid w:val="00D830E9"/>
    <w:rsid w:val="00D83324"/>
    <w:rsid w:val="00D83660"/>
    <w:rsid w:val="00D83731"/>
    <w:rsid w:val="00D83DB0"/>
    <w:rsid w:val="00D84455"/>
    <w:rsid w:val="00D84AB8"/>
    <w:rsid w:val="00D85345"/>
    <w:rsid w:val="00D85E8B"/>
    <w:rsid w:val="00D8657D"/>
    <w:rsid w:val="00D878B1"/>
    <w:rsid w:val="00D87D7E"/>
    <w:rsid w:val="00D90504"/>
    <w:rsid w:val="00D907BA"/>
    <w:rsid w:val="00D90B73"/>
    <w:rsid w:val="00D90EF7"/>
    <w:rsid w:val="00D911B0"/>
    <w:rsid w:val="00D91D25"/>
    <w:rsid w:val="00D92AAB"/>
    <w:rsid w:val="00D92B0B"/>
    <w:rsid w:val="00D932FC"/>
    <w:rsid w:val="00D94456"/>
    <w:rsid w:val="00D94A41"/>
    <w:rsid w:val="00D94D15"/>
    <w:rsid w:val="00D94FFB"/>
    <w:rsid w:val="00D9560D"/>
    <w:rsid w:val="00D95619"/>
    <w:rsid w:val="00D96248"/>
    <w:rsid w:val="00D963E9"/>
    <w:rsid w:val="00D96A64"/>
    <w:rsid w:val="00D96E52"/>
    <w:rsid w:val="00D96FBC"/>
    <w:rsid w:val="00D97130"/>
    <w:rsid w:val="00D971E4"/>
    <w:rsid w:val="00D975B7"/>
    <w:rsid w:val="00DA014B"/>
    <w:rsid w:val="00DA03E6"/>
    <w:rsid w:val="00DA051F"/>
    <w:rsid w:val="00DA0AC2"/>
    <w:rsid w:val="00DA296B"/>
    <w:rsid w:val="00DA2B0B"/>
    <w:rsid w:val="00DA3A34"/>
    <w:rsid w:val="00DA42E2"/>
    <w:rsid w:val="00DA4357"/>
    <w:rsid w:val="00DA4B6D"/>
    <w:rsid w:val="00DA53F2"/>
    <w:rsid w:val="00DA5C7A"/>
    <w:rsid w:val="00DA6584"/>
    <w:rsid w:val="00DA660D"/>
    <w:rsid w:val="00DA6A11"/>
    <w:rsid w:val="00DA70A6"/>
    <w:rsid w:val="00DB064D"/>
    <w:rsid w:val="00DB0B94"/>
    <w:rsid w:val="00DB10D5"/>
    <w:rsid w:val="00DB1284"/>
    <w:rsid w:val="00DB1B0E"/>
    <w:rsid w:val="00DB2B9A"/>
    <w:rsid w:val="00DB328E"/>
    <w:rsid w:val="00DB3334"/>
    <w:rsid w:val="00DB3B00"/>
    <w:rsid w:val="00DB4666"/>
    <w:rsid w:val="00DB4930"/>
    <w:rsid w:val="00DB50BA"/>
    <w:rsid w:val="00DB5171"/>
    <w:rsid w:val="00DB522F"/>
    <w:rsid w:val="00DB54E1"/>
    <w:rsid w:val="00DB56E2"/>
    <w:rsid w:val="00DB64A9"/>
    <w:rsid w:val="00DB756C"/>
    <w:rsid w:val="00DB7D11"/>
    <w:rsid w:val="00DC0420"/>
    <w:rsid w:val="00DC0F2C"/>
    <w:rsid w:val="00DC1343"/>
    <w:rsid w:val="00DC15F4"/>
    <w:rsid w:val="00DC165C"/>
    <w:rsid w:val="00DC1B19"/>
    <w:rsid w:val="00DC20E4"/>
    <w:rsid w:val="00DC2147"/>
    <w:rsid w:val="00DC2319"/>
    <w:rsid w:val="00DC24C9"/>
    <w:rsid w:val="00DC251E"/>
    <w:rsid w:val="00DC25A3"/>
    <w:rsid w:val="00DC2AE9"/>
    <w:rsid w:val="00DC3286"/>
    <w:rsid w:val="00DC386F"/>
    <w:rsid w:val="00DC3D71"/>
    <w:rsid w:val="00DC3D95"/>
    <w:rsid w:val="00DC4555"/>
    <w:rsid w:val="00DC4C02"/>
    <w:rsid w:val="00DC4E1B"/>
    <w:rsid w:val="00DC5707"/>
    <w:rsid w:val="00DC5D02"/>
    <w:rsid w:val="00DC6CB6"/>
    <w:rsid w:val="00DC716A"/>
    <w:rsid w:val="00DC7232"/>
    <w:rsid w:val="00DC7350"/>
    <w:rsid w:val="00DC7547"/>
    <w:rsid w:val="00DD07AF"/>
    <w:rsid w:val="00DD0AC9"/>
    <w:rsid w:val="00DD148E"/>
    <w:rsid w:val="00DD1606"/>
    <w:rsid w:val="00DD1AF8"/>
    <w:rsid w:val="00DD1BA8"/>
    <w:rsid w:val="00DD1CAB"/>
    <w:rsid w:val="00DD2418"/>
    <w:rsid w:val="00DD2A5F"/>
    <w:rsid w:val="00DD30DC"/>
    <w:rsid w:val="00DD3478"/>
    <w:rsid w:val="00DD3995"/>
    <w:rsid w:val="00DD3C4C"/>
    <w:rsid w:val="00DD3D9C"/>
    <w:rsid w:val="00DD42FA"/>
    <w:rsid w:val="00DD49DB"/>
    <w:rsid w:val="00DD4B35"/>
    <w:rsid w:val="00DD50C9"/>
    <w:rsid w:val="00DD51FF"/>
    <w:rsid w:val="00DD5703"/>
    <w:rsid w:val="00DD6D61"/>
    <w:rsid w:val="00DD7547"/>
    <w:rsid w:val="00DD7803"/>
    <w:rsid w:val="00DE0B54"/>
    <w:rsid w:val="00DE1CC7"/>
    <w:rsid w:val="00DE276F"/>
    <w:rsid w:val="00DE3354"/>
    <w:rsid w:val="00DE3407"/>
    <w:rsid w:val="00DE35A5"/>
    <w:rsid w:val="00DE3818"/>
    <w:rsid w:val="00DE4B2B"/>
    <w:rsid w:val="00DE5353"/>
    <w:rsid w:val="00DE53DF"/>
    <w:rsid w:val="00DE625D"/>
    <w:rsid w:val="00DE6953"/>
    <w:rsid w:val="00DE6CA4"/>
    <w:rsid w:val="00DE6DDD"/>
    <w:rsid w:val="00DE7AA9"/>
    <w:rsid w:val="00DE7FE1"/>
    <w:rsid w:val="00DF099B"/>
    <w:rsid w:val="00DF10B7"/>
    <w:rsid w:val="00DF1E26"/>
    <w:rsid w:val="00DF2C2C"/>
    <w:rsid w:val="00DF2D55"/>
    <w:rsid w:val="00DF2F40"/>
    <w:rsid w:val="00DF3243"/>
    <w:rsid w:val="00DF3C41"/>
    <w:rsid w:val="00DF44BA"/>
    <w:rsid w:val="00DF45C7"/>
    <w:rsid w:val="00DF4F4A"/>
    <w:rsid w:val="00DF5AD9"/>
    <w:rsid w:val="00DF5F4F"/>
    <w:rsid w:val="00DF6058"/>
    <w:rsid w:val="00DF6D5F"/>
    <w:rsid w:val="00DF6F77"/>
    <w:rsid w:val="00DF7650"/>
    <w:rsid w:val="00DF7D16"/>
    <w:rsid w:val="00E007FE"/>
    <w:rsid w:val="00E01C05"/>
    <w:rsid w:val="00E01D4C"/>
    <w:rsid w:val="00E028B6"/>
    <w:rsid w:val="00E02BD9"/>
    <w:rsid w:val="00E03951"/>
    <w:rsid w:val="00E044BA"/>
    <w:rsid w:val="00E04513"/>
    <w:rsid w:val="00E04894"/>
    <w:rsid w:val="00E04AEA"/>
    <w:rsid w:val="00E04DF9"/>
    <w:rsid w:val="00E050EC"/>
    <w:rsid w:val="00E0541D"/>
    <w:rsid w:val="00E0593F"/>
    <w:rsid w:val="00E0598A"/>
    <w:rsid w:val="00E05B04"/>
    <w:rsid w:val="00E05EEF"/>
    <w:rsid w:val="00E061FA"/>
    <w:rsid w:val="00E07361"/>
    <w:rsid w:val="00E07425"/>
    <w:rsid w:val="00E1039C"/>
    <w:rsid w:val="00E10480"/>
    <w:rsid w:val="00E107ED"/>
    <w:rsid w:val="00E10EB8"/>
    <w:rsid w:val="00E112A1"/>
    <w:rsid w:val="00E112D0"/>
    <w:rsid w:val="00E11E12"/>
    <w:rsid w:val="00E12271"/>
    <w:rsid w:val="00E12680"/>
    <w:rsid w:val="00E1286F"/>
    <w:rsid w:val="00E13671"/>
    <w:rsid w:val="00E13B21"/>
    <w:rsid w:val="00E13C7B"/>
    <w:rsid w:val="00E13D46"/>
    <w:rsid w:val="00E14D3E"/>
    <w:rsid w:val="00E14E2C"/>
    <w:rsid w:val="00E1593A"/>
    <w:rsid w:val="00E15AE8"/>
    <w:rsid w:val="00E16677"/>
    <w:rsid w:val="00E1692F"/>
    <w:rsid w:val="00E16BCF"/>
    <w:rsid w:val="00E17A18"/>
    <w:rsid w:val="00E17D10"/>
    <w:rsid w:val="00E20186"/>
    <w:rsid w:val="00E209C7"/>
    <w:rsid w:val="00E20E06"/>
    <w:rsid w:val="00E20FD5"/>
    <w:rsid w:val="00E2151F"/>
    <w:rsid w:val="00E21A77"/>
    <w:rsid w:val="00E23AA4"/>
    <w:rsid w:val="00E23D53"/>
    <w:rsid w:val="00E247E8"/>
    <w:rsid w:val="00E24BBA"/>
    <w:rsid w:val="00E24BDA"/>
    <w:rsid w:val="00E24F63"/>
    <w:rsid w:val="00E2505F"/>
    <w:rsid w:val="00E2510D"/>
    <w:rsid w:val="00E25938"/>
    <w:rsid w:val="00E25A17"/>
    <w:rsid w:val="00E25A5E"/>
    <w:rsid w:val="00E26139"/>
    <w:rsid w:val="00E26650"/>
    <w:rsid w:val="00E26D77"/>
    <w:rsid w:val="00E26E1A"/>
    <w:rsid w:val="00E2752D"/>
    <w:rsid w:val="00E27C12"/>
    <w:rsid w:val="00E30D09"/>
    <w:rsid w:val="00E31667"/>
    <w:rsid w:val="00E319E9"/>
    <w:rsid w:val="00E31CF7"/>
    <w:rsid w:val="00E329E1"/>
    <w:rsid w:val="00E32A96"/>
    <w:rsid w:val="00E330C8"/>
    <w:rsid w:val="00E3441F"/>
    <w:rsid w:val="00E348A4"/>
    <w:rsid w:val="00E34D97"/>
    <w:rsid w:val="00E359E6"/>
    <w:rsid w:val="00E35B6A"/>
    <w:rsid w:val="00E35D83"/>
    <w:rsid w:val="00E35ED4"/>
    <w:rsid w:val="00E3670D"/>
    <w:rsid w:val="00E368BC"/>
    <w:rsid w:val="00E371D1"/>
    <w:rsid w:val="00E37F0B"/>
    <w:rsid w:val="00E3819F"/>
    <w:rsid w:val="00E401C6"/>
    <w:rsid w:val="00E403B7"/>
    <w:rsid w:val="00E40448"/>
    <w:rsid w:val="00E408F8"/>
    <w:rsid w:val="00E4097D"/>
    <w:rsid w:val="00E40A12"/>
    <w:rsid w:val="00E41229"/>
    <w:rsid w:val="00E414D9"/>
    <w:rsid w:val="00E41C2B"/>
    <w:rsid w:val="00E42221"/>
    <w:rsid w:val="00E425F0"/>
    <w:rsid w:val="00E42A8A"/>
    <w:rsid w:val="00E43209"/>
    <w:rsid w:val="00E43C9F"/>
    <w:rsid w:val="00E44457"/>
    <w:rsid w:val="00E45425"/>
    <w:rsid w:val="00E45C48"/>
    <w:rsid w:val="00E46007"/>
    <w:rsid w:val="00E4604A"/>
    <w:rsid w:val="00E46377"/>
    <w:rsid w:val="00E47832"/>
    <w:rsid w:val="00E47BFE"/>
    <w:rsid w:val="00E50027"/>
    <w:rsid w:val="00E5021F"/>
    <w:rsid w:val="00E503B7"/>
    <w:rsid w:val="00E503F7"/>
    <w:rsid w:val="00E50B59"/>
    <w:rsid w:val="00E5134B"/>
    <w:rsid w:val="00E5203A"/>
    <w:rsid w:val="00E529A7"/>
    <w:rsid w:val="00E531A0"/>
    <w:rsid w:val="00E532F1"/>
    <w:rsid w:val="00E5335D"/>
    <w:rsid w:val="00E533C0"/>
    <w:rsid w:val="00E5435B"/>
    <w:rsid w:val="00E54836"/>
    <w:rsid w:val="00E567A1"/>
    <w:rsid w:val="00E57CFD"/>
    <w:rsid w:val="00E6007D"/>
    <w:rsid w:val="00E61315"/>
    <w:rsid w:val="00E614BB"/>
    <w:rsid w:val="00E614CB"/>
    <w:rsid w:val="00E6152E"/>
    <w:rsid w:val="00E61D38"/>
    <w:rsid w:val="00E62B7E"/>
    <w:rsid w:val="00E62D2F"/>
    <w:rsid w:val="00E63906"/>
    <w:rsid w:val="00E63FB2"/>
    <w:rsid w:val="00E641FE"/>
    <w:rsid w:val="00E64205"/>
    <w:rsid w:val="00E64874"/>
    <w:rsid w:val="00E64AEA"/>
    <w:rsid w:val="00E65145"/>
    <w:rsid w:val="00E6574B"/>
    <w:rsid w:val="00E65B6E"/>
    <w:rsid w:val="00E66EC7"/>
    <w:rsid w:val="00E66F0A"/>
    <w:rsid w:val="00E6713E"/>
    <w:rsid w:val="00E67168"/>
    <w:rsid w:val="00E67798"/>
    <w:rsid w:val="00E70463"/>
    <w:rsid w:val="00E706CA"/>
    <w:rsid w:val="00E7073B"/>
    <w:rsid w:val="00E70E70"/>
    <w:rsid w:val="00E70EBE"/>
    <w:rsid w:val="00E71203"/>
    <w:rsid w:val="00E72DEE"/>
    <w:rsid w:val="00E72E9E"/>
    <w:rsid w:val="00E72FF9"/>
    <w:rsid w:val="00E73281"/>
    <w:rsid w:val="00E75A3F"/>
    <w:rsid w:val="00E75D75"/>
    <w:rsid w:val="00E76552"/>
    <w:rsid w:val="00E800EA"/>
    <w:rsid w:val="00E80964"/>
    <w:rsid w:val="00E80A45"/>
    <w:rsid w:val="00E814CF"/>
    <w:rsid w:val="00E81974"/>
    <w:rsid w:val="00E81B02"/>
    <w:rsid w:val="00E81CB7"/>
    <w:rsid w:val="00E82502"/>
    <w:rsid w:val="00E8283F"/>
    <w:rsid w:val="00E82BF5"/>
    <w:rsid w:val="00E82D9B"/>
    <w:rsid w:val="00E830C8"/>
    <w:rsid w:val="00E836F1"/>
    <w:rsid w:val="00E84014"/>
    <w:rsid w:val="00E849DD"/>
    <w:rsid w:val="00E84C00"/>
    <w:rsid w:val="00E84E29"/>
    <w:rsid w:val="00E8511A"/>
    <w:rsid w:val="00E859B5"/>
    <w:rsid w:val="00E85B4E"/>
    <w:rsid w:val="00E85D73"/>
    <w:rsid w:val="00E868B8"/>
    <w:rsid w:val="00E868EE"/>
    <w:rsid w:val="00E869D1"/>
    <w:rsid w:val="00E87018"/>
    <w:rsid w:val="00E90A99"/>
    <w:rsid w:val="00E90D1C"/>
    <w:rsid w:val="00E9108A"/>
    <w:rsid w:val="00E924B7"/>
    <w:rsid w:val="00E927BE"/>
    <w:rsid w:val="00E929FA"/>
    <w:rsid w:val="00E92C9F"/>
    <w:rsid w:val="00E92FE5"/>
    <w:rsid w:val="00E9345B"/>
    <w:rsid w:val="00E93E58"/>
    <w:rsid w:val="00E94240"/>
    <w:rsid w:val="00E94650"/>
    <w:rsid w:val="00E94BBA"/>
    <w:rsid w:val="00E950EF"/>
    <w:rsid w:val="00E951BA"/>
    <w:rsid w:val="00E95E65"/>
    <w:rsid w:val="00E966F6"/>
    <w:rsid w:val="00E968DE"/>
    <w:rsid w:val="00E96DA9"/>
    <w:rsid w:val="00E96DFD"/>
    <w:rsid w:val="00E96FFB"/>
    <w:rsid w:val="00E97740"/>
    <w:rsid w:val="00E979C5"/>
    <w:rsid w:val="00E97ADA"/>
    <w:rsid w:val="00E97B79"/>
    <w:rsid w:val="00E97C65"/>
    <w:rsid w:val="00EA0644"/>
    <w:rsid w:val="00EA080F"/>
    <w:rsid w:val="00EA0A25"/>
    <w:rsid w:val="00EA1066"/>
    <w:rsid w:val="00EA1D40"/>
    <w:rsid w:val="00EA1E08"/>
    <w:rsid w:val="00EA2C8C"/>
    <w:rsid w:val="00EA2D63"/>
    <w:rsid w:val="00EA381E"/>
    <w:rsid w:val="00EA3C43"/>
    <w:rsid w:val="00EA3CF0"/>
    <w:rsid w:val="00EA3F01"/>
    <w:rsid w:val="00EA40CA"/>
    <w:rsid w:val="00EA501F"/>
    <w:rsid w:val="00EA55EC"/>
    <w:rsid w:val="00EA5FC7"/>
    <w:rsid w:val="00EA671E"/>
    <w:rsid w:val="00EA70C9"/>
    <w:rsid w:val="00EA7403"/>
    <w:rsid w:val="00EA751F"/>
    <w:rsid w:val="00EA7615"/>
    <w:rsid w:val="00EA7B43"/>
    <w:rsid w:val="00EB0298"/>
    <w:rsid w:val="00EB0356"/>
    <w:rsid w:val="00EB0D9D"/>
    <w:rsid w:val="00EB1162"/>
    <w:rsid w:val="00EB1CFF"/>
    <w:rsid w:val="00EB205F"/>
    <w:rsid w:val="00EB26A2"/>
    <w:rsid w:val="00EB28A3"/>
    <w:rsid w:val="00EB2A81"/>
    <w:rsid w:val="00EB2DB0"/>
    <w:rsid w:val="00EB30FB"/>
    <w:rsid w:val="00EB44B2"/>
    <w:rsid w:val="00EB4AEC"/>
    <w:rsid w:val="00EB4E87"/>
    <w:rsid w:val="00EB596A"/>
    <w:rsid w:val="00EB6662"/>
    <w:rsid w:val="00EB7DF5"/>
    <w:rsid w:val="00EC0450"/>
    <w:rsid w:val="00EC0CDB"/>
    <w:rsid w:val="00EC1293"/>
    <w:rsid w:val="00EC1D4B"/>
    <w:rsid w:val="00EC1D62"/>
    <w:rsid w:val="00EC33A5"/>
    <w:rsid w:val="00EC3543"/>
    <w:rsid w:val="00EC3A42"/>
    <w:rsid w:val="00EC4293"/>
    <w:rsid w:val="00EC44B6"/>
    <w:rsid w:val="00EC5273"/>
    <w:rsid w:val="00EC5916"/>
    <w:rsid w:val="00EC5BE4"/>
    <w:rsid w:val="00EC66D7"/>
    <w:rsid w:val="00EC686B"/>
    <w:rsid w:val="00EC768A"/>
    <w:rsid w:val="00EC7A32"/>
    <w:rsid w:val="00EC7CE2"/>
    <w:rsid w:val="00ED056E"/>
    <w:rsid w:val="00ED1106"/>
    <w:rsid w:val="00ED1188"/>
    <w:rsid w:val="00ED122F"/>
    <w:rsid w:val="00ED19B8"/>
    <w:rsid w:val="00ED1BCF"/>
    <w:rsid w:val="00ED1C08"/>
    <w:rsid w:val="00ED3578"/>
    <w:rsid w:val="00ED36F2"/>
    <w:rsid w:val="00ED3AED"/>
    <w:rsid w:val="00ED3BD5"/>
    <w:rsid w:val="00ED47E6"/>
    <w:rsid w:val="00ED49A2"/>
    <w:rsid w:val="00ED55C8"/>
    <w:rsid w:val="00ED56B7"/>
    <w:rsid w:val="00ED5717"/>
    <w:rsid w:val="00ED5CA6"/>
    <w:rsid w:val="00ED60F9"/>
    <w:rsid w:val="00ED7485"/>
    <w:rsid w:val="00ED767E"/>
    <w:rsid w:val="00ED76E4"/>
    <w:rsid w:val="00ED793F"/>
    <w:rsid w:val="00ED7D0C"/>
    <w:rsid w:val="00EE007D"/>
    <w:rsid w:val="00EE0C56"/>
    <w:rsid w:val="00EE10C1"/>
    <w:rsid w:val="00EE113F"/>
    <w:rsid w:val="00EE17A4"/>
    <w:rsid w:val="00EE1BFB"/>
    <w:rsid w:val="00EE2FBA"/>
    <w:rsid w:val="00EE37F5"/>
    <w:rsid w:val="00EE4408"/>
    <w:rsid w:val="00EE4884"/>
    <w:rsid w:val="00EE4FE9"/>
    <w:rsid w:val="00EE58A5"/>
    <w:rsid w:val="00EE6880"/>
    <w:rsid w:val="00EE6A33"/>
    <w:rsid w:val="00EE6E7D"/>
    <w:rsid w:val="00EE7245"/>
    <w:rsid w:val="00EE7A38"/>
    <w:rsid w:val="00EE7ECE"/>
    <w:rsid w:val="00EF06AB"/>
    <w:rsid w:val="00EF0BA8"/>
    <w:rsid w:val="00EF0DF0"/>
    <w:rsid w:val="00EF0E4D"/>
    <w:rsid w:val="00EF1C52"/>
    <w:rsid w:val="00EF1FC0"/>
    <w:rsid w:val="00EF2090"/>
    <w:rsid w:val="00EF21AD"/>
    <w:rsid w:val="00EF2309"/>
    <w:rsid w:val="00EF2AAF"/>
    <w:rsid w:val="00EF2D16"/>
    <w:rsid w:val="00EF2E73"/>
    <w:rsid w:val="00EF3475"/>
    <w:rsid w:val="00EF404A"/>
    <w:rsid w:val="00EF4A13"/>
    <w:rsid w:val="00EF4CF4"/>
    <w:rsid w:val="00EF568A"/>
    <w:rsid w:val="00EF5AA8"/>
    <w:rsid w:val="00EF6820"/>
    <w:rsid w:val="00EF7417"/>
    <w:rsid w:val="00EF7B58"/>
    <w:rsid w:val="00F00255"/>
    <w:rsid w:val="00F00529"/>
    <w:rsid w:val="00F00A93"/>
    <w:rsid w:val="00F0134A"/>
    <w:rsid w:val="00F015C9"/>
    <w:rsid w:val="00F0199A"/>
    <w:rsid w:val="00F0213D"/>
    <w:rsid w:val="00F02433"/>
    <w:rsid w:val="00F026C6"/>
    <w:rsid w:val="00F029F7"/>
    <w:rsid w:val="00F02AFC"/>
    <w:rsid w:val="00F02CEF"/>
    <w:rsid w:val="00F04244"/>
    <w:rsid w:val="00F04F05"/>
    <w:rsid w:val="00F0523E"/>
    <w:rsid w:val="00F06458"/>
    <w:rsid w:val="00F06826"/>
    <w:rsid w:val="00F0685A"/>
    <w:rsid w:val="00F069EA"/>
    <w:rsid w:val="00F06E0F"/>
    <w:rsid w:val="00F06E5F"/>
    <w:rsid w:val="00F07187"/>
    <w:rsid w:val="00F0722E"/>
    <w:rsid w:val="00F0748B"/>
    <w:rsid w:val="00F0769C"/>
    <w:rsid w:val="00F07CF9"/>
    <w:rsid w:val="00F07D3C"/>
    <w:rsid w:val="00F07EC7"/>
    <w:rsid w:val="00F10011"/>
    <w:rsid w:val="00F1019D"/>
    <w:rsid w:val="00F1179A"/>
    <w:rsid w:val="00F1255F"/>
    <w:rsid w:val="00F126B3"/>
    <w:rsid w:val="00F13376"/>
    <w:rsid w:val="00F1373B"/>
    <w:rsid w:val="00F13ADC"/>
    <w:rsid w:val="00F1415E"/>
    <w:rsid w:val="00F15A4F"/>
    <w:rsid w:val="00F15ED5"/>
    <w:rsid w:val="00F16DE3"/>
    <w:rsid w:val="00F16F1E"/>
    <w:rsid w:val="00F1752C"/>
    <w:rsid w:val="00F178DE"/>
    <w:rsid w:val="00F178DF"/>
    <w:rsid w:val="00F17B97"/>
    <w:rsid w:val="00F17EEB"/>
    <w:rsid w:val="00F21498"/>
    <w:rsid w:val="00F21B55"/>
    <w:rsid w:val="00F21DA4"/>
    <w:rsid w:val="00F22CE8"/>
    <w:rsid w:val="00F22ED6"/>
    <w:rsid w:val="00F230CD"/>
    <w:rsid w:val="00F233F3"/>
    <w:rsid w:val="00F25B4F"/>
    <w:rsid w:val="00F264D1"/>
    <w:rsid w:val="00F278C1"/>
    <w:rsid w:val="00F30242"/>
    <w:rsid w:val="00F302F1"/>
    <w:rsid w:val="00F30560"/>
    <w:rsid w:val="00F30824"/>
    <w:rsid w:val="00F30DC0"/>
    <w:rsid w:val="00F314B3"/>
    <w:rsid w:val="00F31658"/>
    <w:rsid w:val="00F31B92"/>
    <w:rsid w:val="00F31DCB"/>
    <w:rsid w:val="00F32967"/>
    <w:rsid w:val="00F32CE6"/>
    <w:rsid w:val="00F33572"/>
    <w:rsid w:val="00F339F6"/>
    <w:rsid w:val="00F33F55"/>
    <w:rsid w:val="00F3417A"/>
    <w:rsid w:val="00F348BD"/>
    <w:rsid w:val="00F34E27"/>
    <w:rsid w:val="00F35249"/>
    <w:rsid w:val="00F35383"/>
    <w:rsid w:val="00F35385"/>
    <w:rsid w:val="00F35950"/>
    <w:rsid w:val="00F365CE"/>
    <w:rsid w:val="00F3671A"/>
    <w:rsid w:val="00F36E4F"/>
    <w:rsid w:val="00F37376"/>
    <w:rsid w:val="00F40B10"/>
    <w:rsid w:val="00F40D5B"/>
    <w:rsid w:val="00F41282"/>
    <w:rsid w:val="00F420B3"/>
    <w:rsid w:val="00F425DB"/>
    <w:rsid w:val="00F426AA"/>
    <w:rsid w:val="00F42C51"/>
    <w:rsid w:val="00F432BA"/>
    <w:rsid w:val="00F432EF"/>
    <w:rsid w:val="00F4339B"/>
    <w:rsid w:val="00F43D39"/>
    <w:rsid w:val="00F43D86"/>
    <w:rsid w:val="00F442F9"/>
    <w:rsid w:val="00F4440D"/>
    <w:rsid w:val="00F44B75"/>
    <w:rsid w:val="00F44BF6"/>
    <w:rsid w:val="00F44DA2"/>
    <w:rsid w:val="00F45E0C"/>
    <w:rsid w:val="00F45E36"/>
    <w:rsid w:val="00F463ED"/>
    <w:rsid w:val="00F464F3"/>
    <w:rsid w:val="00F46572"/>
    <w:rsid w:val="00F46989"/>
    <w:rsid w:val="00F46FFE"/>
    <w:rsid w:val="00F47C40"/>
    <w:rsid w:val="00F47CC3"/>
    <w:rsid w:val="00F50150"/>
    <w:rsid w:val="00F50E38"/>
    <w:rsid w:val="00F50F80"/>
    <w:rsid w:val="00F515A0"/>
    <w:rsid w:val="00F51E33"/>
    <w:rsid w:val="00F51E5D"/>
    <w:rsid w:val="00F52619"/>
    <w:rsid w:val="00F5281A"/>
    <w:rsid w:val="00F52A0D"/>
    <w:rsid w:val="00F53922"/>
    <w:rsid w:val="00F5406C"/>
    <w:rsid w:val="00F54134"/>
    <w:rsid w:val="00F54615"/>
    <w:rsid w:val="00F54912"/>
    <w:rsid w:val="00F54D07"/>
    <w:rsid w:val="00F5552C"/>
    <w:rsid w:val="00F5598E"/>
    <w:rsid w:val="00F55A4F"/>
    <w:rsid w:val="00F55B65"/>
    <w:rsid w:val="00F56385"/>
    <w:rsid w:val="00F5681A"/>
    <w:rsid w:val="00F60425"/>
    <w:rsid w:val="00F604F7"/>
    <w:rsid w:val="00F60F17"/>
    <w:rsid w:val="00F61C57"/>
    <w:rsid w:val="00F62956"/>
    <w:rsid w:val="00F648CC"/>
    <w:rsid w:val="00F650E3"/>
    <w:rsid w:val="00F65B58"/>
    <w:rsid w:val="00F66054"/>
    <w:rsid w:val="00F66DA2"/>
    <w:rsid w:val="00F671CD"/>
    <w:rsid w:val="00F675A1"/>
    <w:rsid w:val="00F67949"/>
    <w:rsid w:val="00F67A62"/>
    <w:rsid w:val="00F70B50"/>
    <w:rsid w:val="00F70CFE"/>
    <w:rsid w:val="00F70DC2"/>
    <w:rsid w:val="00F70EB1"/>
    <w:rsid w:val="00F7118F"/>
    <w:rsid w:val="00F712AB"/>
    <w:rsid w:val="00F71428"/>
    <w:rsid w:val="00F71469"/>
    <w:rsid w:val="00F716AD"/>
    <w:rsid w:val="00F72D5E"/>
    <w:rsid w:val="00F7356D"/>
    <w:rsid w:val="00F737B9"/>
    <w:rsid w:val="00F738F9"/>
    <w:rsid w:val="00F747D8"/>
    <w:rsid w:val="00F74BBE"/>
    <w:rsid w:val="00F75003"/>
    <w:rsid w:val="00F75514"/>
    <w:rsid w:val="00F76476"/>
    <w:rsid w:val="00F7675D"/>
    <w:rsid w:val="00F77615"/>
    <w:rsid w:val="00F77C71"/>
    <w:rsid w:val="00F8195D"/>
    <w:rsid w:val="00F81C64"/>
    <w:rsid w:val="00F81E59"/>
    <w:rsid w:val="00F8217B"/>
    <w:rsid w:val="00F82385"/>
    <w:rsid w:val="00F825B3"/>
    <w:rsid w:val="00F82F24"/>
    <w:rsid w:val="00F84180"/>
    <w:rsid w:val="00F841F3"/>
    <w:rsid w:val="00F850FF"/>
    <w:rsid w:val="00F8558B"/>
    <w:rsid w:val="00F85AD9"/>
    <w:rsid w:val="00F85CEB"/>
    <w:rsid w:val="00F8631F"/>
    <w:rsid w:val="00F86E90"/>
    <w:rsid w:val="00F91910"/>
    <w:rsid w:val="00F91A49"/>
    <w:rsid w:val="00F91E2E"/>
    <w:rsid w:val="00F91E65"/>
    <w:rsid w:val="00F92986"/>
    <w:rsid w:val="00F9323C"/>
    <w:rsid w:val="00F933DA"/>
    <w:rsid w:val="00F93545"/>
    <w:rsid w:val="00F935E0"/>
    <w:rsid w:val="00F93933"/>
    <w:rsid w:val="00F93C45"/>
    <w:rsid w:val="00F93F0A"/>
    <w:rsid w:val="00F94885"/>
    <w:rsid w:val="00F955B6"/>
    <w:rsid w:val="00F959EF"/>
    <w:rsid w:val="00F95D2F"/>
    <w:rsid w:val="00F96225"/>
    <w:rsid w:val="00F966BF"/>
    <w:rsid w:val="00F966D1"/>
    <w:rsid w:val="00F97309"/>
    <w:rsid w:val="00F97313"/>
    <w:rsid w:val="00F976AF"/>
    <w:rsid w:val="00F977CA"/>
    <w:rsid w:val="00F97E41"/>
    <w:rsid w:val="00FA0960"/>
    <w:rsid w:val="00FA0D7D"/>
    <w:rsid w:val="00FA0FEC"/>
    <w:rsid w:val="00FA1047"/>
    <w:rsid w:val="00FA122F"/>
    <w:rsid w:val="00FA1EC3"/>
    <w:rsid w:val="00FA2649"/>
    <w:rsid w:val="00FA2897"/>
    <w:rsid w:val="00FA2A63"/>
    <w:rsid w:val="00FA2DE3"/>
    <w:rsid w:val="00FA31F9"/>
    <w:rsid w:val="00FA365C"/>
    <w:rsid w:val="00FA3969"/>
    <w:rsid w:val="00FA430D"/>
    <w:rsid w:val="00FA4ACB"/>
    <w:rsid w:val="00FA5D59"/>
    <w:rsid w:val="00FA6686"/>
    <w:rsid w:val="00FA6861"/>
    <w:rsid w:val="00FA7F41"/>
    <w:rsid w:val="00FB0124"/>
    <w:rsid w:val="00FB0ACA"/>
    <w:rsid w:val="00FB0D8D"/>
    <w:rsid w:val="00FB1286"/>
    <w:rsid w:val="00FB1646"/>
    <w:rsid w:val="00FB1905"/>
    <w:rsid w:val="00FB3661"/>
    <w:rsid w:val="00FB4079"/>
    <w:rsid w:val="00FB41C9"/>
    <w:rsid w:val="00FB59AA"/>
    <w:rsid w:val="00FB6BE5"/>
    <w:rsid w:val="00FB6D14"/>
    <w:rsid w:val="00FB7305"/>
    <w:rsid w:val="00FB7B1C"/>
    <w:rsid w:val="00FB7D00"/>
    <w:rsid w:val="00FB7DEE"/>
    <w:rsid w:val="00FC0979"/>
    <w:rsid w:val="00FC0D72"/>
    <w:rsid w:val="00FC117A"/>
    <w:rsid w:val="00FC1D85"/>
    <w:rsid w:val="00FC1FCE"/>
    <w:rsid w:val="00FC2184"/>
    <w:rsid w:val="00FC3085"/>
    <w:rsid w:val="00FC315F"/>
    <w:rsid w:val="00FC31FB"/>
    <w:rsid w:val="00FC3439"/>
    <w:rsid w:val="00FC44A5"/>
    <w:rsid w:val="00FC4815"/>
    <w:rsid w:val="00FC5B25"/>
    <w:rsid w:val="00FC6626"/>
    <w:rsid w:val="00FC67AE"/>
    <w:rsid w:val="00FC712F"/>
    <w:rsid w:val="00FC78B9"/>
    <w:rsid w:val="00FD057C"/>
    <w:rsid w:val="00FD0A25"/>
    <w:rsid w:val="00FD0A48"/>
    <w:rsid w:val="00FD0CD2"/>
    <w:rsid w:val="00FD0DC8"/>
    <w:rsid w:val="00FD12D3"/>
    <w:rsid w:val="00FD2286"/>
    <w:rsid w:val="00FD2B9D"/>
    <w:rsid w:val="00FD31D8"/>
    <w:rsid w:val="00FD3975"/>
    <w:rsid w:val="00FD3FA2"/>
    <w:rsid w:val="00FD40DA"/>
    <w:rsid w:val="00FD4B2A"/>
    <w:rsid w:val="00FD4E56"/>
    <w:rsid w:val="00FD5077"/>
    <w:rsid w:val="00FD6B53"/>
    <w:rsid w:val="00FD789D"/>
    <w:rsid w:val="00FD7E7B"/>
    <w:rsid w:val="00FE06CC"/>
    <w:rsid w:val="00FE17F2"/>
    <w:rsid w:val="00FE181C"/>
    <w:rsid w:val="00FE1DD6"/>
    <w:rsid w:val="00FE22BF"/>
    <w:rsid w:val="00FE297A"/>
    <w:rsid w:val="00FE29D8"/>
    <w:rsid w:val="00FE2E30"/>
    <w:rsid w:val="00FE3CFA"/>
    <w:rsid w:val="00FE44B9"/>
    <w:rsid w:val="00FE4963"/>
    <w:rsid w:val="00FE4C1E"/>
    <w:rsid w:val="00FE4E3A"/>
    <w:rsid w:val="00FE54DC"/>
    <w:rsid w:val="00FE784B"/>
    <w:rsid w:val="00FE7B72"/>
    <w:rsid w:val="00FF0041"/>
    <w:rsid w:val="00FF074F"/>
    <w:rsid w:val="00FF09F0"/>
    <w:rsid w:val="00FF0A98"/>
    <w:rsid w:val="00FF14D4"/>
    <w:rsid w:val="00FF157D"/>
    <w:rsid w:val="00FF1AAE"/>
    <w:rsid w:val="00FF1CDC"/>
    <w:rsid w:val="00FF1DD7"/>
    <w:rsid w:val="00FF207A"/>
    <w:rsid w:val="00FF209C"/>
    <w:rsid w:val="00FF29E5"/>
    <w:rsid w:val="00FF2E28"/>
    <w:rsid w:val="00FF2F30"/>
    <w:rsid w:val="00FF35F3"/>
    <w:rsid w:val="00FF3909"/>
    <w:rsid w:val="00FF42B0"/>
    <w:rsid w:val="00FF458B"/>
    <w:rsid w:val="00FF4A42"/>
    <w:rsid w:val="00FF4FC2"/>
    <w:rsid w:val="00FF63E2"/>
    <w:rsid w:val="00FF6499"/>
    <w:rsid w:val="00FF691B"/>
    <w:rsid w:val="00FF6D9D"/>
    <w:rsid w:val="00FF76D2"/>
    <w:rsid w:val="00FF77E0"/>
    <w:rsid w:val="00FF7AE3"/>
    <w:rsid w:val="00FF7B3A"/>
    <w:rsid w:val="00FF7F18"/>
    <w:rsid w:val="01D4004A"/>
    <w:rsid w:val="0234645A"/>
    <w:rsid w:val="0275EF04"/>
    <w:rsid w:val="02A60A33"/>
    <w:rsid w:val="02A8F7C8"/>
    <w:rsid w:val="02B35A23"/>
    <w:rsid w:val="02BAD38E"/>
    <w:rsid w:val="02C7ED73"/>
    <w:rsid w:val="02CCA149"/>
    <w:rsid w:val="0344807E"/>
    <w:rsid w:val="03D21A86"/>
    <w:rsid w:val="03D9580F"/>
    <w:rsid w:val="043CF124"/>
    <w:rsid w:val="050DECB6"/>
    <w:rsid w:val="050FB9E9"/>
    <w:rsid w:val="05497969"/>
    <w:rsid w:val="05BFF0E3"/>
    <w:rsid w:val="05C2DA7C"/>
    <w:rsid w:val="061C111A"/>
    <w:rsid w:val="063B2B24"/>
    <w:rsid w:val="0654843A"/>
    <w:rsid w:val="06790FCE"/>
    <w:rsid w:val="067B35FB"/>
    <w:rsid w:val="06A1FF47"/>
    <w:rsid w:val="06B07170"/>
    <w:rsid w:val="070570F2"/>
    <w:rsid w:val="0794641C"/>
    <w:rsid w:val="080E4629"/>
    <w:rsid w:val="081B2A02"/>
    <w:rsid w:val="0820C0FB"/>
    <w:rsid w:val="085A0274"/>
    <w:rsid w:val="087D7314"/>
    <w:rsid w:val="0899D283"/>
    <w:rsid w:val="089FFE1D"/>
    <w:rsid w:val="08DA143B"/>
    <w:rsid w:val="08E87D61"/>
    <w:rsid w:val="08F3D86E"/>
    <w:rsid w:val="08FD9A68"/>
    <w:rsid w:val="09008D0A"/>
    <w:rsid w:val="0903D188"/>
    <w:rsid w:val="0918D1EE"/>
    <w:rsid w:val="095E8F1D"/>
    <w:rsid w:val="096AEEE4"/>
    <w:rsid w:val="09A77970"/>
    <w:rsid w:val="09C4605B"/>
    <w:rsid w:val="09F9D1B4"/>
    <w:rsid w:val="0A0DB092"/>
    <w:rsid w:val="0A51BC6A"/>
    <w:rsid w:val="0AA3DD8E"/>
    <w:rsid w:val="0AA47A5D"/>
    <w:rsid w:val="0AA72E0D"/>
    <w:rsid w:val="0AF24D49"/>
    <w:rsid w:val="0B05B81B"/>
    <w:rsid w:val="0B27E1A0"/>
    <w:rsid w:val="0B36432A"/>
    <w:rsid w:val="0B73072B"/>
    <w:rsid w:val="0B874F0E"/>
    <w:rsid w:val="0C01E93D"/>
    <w:rsid w:val="0C077B12"/>
    <w:rsid w:val="0C565968"/>
    <w:rsid w:val="0C954469"/>
    <w:rsid w:val="0CA1C993"/>
    <w:rsid w:val="0D11864A"/>
    <w:rsid w:val="0D2C69AA"/>
    <w:rsid w:val="0D2E6AAD"/>
    <w:rsid w:val="0D42DFAD"/>
    <w:rsid w:val="0D77A1ED"/>
    <w:rsid w:val="0D7D3BE5"/>
    <w:rsid w:val="0E0BCE54"/>
    <w:rsid w:val="0E41E970"/>
    <w:rsid w:val="0E532244"/>
    <w:rsid w:val="0E754D0B"/>
    <w:rsid w:val="0E94A7B0"/>
    <w:rsid w:val="0E9706CF"/>
    <w:rsid w:val="0F0E60E4"/>
    <w:rsid w:val="0F576AA1"/>
    <w:rsid w:val="0F7BC33F"/>
    <w:rsid w:val="0F92C008"/>
    <w:rsid w:val="0FBA912B"/>
    <w:rsid w:val="0FC4A6F0"/>
    <w:rsid w:val="10550F97"/>
    <w:rsid w:val="1062E7D1"/>
    <w:rsid w:val="10E17E4E"/>
    <w:rsid w:val="111E1ED5"/>
    <w:rsid w:val="11A9EE3E"/>
    <w:rsid w:val="127798F8"/>
    <w:rsid w:val="12949EF5"/>
    <w:rsid w:val="12B4A59F"/>
    <w:rsid w:val="131831B6"/>
    <w:rsid w:val="131CCCF4"/>
    <w:rsid w:val="133C6252"/>
    <w:rsid w:val="1355EA81"/>
    <w:rsid w:val="1391BDF2"/>
    <w:rsid w:val="13C85157"/>
    <w:rsid w:val="141F42C4"/>
    <w:rsid w:val="1429B1E6"/>
    <w:rsid w:val="15047BCD"/>
    <w:rsid w:val="159744EA"/>
    <w:rsid w:val="15D7AB4D"/>
    <w:rsid w:val="15DB0840"/>
    <w:rsid w:val="15E1535C"/>
    <w:rsid w:val="16BD8BCD"/>
    <w:rsid w:val="16C96D62"/>
    <w:rsid w:val="16D5C656"/>
    <w:rsid w:val="171B777D"/>
    <w:rsid w:val="172E5BAC"/>
    <w:rsid w:val="17737B1E"/>
    <w:rsid w:val="1797B17E"/>
    <w:rsid w:val="17B7804C"/>
    <w:rsid w:val="17F46ADF"/>
    <w:rsid w:val="1812B0FA"/>
    <w:rsid w:val="1813C767"/>
    <w:rsid w:val="18146CB5"/>
    <w:rsid w:val="18193236"/>
    <w:rsid w:val="183FA3EF"/>
    <w:rsid w:val="18491391"/>
    <w:rsid w:val="184943A9"/>
    <w:rsid w:val="185210FC"/>
    <w:rsid w:val="18ACBD41"/>
    <w:rsid w:val="18DC62D5"/>
    <w:rsid w:val="18F5F726"/>
    <w:rsid w:val="191564E3"/>
    <w:rsid w:val="196DD697"/>
    <w:rsid w:val="1997A7FE"/>
    <w:rsid w:val="19A81168"/>
    <w:rsid w:val="19ACF16F"/>
    <w:rsid w:val="19E281A2"/>
    <w:rsid w:val="19E74A87"/>
    <w:rsid w:val="19FA048E"/>
    <w:rsid w:val="1A2BF16B"/>
    <w:rsid w:val="1A3740C5"/>
    <w:rsid w:val="1A502D9C"/>
    <w:rsid w:val="1AA5D0FE"/>
    <w:rsid w:val="1AAE9763"/>
    <w:rsid w:val="1AD83A21"/>
    <w:rsid w:val="1AF4D69B"/>
    <w:rsid w:val="1B49CD70"/>
    <w:rsid w:val="1B8FA134"/>
    <w:rsid w:val="1B9D2052"/>
    <w:rsid w:val="1BC5AE22"/>
    <w:rsid w:val="1BE0A673"/>
    <w:rsid w:val="1C743181"/>
    <w:rsid w:val="1CD8A07E"/>
    <w:rsid w:val="1D009833"/>
    <w:rsid w:val="1D09CBDB"/>
    <w:rsid w:val="1D142509"/>
    <w:rsid w:val="1D2B394F"/>
    <w:rsid w:val="1D957D59"/>
    <w:rsid w:val="1DA450A2"/>
    <w:rsid w:val="1DC60420"/>
    <w:rsid w:val="1E35B896"/>
    <w:rsid w:val="1E535190"/>
    <w:rsid w:val="1E9DB610"/>
    <w:rsid w:val="1ECB55A3"/>
    <w:rsid w:val="1EF60D91"/>
    <w:rsid w:val="1EFB6D77"/>
    <w:rsid w:val="1EFD553B"/>
    <w:rsid w:val="1F2C45FC"/>
    <w:rsid w:val="1F7878AF"/>
    <w:rsid w:val="1F816F9A"/>
    <w:rsid w:val="1F9252C1"/>
    <w:rsid w:val="1FB1EF12"/>
    <w:rsid w:val="1FB94874"/>
    <w:rsid w:val="1FBD7905"/>
    <w:rsid w:val="1FDA5636"/>
    <w:rsid w:val="2007ADF3"/>
    <w:rsid w:val="20554F47"/>
    <w:rsid w:val="2077F534"/>
    <w:rsid w:val="2078B377"/>
    <w:rsid w:val="20CA0E95"/>
    <w:rsid w:val="20D7E3F6"/>
    <w:rsid w:val="20E05F0C"/>
    <w:rsid w:val="20E562B5"/>
    <w:rsid w:val="20E63C06"/>
    <w:rsid w:val="212ACA5A"/>
    <w:rsid w:val="213F2F73"/>
    <w:rsid w:val="21597C9B"/>
    <w:rsid w:val="2198EDC9"/>
    <w:rsid w:val="21B7FD62"/>
    <w:rsid w:val="21E9B167"/>
    <w:rsid w:val="21F25E7D"/>
    <w:rsid w:val="220BA8CB"/>
    <w:rsid w:val="220F9EC4"/>
    <w:rsid w:val="2226AAAB"/>
    <w:rsid w:val="2246BC73"/>
    <w:rsid w:val="2260CE12"/>
    <w:rsid w:val="229AA84F"/>
    <w:rsid w:val="230D8EBD"/>
    <w:rsid w:val="2312EAF1"/>
    <w:rsid w:val="2368677C"/>
    <w:rsid w:val="23A78C4C"/>
    <w:rsid w:val="23C32BFA"/>
    <w:rsid w:val="240ECFFD"/>
    <w:rsid w:val="250C2398"/>
    <w:rsid w:val="25140207"/>
    <w:rsid w:val="251A58FF"/>
    <w:rsid w:val="2523C97A"/>
    <w:rsid w:val="253C2254"/>
    <w:rsid w:val="255D5F74"/>
    <w:rsid w:val="256F7A7E"/>
    <w:rsid w:val="25858BC4"/>
    <w:rsid w:val="259D42EA"/>
    <w:rsid w:val="25F4F067"/>
    <w:rsid w:val="263CCB25"/>
    <w:rsid w:val="264E7404"/>
    <w:rsid w:val="26A7436F"/>
    <w:rsid w:val="26C03062"/>
    <w:rsid w:val="26EACC9E"/>
    <w:rsid w:val="271986DB"/>
    <w:rsid w:val="279397F5"/>
    <w:rsid w:val="27A49640"/>
    <w:rsid w:val="27B761BA"/>
    <w:rsid w:val="27C7ABB6"/>
    <w:rsid w:val="28257882"/>
    <w:rsid w:val="282C6110"/>
    <w:rsid w:val="2891D420"/>
    <w:rsid w:val="28D0A80A"/>
    <w:rsid w:val="293B6A1B"/>
    <w:rsid w:val="295C0AD4"/>
    <w:rsid w:val="298A7914"/>
    <w:rsid w:val="29FA55AC"/>
    <w:rsid w:val="2A283278"/>
    <w:rsid w:val="2A748699"/>
    <w:rsid w:val="2A96E774"/>
    <w:rsid w:val="2B50C210"/>
    <w:rsid w:val="2B85252E"/>
    <w:rsid w:val="2B8667EA"/>
    <w:rsid w:val="2B9F89CC"/>
    <w:rsid w:val="2BEC1B07"/>
    <w:rsid w:val="2C30A646"/>
    <w:rsid w:val="2C8E0C52"/>
    <w:rsid w:val="2C9524DA"/>
    <w:rsid w:val="2C9F5B96"/>
    <w:rsid w:val="2CA2A69C"/>
    <w:rsid w:val="2CB4EEC3"/>
    <w:rsid w:val="2CCF6FAB"/>
    <w:rsid w:val="2CDA0F0A"/>
    <w:rsid w:val="2CF45132"/>
    <w:rsid w:val="2D5E1EB1"/>
    <w:rsid w:val="2D7D975B"/>
    <w:rsid w:val="2D89950D"/>
    <w:rsid w:val="2DDA9D7D"/>
    <w:rsid w:val="2E04266F"/>
    <w:rsid w:val="2E07F825"/>
    <w:rsid w:val="2E3BD7C3"/>
    <w:rsid w:val="2E5A98DB"/>
    <w:rsid w:val="2E5C1104"/>
    <w:rsid w:val="2EA01E3C"/>
    <w:rsid w:val="2EB24770"/>
    <w:rsid w:val="2EBCF96B"/>
    <w:rsid w:val="2EC0E1F7"/>
    <w:rsid w:val="2ED58DA9"/>
    <w:rsid w:val="2EE6EBA8"/>
    <w:rsid w:val="2F04B651"/>
    <w:rsid w:val="2F16005D"/>
    <w:rsid w:val="2F4D667C"/>
    <w:rsid w:val="2F56F183"/>
    <w:rsid w:val="2F62903C"/>
    <w:rsid w:val="2F6309F3"/>
    <w:rsid w:val="2F96DD96"/>
    <w:rsid w:val="2FBED87C"/>
    <w:rsid w:val="2FFE6E27"/>
    <w:rsid w:val="300902EF"/>
    <w:rsid w:val="3017A8BB"/>
    <w:rsid w:val="3033BDA8"/>
    <w:rsid w:val="30655E80"/>
    <w:rsid w:val="30A6ED9E"/>
    <w:rsid w:val="30D4F9B2"/>
    <w:rsid w:val="30E42A63"/>
    <w:rsid w:val="310A6358"/>
    <w:rsid w:val="313C9E32"/>
    <w:rsid w:val="314A659E"/>
    <w:rsid w:val="314D6508"/>
    <w:rsid w:val="3189F16F"/>
    <w:rsid w:val="31997A56"/>
    <w:rsid w:val="31AAC5A6"/>
    <w:rsid w:val="31B97603"/>
    <w:rsid w:val="31E9073B"/>
    <w:rsid w:val="32021245"/>
    <w:rsid w:val="320742B0"/>
    <w:rsid w:val="322FF9A6"/>
    <w:rsid w:val="32A39DBD"/>
    <w:rsid w:val="33A3F83C"/>
    <w:rsid w:val="33B86D0A"/>
    <w:rsid w:val="33B9550B"/>
    <w:rsid w:val="33DA00ED"/>
    <w:rsid w:val="33E49978"/>
    <w:rsid w:val="341A27DD"/>
    <w:rsid w:val="34BC39D4"/>
    <w:rsid w:val="34DD942E"/>
    <w:rsid w:val="34E9C241"/>
    <w:rsid w:val="34EC0C5C"/>
    <w:rsid w:val="34F1095A"/>
    <w:rsid w:val="35178877"/>
    <w:rsid w:val="35A03D02"/>
    <w:rsid w:val="366A3FF3"/>
    <w:rsid w:val="36C7E4DC"/>
    <w:rsid w:val="36CEFC98"/>
    <w:rsid w:val="36D7594F"/>
    <w:rsid w:val="36E125DC"/>
    <w:rsid w:val="36F1225D"/>
    <w:rsid w:val="37187783"/>
    <w:rsid w:val="37EB7917"/>
    <w:rsid w:val="384A6751"/>
    <w:rsid w:val="38725F8D"/>
    <w:rsid w:val="387E4634"/>
    <w:rsid w:val="38A69601"/>
    <w:rsid w:val="38C1234B"/>
    <w:rsid w:val="38C3B792"/>
    <w:rsid w:val="38D85B50"/>
    <w:rsid w:val="38DE4AED"/>
    <w:rsid w:val="38F59E13"/>
    <w:rsid w:val="38F60F22"/>
    <w:rsid w:val="3923828B"/>
    <w:rsid w:val="392B8FB1"/>
    <w:rsid w:val="39C5163B"/>
    <w:rsid w:val="39FF7E37"/>
    <w:rsid w:val="3A827CF0"/>
    <w:rsid w:val="3AC3FA8C"/>
    <w:rsid w:val="3B5356A5"/>
    <w:rsid w:val="3B6C5E64"/>
    <w:rsid w:val="3B851D5E"/>
    <w:rsid w:val="3BD59A9C"/>
    <w:rsid w:val="3BDD46F6"/>
    <w:rsid w:val="3BF93D95"/>
    <w:rsid w:val="3C58DCF0"/>
    <w:rsid w:val="3C6DA318"/>
    <w:rsid w:val="3C72674E"/>
    <w:rsid w:val="3C7E13FA"/>
    <w:rsid w:val="3C9D4247"/>
    <w:rsid w:val="3D0515D7"/>
    <w:rsid w:val="3D125465"/>
    <w:rsid w:val="3D43C9A3"/>
    <w:rsid w:val="3D75A705"/>
    <w:rsid w:val="3D7DC06B"/>
    <w:rsid w:val="3DDCF336"/>
    <w:rsid w:val="3DED4C31"/>
    <w:rsid w:val="3DF826D0"/>
    <w:rsid w:val="3E089ED3"/>
    <w:rsid w:val="3E0A319F"/>
    <w:rsid w:val="3E2ED45F"/>
    <w:rsid w:val="3E447FA4"/>
    <w:rsid w:val="3E91B45D"/>
    <w:rsid w:val="3EA11586"/>
    <w:rsid w:val="3EAF23E5"/>
    <w:rsid w:val="3EC7BCDF"/>
    <w:rsid w:val="3EF70A3F"/>
    <w:rsid w:val="3F13B22D"/>
    <w:rsid w:val="3F514A9D"/>
    <w:rsid w:val="3F7D77C5"/>
    <w:rsid w:val="3F99DA3F"/>
    <w:rsid w:val="3FAAE96E"/>
    <w:rsid w:val="403748A0"/>
    <w:rsid w:val="406B3A4D"/>
    <w:rsid w:val="407E0DA4"/>
    <w:rsid w:val="408EA729"/>
    <w:rsid w:val="40A1A190"/>
    <w:rsid w:val="40A5B62B"/>
    <w:rsid w:val="40A6C4A4"/>
    <w:rsid w:val="40B4EB5F"/>
    <w:rsid w:val="40E2F1A5"/>
    <w:rsid w:val="40EAEA82"/>
    <w:rsid w:val="4203AAB4"/>
    <w:rsid w:val="422B0565"/>
    <w:rsid w:val="42349E15"/>
    <w:rsid w:val="4278CD1A"/>
    <w:rsid w:val="42E287B1"/>
    <w:rsid w:val="430D1486"/>
    <w:rsid w:val="431D4F30"/>
    <w:rsid w:val="4329555C"/>
    <w:rsid w:val="433B048A"/>
    <w:rsid w:val="43A7038B"/>
    <w:rsid w:val="43DC2B56"/>
    <w:rsid w:val="43FD7931"/>
    <w:rsid w:val="44275A23"/>
    <w:rsid w:val="442FD669"/>
    <w:rsid w:val="4437090C"/>
    <w:rsid w:val="4475D7A0"/>
    <w:rsid w:val="4480BCB4"/>
    <w:rsid w:val="448DD931"/>
    <w:rsid w:val="44A297D8"/>
    <w:rsid w:val="44E1EB22"/>
    <w:rsid w:val="44F8A6D3"/>
    <w:rsid w:val="451C764F"/>
    <w:rsid w:val="4523F682"/>
    <w:rsid w:val="455856A6"/>
    <w:rsid w:val="460BC998"/>
    <w:rsid w:val="4611DFCA"/>
    <w:rsid w:val="464E8CF1"/>
    <w:rsid w:val="46935E88"/>
    <w:rsid w:val="46B3D7EE"/>
    <w:rsid w:val="46BA9307"/>
    <w:rsid w:val="46BE6841"/>
    <w:rsid w:val="46C7480E"/>
    <w:rsid w:val="46D33DB1"/>
    <w:rsid w:val="4714A252"/>
    <w:rsid w:val="47241427"/>
    <w:rsid w:val="472EE1F4"/>
    <w:rsid w:val="474172FC"/>
    <w:rsid w:val="47675F9E"/>
    <w:rsid w:val="476A49EB"/>
    <w:rsid w:val="47BD8F7D"/>
    <w:rsid w:val="47D8FC79"/>
    <w:rsid w:val="4845E94A"/>
    <w:rsid w:val="4855C138"/>
    <w:rsid w:val="4871ABF9"/>
    <w:rsid w:val="48874A38"/>
    <w:rsid w:val="48C68BBF"/>
    <w:rsid w:val="49325C22"/>
    <w:rsid w:val="4944CA1B"/>
    <w:rsid w:val="49664D30"/>
    <w:rsid w:val="49D828A0"/>
    <w:rsid w:val="49F59270"/>
    <w:rsid w:val="4A07BCDE"/>
    <w:rsid w:val="4A170A41"/>
    <w:rsid w:val="4A1E097C"/>
    <w:rsid w:val="4A275E02"/>
    <w:rsid w:val="4A4BFB83"/>
    <w:rsid w:val="4A6F5B0F"/>
    <w:rsid w:val="4A9B4013"/>
    <w:rsid w:val="4ABB4FFB"/>
    <w:rsid w:val="4AC7CF59"/>
    <w:rsid w:val="4AD61717"/>
    <w:rsid w:val="4AE59D74"/>
    <w:rsid w:val="4B021661"/>
    <w:rsid w:val="4B3FD556"/>
    <w:rsid w:val="4B41E915"/>
    <w:rsid w:val="4B545E81"/>
    <w:rsid w:val="4B76E068"/>
    <w:rsid w:val="4BBECE43"/>
    <w:rsid w:val="4BCF6970"/>
    <w:rsid w:val="4BEFF83A"/>
    <w:rsid w:val="4C5D4FA6"/>
    <w:rsid w:val="4C6153B5"/>
    <w:rsid w:val="4C76B3DC"/>
    <w:rsid w:val="4C8E2E2D"/>
    <w:rsid w:val="4CA5A066"/>
    <w:rsid w:val="4CCE05FF"/>
    <w:rsid w:val="4D31579E"/>
    <w:rsid w:val="4D733632"/>
    <w:rsid w:val="4D85CFE4"/>
    <w:rsid w:val="4D94690C"/>
    <w:rsid w:val="4E45DA80"/>
    <w:rsid w:val="4E8B2D4D"/>
    <w:rsid w:val="4E94EF10"/>
    <w:rsid w:val="4EE96D75"/>
    <w:rsid w:val="4F82F2F9"/>
    <w:rsid w:val="4F84BD99"/>
    <w:rsid w:val="4FA27181"/>
    <w:rsid w:val="4FBA9FAC"/>
    <w:rsid w:val="4FE6226C"/>
    <w:rsid w:val="50092C0D"/>
    <w:rsid w:val="502F075A"/>
    <w:rsid w:val="503803E9"/>
    <w:rsid w:val="50981C00"/>
    <w:rsid w:val="50CFCE81"/>
    <w:rsid w:val="50F3B8AE"/>
    <w:rsid w:val="511FFA14"/>
    <w:rsid w:val="51365542"/>
    <w:rsid w:val="516ECBA9"/>
    <w:rsid w:val="519D4190"/>
    <w:rsid w:val="51ACA2BE"/>
    <w:rsid w:val="51BB88E9"/>
    <w:rsid w:val="51BE9D5F"/>
    <w:rsid w:val="520348FD"/>
    <w:rsid w:val="526A6DB8"/>
    <w:rsid w:val="5279859F"/>
    <w:rsid w:val="52B55109"/>
    <w:rsid w:val="52C0EAA3"/>
    <w:rsid w:val="52C3221D"/>
    <w:rsid w:val="52D3EB28"/>
    <w:rsid w:val="52E3AFC5"/>
    <w:rsid w:val="52E90B6D"/>
    <w:rsid w:val="5357501F"/>
    <w:rsid w:val="536510BD"/>
    <w:rsid w:val="536FF88C"/>
    <w:rsid w:val="538DB137"/>
    <w:rsid w:val="53A092FE"/>
    <w:rsid w:val="53A136EE"/>
    <w:rsid w:val="53B80D00"/>
    <w:rsid w:val="53CE3EF8"/>
    <w:rsid w:val="53D0A29A"/>
    <w:rsid w:val="53DE92EA"/>
    <w:rsid w:val="53E20D96"/>
    <w:rsid w:val="54028086"/>
    <w:rsid w:val="548F49A3"/>
    <w:rsid w:val="54966F51"/>
    <w:rsid w:val="5496EA22"/>
    <w:rsid w:val="54A35522"/>
    <w:rsid w:val="54C0DF4B"/>
    <w:rsid w:val="54CCEF3A"/>
    <w:rsid w:val="55116B97"/>
    <w:rsid w:val="5516267F"/>
    <w:rsid w:val="552F5D15"/>
    <w:rsid w:val="5572EEF0"/>
    <w:rsid w:val="5586ECB7"/>
    <w:rsid w:val="5591F1DC"/>
    <w:rsid w:val="55A079F5"/>
    <w:rsid w:val="55DB5064"/>
    <w:rsid w:val="567E3B84"/>
    <w:rsid w:val="56A12577"/>
    <w:rsid w:val="56BC980C"/>
    <w:rsid w:val="56C3E658"/>
    <w:rsid w:val="5739B9F7"/>
    <w:rsid w:val="5751374B"/>
    <w:rsid w:val="5756E935"/>
    <w:rsid w:val="57690186"/>
    <w:rsid w:val="577EC780"/>
    <w:rsid w:val="578C23C9"/>
    <w:rsid w:val="57903ABA"/>
    <w:rsid w:val="57BAA225"/>
    <w:rsid w:val="5803ECD1"/>
    <w:rsid w:val="58275E9B"/>
    <w:rsid w:val="584DDD90"/>
    <w:rsid w:val="588D1052"/>
    <w:rsid w:val="58927E6F"/>
    <w:rsid w:val="58C4E732"/>
    <w:rsid w:val="58D277BC"/>
    <w:rsid w:val="58F27133"/>
    <w:rsid w:val="5919485A"/>
    <w:rsid w:val="59215F9E"/>
    <w:rsid w:val="596CA003"/>
    <w:rsid w:val="59737A26"/>
    <w:rsid w:val="59D39E7A"/>
    <w:rsid w:val="5A12777E"/>
    <w:rsid w:val="5A2B3500"/>
    <w:rsid w:val="5A39FBFC"/>
    <w:rsid w:val="5A47B95B"/>
    <w:rsid w:val="5A92E7E3"/>
    <w:rsid w:val="5ABE5530"/>
    <w:rsid w:val="5ACEFD7C"/>
    <w:rsid w:val="5AD0D9D5"/>
    <w:rsid w:val="5AE87A91"/>
    <w:rsid w:val="5AEB0215"/>
    <w:rsid w:val="5B38E4EC"/>
    <w:rsid w:val="5B5572F3"/>
    <w:rsid w:val="5B773321"/>
    <w:rsid w:val="5BB4B406"/>
    <w:rsid w:val="5BDD77FD"/>
    <w:rsid w:val="5C058109"/>
    <w:rsid w:val="5C198E92"/>
    <w:rsid w:val="5C263654"/>
    <w:rsid w:val="5C39E68F"/>
    <w:rsid w:val="5C46C625"/>
    <w:rsid w:val="5C579E42"/>
    <w:rsid w:val="5C768985"/>
    <w:rsid w:val="5C848C1B"/>
    <w:rsid w:val="5CC26B30"/>
    <w:rsid w:val="5D33AB6A"/>
    <w:rsid w:val="5D5EE912"/>
    <w:rsid w:val="5D9D949F"/>
    <w:rsid w:val="5E41C018"/>
    <w:rsid w:val="5E42CD70"/>
    <w:rsid w:val="5E4695AF"/>
    <w:rsid w:val="5E531069"/>
    <w:rsid w:val="5E770AF5"/>
    <w:rsid w:val="5E792B22"/>
    <w:rsid w:val="5EAA39C8"/>
    <w:rsid w:val="5ED94058"/>
    <w:rsid w:val="5EDF6A80"/>
    <w:rsid w:val="5EF2545F"/>
    <w:rsid w:val="5F0477CD"/>
    <w:rsid w:val="5F97CE58"/>
    <w:rsid w:val="5FD13DF2"/>
    <w:rsid w:val="5FEC94A3"/>
    <w:rsid w:val="60054C2E"/>
    <w:rsid w:val="603B7D4B"/>
    <w:rsid w:val="60653F00"/>
    <w:rsid w:val="608257F9"/>
    <w:rsid w:val="60BDE0E8"/>
    <w:rsid w:val="60D98EFE"/>
    <w:rsid w:val="6167BD5D"/>
    <w:rsid w:val="61808484"/>
    <w:rsid w:val="618296F6"/>
    <w:rsid w:val="61A40271"/>
    <w:rsid w:val="61BE95D5"/>
    <w:rsid w:val="61E1F5F4"/>
    <w:rsid w:val="61FB341D"/>
    <w:rsid w:val="62485DC3"/>
    <w:rsid w:val="627F94E1"/>
    <w:rsid w:val="6297E0FE"/>
    <w:rsid w:val="629DC99A"/>
    <w:rsid w:val="62DAD343"/>
    <w:rsid w:val="62E01DC8"/>
    <w:rsid w:val="62EB62F8"/>
    <w:rsid w:val="6302C530"/>
    <w:rsid w:val="63443278"/>
    <w:rsid w:val="635E55D9"/>
    <w:rsid w:val="63771FF9"/>
    <w:rsid w:val="63FC5509"/>
    <w:rsid w:val="642ED2BF"/>
    <w:rsid w:val="64447185"/>
    <w:rsid w:val="6449F1EB"/>
    <w:rsid w:val="647BCAD4"/>
    <w:rsid w:val="64A2B87B"/>
    <w:rsid w:val="64BD69BD"/>
    <w:rsid w:val="64F61410"/>
    <w:rsid w:val="65055CD6"/>
    <w:rsid w:val="655B2B0B"/>
    <w:rsid w:val="655D8104"/>
    <w:rsid w:val="6560F4D1"/>
    <w:rsid w:val="65B87BD7"/>
    <w:rsid w:val="65CA79FB"/>
    <w:rsid w:val="65CEA365"/>
    <w:rsid w:val="65D20A2F"/>
    <w:rsid w:val="663715E8"/>
    <w:rsid w:val="6695D5AF"/>
    <w:rsid w:val="66AAEE34"/>
    <w:rsid w:val="66E05144"/>
    <w:rsid w:val="673FFAB8"/>
    <w:rsid w:val="675B930B"/>
    <w:rsid w:val="676A5888"/>
    <w:rsid w:val="677F13B2"/>
    <w:rsid w:val="67BDD949"/>
    <w:rsid w:val="67CA6FB3"/>
    <w:rsid w:val="67F100C4"/>
    <w:rsid w:val="67FF36D3"/>
    <w:rsid w:val="67FF5D25"/>
    <w:rsid w:val="6813CC64"/>
    <w:rsid w:val="68192A24"/>
    <w:rsid w:val="683CCBF0"/>
    <w:rsid w:val="6887A205"/>
    <w:rsid w:val="689B7964"/>
    <w:rsid w:val="68CF26EE"/>
    <w:rsid w:val="6987BD9D"/>
    <w:rsid w:val="699F7170"/>
    <w:rsid w:val="69D45A39"/>
    <w:rsid w:val="6A58A7B2"/>
    <w:rsid w:val="6A92F2DD"/>
    <w:rsid w:val="6AB6430A"/>
    <w:rsid w:val="6AE7A347"/>
    <w:rsid w:val="6B0A2438"/>
    <w:rsid w:val="6B54BEE4"/>
    <w:rsid w:val="6BE9DE2B"/>
    <w:rsid w:val="6C20FCBF"/>
    <w:rsid w:val="6C2187CC"/>
    <w:rsid w:val="6C61B037"/>
    <w:rsid w:val="6C8CD321"/>
    <w:rsid w:val="6CAFB265"/>
    <w:rsid w:val="6CD6CDCF"/>
    <w:rsid w:val="6CEED56E"/>
    <w:rsid w:val="6CFFF0AF"/>
    <w:rsid w:val="6D1579ED"/>
    <w:rsid w:val="6D41A569"/>
    <w:rsid w:val="6D57BF16"/>
    <w:rsid w:val="6D82E66B"/>
    <w:rsid w:val="6D9D86BD"/>
    <w:rsid w:val="6DA183DE"/>
    <w:rsid w:val="6DA4CBB3"/>
    <w:rsid w:val="6DA6AA1D"/>
    <w:rsid w:val="6DE510F3"/>
    <w:rsid w:val="6E4384C7"/>
    <w:rsid w:val="6E6BDF32"/>
    <w:rsid w:val="6E8317A1"/>
    <w:rsid w:val="6E8D901D"/>
    <w:rsid w:val="6EBE4000"/>
    <w:rsid w:val="6F3A52DB"/>
    <w:rsid w:val="6F5E534E"/>
    <w:rsid w:val="6F6ACCC6"/>
    <w:rsid w:val="6FCD35AA"/>
    <w:rsid w:val="70322564"/>
    <w:rsid w:val="7039E69D"/>
    <w:rsid w:val="703ABADB"/>
    <w:rsid w:val="7068C4D0"/>
    <w:rsid w:val="706D8378"/>
    <w:rsid w:val="707E5DCF"/>
    <w:rsid w:val="709321F9"/>
    <w:rsid w:val="70B871D0"/>
    <w:rsid w:val="70B93FA9"/>
    <w:rsid w:val="70CEBB42"/>
    <w:rsid w:val="70F56ACF"/>
    <w:rsid w:val="71073160"/>
    <w:rsid w:val="7117E4E0"/>
    <w:rsid w:val="715C2DC1"/>
    <w:rsid w:val="71618AD4"/>
    <w:rsid w:val="718C4894"/>
    <w:rsid w:val="71AF5F4A"/>
    <w:rsid w:val="71F98A4A"/>
    <w:rsid w:val="71FEB785"/>
    <w:rsid w:val="7208533A"/>
    <w:rsid w:val="72295D57"/>
    <w:rsid w:val="727A671D"/>
    <w:rsid w:val="72ECA2B3"/>
    <w:rsid w:val="731D774B"/>
    <w:rsid w:val="7350113F"/>
    <w:rsid w:val="73B7049B"/>
    <w:rsid w:val="7429D0C5"/>
    <w:rsid w:val="7431A4ED"/>
    <w:rsid w:val="74526C6B"/>
    <w:rsid w:val="745BAE3A"/>
    <w:rsid w:val="748AAAA3"/>
    <w:rsid w:val="748E2A2C"/>
    <w:rsid w:val="74BF906D"/>
    <w:rsid w:val="74E6911F"/>
    <w:rsid w:val="74EF7F36"/>
    <w:rsid w:val="7502FBD2"/>
    <w:rsid w:val="7508D82C"/>
    <w:rsid w:val="7534253B"/>
    <w:rsid w:val="75398F83"/>
    <w:rsid w:val="754C919B"/>
    <w:rsid w:val="75612FA9"/>
    <w:rsid w:val="7598BC8F"/>
    <w:rsid w:val="75B077DD"/>
    <w:rsid w:val="75D0AB0B"/>
    <w:rsid w:val="75E2E2AB"/>
    <w:rsid w:val="75FFAFC5"/>
    <w:rsid w:val="763770C5"/>
    <w:rsid w:val="763FF352"/>
    <w:rsid w:val="767E81FC"/>
    <w:rsid w:val="7681E193"/>
    <w:rsid w:val="76D2982C"/>
    <w:rsid w:val="76D73B98"/>
    <w:rsid w:val="76F8115C"/>
    <w:rsid w:val="76FF9C44"/>
    <w:rsid w:val="772BBBBC"/>
    <w:rsid w:val="7732FABC"/>
    <w:rsid w:val="7744B347"/>
    <w:rsid w:val="779AE467"/>
    <w:rsid w:val="77F983F0"/>
    <w:rsid w:val="78098EF9"/>
    <w:rsid w:val="782BE382"/>
    <w:rsid w:val="783774AF"/>
    <w:rsid w:val="78A590B1"/>
    <w:rsid w:val="78B7CA9F"/>
    <w:rsid w:val="78B8802B"/>
    <w:rsid w:val="79010838"/>
    <w:rsid w:val="79033AC5"/>
    <w:rsid w:val="792D20F4"/>
    <w:rsid w:val="793259DC"/>
    <w:rsid w:val="7944DC24"/>
    <w:rsid w:val="7953591D"/>
    <w:rsid w:val="79C16226"/>
    <w:rsid w:val="79D6C1D6"/>
    <w:rsid w:val="7A85D780"/>
    <w:rsid w:val="7B1907E9"/>
    <w:rsid w:val="7B37BA06"/>
    <w:rsid w:val="7B466D1D"/>
    <w:rsid w:val="7BB5A2DB"/>
    <w:rsid w:val="7BCCE689"/>
    <w:rsid w:val="7BCEC1C2"/>
    <w:rsid w:val="7C470D45"/>
    <w:rsid w:val="7CACAAE6"/>
    <w:rsid w:val="7CD63787"/>
    <w:rsid w:val="7CDD2666"/>
    <w:rsid w:val="7D27D56B"/>
    <w:rsid w:val="7DDE8DD9"/>
    <w:rsid w:val="7DE9976E"/>
    <w:rsid w:val="7DECD318"/>
    <w:rsid w:val="7E1D8AB8"/>
    <w:rsid w:val="7E1F014D"/>
    <w:rsid w:val="7E28C635"/>
    <w:rsid w:val="7E47A12B"/>
    <w:rsid w:val="7E6BFC9B"/>
    <w:rsid w:val="7EFCF158"/>
    <w:rsid w:val="7F0151BE"/>
    <w:rsid w:val="7F114847"/>
    <w:rsid w:val="7F371950"/>
    <w:rsid w:val="7F3999C8"/>
    <w:rsid w:val="7F7C5CC6"/>
    <w:rsid w:val="7F9A6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CDA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B40"/>
    <w:pPr>
      <w:spacing w:after="0" w:line="480" w:lineRule="auto"/>
    </w:pPr>
    <w:rPr>
      <w:rFonts w:ascii="Times New Roman" w:hAnsi="Times New Roman" w:cs="Times New Roman"/>
      <w:sz w:val="26"/>
      <w:szCs w:val="26"/>
    </w:rPr>
  </w:style>
  <w:style w:type="paragraph" w:styleId="Heading1">
    <w:name w:val="heading 1"/>
    <w:basedOn w:val="Normal"/>
    <w:next w:val="Normal"/>
    <w:link w:val="Heading1Char"/>
    <w:uiPriority w:val="9"/>
    <w:qFormat/>
    <w:rsid w:val="000502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2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2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2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2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2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2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2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2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2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2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2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2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2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2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2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2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2B0"/>
    <w:rPr>
      <w:rFonts w:eastAsiaTheme="majorEastAsia" w:cstheme="majorBidi"/>
      <w:color w:val="272727" w:themeColor="text1" w:themeTint="D8"/>
    </w:rPr>
  </w:style>
  <w:style w:type="paragraph" w:styleId="Title">
    <w:name w:val="Title"/>
    <w:basedOn w:val="Normal"/>
    <w:next w:val="Normal"/>
    <w:link w:val="TitleChar"/>
    <w:uiPriority w:val="10"/>
    <w:qFormat/>
    <w:rsid w:val="00050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2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2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2B0"/>
    <w:pPr>
      <w:spacing w:before="160"/>
      <w:jc w:val="center"/>
    </w:pPr>
    <w:rPr>
      <w:i/>
      <w:iCs/>
      <w:color w:val="404040" w:themeColor="text1" w:themeTint="BF"/>
    </w:rPr>
  </w:style>
  <w:style w:type="character" w:customStyle="1" w:styleId="QuoteChar">
    <w:name w:val="Quote Char"/>
    <w:basedOn w:val="DefaultParagraphFont"/>
    <w:link w:val="Quote"/>
    <w:uiPriority w:val="29"/>
    <w:rsid w:val="000502B0"/>
    <w:rPr>
      <w:i/>
      <w:iCs/>
      <w:color w:val="404040" w:themeColor="text1" w:themeTint="BF"/>
    </w:rPr>
  </w:style>
  <w:style w:type="paragraph" w:styleId="ListParagraph">
    <w:name w:val="List Paragraph"/>
    <w:basedOn w:val="Normal"/>
    <w:uiPriority w:val="34"/>
    <w:qFormat/>
    <w:rsid w:val="000502B0"/>
    <w:pPr>
      <w:ind w:left="720"/>
      <w:contextualSpacing/>
    </w:pPr>
  </w:style>
  <w:style w:type="character" w:styleId="IntenseEmphasis">
    <w:name w:val="Intense Emphasis"/>
    <w:basedOn w:val="DefaultParagraphFont"/>
    <w:uiPriority w:val="21"/>
    <w:qFormat/>
    <w:rsid w:val="000502B0"/>
    <w:rPr>
      <w:i/>
      <w:iCs/>
      <w:color w:val="0F4761" w:themeColor="accent1" w:themeShade="BF"/>
    </w:rPr>
  </w:style>
  <w:style w:type="paragraph" w:styleId="IntenseQuote">
    <w:name w:val="Intense Quote"/>
    <w:basedOn w:val="Normal"/>
    <w:next w:val="Normal"/>
    <w:link w:val="IntenseQuoteChar"/>
    <w:uiPriority w:val="30"/>
    <w:qFormat/>
    <w:rsid w:val="000502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2B0"/>
    <w:rPr>
      <w:i/>
      <w:iCs/>
      <w:color w:val="0F4761" w:themeColor="accent1" w:themeShade="BF"/>
    </w:rPr>
  </w:style>
  <w:style w:type="character" w:styleId="IntenseReference">
    <w:name w:val="Intense Reference"/>
    <w:basedOn w:val="DefaultParagraphFont"/>
    <w:uiPriority w:val="32"/>
    <w:qFormat/>
    <w:rsid w:val="000502B0"/>
    <w:rPr>
      <w:b/>
      <w:bCs/>
      <w:smallCaps/>
      <w:color w:val="0F4761" w:themeColor="accent1" w:themeShade="BF"/>
      <w:spacing w:val="5"/>
    </w:rPr>
  </w:style>
  <w:style w:type="character" w:styleId="CommentReference">
    <w:name w:val="annotation reference"/>
    <w:basedOn w:val="DefaultParagraphFont"/>
    <w:uiPriority w:val="99"/>
    <w:semiHidden/>
    <w:unhideWhenUsed/>
    <w:rsid w:val="00465DF3"/>
    <w:rPr>
      <w:sz w:val="16"/>
      <w:szCs w:val="16"/>
    </w:rPr>
  </w:style>
  <w:style w:type="paragraph" w:styleId="CommentText">
    <w:name w:val="annotation text"/>
    <w:basedOn w:val="Normal"/>
    <w:link w:val="CommentTextChar"/>
    <w:uiPriority w:val="99"/>
    <w:unhideWhenUsed/>
    <w:rsid w:val="00465DF3"/>
    <w:pPr>
      <w:spacing w:line="240" w:lineRule="auto"/>
    </w:pPr>
    <w:rPr>
      <w:sz w:val="20"/>
      <w:szCs w:val="20"/>
    </w:rPr>
  </w:style>
  <w:style w:type="character" w:customStyle="1" w:styleId="CommentTextChar">
    <w:name w:val="Comment Text Char"/>
    <w:basedOn w:val="DefaultParagraphFont"/>
    <w:link w:val="CommentText"/>
    <w:uiPriority w:val="99"/>
    <w:rsid w:val="00465DF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5DF3"/>
    <w:rPr>
      <w:b/>
      <w:bCs/>
    </w:rPr>
  </w:style>
  <w:style w:type="character" w:customStyle="1" w:styleId="CommentSubjectChar">
    <w:name w:val="Comment Subject Char"/>
    <w:basedOn w:val="CommentTextChar"/>
    <w:link w:val="CommentSubject"/>
    <w:uiPriority w:val="99"/>
    <w:semiHidden/>
    <w:rsid w:val="00465DF3"/>
    <w:rPr>
      <w:rFonts w:ascii="Times New Roman" w:hAnsi="Times New Roman" w:cs="Times New Roman"/>
      <w:b/>
      <w:bCs/>
      <w:sz w:val="20"/>
      <w:szCs w:val="20"/>
    </w:rPr>
  </w:style>
  <w:style w:type="character" w:styleId="Hyperlink">
    <w:name w:val="Hyperlink"/>
    <w:basedOn w:val="DefaultParagraphFont"/>
    <w:uiPriority w:val="99"/>
    <w:unhideWhenUsed/>
    <w:rsid w:val="002F621E"/>
    <w:rPr>
      <w:color w:val="467886" w:themeColor="hyperlink"/>
      <w:u w:val="single"/>
    </w:rPr>
  </w:style>
  <w:style w:type="character" w:styleId="UnresolvedMention">
    <w:name w:val="Unresolved Mention"/>
    <w:basedOn w:val="DefaultParagraphFont"/>
    <w:uiPriority w:val="99"/>
    <w:semiHidden/>
    <w:unhideWhenUsed/>
    <w:rsid w:val="002F621E"/>
    <w:rPr>
      <w:color w:val="605E5C"/>
      <w:shd w:val="clear" w:color="auto" w:fill="E1DFDD"/>
    </w:rPr>
  </w:style>
  <w:style w:type="paragraph" w:styleId="Header">
    <w:name w:val="header"/>
    <w:basedOn w:val="Normal"/>
    <w:uiPriority w:val="99"/>
    <w:unhideWhenUsed/>
    <w:rsid w:val="56C3E658"/>
    <w:pPr>
      <w:tabs>
        <w:tab w:val="center" w:pos="4680"/>
        <w:tab w:val="right" w:pos="9360"/>
      </w:tabs>
    </w:pPr>
  </w:style>
  <w:style w:type="paragraph" w:styleId="Footer">
    <w:name w:val="footer"/>
    <w:basedOn w:val="Normal"/>
    <w:link w:val="FooterChar"/>
    <w:uiPriority w:val="99"/>
    <w:unhideWhenUsed/>
    <w:rsid w:val="56C3E658"/>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212D30"/>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212D30"/>
    <w:pPr>
      <w:ind w:left="260"/>
    </w:pPr>
    <w:rPr>
      <w:rFonts w:asciiTheme="minorHAnsi" w:hAnsiTheme="minorHAnsi"/>
      <w:smallCaps/>
      <w:sz w:val="20"/>
      <w:szCs w:val="20"/>
    </w:rPr>
  </w:style>
  <w:style w:type="paragraph" w:styleId="TOC1">
    <w:name w:val="toc 1"/>
    <w:basedOn w:val="Normal"/>
    <w:next w:val="Normal"/>
    <w:autoRedefine/>
    <w:uiPriority w:val="39"/>
    <w:unhideWhenUsed/>
    <w:rsid w:val="00212D30"/>
    <w:pPr>
      <w:spacing w:before="120" w:after="120"/>
    </w:pPr>
    <w:rPr>
      <w:rFonts w:asciiTheme="minorHAnsi" w:hAnsiTheme="minorHAnsi"/>
      <w:b/>
      <w:bCs/>
      <w:caps/>
      <w:sz w:val="20"/>
      <w:szCs w:val="20"/>
    </w:rPr>
  </w:style>
  <w:style w:type="paragraph" w:styleId="TOC3">
    <w:name w:val="toc 3"/>
    <w:basedOn w:val="Normal"/>
    <w:next w:val="Normal"/>
    <w:autoRedefine/>
    <w:uiPriority w:val="39"/>
    <w:unhideWhenUsed/>
    <w:rsid w:val="00212D30"/>
    <w:pPr>
      <w:ind w:left="520"/>
    </w:pPr>
    <w:rPr>
      <w:rFonts w:asciiTheme="minorHAnsi" w:hAnsiTheme="minorHAnsi"/>
      <w:i/>
      <w:iCs/>
      <w:sz w:val="20"/>
      <w:szCs w:val="20"/>
    </w:rPr>
  </w:style>
  <w:style w:type="character" w:customStyle="1" w:styleId="FooterChar">
    <w:name w:val="Footer Char"/>
    <w:basedOn w:val="DefaultParagraphFont"/>
    <w:link w:val="Footer"/>
    <w:uiPriority w:val="99"/>
    <w:rsid w:val="000329D3"/>
    <w:rPr>
      <w:rFonts w:ascii="Times New Roman" w:hAnsi="Times New Roman" w:cs="Times New Roman"/>
      <w:sz w:val="26"/>
      <w:szCs w:val="26"/>
    </w:rPr>
  </w:style>
  <w:style w:type="paragraph" w:styleId="TOC4">
    <w:name w:val="toc 4"/>
    <w:basedOn w:val="Normal"/>
    <w:next w:val="Normal"/>
    <w:autoRedefine/>
    <w:uiPriority w:val="39"/>
    <w:unhideWhenUsed/>
    <w:rsid w:val="000329D3"/>
    <w:pPr>
      <w:ind w:left="780"/>
    </w:pPr>
    <w:rPr>
      <w:rFonts w:asciiTheme="minorHAnsi" w:hAnsiTheme="minorHAnsi"/>
      <w:sz w:val="18"/>
      <w:szCs w:val="18"/>
    </w:rPr>
  </w:style>
  <w:style w:type="paragraph" w:styleId="TOC5">
    <w:name w:val="toc 5"/>
    <w:basedOn w:val="Normal"/>
    <w:next w:val="Normal"/>
    <w:autoRedefine/>
    <w:uiPriority w:val="39"/>
    <w:unhideWhenUsed/>
    <w:rsid w:val="000329D3"/>
    <w:pPr>
      <w:ind w:left="1040"/>
    </w:pPr>
    <w:rPr>
      <w:rFonts w:asciiTheme="minorHAnsi" w:hAnsiTheme="minorHAnsi"/>
      <w:sz w:val="18"/>
      <w:szCs w:val="18"/>
    </w:rPr>
  </w:style>
  <w:style w:type="paragraph" w:styleId="TOC6">
    <w:name w:val="toc 6"/>
    <w:basedOn w:val="Normal"/>
    <w:next w:val="Normal"/>
    <w:autoRedefine/>
    <w:uiPriority w:val="39"/>
    <w:unhideWhenUsed/>
    <w:rsid w:val="000329D3"/>
    <w:pPr>
      <w:ind w:left="1300"/>
    </w:pPr>
    <w:rPr>
      <w:rFonts w:asciiTheme="minorHAnsi" w:hAnsiTheme="minorHAnsi"/>
      <w:sz w:val="18"/>
      <w:szCs w:val="18"/>
    </w:rPr>
  </w:style>
  <w:style w:type="paragraph" w:styleId="TOC7">
    <w:name w:val="toc 7"/>
    <w:basedOn w:val="Normal"/>
    <w:next w:val="Normal"/>
    <w:autoRedefine/>
    <w:uiPriority w:val="39"/>
    <w:unhideWhenUsed/>
    <w:rsid w:val="000329D3"/>
    <w:pPr>
      <w:ind w:left="1560"/>
    </w:pPr>
    <w:rPr>
      <w:rFonts w:asciiTheme="minorHAnsi" w:hAnsiTheme="minorHAnsi"/>
      <w:sz w:val="18"/>
      <w:szCs w:val="18"/>
    </w:rPr>
  </w:style>
  <w:style w:type="paragraph" w:styleId="TOC8">
    <w:name w:val="toc 8"/>
    <w:basedOn w:val="Normal"/>
    <w:next w:val="Normal"/>
    <w:autoRedefine/>
    <w:uiPriority w:val="39"/>
    <w:unhideWhenUsed/>
    <w:rsid w:val="000329D3"/>
    <w:pPr>
      <w:ind w:left="1820"/>
    </w:pPr>
    <w:rPr>
      <w:rFonts w:asciiTheme="minorHAnsi" w:hAnsiTheme="minorHAnsi"/>
      <w:sz w:val="18"/>
      <w:szCs w:val="18"/>
    </w:rPr>
  </w:style>
  <w:style w:type="paragraph" w:styleId="TOC9">
    <w:name w:val="toc 9"/>
    <w:basedOn w:val="Normal"/>
    <w:next w:val="Normal"/>
    <w:autoRedefine/>
    <w:uiPriority w:val="39"/>
    <w:unhideWhenUsed/>
    <w:rsid w:val="000329D3"/>
    <w:pPr>
      <w:ind w:left="2080"/>
    </w:pPr>
    <w:rPr>
      <w:rFonts w:asciiTheme="minorHAnsi" w:hAnsiTheme="minorHAnsi"/>
      <w:sz w:val="18"/>
      <w:szCs w:val="18"/>
    </w:rPr>
  </w:style>
  <w:style w:type="paragraph" w:styleId="TableofAuthorities">
    <w:name w:val="table of authorities"/>
    <w:basedOn w:val="Normal"/>
    <w:next w:val="Normal"/>
    <w:uiPriority w:val="99"/>
    <w:unhideWhenUsed/>
    <w:rsid w:val="00395B5A"/>
    <w:pPr>
      <w:ind w:left="260" w:hanging="260"/>
    </w:pPr>
    <w:rPr>
      <w:rFonts w:asciiTheme="minorHAnsi" w:hAnsiTheme="minorHAnsi"/>
      <w:sz w:val="20"/>
      <w:szCs w:val="20"/>
    </w:rPr>
  </w:style>
  <w:style w:type="paragraph" w:styleId="TOAHeading">
    <w:name w:val="toa heading"/>
    <w:basedOn w:val="Normal"/>
    <w:next w:val="Normal"/>
    <w:uiPriority w:val="99"/>
    <w:unhideWhenUsed/>
    <w:rsid w:val="00395B5A"/>
    <w:pPr>
      <w:spacing w:before="240" w:after="120"/>
      <w:jc w:val="center"/>
    </w:pPr>
    <w:rPr>
      <w:rFonts w:asciiTheme="minorHAnsi" w:hAnsiTheme="minorHAnsi" w:cs="Arial"/>
      <w:smallCaps/>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B0338C74-218A-47A1-9A0F-BF84E7EC1C7E}"/>
</file>

<file path=customXml/itemProps2.xml><?xml version="1.0" encoding="utf-8"?>
<ds:datastoreItem xmlns:ds="http://schemas.openxmlformats.org/officeDocument/2006/customXml" ds:itemID="{8F8C004F-D3A6-4C27-9FD9-6F26E197822A}"/>
</file>

<file path=customXml/itemProps3.xml><?xml version="1.0" encoding="utf-8"?>
<ds:datastoreItem xmlns:ds="http://schemas.openxmlformats.org/officeDocument/2006/customXml" ds:itemID="{243E1B29-126E-44FE-91AE-D27C6CB87219}"/>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5769</Words>
  <Characters>32888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38580</CharactersWithSpaces>
  <SharedDoc>false</SharedDoc>
  <HLinks>
    <vt:vector size="72" baseType="variant">
      <vt:variant>
        <vt:i4>1245240</vt:i4>
      </vt:variant>
      <vt:variant>
        <vt:i4>68</vt:i4>
      </vt:variant>
      <vt:variant>
        <vt:i4>0</vt:i4>
      </vt:variant>
      <vt:variant>
        <vt:i4>5</vt:i4>
      </vt:variant>
      <vt:variant>
        <vt:lpwstr/>
      </vt:variant>
      <vt:variant>
        <vt:lpwstr>_Toc239161577</vt:lpwstr>
      </vt:variant>
      <vt:variant>
        <vt:i4>1245240</vt:i4>
      </vt:variant>
      <vt:variant>
        <vt:i4>62</vt:i4>
      </vt:variant>
      <vt:variant>
        <vt:i4>0</vt:i4>
      </vt:variant>
      <vt:variant>
        <vt:i4>5</vt:i4>
      </vt:variant>
      <vt:variant>
        <vt:lpwstr/>
      </vt:variant>
      <vt:variant>
        <vt:lpwstr>_Toc239161576</vt:lpwstr>
      </vt:variant>
      <vt:variant>
        <vt:i4>1245240</vt:i4>
      </vt:variant>
      <vt:variant>
        <vt:i4>56</vt:i4>
      </vt:variant>
      <vt:variant>
        <vt:i4>0</vt:i4>
      </vt:variant>
      <vt:variant>
        <vt:i4>5</vt:i4>
      </vt:variant>
      <vt:variant>
        <vt:lpwstr/>
      </vt:variant>
      <vt:variant>
        <vt:lpwstr>_Toc239161575</vt:lpwstr>
      </vt:variant>
      <vt:variant>
        <vt:i4>1245240</vt:i4>
      </vt:variant>
      <vt:variant>
        <vt:i4>50</vt:i4>
      </vt:variant>
      <vt:variant>
        <vt:i4>0</vt:i4>
      </vt:variant>
      <vt:variant>
        <vt:i4>5</vt:i4>
      </vt:variant>
      <vt:variant>
        <vt:lpwstr/>
      </vt:variant>
      <vt:variant>
        <vt:lpwstr>_Toc239161574</vt:lpwstr>
      </vt:variant>
      <vt:variant>
        <vt:i4>1245240</vt:i4>
      </vt:variant>
      <vt:variant>
        <vt:i4>44</vt:i4>
      </vt:variant>
      <vt:variant>
        <vt:i4>0</vt:i4>
      </vt:variant>
      <vt:variant>
        <vt:i4>5</vt:i4>
      </vt:variant>
      <vt:variant>
        <vt:lpwstr/>
      </vt:variant>
      <vt:variant>
        <vt:lpwstr>_Toc239161573</vt:lpwstr>
      </vt:variant>
      <vt:variant>
        <vt:i4>1245240</vt:i4>
      </vt:variant>
      <vt:variant>
        <vt:i4>38</vt:i4>
      </vt:variant>
      <vt:variant>
        <vt:i4>0</vt:i4>
      </vt:variant>
      <vt:variant>
        <vt:i4>5</vt:i4>
      </vt:variant>
      <vt:variant>
        <vt:lpwstr/>
      </vt:variant>
      <vt:variant>
        <vt:lpwstr>_Toc239161572</vt:lpwstr>
      </vt:variant>
      <vt:variant>
        <vt:i4>1245240</vt:i4>
      </vt:variant>
      <vt:variant>
        <vt:i4>32</vt:i4>
      </vt:variant>
      <vt:variant>
        <vt:i4>0</vt:i4>
      </vt:variant>
      <vt:variant>
        <vt:i4>5</vt:i4>
      </vt:variant>
      <vt:variant>
        <vt:lpwstr/>
      </vt:variant>
      <vt:variant>
        <vt:lpwstr>_Toc239161571</vt:lpwstr>
      </vt:variant>
      <vt:variant>
        <vt:i4>1245240</vt:i4>
      </vt:variant>
      <vt:variant>
        <vt:i4>26</vt:i4>
      </vt:variant>
      <vt:variant>
        <vt:i4>0</vt:i4>
      </vt:variant>
      <vt:variant>
        <vt:i4>5</vt:i4>
      </vt:variant>
      <vt:variant>
        <vt:lpwstr/>
      </vt:variant>
      <vt:variant>
        <vt:lpwstr>_Toc239161570</vt:lpwstr>
      </vt:variant>
      <vt:variant>
        <vt:i4>1179704</vt:i4>
      </vt:variant>
      <vt:variant>
        <vt:i4>20</vt:i4>
      </vt:variant>
      <vt:variant>
        <vt:i4>0</vt:i4>
      </vt:variant>
      <vt:variant>
        <vt:i4>5</vt:i4>
      </vt:variant>
      <vt:variant>
        <vt:lpwstr/>
      </vt:variant>
      <vt:variant>
        <vt:lpwstr>_Toc239161569</vt:lpwstr>
      </vt:variant>
      <vt:variant>
        <vt:i4>1179704</vt:i4>
      </vt:variant>
      <vt:variant>
        <vt:i4>14</vt:i4>
      </vt:variant>
      <vt:variant>
        <vt:i4>0</vt:i4>
      </vt:variant>
      <vt:variant>
        <vt:i4>5</vt:i4>
      </vt:variant>
      <vt:variant>
        <vt:lpwstr/>
      </vt:variant>
      <vt:variant>
        <vt:lpwstr>_Toc239161568</vt:lpwstr>
      </vt:variant>
      <vt:variant>
        <vt:i4>1179704</vt:i4>
      </vt:variant>
      <vt:variant>
        <vt:i4>8</vt:i4>
      </vt:variant>
      <vt:variant>
        <vt:i4>0</vt:i4>
      </vt:variant>
      <vt:variant>
        <vt:i4>5</vt:i4>
      </vt:variant>
      <vt:variant>
        <vt:lpwstr/>
      </vt:variant>
      <vt:variant>
        <vt:lpwstr>_Toc239161567</vt:lpwstr>
      </vt:variant>
      <vt:variant>
        <vt:i4>1179704</vt:i4>
      </vt:variant>
      <vt:variant>
        <vt:i4>2</vt:i4>
      </vt:variant>
      <vt:variant>
        <vt:i4>0</vt:i4>
      </vt:variant>
      <vt:variant>
        <vt:i4>5</vt:i4>
      </vt:variant>
      <vt:variant>
        <vt:lpwstr/>
      </vt:variant>
      <vt:variant>
        <vt:lpwstr>_Toc239161566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2026-09-09T00:37:00Z</dcterms:created>
  <dcterms:modified xsi:type="dcterms:W3CDTF">2026-09-09T00:37:00Z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93941a8e-14e7-4532-b5cc-8b2a28ae6c67</vt:lpwstr>
  </property>
</Properties>
</file>