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2FD78" w14:textId="77777777" w:rsidR="000C68AE" w:rsidRPr="000C68AE" w:rsidRDefault="000C68AE" w:rsidP="000C68AE">
      <w:pPr>
        <w:spacing w:after="0" w:line="24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b/>
          <w:bCs/>
          <w:color w:val="000000"/>
          <w:kern w:val="0"/>
          <w:sz w:val="28"/>
          <w:szCs w:val="28"/>
          <w14:ligatures w14:val="none"/>
        </w:rPr>
        <w:t>IN THE UNITED STATES COURT OF APPEALS</w:t>
      </w:r>
    </w:p>
    <w:p w14:paraId="07B2DEF5" w14:textId="77777777" w:rsidR="000C68AE" w:rsidRPr="000C68AE" w:rsidRDefault="000C68AE" w:rsidP="000C68AE">
      <w:pPr>
        <w:spacing w:after="0" w:line="24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b/>
          <w:bCs/>
          <w:color w:val="000000"/>
          <w:kern w:val="0"/>
          <w:sz w:val="28"/>
          <w:szCs w:val="28"/>
          <w14:ligatures w14:val="none"/>
        </w:rPr>
        <w:t>FOR THE FOURTEENTH CIRCUIT</w:t>
      </w:r>
    </w:p>
    <w:p w14:paraId="742001DE" w14:textId="77777777" w:rsidR="000C68AE" w:rsidRPr="000C68AE" w:rsidRDefault="000C68AE" w:rsidP="000C68AE">
      <w:pPr>
        <w:spacing w:after="24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br/>
      </w:r>
    </w:p>
    <w:p w14:paraId="0AF48994"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b/>
          <w:bCs/>
          <w:color w:val="000000"/>
          <w:kern w:val="0"/>
          <w:sz w:val="28"/>
          <w:szCs w:val="28"/>
          <w14:ligatures w14:val="none"/>
        </w:rPr>
        <w:t>UNITED STATES OF AMERICA</w:t>
      </w:r>
    </w:p>
    <w:p w14:paraId="624EA3D8" w14:textId="77777777" w:rsidR="000C68AE" w:rsidRPr="000C68AE" w:rsidRDefault="000C68AE" w:rsidP="000C68AE">
      <w:pPr>
        <w:spacing w:after="24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br/>
      </w:r>
    </w:p>
    <w:p w14:paraId="7DF06E55" w14:textId="69067EB4"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b/>
          <w:bCs/>
          <w:color w:val="000000"/>
          <w:kern w:val="0"/>
          <w:sz w:val="28"/>
          <w:szCs w:val="28"/>
          <w14:ligatures w14:val="none"/>
        </w:rPr>
        <w:t>v.</w:t>
      </w:r>
      <w:r w:rsidRPr="000C68AE">
        <w:rPr>
          <w:rFonts w:ascii="Times New Roman" w:eastAsia="Times New Roman" w:hAnsi="Times New Roman" w:cs="Times New Roman"/>
          <w:b/>
          <w:bCs/>
          <w:color w:val="000000"/>
          <w:kern w:val="0"/>
          <w:sz w:val="28"/>
          <w:szCs w:val="28"/>
          <w14:ligatures w14:val="none"/>
        </w:rPr>
        <w:tab/>
      </w:r>
      <w:r w:rsidRPr="000C68AE">
        <w:rPr>
          <w:rFonts w:ascii="Times New Roman" w:eastAsia="Times New Roman" w:hAnsi="Times New Roman" w:cs="Times New Roman"/>
          <w:b/>
          <w:bCs/>
          <w:color w:val="000000"/>
          <w:kern w:val="0"/>
          <w:sz w:val="28"/>
          <w:szCs w:val="28"/>
          <w14:ligatures w14:val="none"/>
        </w:rPr>
        <w:tab/>
      </w:r>
      <w:r w:rsidRPr="000C68AE">
        <w:rPr>
          <w:rFonts w:ascii="Times New Roman" w:eastAsia="Times New Roman" w:hAnsi="Times New Roman" w:cs="Times New Roman"/>
          <w:b/>
          <w:bCs/>
          <w:color w:val="000000"/>
          <w:kern w:val="0"/>
          <w:sz w:val="28"/>
          <w:szCs w:val="28"/>
          <w14:ligatures w14:val="none"/>
        </w:rPr>
        <w:tab/>
      </w:r>
      <w:r w:rsidRPr="000C68AE">
        <w:rPr>
          <w:rFonts w:ascii="Times New Roman" w:eastAsia="Times New Roman" w:hAnsi="Times New Roman" w:cs="Times New Roman"/>
          <w:b/>
          <w:bCs/>
          <w:color w:val="000000"/>
          <w:kern w:val="0"/>
          <w:sz w:val="28"/>
          <w:szCs w:val="28"/>
          <w14:ligatures w14:val="none"/>
        </w:rPr>
        <w:tab/>
      </w:r>
      <w:r w:rsidRPr="000C68AE">
        <w:rPr>
          <w:rFonts w:ascii="Times New Roman" w:eastAsia="Times New Roman" w:hAnsi="Times New Roman" w:cs="Times New Roman"/>
          <w:b/>
          <w:bCs/>
          <w:color w:val="000000"/>
          <w:kern w:val="0"/>
          <w:sz w:val="28"/>
          <w:szCs w:val="28"/>
          <w14:ligatures w14:val="none"/>
        </w:rPr>
        <w:tab/>
      </w:r>
      <w:r w:rsidRPr="000C68AE">
        <w:rPr>
          <w:rFonts w:ascii="Times New Roman" w:eastAsia="Times New Roman" w:hAnsi="Times New Roman" w:cs="Times New Roman"/>
          <w:b/>
          <w:bCs/>
          <w:color w:val="000000"/>
          <w:kern w:val="0"/>
          <w:sz w:val="28"/>
          <w:szCs w:val="28"/>
          <w14:ligatures w14:val="none"/>
        </w:rPr>
        <w:tab/>
        <w:t xml:space="preserve">    </w:t>
      </w:r>
      <w:r w:rsidR="00EE76A0">
        <w:rPr>
          <w:rFonts w:ascii="Times New Roman" w:eastAsia="Times New Roman" w:hAnsi="Times New Roman" w:cs="Times New Roman"/>
          <w:b/>
          <w:bCs/>
          <w:color w:val="000000"/>
          <w:kern w:val="0"/>
          <w:sz w:val="28"/>
          <w:szCs w:val="28"/>
          <w14:ligatures w14:val="none"/>
        </w:rPr>
        <w:t xml:space="preserve">                      </w:t>
      </w:r>
      <w:r w:rsidRPr="000C68AE">
        <w:rPr>
          <w:rFonts w:ascii="Times New Roman" w:eastAsia="Times New Roman" w:hAnsi="Times New Roman" w:cs="Times New Roman"/>
          <w:b/>
          <w:bCs/>
          <w:color w:val="000000"/>
          <w:kern w:val="0"/>
          <w:sz w:val="28"/>
          <w:szCs w:val="28"/>
          <w14:ligatures w14:val="none"/>
        </w:rPr>
        <w:t>CASE NO. 2025-CF-00417</w:t>
      </w:r>
    </w:p>
    <w:p w14:paraId="0BC59D0E" w14:textId="77777777" w:rsidR="000C68AE" w:rsidRPr="000C68AE" w:rsidRDefault="000C68AE" w:rsidP="000C68AE">
      <w:pPr>
        <w:spacing w:after="24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br/>
      </w:r>
    </w:p>
    <w:p w14:paraId="3726E466"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b/>
          <w:bCs/>
          <w:color w:val="000000"/>
          <w:kern w:val="0"/>
          <w:sz w:val="28"/>
          <w:szCs w:val="28"/>
          <w14:ligatures w14:val="none"/>
        </w:rPr>
        <w:t>EMILY CALLOWAY</w:t>
      </w:r>
    </w:p>
    <w:p w14:paraId="6A14ED60" w14:textId="77777777" w:rsidR="000C68AE" w:rsidRPr="000C68AE" w:rsidRDefault="000C68AE" w:rsidP="000C68AE">
      <w:pPr>
        <w:spacing w:after="24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p>
    <w:p w14:paraId="3FE3714A" w14:textId="77777777" w:rsidR="000C68AE" w:rsidRPr="000C68AE" w:rsidRDefault="000C68AE" w:rsidP="000C68AE">
      <w:pPr>
        <w:spacing w:after="0" w:line="24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b/>
          <w:bCs/>
          <w:color w:val="000000"/>
          <w:kern w:val="0"/>
          <w:sz w:val="28"/>
          <w:szCs w:val="28"/>
          <w14:ligatures w14:val="none"/>
        </w:rPr>
        <w:t>GOVERNMENT’S MEMORANDUM IN OPPOSITION TO DEFENDANT’S MOTION TO SUPPRESS AND MOTION TO QUASH SUBPOENA</w:t>
      </w:r>
    </w:p>
    <w:p w14:paraId="1D289CEF" w14:textId="3937A478" w:rsid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b/>
          <w:bCs/>
          <w:color w:val="000000"/>
          <w:kern w:val="0"/>
          <w:sz w:val="28"/>
          <w:szCs w:val="28"/>
          <w14:ligatures w14:val="none"/>
        </w:rPr>
        <w:br/>
      </w:r>
    </w:p>
    <w:p w14:paraId="65E376CC" w14:textId="77777777" w:rsidR="00EE76A0" w:rsidRPr="00EE76A0" w:rsidRDefault="00EE76A0" w:rsidP="000C68AE">
      <w:pPr>
        <w:spacing w:after="0" w:line="240" w:lineRule="auto"/>
        <w:rPr>
          <w:rFonts w:ascii="Times New Roman" w:eastAsia="Times New Roman" w:hAnsi="Times New Roman" w:cs="Times New Roman"/>
          <w:color w:val="000000"/>
          <w:kern w:val="0"/>
          <w:sz w:val="28"/>
          <w:szCs w:val="28"/>
          <w14:ligatures w14:val="none"/>
        </w:rPr>
      </w:pPr>
    </w:p>
    <w:p w14:paraId="7567143C"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615C2C52" w14:textId="77777777" w:rsidR="000C68AE" w:rsidRPr="000C68AE" w:rsidRDefault="000C68AE" w:rsidP="000C68AE">
      <w:pPr>
        <w:spacing w:after="0" w:line="24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b/>
          <w:bCs/>
          <w:color w:val="000000"/>
          <w:kern w:val="0"/>
          <w:sz w:val="28"/>
          <w:szCs w:val="28"/>
          <w14:ligatures w14:val="none"/>
        </w:rPr>
        <w:lastRenderedPageBreak/>
        <w:t>TABLE OF CONTENTS</w:t>
      </w:r>
    </w:p>
    <w:p w14:paraId="281D2ACB"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01FF81E5" w14:textId="5EB55479" w:rsidR="000C68AE" w:rsidRPr="000C68AE" w:rsidRDefault="000C68AE" w:rsidP="000C68AE">
      <w:pPr>
        <w:spacing w:before="60" w:after="0" w:line="480" w:lineRule="auto"/>
        <w:rPr>
          <w:rFonts w:ascii="Times New Roman" w:eastAsia="Times New Roman" w:hAnsi="Times New Roman" w:cs="Times New Roman"/>
          <w:color w:val="000000"/>
          <w:kern w:val="0"/>
          <w:sz w:val="28"/>
          <w:szCs w:val="28"/>
          <w14:ligatures w14:val="none"/>
        </w:rPr>
      </w:pPr>
      <w:hyperlink r:id="rId7" w:anchor="heading=h.lavbvxgyuadx" w:history="1">
        <w:r w:rsidRPr="000C68AE">
          <w:rPr>
            <w:rFonts w:ascii="Times New Roman" w:eastAsia="Times New Roman" w:hAnsi="Times New Roman" w:cs="Times New Roman"/>
            <w:color w:val="000000"/>
            <w:kern w:val="0"/>
            <w:sz w:val="28"/>
            <w:szCs w:val="28"/>
            <w14:ligatures w14:val="none"/>
          </w:rPr>
          <w:t>INTRODUCTION………………………………………………………………</w:t>
        </w:r>
        <w:r w:rsidR="00787262">
          <w:rPr>
            <w:rFonts w:ascii="Times New Roman" w:eastAsia="Times New Roman" w:hAnsi="Times New Roman" w:cs="Times New Roman"/>
            <w:color w:val="000000"/>
            <w:kern w:val="0"/>
            <w:sz w:val="28"/>
            <w:szCs w:val="28"/>
            <w14:ligatures w14:val="none"/>
          </w:rPr>
          <w:t>…</w:t>
        </w:r>
      </w:hyperlink>
      <w:r w:rsidR="00787262">
        <w:rPr>
          <w:rFonts w:ascii="Times New Roman" w:eastAsia="Times New Roman" w:hAnsi="Times New Roman" w:cs="Times New Roman"/>
          <w:color w:val="000000"/>
          <w:kern w:val="0"/>
          <w:sz w:val="28"/>
          <w:szCs w:val="28"/>
          <w14:ligatures w14:val="none"/>
        </w:rPr>
        <w:t xml:space="preserve"> 1 </w:t>
      </w:r>
    </w:p>
    <w:p w14:paraId="4226E0FE" w14:textId="1E526382" w:rsidR="000C68AE" w:rsidRPr="000C68AE" w:rsidRDefault="000C68AE" w:rsidP="000C68AE">
      <w:pPr>
        <w:spacing w:before="60" w:after="0" w:line="480" w:lineRule="auto"/>
        <w:rPr>
          <w:rFonts w:ascii="Times New Roman" w:eastAsia="Times New Roman" w:hAnsi="Times New Roman" w:cs="Times New Roman"/>
          <w:color w:val="000000"/>
          <w:kern w:val="0"/>
          <w:sz w:val="28"/>
          <w:szCs w:val="28"/>
          <w14:ligatures w14:val="none"/>
        </w:rPr>
      </w:pPr>
      <w:hyperlink r:id="rId8" w:anchor="heading=h.vtc5fdfl4t4a" w:history="1">
        <w:r w:rsidRPr="000C68AE">
          <w:rPr>
            <w:rFonts w:ascii="Times New Roman" w:eastAsia="Times New Roman" w:hAnsi="Times New Roman" w:cs="Times New Roman"/>
            <w:color w:val="000000"/>
            <w:kern w:val="0"/>
            <w:sz w:val="28"/>
            <w:szCs w:val="28"/>
            <w14:ligatures w14:val="none"/>
          </w:rPr>
          <w:t>STATEMENT OF FACTS</w:t>
        </w:r>
        <w:r w:rsidR="00EE76A0">
          <w:rPr>
            <w:rFonts w:ascii="Times New Roman" w:eastAsia="Times New Roman" w:hAnsi="Times New Roman" w:cs="Times New Roman"/>
            <w:color w:val="000000"/>
            <w:kern w:val="0"/>
            <w:sz w:val="28"/>
            <w:szCs w:val="28"/>
            <w14:ligatures w14:val="none"/>
          </w:rPr>
          <w:t>………………………………………………………..</w:t>
        </w:r>
      </w:hyperlink>
      <w:r w:rsidR="00787262">
        <w:rPr>
          <w:rFonts w:ascii="Times New Roman" w:eastAsia="Times New Roman" w:hAnsi="Times New Roman" w:cs="Times New Roman"/>
          <w:color w:val="000000"/>
          <w:kern w:val="0"/>
          <w:sz w:val="28"/>
          <w:szCs w:val="28"/>
          <w14:ligatures w14:val="none"/>
        </w:rPr>
        <w:t>. 1</w:t>
      </w:r>
    </w:p>
    <w:p w14:paraId="68924FF5" w14:textId="437522B3" w:rsidR="000C68AE" w:rsidRPr="000C68AE" w:rsidRDefault="000C68AE" w:rsidP="000C68AE">
      <w:pPr>
        <w:spacing w:before="60" w:after="0" w:line="480" w:lineRule="auto"/>
        <w:rPr>
          <w:rFonts w:ascii="Times New Roman" w:eastAsia="Times New Roman" w:hAnsi="Times New Roman" w:cs="Times New Roman"/>
          <w:color w:val="000000"/>
          <w:kern w:val="0"/>
          <w:sz w:val="28"/>
          <w:szCs w:val="28"/>
          <w14:ligatures w14:val="none"/>
        </w:rPr>
      </w:pPr>
      <w:hyperlink r:id="rId9" w:anchor="heading=h.sdabw0kmif2t" w:history="1">
        <w:r w:rsidRPr="000C68AE">
          <w:rPr>
            <w:rFonts w:ascii="Times New Roman" w:eastAsia="Times New Roman" w:hAnsi="Times New Roman" w:cs="Times New Roman"/>
            <w:color w:val="000000"/>
            <w:kern w:val="0"/>
            <w:sz w:val="28"/>
            <w:szCs w:val="28"/>
            <w14:ligatures w14:val="none"/>
          </w:rPr>
          <w:t>ARGUMENT…</w:t>
        </w:r>
        <w:r w:rsidR="00EE76A0">
          <w:rPr>
            <w:rFonts w:ascii="Times New Roman" w:eastAsia="Times New Roman" w:hAnsi="Times New Roman" w:cs="Times New Roman"/>
            <w:color w:val="000000"/>
            <w:kern w:val="0"/>
            <w:sz w:val="28"/>
            <w:szCs w:val="28"/>
            <w14:ligatures w14:val="none"/>
          </w:rPr>
          <w:t>………………………………………………………………..</w:t>
        </w:r>
      </w:hyperlink>
      <w:r w:rsidR="00787262">
        <w:rPr>
          <w:rFonts w:ascii="Times New Roman" w:eastAsia="Times New Roman" w:hAnsi="Times New Roman" w:cs="Times New Roman"/>
          <w:color w:val="000000"/>
          <w:kern w:val="0"/>
          <w:sz w:val="28"/>
          <w:szCs w:val="28"/>
          <w14:ligatures w14:val="none"/>
        </w:rPr>
        <w:t>.....</w:t>
      </w:r>
      <w:r w:rsidR="00695936">
        <w:rPr>
          <w:rFonts w:ascii="Times New Roman" w:eastAsia="Times New Roman" w:hAnsi="Times New Roman" w:cs="Times New Roman"/>
          <w:color w:val="000000"/>
          <w:kern w:val="0"/>
          <w:sz w:val="28"/>
          <w:szCs w:val="28"/>
          <w14:ligatures w14:val="none"/>
        </w:rPr>
        <w:t xml:space="preserve">. </w:t>
      </w:r>
      <w:r w:rsidR="00787262">
        <w:rPr>
          <w:rFonts w:ascii="Times New Roman" w:eastAsia="Times New Roman" w:hAnsi="Times New Roman" w:cs="Times New Roman"/>
          <w:color w:val="000000"/>
          <w:kern w:val="0"/>
          <w:sz w:val="28"/>
          <w:szCs w:val="28"/>
          <w14:ligatures w14:val="none"/>
        </w:rPr>
        <w:t>3</w:t>
      </w:r>
    </w:p>
    <w:p w14:paraId="5012591F" w14:textId="27D34631" w:rsidR="000C68AE" w:rsidRPr="000C68AE" w:rsidRDefault="000C68AE" w:rsidP="000C68AE">
      <w:pPr>
        <w:spacing w:before="60" w:after="0" w:line="480" w:lineRule="auto"/>
        <w:rPr>
          <w:rFonts w:ascii="Times New Roman" w:eastAsia="Times New Roman" w:hAnsi="Times New Roman" w:cs="Times New Roman"/>
          <w:color w:val="000000"/>
          <w:kern w:val="0"/>
          <w:sz w:val="28"/>
          <w:szCs w:val="28"/>
          <w14:ligatures w14:val="none"/>
        </w:rPr>
      </w:pPr>
      <w:hyperlink r:id="rId10" w:anchor="heading=h.tqj4wute27od" w:history="1">
        <w:r w:rsidRPr="000C68AE">
          <w:rPr>
            <w:rFonts w:ascii="Times New Roman" w:eastAsia="Times New Roman" w:hAnsi="Times New Roman" w:cs="Times New Roman"/>
            <w:color w:val="000000"/>
            <w:kern w:val="0"/>
            <w:sz w:val="28"/>
            <w:szCs w:val="28"/>
            <w14:ligatures w14:val="none"/>
          </w:rPr>
          <w:t>CONCLUSION</w:t>
        </w:r>
        <w:r w:rsidR="00EE76A0">
          <w:rPr>
            <w:rFonts w:ascii="Times New Roman" w:eastAsia="Times New Roman" w:hAnsi="Times New Roman" w:cs="Times New Roman"/>
            <w:color w:val="000000"/>
            <w:kern w:val="0"/>
            <w:sz w:val="28"/>
            <w:szCs w:val="28"/>
            <w14:ligatures w14:val="none"/>
          </w:rPr>
          <w:t>…………………………………………………………</w:t>
        </w:r>
        <w:r w:rsidR="00695936">
          <w:rPr>
            <w:rFonts w:ascii="Times New Roman" w:eastAsia="Times New Roman" w:hAnsi="Times New Roman" w:cs="Times New Roman"/>
            <w:color w:val="000000"/>
            <w:kern w:val="0"/>
            <w:sz w:val="28"/>
            <w:szCs w:val="28"/>
            <w14:ligatures w14:val="none"/>
          </w:rPr>
          <w:t xml:space="preserve">……….. </w:t>
        </w:r>
        <w:r w:rsidR="00787262">
          <w:rPr>
            <w:rFonts w:ascii="Times New Roman" w:eastAsia="Times New Roman" w:hAnsi="Times New Roman" w:cs="Times New Roman"/>
            <w:color w:val="000000"/>
            <w:kern w:val="0"/>
            <w:sz w:val="28"/>
            <w:szCs w:val="28"/>
            <w14:ligatures w14:val="none"/>
          </w:rPr>
          <w:t>15</w:t>
        </w:r>
      </w:hyperlink>
      <w:r w:rsidR="00787262">
        <w:rPr>
          <w:rFonts w:ascii="Times New Roman" w:eastAsia="Times New Roman" w:hAnsi="Times New Roman" w:cs="Times New Roman"/>
          <w:color w:val="000000"/>
          <w:kern w:val="0"/>
          <w:sz w:val="28"/>
          <w:szCs w:val="28"/>
          <w14:ligatures w14:val="none"/>
        </w:rPr>
        <w:t xml:space="preserve"> </w:t>
      </w:r>
    </w:p>
    <w:p w14:paraId="6AF1E269" w14:textId="48D1FDCC" w:rsidR="000C68AE" w:rsidRDefault="000C68AE" w:rsidP="000C68AE">
      <w:pPr>
        <w:spacing w:after="24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p>
    <w:p w14:paraId="6228CF77" w14:textId="77777777" w:rsidR="00EE76A0" w:rsidRDefault="00EE76A0" w:rsidP="000C68AE">
      <w:pPr>
        <w:spacing w:after="240" w:line="240" w:lineRule="auto"/>
        <w:rPr>
          <w:rFonts w:ascii="Times New Roman" w:eastAsia="Times New Roman" w:hAnsi="Times New Roman" w:cs="Times New Roman"/>
          <w:color w:val="000000"/>
          <w:kern w:val="0"/>
          <w:sz w:val="28"/>
          <w:szCs w:val="28"/>
          <w14:ligatures w14:val="none"/>
        </w:rPr>
      </w:pPr>
    </w:p>
    <w:p w14:paraId="2DAFD736" w14:textId="77777777" w:rsidR="00EE76A0" w:rsidRDefault="00EE76A0" w:rsidP="000C68AE">
      <w:pPr>
        <w:spacing w:after="240" w:line="240" w:lineRule="auto"/>
        <w:rPr>
          <w:rFonts w:ascii="Times New Roman" w:eastAsia="Times New Roman" w:hAnsi="Times New Roman" w:cs="Times New Roman"/>
          <w:color w:val="000000"/>
          <w:kern w:val="0"/>
          <w:sz w:val="28"/>
          <w:szCs w:val="28"/>
          <w14:ligatures w14:val="none"/>
        </w:rPr>
      </w:pPr>
    </w:p>
    <w:p w14:paraId="2730D757" w14:textId="77777777" w:rsidR="00EE76A0" w:rsidRDefault="00EE76A0" w:rsidP="000C68AE">
      <w:pPr>
        <w:spacing w:after="240" w:line="240" w:lineRule="auto"/>
        <w:rPr>
          <w:rFonts w:ascii="Times New Roman" w:eastAsia="Times New Roman" w:hAnsi="Times New Roman" w:cs="Times New Roman"/>
          <w:color w:val="000000"/>
          <w:kern w:val="0"/>
          <w:sz w:val="28"/>
          <w:szCs w:val="28"/>
          <w14:ligatures w14:val="none"/>
        </w:rPr>
      </w:pPr>
    </w:p>
    <w:p w14:paraId="08091010" w14:textId="77777777" w:rsidR="00EE76A0" w:rsidRPr="000C68AE" w:rsidRDefault="00EE76A0" w:rsidP="000C68AE">
      <w:pPr>
        <w:spacing w:after="240" w:line="240" w:lineRule="auto"/>
        <w:rPr>
          <w:rFonts w:ascii="Times New Roman" w:eastAsia="Times New Roman" w:hAnsi="Times New Roman" w:cs="Times New Roman"/>
          <w:color w:val="000000"/>
          <w:kern w:val="0"/>
          <w:sz w:val="28"/>
          <w:szCs w:val="28"/>
          <w14:ligatures w14:val="none"/>
        </w:rPr>
      </w:pPr>
    </w:p>
    <w:p w14:paraId="5C87C26A" w14:textId="77777777" w:rsidR="000C68AE" w:rsidRPr="000C68AE" w:rsidRDefault="000C68AE" w:rsidP="000C68AE">
      <w:pPr>
        <w:spacing w:after="0" w:line="48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b/>
          <w:bCs/>
          <w:color w:val="000000"/>
          <w:kern w:val="0"/>
          <w:sz w:val="28"/>
          <w:szCs w:val="28"/>
          <w14:ligatures w14:val="none"/>
        </w:rPr>
        <w:lastRenderedPageBreak/>
        <w:t>TABLE OF AUTHORITIES</w:t>
      </w:r>
    </w:p>
    <w:p w14:paraId="5F3A487A" w14:textId="77777777" w:rsidR="000C68AE" w:rsidRPr="000C68AE" w:rsidRDefault="000C68AE" w:rsidP="000C68AE">
      <w:pPr>
        <w:spacing w:before="120" w:after="0" w:line="48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u w:val="single"/>
          <w14:ligatures w14:val="none"/>
        </w:rPr>
        <w:t>CASES</w:t>
      </w:r>
    </w:p>
    <w:p w14:paraId="0C133906" w14:textId="7B22D8E3" w:rsidR="000C68AE" w:rsidRPr="007533AD" w:rsidRDefault="00787262" w:rsidP="000C68AE">
      <w:pPr>
        <w:spacing w:after="0" w:line="480" w:lineRule="auto"/>
        <w:ind w:left="220"/>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i/>
          <w:iCs/>
          <w:color w:val="000000"/>
          <w:kern w:val="0"/>
          <w:sz w:val="28"/>
          <w:szCs w:val="28"/>
          <w14:ligatures w14:val="none"/>
        </w:rPr>
        <w:t xml:space="preserve">U.S. Equal Emp. Opportunity Comm’n v. </w:t>
      </w:r>
      <w:r w:rsidR="000C68AE" w:rsidRPr="000C68AE">
        <w:rPr>
          <w:rFonts w:ascii="Times New Roman" w:eastAsia="Times New Roman" w:hAnsi="Times New Roman" w:cs="Times New Roman"/>
          <w:i/>
          <w:iCs/>
          <w:color w:val="000000"/>
          <w:kern w:val="0"/>
          <w:sz w:val="28"/>
          <w:szCs w:val="28"/>
          <w14:ligatures w14:val="none"/>
        </w:rPr>
        <w:t xml:space="preserve">George Wash. </w:t>
      </w:r>
      <w:r w:rsidR="000C68AE" w:rsidRPr="007533AD">
        <w:rPr>
          <w:rFonts w:ascii="Times New Roman" w:eastAsia="Times New Roman" w:hAnsi="Times New Roman" w:cs="Times New Roman"/>
          <w:i/>
          <w:iCs/>
          <w:color w:val="000000"/>
          <w:kern w:val="0"/>
          <w:sz w:val="28"/>
          <w:szCs w:val="28"/>
          <w14:ligatures w14:val="none"/>
        </w:rPr>
        <w:t>Univ.</w:t>
      </w:r>
      <w:r w:rsidR="000C68AE" w:rsidRPr="007533AD">
        <w:rPr>
          <w:rFonts w:ascii="Times New Roman" w:eastAsia="Times New Roman" w:hAnsi="Times New Roman" w:cs="Times New Roman"/>
          <w:color w:val="000000"/>
          <w:kern w:val="0"/>
          <w:sz w:val="28"/>
          <w:szCs w:val="28"/>
          <w14:ligatures w14:val="none"/>
        </w:rPr>
        <w:t>,</w:t>
      </w:r>
    </w:p>
    <w:p w14:paraId="59FB66B5" w14:textId="3D3D7E4B" w:rsidR="000C68AE" w:rsidRPr="007533AD" w:rsidRDefault="00787262" w:rsidP="000C68AE">
      <w:pPr>
        <w:spacing w:after="0" w:line="480" w:lineRule="auto"/>
        <w:ind w:left="220" w:firstLine="500"/>
        <w:rPr>
          <w:rFonts w:ascii="Times New Roman" w:eastAsia="Times New Roman" w:hAnsi="Times New Roman" w:cs="Times New Roman"/>
          <w:color w:val="000000"/>
          <w:kern w:val="0"/>
          <w:sz w:val="28"/>
          <w:szCs w:val="28"/>
          <w14:ligatures w14:val="none"/>
        </w:rPr>
      </w:pPr>
      <w:r w:rsidRPr="007533AD">
        <w:rPr>
          <w:rFonts w:ascii="Times New Roman" w:eastAsia="Times New Roman" w:hAnsi="Times New Roman" w:cs="Times New Roman"/>
          <w:color w:val="000000"/>
          <w:kern w:val="0"/>
          <w:sz w:val="28"/>
          <w:szCs w:val="28"/>
          <w14:ligatures w14:val="none"/>
        </w:rPr>
        <w:t>342 F.R.D. 161, 184</w:t>
      </w:r>
      <w:r w:rsidR="000C68AE" w:rsidRPr="007533AD">
        <w:rPr>
          <w:rFonts w:ascii="Times New Roman" w:eastAsia="Times New Roman" w:hAnsi="Times New Roman" w:cs="Times New Roman"/>
          <w:color w:val="000000"/>
          <w:kern w:val="0"/>
          <w:sz w:val="28"/>
          <w:szCs w:val="28"/>
          <w14:ligatures w14:val="none"/>
        </w:rPr>
        <w:t xml:space="preserve"> (D.D.C.202</w:t>
      </w:r>
      <w:r w:rsidRPr="007533AD">
        <w:rPr>
          <w:rFonts w:ascii="Times New Roman" w:eastAsia="Times New Roman" w:hAnsi="Times New Roman" w:cs="Times New Roman"/>
          <w:color w:val="000000"/>
          <w:kern w:val="0"/>
          <w:sz w:val="28"/>
          <w:szCs w:val="28"/>
          <w14:ligatures w14:val="none"/>
        </w:rPr>
        <w:t>2</w:t>
      </w:r>
      <w:r w:rsidR="000C68AE" w:rsidRPr="007533AD">
        <w:rPr>
          <w:rFonts w:ascii="Times New Roman" w:eastAsia="Times New Roman" w:hAnsi="Times New Roman" w:cs="Times New Roman"/>
          <w:color w:val="000000"/>
          <w:kern w:val="0"/>
          <w:sz w:val="28"/>
          <w:szCs w:val="28"/>
          <w14:ligatures w14:val="none"/>
        </w:rPr>
        <w:t>)..............................................................</w:t>
      </w:r>
      <w:r w:rsidRPr="007533AD">
        <w:rPr>
          <w:rFonts w:ascii="Times New Roman" w:eastAsia="Times New Roman" w:hAnsi="Times New Roman" w:cs="Times New Roman"/>
          <w:color w:val="000000"/>
          <w:kern w:val="0"/>
          <w:sz w:val="28"/>
          <w:szCs w:val="28"/>
          <w14:ligatures w14:val="none"/>
        </w:rPr>
        <w:t xml:space="preserve"> </w:t>
      </w:r>
      <w:r w:rsidR="000C68AE" w:rsidRPr="007533AD">
        <w:rPr>
          <w:rFonts w:ascii="Times New Roman" w:eastAsia="Times New Roman" w:hAnsi="Times New Roman" w:cs="Times New Roman"/>
          <w:color w:val="000000"/>
          <w:kern w:val="0"/>
          <w:sz w:val="28"/>
          <w:szCs w:val="28"/>
          <w14:ligatures w14:val="none"/>
        </w:rPr>
        <w:t>14</w:t>
      </w:r>
    </w:p>
    <w:p w14:paraId="1CA0074C" w14:textId="215E2AC7"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lang w:val="sv-SE"/>
          <w14:ligatures w14:val="none"/>
        </w:rPr>
      </w:pPr>
      <w:r w:rsidRPr="000C68AE">
        <w:rPr>
          <w:rFonts w:ascii="Times New Roman" w:eastAsia="Times New Roman" w:hAnsi="Times New Roman" w:cs="Times New Roman"/>
          <w:i/>
          <w:iCs/>
          <w:color w:val="000000"/>
          <w:kern w:val="0"/>
          <w:sz w:val="28"/>
          <w:szCs w:val="28"/>
          <w:lang w:val="sv-SE"/>
          <w14:ligatures w14:val="none"/>
        </w:rPr>
        <w:t>FTC v. Boehringer Ingelheim Pharms., Inc.</w:t>
      </w:r>
      <w:r w:rsidRPr="000C68AE">
        <w:rPr>
          <w:rFonts w:ascii="Times New Roman" w:eastAsia="Times New Roman" w:hAnsi="Times New Roman" w:cs="Times New Roman"/>
          <w:color w:val="000000"/>
          <w:kern w:val="0"/>
          <w:sz w:val="28"/>
          <w:szCs w:val="28"/>
          <w:lang w:val="sv-SE"/>
          <w14:ligatures w14:val="none"/>
        </w:rPr>
        <w:t>,</w:t>
      </w:r>
      <w:r w:rsidRPr="000C68AE">
        <w:rPr>
          <w:rFonts w:ascii="Times New Roman" w:eastAsia="Times New Roman" w:hAnsi="Times New Roman" w:cs="Times New Roman"/>
          <w:color w:val="000000"/>
          <w:kern w:val="0"/>
          <w:sz w:val="28"/>
          <w:szCs w:val="28"/>
          <w:lang w:val="sv-SE"/>
          <w14:ligatures w14:val="none"/>
        </w:rPr>
        <w:br/>
      </w:r>
      <w:r w:rsidRPr="000C68AE">
        <w:rPr>
          <w:rFonts w:ascii="Times New Roman" w:eastAsia="Times New Roman" w:hAnsi="Times New Roman" w:cs="Times New Roman"/>
          <w:color w:val="000000"/>
          <w:kern w:val="0"/>
          <w:sz w:val="28"/>
          <w:szCs w:val="28"/>
          <w:lang w:val="sv-SE"/>
          <w14:ligatures w14:val="none"/>
        </w:rPr>
        <w:tab/>
        <w:t>778 F.3d 142 (D.C. Cir. 2015)...................................................................</w:t>
      </w:r>
      <w:r w:rsidR="00EE76A0">
        <w:rPr>
          <w:rFonts w:ascii="Times New Roman" w:eastAsia="Times New Roman" w:hAnsi="Times New Roman" w:cs="Times New Roman"/>
          <w:color w:val="000000"/>
          <w:kern w:val="0"/>
          <w:sz w:val="28"/>
          <w:szCs w:val="28"/>
          <w:lang w:val="sv-SE"/>
          <w14:ligatures w14:val="none"/>
        </w:rPr>
        <w:t xml:space="preserve">.. </w:t>
      </w:r>
      <w:r w:rsidRPr="000C68AE">
        <w:rPr>
          <w:rFonts w:ascii="Times New Roman" w:eastAsia="Times New Roman" w:hAnsi="Times New Roman" w:cs="Times New Roman"/>
          <w:color w:val="000000"/>
          <w:kern w:val="0"/>
          <w:sz w:val="28"/>
          <w:szCs w:val="28"/>
          <w:lang w:val="sv-SE"/>
          <w14:ligatures w14:val="none"/>
        </w:rPr>
        <w:t>13</w:t>
      </w:r>
    </w:p>
    <w:p w14:paraId="4244A468" w14:textId="57606D3C"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i/>
          <w:iCs/>
          <w:color w:val="000000"/>
          <w:kern w:val="0"/>
          <w:sz w:val="28"/>
          <w:szCs w:val="28"/>
          <w14:ligatures w14:val="none"/>
        </w:rPr>
        <w:t>Hickman v. Taylor</w:t>
      </w:r>
      <w:r w:rsidRPr="000C68AE">
        <w:rPr>
          <w:rFonts w:ascii="Times New Roman" w:eastAsia="Times New Roman" w:hAnsi="Times New Roman" w:cs="Times New Roman"/>
          <w:color w:val="000000"/>
          <w:kern w:val="0"/>
          <w:sz w:val="28"/>
          <w:szCs w:val="28"/>
          <w14:ligatures w14:val="none"/>
        </w:rPr>
        <w:t>,</w:t>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tab/>
        <w:t>329 U.S. 495 (1947)...............................................................</w:t>
      </w:r>
      <w:r w:rsidR="00787262">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 xml:space="preserve">1, </w:t>
      </w:r>
      <w:r w:rsidR="00787262">
        <w:rPr>
          <w:rFonts w:ascii="Times New Roman" w:eastAsia="Times New Roman" w:hAnsi="Times New Roman" w:cs="Times New Roman"/>
          <w:color w:val="000000"/>
          <w:kern w:val="0"/>
          <w:sz w:val="28"/>
          <w:szCs w:val="28"/>
          <w14:ligatures w14:val="none"/>
        </w:rPr>
        <w:t xml:space="preserve">10, 11, </w:t>
      </w:r>
      <w:r w:rsidRPr="000C68AE">
        <w:rPr>
          <w:rFonts w:ascii="Times New Roman" w:eastAsia="Times New Roman" w:hAnsi="Times New Roman" w:cs="Times New Roman"/>
          <w:color w:val="000000"/>
          <w:kern w:val="0"/>
          <w:sz w:val="28"/>
          <w:szCs w:val="28"/>
          <w14:ligatures w14:val="none"/>
        </w:rPr>
        <w:t>13</w:t>
      </w:r>
      <w:r w:rsidR="00787262">
        <w:rPr>
          <w:rFonts w:ascii="Times New Roman" w:eastAsia="Times New Roman" w:hAnsi="Times New Roman" w:cs="Times New Roman"/>
          <w:color w:val="000000"/>
          <w:kern w:val="0"/>
          <w:sz w:val="28"/>
          <w:szCs w:val="28"/>
          <w14:ligatures w14:val="none"/>
        </w:rPr>
        <w:t>, 14</w:t>
      </w:r>
    </w:p>
    <w:p w14:paraId="5E6413A7" w14:textId="168E8056"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i/>
          <w:iCs/>
          <w:color w:val="000000"/>
          <w:kern w:val="0"/>
          <w:sz w:val="28"/>
          <w:szCs w:val="28"/>
          <w14:ligatures w14:val="none"/>
        </w:rPr>
        <w:t>Kastigar v. United States</w:t>
      </w:r>
      <w:r w:rsidRPr="000C68AE">
        <w:rPr>
          <w:rFonts w:ascii="Times New Roman" w:eastAsia="Times New Roman" w:hAnsi="Times New Roman" w:cs="Times New Roman"/>
          <w:color w:val="000000"/>
          <w:kern w:val="0"/>
          <w:sz w:val="28"/>
          <w:szCs w:val="28"/>
          <w14:ligatures w14:val="none"/>
        </w:rPr>
        <w:t>,</w:t>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tab/>
        <w:t>406 U.S. 441 (1972)................................................................</w:t>
      </w:r>
      <w:r w:rsidR="00787262">
        <w:rPr>
          <w:rFonts w:ascii="Times New Roman" w:eastAsia="Times New Roman" w:hAnsi="Times New Roman" w:cs="Times New Roman"/>
          <w:color w:val="000000"/>
          <w:kern w:val="0"/>
          <w:sz w:val="28"/>
          <w:szCs w:val="28"/>
          <w14:ligatures w14:val="none"/>
        </w:rPr>
        <w:t>. 1, 4, 5, 6, 7, 15</w:t>
      </w:r>
    </w:p>
    <w:p w14:paraId="4052E0C2" w14:textId="7EDE04C8"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i/>
          <w:iCs/>
          <w:color w:val="000000"/>
          <w:kern w:val="0"/>
          <w:sz w:val="28"/>
          <w:szCs w:val="28"/>
          <w14:ligatures w14:val="none"/>
        </w:rPr>
        <w:t>U.S. v. ISS Services, Inc.</w:t>
      </w:r>
      <w:r w:rsidRPr="000C68AE">
        <w:rPr>
          <w:rFonts w:ascii="Times New Roman" w:eastAsia="Times New Roman" w:hAnsi="Times New Roman" w:cs="Times New Roman"/>
          <w:color w:val="000000"/>
          <w:kern w:val="0"/>
          <w:sz w:val="28"/>
          <w:szCs w:val="28"/>
          <w14:ligatures w14:val="none"/>
        </w:rPr>
        <w:t>,</w:t>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tab/>
        <w:t>905 F. Supp. 2d 124 (2012)....................................................................</w:t>
      </w:r>
      <w:r w:rsidR="00787262">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14</w:t>
      </w:r>
      <w:r w:rsidR="00787262">
        <w:rPr>
          <w:rFonts w:ascii="Times New Roman" w:eastAsia="Times New Roman" w:hAnsi="Times New Roman" w:cs="Times New Roman"/>
          <w:color w:val="000000"/>
          <w:kern w:val="0"/>
          <w:sz w:val="28"/>
          <w:szCs w:val="28"/>
          <w14:ligatures w14:val="none"/>
        </w:rPr>
        <w:t>, 15</w:t>
      </w:r>
    </w:p>
    <w:p w14:paraId="46854C51" w14:textId="1CF31283"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i/>
          <w:iCs/>
          <w:color w:val="000000"/>
          <w:kern w:val="0"/>
          <w:sz w:val="28"/>
          <w:szCs w:val="28"/>
          <w14:ligatures w14:val="none"/>
        </w:rPr>
        <w:t>United States v. Montoya</w:t>
      </w:r>
      <w:r w:rsidRPr="000C68AE">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tab/>
        <w:t>45 F.3d 1286 (9th Cir. 1995)..................................................................</w:t>
      </w:r>
      <w:r w:rsidR="00787262">
        <w:rPr>
          <w:rFonts w:ascii="Times New Roman" w:eastAsia="Times New Roman" w:hAnsi="Times New Roman" w:cs="Times New Roman"/>
          <w:color w:val="000000"/>
          <w:kern w:val="0"/>
          <w:sz w:val="28"/>
          <w:szCs w:val="28"/>
          <w14:ligatures w14:val="none"/>
        </w:rPr>
        <w:t>.... 5, 6</w:t>
      </w:r>
    </w:p>
    <w:p w14:paraId="02CD911A" w14:textId="463CCA2B"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i/>
          <w:iCs/>
          <w:color w:val="000000"/>
          <w:kern w:val="0"/>
          <w:sz w:val="28"/>
          <w:szCs w:val="28"/>
          <w14:ligatures w14:val="none"/>
        </w:rPr>
        <w:t>United States v. Nobles</w:t>
      </w:r>
      <w:r w:rsidRPr="000C68AE">
        <w:rPr>
          <w:rFonts w:ascii="Times New Roman" w:eastAsia="Times New Roman" w:hAnsi="Times New Roman" w:cs="Times New Roman"/>
          <w:color w:val="000000"/>
          <w:kern w:val="0"/>
          <w:sz w:val="28"/>
          <w:szCs w:val="28"/>
          <w14:ligatures w14:val="none"/>
        </w:rPr>
        <w:t>,</w:t>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tab/>
        <w:t>422 U.S. 225 (1975).....................................................................................</w:t>
      </w:r>
      <w:r w:rsidR="00EE76A0">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12</w:t>
      </w:r>
    </w:p>
    <w:p w14:paraId="23444579" w14:textId="77777777" w:rsidR="000C68AE" w:rsidRPr="000C68AE" w:rsidRDefault="000C68AE" w:rsidP="000C68AE">
      <w:pPr>
        <w:spacing w:before="120" w:after="0" w:line="48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u w:val="single"/>
          <w14:ligatures w14:val="none"/>
        </w:rPr>
        <w:t>STATUTES</w:t>
      </w:r>
    </w:p>
    <w:p w14:paraId="0D2A0130" w14:textId="75E5B690"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18 U.S.C. § 6002………...................................................................................</w:t>
      </w:r>
      <w:r w:rsidR="00787262">
        <w:rPr>
          <w:rFonts w:ascii="Times New Roman" w:eastAsia="Times New Roman" w:hAnsi="Times New Roman" w:cs="Times New Roman"/>
          <w:color w:val="000000"/>
          <w:kern w:val="0"/>
          <w:sz w:val="28"/>
          <w:szCs w:val="28"/>
          <w14:ligatures w14:val="none"/>
        </w:rPr>
        <w:t xml:space="preserve"> 3, 4</w:t>
      </w:r>
    </w:p>
    <w:p w14:paraId="1F7C4AD5" w14:textId="0C791715" w:rsid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18 U.S.C. § 6003……….....................................................................................</w:t>
      </w:r>
      <w:r w:rsidR="00EE76A0">
        <w:rPr>
          <w:rFonts w:ascii="Times New Roman" w:eastAsia="Times New Roman" w:hAnsi="Times New Roman" w:cs="Times New Roman"/>
          <w:color w:val="000000"/>
          <w:kern w:val="0"/>
          <w:sz w:val="28"/>
          <w:szCs w:val="28"/>
          <w14:ligatures w14:val="none"/>
        </w:rPr>
        <w:t xml:space="preserve">.. </w:t>
      </w:r>
      <w:r w:rsidR="00787262">
        <w:rPr>
          <w:rFonts w:ascii="Times New Roman" w:eastAsia="Times New Roman" w:hAnsi="Times New Roman" w:cs="Times New Roman"/>
          <w:color w:val="000000"/>
          <w:kern w:val="0"/>
          <w:sz w:val="28"/>
          <w:szCs w:val="28"/>
          <w14:ligatures w14:val="none"/>
        </w:rPr>
        <w:t>3</w:t>
      </w:r>
    </w:p>
    <w:p w14:paraId="371429C1" w14:textId="77777777" w:rsidR="00EE76A0" w:rsidRPr="000C68AE" w:rsidRDefault="00EE76A0" w:rsidP="000C68AE">
      <w:pPr>
        <w:spacing w:after="0" w:line="480" w:lineRule="auto"/>
        <w:ind w:left="220"/>
        <w:rPr>
          <w:rFonts w:ascii="Times New Roman" w:eastAsia="Times New Roman" w:hAnsi="Times New Roman" w:cs="Times New Roman"/>
          <w:color w:val="000000"/>
          <w:kern w:val="0"/>
          <w:sz w:val="28"/>
          <w:szCs w:val="28"/>
          <w14:ligatures w14:val="none"/>
        </w:rPr>
      </w:pPr>
    </w:p>
    <w:p w14:paraId="7E4F9049" w14:textId="77777777" w:rsidR="000C68AE" w:rsidRPr="000C68AE" w:rsidRDefault="000C68AE" w:rsidP="000C68AE">
      <w:pPr>
        <w:spacing w:before="120" w:after="0" w:line="48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u w:val="single"/>
          <w14:ligatures w14:val="none"/>
        </w:rPr>
        <w:lastRenderedPageBreak/>
        <w:t>RULES</w:t>
      </w:r>
    </w:p>
    <w:p w14:paraId="4D5F4897" w14:textId="555D8202"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Fed. R. Civ. P. 26(b)(3)(A)..................................................................................</w:t>
      </w:r>
      <w:r w:rsidR="00EE76A0">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10</w:t>
      </w:r>
    </w:p>
    <w:p w14:paraId="5B709D4C" w14:textId="074FA126"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Fed. R. Civ. P. 26(b)(3)(B)..................................................................................</w:t>
      </w:r>
      <w:r w:rsidR="00EE76A0">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12</w:t>
      </w:r>
    </w:p>
    <w:p w14:paraId="0A4F61A7" w14:textId="295F8A28" w:rsidR="000C68AE" w:rsidRPr="000C68AE" w:rsidRDefault="000C68AE" w:rsidP="000C68AE">
      <w:pPr>
        <w:spacing w:after="0" w:line="480" w:lineRule="auto"/>
        <w:ind w:left="2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Fed. R. Crim. P. 17(c)(2).....................................................................................</w:t>
      </w:r>
      <w:r w:rsidR="00EE76A0">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10</w:t>
      </w:r>
    </w:p>
    <w:p w14:paraId="66D309CD" w14:textId="77777777" w:rsidR="000C68AE" w:rsidRPr="00EE76A0" w:rsidRDefault="000C68AE" w:rsidP="000C68AE">
      <w:pPr>
        <w:spacing w:after="24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r w:rsidRPr="000C68AE">
        <w:rPr>
          <w:rFonts w:ascii="Times New Roman" w:eastAsia="Times New Roman" w:hAnsi="Times New Roman" w:cs="Times New Roman"/>
          <w:color w:val="000000"/>
          <w:kern w:val="0"/>
          <w:sz w:val="28"/>
          <w:szCs w:val="28"/>
          <w14:ligatures w14:val="none"/>
        </w:rPr>
        <w:br/>
      </w:r>
    </w:p>
    <w:p w14:paraId="37C9865B" w14:textId="77777777" w:rsidR="000C68AE" w:rsidRPr="00EE76A0" w:rsidRDefault="000C68AE" w:rsidP="000C68AE">
      <w:pPr>
        <w:spacing w:after="240" w:line="240" w:lineRule="auto"/>
        <w:rPr>
          <w:rFonts w:ascii="Times New Roman" w:eastAsia="Times New Roman" w:hAnsi="Times New Roman" w:cs="Times New Roman"/>
          <w:color w:val="000000"/>
          <w:kern w:val="0"/>
          <w:sz w:val="28"/>
          <w:szCs w:val="28"/>
          <w14:ligatures w14:val="none"/>
        </w:rPr>
      </w:pPr>
    </w:p>
    <w:p w14:paraId="36BFF06C" w14:textId="66C05D18" w:rsidR="00EE76A0" w:rsidRPr="00EE76A0" w:rsidRDefault="00EE76A0" w:rsidP="00EE76A0">
      <w:pPr>
        <w:spacing w:after="240" w:line="240" w:lineRule="auto"/>
        <w:rPr>
          <w:rFonts w:ascii="Times New Roman" w:eastAsia="Times New Roman" w:hAnsi="Times New Roman" w:cs="Times New Roman"/>
          <w:color w:val="000000"/>
          <w:kern w:val="0"/>
          <w:sz w:val="28"/>
          <w:szCs w:val="28"/>
          <w14:ligatures w14:val="none"/>
        </w:rPr>
        <w:sectPr w:rsidR="00EE76A0" w:rsidRPr="00EE76A0" w:rsidSect="00EE76A0">
          <w:footerReference w:type="even" r:id="rId11"/>
          <w:footerReference w:type="default" r:id="rId12"/>
          <w:pgSz w:w="12240" w:h="15840"/>
          <w:pgMar w:top="1440" w:right="1440" w:bottom="1440" w:left="1440" w:header="720" w:footer="720" w:gutter="0"/>
          <w:pgNumType w:fmt="lowerRoman" w:start="1"/>
          <w:cols w:space="720"/>
          <w:titlePg/>
        </w:sectPr>
      </w:pPr>
    </w:p>
    <w:p w14:paraId="21BAEA7B" w14:textId="7CC056AE" w:rsidR="000C68AE" w:rsidRPr="000C68AE" w:rsidRDefault="000C68AE" w:rsidP="00EE76A0">
      <w:pPr>
        <w:spacing w:before="400" w:after="120" w:line="240" w:lineRule="auto"/>
        <w:jc w:val="center"/>
        <w:outlineLvl w:val="0"/>
        <w:rPr>
          <w:rFonts w:ascii="Times New Roman" w:eastAsia="Times New Roman" w:hAnsi="Times New Roman" w:cs="Times New Roman"/>
          <w:b/>
          <w:bCs/>
          <w:color w:val="000000"/>
          <w:kern w:val="36"/>
          <w:sz w:val="28"/>
          <w:szCs w:val="28"/>
          <w14:ligatures w14:val="none"/>
        </w:rPr>
      </w:pPr>
      <w:r w:rsidRPr="000C68AE">
        <w:rPr>
          <w:rFonts w:ascii="Times New Roman" w:eastAsia="Times New Roman" w:hAnsi="Times New Roman" w:cs="Times New Roman"/>
          <w:color w:val="000000"/>
          <w:kern w:val="36"/>
          <w:sz w:val="28"/>
          <w:szCs w:val="28"/>
          <w:u w:val="single"/>
          <w14:ligatures w14:val="none"/>
        </w:rPr>
        <w:lastRenderedPageBreak/>
        <w:t>INTRODUCTION</w:t>
      </w:r>
    </w:p>
    <w:p w14:paraId="1AC22D74"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26567A88" w14:textId="7D4F2EEB"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 xml:space="preserve">The defendant, Emily Calloway, was indicted on September 23, </w:t>
      </w:r>
      <w:r w:rsidR="00EE76A0" w:rsidRPr="00EE76A0">
        <w:rPr>
          <w:rFonts w:ascii="Times New Roman" w:eastAsia="Times New Roman" w:hAnsi="Times New Roman" w:cs="Times New Roman"/>
          <w:color w:val="000000"/>
          <w:kern w:val="0"/>
          <w:sz w:val="28"/>
          <w:szCs w:val="28"/>
          <w14:ligatures w14:val="none"/>
        </w:rPr>
        <w:t>2025,</w:t>
      </w:r>
      <w:r w:rsidRPr="000C68AE">
        <w:rPr>
          <w:rFonts w:ascii="Times New Roman" w:eastAsia="Times New Roman" w:hAnsi="Times New Roman" w:cs="Times New Roman"/>
          <w:color w:val="000000"/>
          <w:kern w:val="0"/>
          <w:sz w:val="28"/>
          <w:szCs w:val="28"/>
          <w14:ligatures w14:val="none"/>
        </w:rPr>
        <w:t xml:space="preserve"> on two counts. One count of killing of a witness in violation of 18 U.S.C. § 1512(a)(1)(C) and one count of money laundering conspiracy in violation of 18 U.S.C. § 1956(a)(1)(B)(i). The defendant filed a Motion to Suppress Evidence Obtained in Violation of Court Order and a Motion to Quash United States Subpoena Duces Tecum. A Motion to Suppress Evidence Obtained in Violation of Court Order must be denied when the Government affirmatively proves by a preponderance of the evidence that its evidence was derived from a legitimate source wholly independent of the compelled testimony. </w:t>
      </w:r>
      <w:r w:rsidRPr="000C68AE">
        <w:rPr>
          <w:rFonts w:ascii="Times New Roman" w:eastAsia="Times New Roman" w:hAnsi="Times New Roman" w:cs="Times New Roman"/>
          <w:i/>
          <w:iCs/>
          <w:color w:val="000000"/>
          <w:kern w:val="0"/>
          <w:sz w:val="28"/>
          <w:szCs w:val="28"/>
          <w14:ligatures w14:val="none"/>
        </w:rPr>
        <w:t>Kastigar v. United States</w:t>
      </w:r>
      <w:r w:rsidRPr="000C68AE">
        <w:rPr>
          <w:rFonts w:ascii="Times New Roman" w:eastAsia="Times New Roman" w:hAnsi="Times New Roman" w:cs="Times New Roman"/>
          <w:color w:val="000000"/>
          <w:kern w:val="0"/>
          <w:sz w:val="28"/>
          <w:szCs w:val="28"/>
          <w14:ligatures w14:val="none"/>
        </w:rPr>
        <w:t xml:space="preserve">, 406 U.S. 441, 460 (1972). A Motion to Quash United States Subpoena Duces Tecum must be denied when the non-moving party meets its burden. The burden is to demonstrate that the records contain fact work-product for which there is a substantial need for the records and an inability to obtain the substantial equivalent because of undue hardship. </w:t>
      </w:r>
      <w:r w:rsidRPr="000C68AE">
        <w:rPr>
          <w:rFonts w:ascii="Times New Roman" w:eastAsia="Times New Roman" w:hAnsi="Times New Roman" w:cs="Times New Roman"/>
          <w:i/>
          <w:iCs/>
          <w:color w:val="000000"/>
          <w:kern w:val="0"/>
          <w:sz w:val="28"/>
          <w:szCs w:val="28"/>
          <w14:ligatures w14:val="none"/>
        </w:rPr>
        <w:t>Hickman v. Taylor</w:t>
      </w:r>
      <w:r w:rsidRPr="000C68AE">
        <w:rPr>
          <w:rFonts w:ascii="Times New Roman" w:eastAsia="Times New Roman" w:hAnsi="Times New Roman" w:cs="Times New Roman"/>
          <w:color w:val="000000"/>
          <w:kern w:val="0"/>
          <w:sz w:val="28"/>
          <w:szCs w:val="28"/>
          <w14:ligatures w14:val="none"/>
        </w:rPr>
        <w:t>, 329 U.S. 495, 508 (1947). This brief is filed in opposition of the defendant’s motions.</w:t>
      </w:r>
    </w:p>
    <w:p w14:paraId="5EA78082" w14:textId="77777777" w:rsidR="000C68AE" w:rsidRPr="000C68AE" w:rsidRDefault="000C68AE" w:rsidP="000C68AE">
      <w:pPr>
        <w:spacing w:before="400" w:after="120" w:line="240" w:lineRule="auto"/>
        <w:jc w:val="center"/>
        <w:outlineLvl w:val="0"/>
        <w:rPr>
          <w:rFonts w:ascii="Times New Roman" w:eastAsia="Times New Roman" w:hAnsi="Times New Roman" w:cs="Times New Roman"/>
          <w:b/>
          <w:bCs/>
          <w:color w:val="000000"/>
          <w:kern w:val="36"/>
          <w:sz w:val="28"/>
          <w:szCs w:val="28"/>
          <w14:ligatures w14:val="none"/>
        </w:rPr>
      </w:pPr>
      <w:r w:rsidRPr="000C68AE">
        <w:rPr>
          <w:rFonts w:ascii="Times New Roman" w:eastAsia="Times New Roman" w:hAnsi="Times New Roman" w:cs="Times New Roman"/>
          <w:color w:val="000000"/>
          <w:kern w:val="36"/>
          <w:sz w:val="28"/>
          <w:szCs w:val="28"/>
          <w:u w:val="single"/>
          <w14:ligatures w14:val="none"/>
        </w:rPr>
        <w:t>STATEMENT OF FACTS</w:t>
      </w:r>
    </w:p>
    <w:p w14:paraId="5AF9D18B"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3CE8A4ED"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On December 12, 2023, Daniel Blake, an accountant at Silver Palms, a resort in Gulf Haven, Florida, was murdered in his office. Approximately one </w:t>
      </w:r>
      <w:r w:rsidRPr="000C68AE">
        <w:rPr>
          <w:rFonts w:ascii="Times New Roman" w:eastAsia="Times New Roman" w:hAnsi="Times New Roman" w:cs="Times New Roman"/>
          <w:color w:val="000000"/>
          <w:kern w:val="0"/>
          <w:sz w:val="28"/>
          <w:szCs w:val="28"/>
          <w14:ligatures w14:val="none"/>
        </w:rPr>
        <w:lastRenderedPageBreak/>
        <w:t>month later, the person who shot Blake was arrested. After investigation, it was revealed that Saint Donovan, the defendant’s co-owner at Silver Palms, hired this individual to kill Daniel Blake after Blake found inconsistencies with the resort’s bookkeeping. Specifically, Daniel Blake found Silver Palms was making payments to vendors that were not actually performing work. One of these vendors was Coastal Event Solutions (“Coastal”). This information led to Donovan’s arrest on January 26, 2024.</w:t>
      </w:r>
    </w:p>
    <w:p w14:paraId="440BF35C" w14:textId="77777777"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On August 23, 2024, the Government issued a court order for the defendant's compelled testimony in Donovan’s trial to explain the structure of payments from Silver Palms to Coastal. The defendant was granted use and derivative-use immunity for this testimony. The day before the order, Assistant United States Attorney Tatum Sinclair and Agent Bryce Nolan created a written “wall off” protocol in which the respective “teams” of investigation were completely separated from each other. Sinclair was assigned to lead “Team Calloway” and Nolan was assigned to lead “Team Donovan.” The separate teams ensured that “Team Calloway” never received the content, strategic impressions, or any investigative leads from the defendant’s compelled testimony. </w:t>
      </w:r>
    </w:p>
    <w:p w14:paraId="1983F368" w14:textId="77777777"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 xml:space="preserve">Before Donovan’s trial, “Team Calloway” continued to interview employees of Silver Palms to build the case against the defendant. The order of which </w:t>
      </w:r>
      <w:r w:rsidRPr="000C68AE">
        <w:rPr>
          <w:rFonts w:ascii="Times New Roman" w:eastAsia="Times New Roman" w:hAnsi="Times New Roman" w:cs="Times New Roman"/>
          <w:color w:val="000000"/>
          <w:kern w:val="0"/>
          <w:sz w:val="28"/>
          <w:szCs w:val="28"/>
          <w14:ligatures w14:val="none"/>
        </w:rPr>
        <w:lastRenderedPageBreak/>
        <w:t>employees needed to be interviewed was determined by how frequently they worked at Silver Palms. This list included Kennedy Parker. </w:t>
      </w:r>
    </w:p>
    <w:p w14:paraId="761D8E3B"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In January of 2024, the defense team hired a private investigator, Maddox Armana, to better understand the financial structure of Silver Palms.</w:t>
      </w:r>
      <w:r w:rsidRPr="000C68AE">
        <w:rPr>
          <w:rFonts w:ascii="Times New Roman" w:eastAsia="Times New Roman" w:hAnsi="Times New Roman" w:cs="Times New Roman"/>
          <w:color w:val="FF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In February of 2024, Armana struggled to find anyone associated with Coastal. Eventually, Armana came across the name Sierra Seton, who worked inside operations for Coastal. Despite Armana being a private investigator, Armana struggled to find Seton. When Armana interviewed Seton, they were the only people present at the interview and it was not recorded. Instead, Armana transcribed specific factual information relayed by Seton regarding how Coastal worked and who ran it. Armana also wrote down her own thoughts including potential follow-ups. Shortly after Armana interviewed Seton, she left the country with another Coastal employee, Ky Chandler, and was last known to be in Spain. </w:t>
      </w:r>
    </w:p>
    <w:p w14:paraId="66E66923" w14:textId="77777777" w:rsidR="000C68AE" w:rsidRPr="000C68AE" w:rsidRDefault="000C68AE" w:rsidP="000C68AE">
      <w:pPr>
        <w:spacing w:after="0" w:line="480" w:lineRule="auto"/>
        <w:ind w:firstLine="720"/>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u w:val="single"/>
          <w14:ligatures w14:val="none"/>
        </w:rPr>
        <w:t>ARGUMENT</w:t>
      </w:r>
    </w:p>
    <w:p w14:paraId="305C5FB9" w14:textId="2FDCFA32" w:rsidR="000C68AE" w:rsidRPr="00695936" w:rsidRDefault="000C68AE" w:rsidP="00695936">
      <w:pPr>
        <w:pStyle w:val="ListParagraph"/>
        <w:numPr>
          <w:ilvl w:val="0"/>
          <w:numId w:val="8"/>
        </w:numPr>
        <w:spacing w:after="0" w:line="240" w:lineRule="auto"/>
        <w:textAlignment w:val="baseline"/>
        <w:rPr>
          <w:rFonts w:ascii="Times New Roman" w:eastAsia="Times New Roman" w:hAnsi="Times New Roman" w:cs="Times New Roman"/>
          <w:color w:val="000000"/>
          <w:kern w:val="0"/>
          <w:sz w:val="28"/>
          <w:szCs w:val="28"/>
          <w14:ligatures w14:val="none"/>
        </w:rPr>
      </w:pPr>
      <w:r w:rsidRPr="00695936">
        <w:rPr>
          <w:rFonts w:ascii="Times New Roman" w:eastAsia="Times New Roman" w:hAnsi="Times New Roman" w:cs="Times New Roman"/>
          <w:color w:val="000000"/>
          <w:kern w:val="0"/>
          <w:sz w:val="28"/>
          <w:szCs w:val="28"/>
          <w14:ligatures w14:val="none"/>
        </w:rPr>
        <w:t>THE COURT SHOULD DENY DEFENDANT’S MOTION TO SUPPRESS EVIDENCE OBTAINED IN VIOLATION OF COURT ORDER BECAUSE EVIDENCE WAS DERIVED LAWFULLY FROM A LEGITIMATE SOURCE WHOLLY INDEPENDENT OF DEFENDANT’S TESTIMONY.</w:t>
      </w:r>
    </w:p>
    <w:p w14:paraId="62D10749"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08115583" w14:textId="5F72A224"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18 U.S.C. § 6002 </w:t>
      </w:r>
      <w:r w:rsidR="00787262" w:rsidRPr="000C68AE">
        <w:rPr>
          <w:rFonts w:ascii="Times New Roman" w:eastAsia="Times New Roman" w:hAnsi="Times New Roman" w:cs="Times New Roman"/>
          <w:color w:val="000000"/>
          <w:kern w:val="0"/>
          <w:sz w:val="28"/>
          <w:szCs w:val="28"/>
          <w14:ligatures w14:val="none"/>
        </w:rPr>
        <w:t>and §</w:t>
      </w:r>
      <w:r w:rsidRPr="000C68AE">
        <w:rPr>
          <w:rFonts w:ascii="Times New Roman" w:eastAsia="Times New Roman" w:hAnsi="Times New Roman" w:cs="Times New Roman"/>
          <w:color w:val="000000"/>
          <w:kern w:val="0"/>
          <w:sz w:val="28"/>
          <w:szCs w:val="28"/>
          <w14:ligatures w14:val="none"/>
        </w:rPr>
        <w:t xml:space="preserve"> 6003 governs the use of immunity in court and grand jury proceedings. Under 18 U.S.C. § 6002, when a witness “refuses to testify on the basis of </w:t>
      </w:r>
      <w:r w:rsidRPr="000C68AE">
        <w:rPr>
          <w:rFonts w:ascii="Times New Roman" w:eastAsia="Times New Roman" w:hAnsi="Times New Roman" w:cs="Times New Roman"/>
          <w:color w:val="333333"/>
          <w:kern w:val="0"/>
          <w:sz w:val="28"/>
          <w:szCs w:val="28"/>
          <w14:ligatures w14:val="none"/>
        </w:rPr>
        <w:t>his privilege against self-incrimination,”</w:t>
      </w:r>
      <w:r w:rsidRPr="000C68AE">
        <w:rPr>
          <w:rFonts w:ascii="Times New Roman" w:eastAsia="Times New Roman" w:hAnsi="Times New Roman" w:cs="Times New Roman"/>
          <w:color w:val="000000"/>
          <w:kern w:val="0"/>
          <w:sz w:val="28"/>
          <w:szCs w:val="28"/>
          <w14:ligatures w14:val="none"/>
        </w:rPr>
        <w:t xml:space="preserve"> the witness is granted use </w:t>
      </w:r>
      <w:r w:rsidRPr="000C68AE">
        <w:rPr>
          <w:rFonts w:ascii="Times New Roman" w:eastAsia="Times New Roman" w:hAnsi="Times New Roman" w:cs="Times New Roman"/>
          <w:color w:val="000000"/>
          <w:kern w:val="0"/>
          <w:sz w:val="28"/>
          <w:szCs w:val="28"/>
          <w14:ligatures w14:val="none"/>
        </w:rPr>
        <w:lastRenderedPageBreak/>
        <w:t xml:space="preserve">and derivative-use immunity which provides that “no testimony or other information compelled under the order (or any information directly or indirectly derived from such testimony or other information) may be used against the witness in any criminal case. . . .” The Supreme Court has affirmed that the immunity provided by 18 U.S.C. § 6002 is coextensive with the Fifth Amendment privilege and can be substituted in its place since the immunity leaves both parties in substantially the same position as if the witness had claimed the Fifth Amendment privilege. </w:t>
      </w:r>
      <w:r w:rsidRPr="000C68AE">
        <w:rPr>
          <w:rFonts w:ascii="Times New Roman" w:eastAsia="Times New Roman" w:hAnsi="Times New Roman" w:cs="Times New Roman"/>
          <w:i/>
          <w:iCs/>
          <w:color w:val="000000"/>
          <w:kern w:val="0"/>
          <w:sz w:val="28"/>
          <w:szCs w:val="28"/>
          <w14:ligatures w14:val="none"/>
        </w:rPr>
        <w:t>Kastigar v. United States</w:t>
      </w:r>
      <w:r w:rsidRPr="000C68AE">
        <w:rPr>
          <w:rFonts w:ascii="Times New Roman" w:eastAsia="Times New Roman" w:hAnsi="Times New Roman" w:cs="Times New Roman"/>
          <w:color w:val="000000"/>
          <w:kern w:val="0"/>
          <w:sz w:val="28"/>
          <w:szCs w:val="28"/>
          <w14:ligatures w14:val="none"/>
        </w:rPr>
        <w:t xml:space="preserve">, 406 U.S. 441, 462 (1972). A defendant in a trial who provided testimony as a witness in a proceeding before </w:t>
      </w:r>
      <w:r w:rsidRPr="000C68AE">
        <w:rPr>
          <w:rFonts w:ascii="Times New Roman" w:eastAsia="Times New Roman" w:hAnsi="Times New Roman" w:cs="Times New Roman"/>
          <w:color w:val="333333"/>
          <w:kern w:val="0"/>
          <w:sz w:val="28"/>
          <w:szCs w:val="28"/>
          <w14:ligatures w14:val="none"/>
        </w:rPr>
        <w:t>their own,</w:t>
      </w:r>
      <w:r w:rsidRPr="000C68AE">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333333"/>
          <w:kern w:val="0"/>
          <w:sz w:val="28"/>
          <w:szCs w:val="28"/>
          <w14:ligatures w14:val="none"/>
        </w:rPr>
        <w:t>has the ability to</w:t>
      </w:r>
      <w:r w:rsidRPr="000C68AE">
        <w:rPr>
          <w:rFonts w:ascii="Times New Roman" w:eastAsia="Times New Roman" w:hAnsi="Times New Roman" w:cs="Times New Roman"/>
          <w:color w:val="000000"/>
          <w:kern w:val="0"/>
          <w:sz w:val="28"/>
          <w:szCs w:val="28"/>
          <w14:ligatures w14:val="none"/>
        </w:rPr>
        <w:t xml:space="preserve"> challenge evidence that the government obtained after the defendant’s compelled testimony. 18 U.S.C. § 6002. The defendant must first demonstrate that they testified under immunity to matters related to federal prosecution. </w:t>
      </w:r>
      <w:r w:rsidRPr="000C68AE">
        <w:rPr>
          <w:rFonts w:ascii="Times New Roman" w:eastAsia="Times New Roman" w:hAnsi="Times New Roman" w:cs="Times New Roman"/>
          <w:i/>
          <w:iCs/>
          <w:color w:val="000000"/>
          <w:kern w:val="0"/>
          <w:sz w:val="28"/>
          <w:szCs w:val="28"/>
          <w14:ligatures w14:val="none"/>
        </w:rPr>
        <w:t>Kastigar,</w:t>
      </w:r>
      <w:r w:rsidRPr="000C68AE">
        <w:rPr>
          <w:rFonts w:ascii="Times New Roman" w:eastAsia="Times New Roman" w:hAnsi="Times New Roman" w:cs="Times New Roman"/>
          <w:color w:val="000000"/>
          <w:kern w:val="0"/>
          <w:sz w:val="28"/>
          <w:szCs w:val="28"/>
          <w14:ligatures w14:val="none"/>
        </w:rPr>
        <w:t xml:space="preserve"> 406 U.S. at 460. The burden of proof then shifts to the government to affirmatively prove “the evidence it proposes to use is derived from a legitimate source wholly independent of the compelled testimony.”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The defendant did testify in the federal prosecution of Donovan, but the evidence obtained by the Government was not in violation of a court order as the bank record, which lists the defendant as beneficial owner of Marsh Holdings Ltd. (marked as Exhibit 19) and Parker's testimony originated through legitimate sources wholly independent of the defendant's compelled testimony. </w:t>
      </w:r>
    </w:p>
    <w:p w14:paraId="1C0A3BD6" w14:textId="7812CDE4"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lastRenderedPageBreak/>
        <w:t xml:space="preserve">The defense argues they are entitled to a hearing under </w:t>
      </w:r>
      <w:r w:rsidRPr="000C68AE">
        <w:rPr>
          <w:rFonts w:ascii="Times New Roman" w:eastAsia="Times New Roman" w:hAnsi="Times New Roman" w:cs="Times New Roman"/>
          <w:i/>
          <w:iCs/>
          <w:color w:val="000000"/>
          <w:kern w:val="0"/>
          <w:sz w:val="28"/>
          <w:szCs w:val="28"/>
          <w14:ligatures w14:val="none"/>
        </w:rPr>
        <w:t xml:space="preserve">Kastigar </w:t>
      </w:r>
      <w:r w:rsidRPr="000C68AE">
        <w:rPr>
          <w:rFonts w:ascii="Times New Roman" w:eastAsia="Times New Roman" w:hAnsi="Times New Roman" w:cs="Times New Roman"/>
          <w:color w:val="000000"/>
          <w:kern w:val="0"/>
          <w:sz w:val="28"/>
          <w:szCs w:val="28"/>
          <w14:ligatures w14:val="none"/>
        </w:rPr>
        <w:t xml:space="preserve">on grounds that Exhibit </w:t>
      </w:r>
      <w:r w:rsidR="00695936" w:rsidRPr="000C68AE">
        <w:rPr>
          <w:rFonts w:ascii="Times New Roman" w:eastAsia="Times New Roman" w:hAnsi="Times New Roman" w:cs="Times New Roman"/>
          <w:color w:val="000000"/>
          <w:kern w:val="0"/>
          <w:sz w:val="28"/>
          <w:szCs w:val="28"/>
          <w14:ligatures w14:val="none"/>
        </w:rPr>
        <w:t>19</w:t>
      </w:r>
      <w:r w:rsidR="00695936">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 xml:space="preserve">and Parker's testimony should be suppressed. The government’s burden during a </w:t>
      </w:r>
      <w:r w:rsidRPr="000C68AE">
        <w:rPr>
          <w:rFonts w:ascii="Times New Roman" w:eastAsia="Times New Roman" w:hAnsi="Times New Roman" w:cs="Times New Roman"/>
          <w:i/>
          <w:iCs/>
          <w:color w:val="000000"/>
          <w:kern w:val="0"/>
          <w:sz w:val="28"/>
          <w:szCs w:val="28"/>
          <w14:ligatures w14:val="none"/>
        </w:rPr>
        <w:t>Kastigar</w:t>
      </w:r>
      <w:r w:rsidRPr="000C68AE">
        <w:rPr>
          <w:rFonts w:ascii="Times New Roman" w:eastAsia="Times New Roman" w:hAnsi="Times New Roman" w:cs="Times New Roman"/>
          <w:color w:val="000000"/>
          <w:kern w:val="0"/>
          <w:sz w:val="28"/>
          <w:szCs w:val="28"/>
          <w14:ligatures w14:val="none"/>
        </w:rPr>
        <w:t xml:space="preserve"> hearing is not to merely deny that its evidence was tainted by the compelled testimony, but rather, an affirmative duty to prove that the evidence was derived from a “legitimate source wholly independent of the [defendant’s] compelled testimony.”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w:t>
      </w:r>
    </w:p>
    <w:p w14:paraId="4FA651E4"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In </w:t>
      </w:r>
      <w:r w:rsidRPr="000C68AE">
        <w:rPr>
          <w:rFonts w:ascii="Times New Roman" w:eastAsia="Times New Roman" w:hAnsi="Times New Roman" w:cs="Times New Roman"/>
          <w:i/>
          <w:iCs/>
          <w:color w:val="000000"/>
          <w:kern w:val="0"/>
          <w:sz w:val="28"/>
          <w:szCs w:val="28"/>
          <w14:ligatures w14:val="none"/>
        </w:rPr>
        <w:t>United States v. Montoya</w:t>
      </w:r>
      <w:r w:rsidRPr="000C68AE">
        <w:rPr>
          <w:rFonts w:ascii="Times New Roman" w:eastAsia="Times New Roman" w:hAnsi="Times New Roman" w:cs="Times New Roman"/>
          <w:color w:val="000000"/>
          <w:kern w:val="0"/>
          <w:sz w:val="28"/>
          <w:szCs w:val="28"/>
          <w14:ligatures w14:val="none"/>
        </w:rPr>
        <w:t xml:space="preserve">, the Ninth Circuit Court of Appeals held that a full </w:t>
      </w:r>
      <w:r w:rsidRPr="000C68AE">
        <w:rPr>
          <w:rFonts w:ascii="Times New Roman" w:eastAsia="Times New Roman" w:hAnsi="Times New Roman" w:cs="Times New Roman"/>
          <w:i/>
          <w:iCs/>
          <w:color w:val="000000"/>
          <w:kern w:val="0"/>
          <w:sz w:val="28"/>
          <w:szCs w:val="28"/>
          <w14:ligatures w14:val="none"/>
        </w:rPr>
        <w:t xml:space="preserve">Kastigar </w:t>
      </w:r>
      <w:r w:rsidRPr="000C68AE">
        <w:rPr>
          <w:rFonts w:ascii="Times New Roman" w:eastAsia="Times New Roman" w:hAnsi="Times New Roman" w:cs="Times New Roman"/>
          <w:color w:val="000000"/>
          <w:kern w:val="0"/>
          <w:sz w:val="28"/>
          <w:szCs w:val="28"/>
          <w14:ligatures w14:val="none"/>
        </w:rPr>
        <w:t xml:space="preserve">hearing is not required if the Government meets their burden and the evidence was obtained from a legitimate source wholly independent of the compelled testimony. </w:t>
      </w:r>
      <w:r w:rsidRPr="000C68AE">
        <w:rPr>
          <w:rFonts w:ascii="Times New Roman" w:eastAsia="Times New Roman" w:hAnsi="Times New Roman" w:cs="Times New Roman"/>
          <w:i/>
          <w:iCs/>
          <w:color w:val="000000"/>
          <w:kern w:val="0"/>
          <w:sz w:val="28"/>
          <w:szCs w:val="28"/>
          <w14:ligatures w14:val="none"/>
        </w:rPr>
        <w:t>United States v. Montoya</w:t>
      </w:r>
      <w:r w:rsidRPr="000C68AE">
        <w:rPr>
          <w:rFonts w:ascii="Times New Roman" w:eastAsia="Times New Roman" w:hAnsi="Times New Roman" w:cs="Times New Roman"/>
          <w:color w:val="000000"/>
          <w:kern w:val="0"/>
          <w:sz w:val="28"/>
          <w:szCs w:val="28"/>
          <w14:ligatures w14:val="none"/>
        </w:rPr>
        <w:t xml:space="preserve">, 45 F.3d 1286 (9th Cir. 1995). In </w:t>
      </w:r>
      <w:r w:rsidRPr="000C68AE">
        <w:rPr>
          <w:rFonts w:ascii="Times New Roman" w:eastAsia="Times New Roman" w:hAnsi="Times New Roman" w:cs="Times New Roman"/>
          <w:i/>
          <w:iCs/>
          <w:color w:val="000000"/>
          <w:kern w:val="0"/>
          <w:sz w:val="28"/>
          <w:szCs w:val="28"/>
          <w14:ligatures w14:val="none"/>
        </w:rPr>
        <w:t>Montoya</w:t>
      </w:r>
      <w:r w:rsidRPr="000C68AE">
        <w:rPr>
          <w:rFonts w:ascii="Times New Roman" w:eastAsia="Times New Roman" w:hAnsi="Times New Roman" w:cs="Times New Roman"/>
          <w:color w:val="000000"/>
          <w:kern w:val="0"/>
          <w:sz w:val="28"/>
          <w:szCs w:val="28"/>
          <w14:ligatures w14:val="none"/>
        </w:rPr>
        <w:t xml:space="preserve">, the defendant was convicted of participating in a money laundering scheme.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The defendant was granted immunity for his testimony and testified before a grand jury.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An agent led an investigation which showed the execution of search warrants of the defendant's properties occurred before his compelled testimony.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The district court noted that the agent’s documentation showed each individual lead was wholly independent of the defendant’s immunized testimony because it was obtained before the defendant testified.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The court held that the government met their burden of proof under </w:t>
      </w:r>
      <w:r w:rsidRPr="000C68AE">
        <w:rPr>
          <w:rFonts w:ascii="Times New Roman" w:eastAsia="Times New Roman" w:hAnsi="Times New Roman" w:cs="Times New Roman"/>
          <w:i/>
          <w:iCs/>
          <w:color w:val="000000"/>
          <w:kern w:val="0"/>
          <w:sz w:val="28"/>
          <w:szCs w:val="28"/>
          <w14:ligatures w14:val="none"/>
        </w:rPr>
        <w:t xml:space="preserve">Kastigar, </w:t>
      </w:r>
      <w:r w:rsidRPr="000C68AE">
        <w:rPr>
          <w:rFonts w:ascii="Times New Roman" w:eastAsia="Times New Roman" w:hAnsi="Times New Roman" w:cs="Times New Roman"/>
          <w:color w:val="000000"/>
          <w:kern w:val="0"/>
          <w:sz w:val="28"/>
          <w:szCs w:val="28"/>
          <w14:ligatures w14:val="none"/>
        </w:rPr>
        <w:t xml:space="preserve">because the documentation showed all evidence was derived wholly independent of the defendant's compelled testimony. </w:t>
      </w:r>
      <w:r w:rsidRPr="000C68AE">
        <w:rPr>
          <w:rFonts w:ascii="Times New Roman" w:eastAsia="Times New Roman" w:hAnsi="Times New Roman" w:cs="Times New Roman"/>
          <w:i/>
          <w:iCs/>
          <w:color w:val="000000"/>
          <w:kern w:val="0"/>
          <w:sz w:val="28"/>
          <w:szCs w:val="28"/>
          <w14:ligatures w14:val="none"/>
        </w:rPr>
        <w:t>Id.</w:t>
      </w:r>
    </w:p>
    <w:p w14:paraId="3AA066CE" w14:textId="153329BA"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lastRenderedPageBreak/>
        <w:tab/>
        <w:t xml:space="preserve">In the present matter, the Government has met its burden of proof under </w:t>
      </w:r>
      <w:r w:rsidRPr="000C68AE">
        <w:rPr>
          <w:rFonts w:ascii="Times New Roman" w:eastAsia="Times New Roman" w:hAnsi="Times New Roman" w:cs="Times New Roman"/>
          <w:i/>
          <w:iCs/>
          <w:color w:val="000000"/>
          <w:kern w:val="0"/>
          <w:sz w:val="28"/>
          <w:szCs w:val="28"/>
          <w14:ligatures w14:val="none"/>
        </w:rPr>
        <w:t>Kastigar</w:t>
      </w:r>
      <w:r w:rsidRPr="000C68AE">
        <w:rPr>
          <w:rFonts w:ascii="Times New Roman" w:eastAsia="Times New Roman" w:hAnsi="Times New Roman" w:cs="Times New Roman"/>
          <w:color w:val="000000"/>
          <w:kern w:val="0"/>
          <w:sz w:val="28"/>
          <w:szCs w:val="28"/>
          <w14:ligatures w14:val="none"/>
        </w:rPr>
        <w:t xml:space="preserve"> due to Nolan’s record keeping. Nolan documented each lead before the defendant testified, which demonstrates evidence against the defendant was derived from wholly independent sources. As soon as the order for the defendant's compelled testimony was filed, the Government split into two separate teams in order to create a “walled off procedure.” These teams were named “Team Calloway” and “Team Donovan.” This formal protocol was put into place to ensure that “Team Calloway” would not have any access to the content of the defendant’s testimony for the Donovan trial, nor to the investigative leads that arose out of the compelled testimony. The official establishment of the separation wall created by Nolan, which is marked as Exhibit 15, was prepared prior to the defendant’s compelled testimony. This document outlines the exact restrictions for each investigative team to follow in preservation of the </w:t>
      </w:r>
      <w:r w:rsidR="00695936" w:rsidRPr="000C68AE">
        <w:rPr>
          <w:rFonts w:ascii="Times New Roman" w:eastAsia="Times New Roman" w:hAnsi="Times New Roman" w:cs="Times New Roman"/>
          <w:color w:val="000000"/>
          <w:kern w:val="0"/>
          <w:sz w:val="28"/>
          <w:szCs w:val="28"/>
          <w14:ligatures w14:val="none"/>
        </w:rPr>
        <w:t>defendant’s compelled</w:t>
      </w:r>
      <w:r w:rsidRPr="000C68AE">
        <w:rPr>
          <w:rFonts w:ascii="Times New Roman" w:eastAsia="Times New Roman" w:hAnsi="Times New Roman" w:cs="Times New Roman"/>
          <w:color w:val="000000"/>
          <w:kern w:val="0"/>
          <w:sz w:val="28"/>
          <w:szCs w:val="28"/>
          <w14:ligatures w14:val="none"/>
        </w:rPr>
        <w:t xml:space="preserve"> testimony. The Government is aware of the judicial scrutiny that follows use and derivative-use immunity, therefore all the proper steps were taken and documented to ensure the heavy burden under </w:t>
      </w:r>
      <w:r w:rsidRPr="000C68AE">
        <w:rPr>
          <w:rFonts w:ascii="Times New Roman" w:eastAsia="Times New Roman" w:hAnsi="Times New Roman" w:cs="Times New Roman"/>
          <w:i/>
          <w:iCs/>
          <w:color w:val="000000"/>
          <w:kern w:val="0"/>
          <w:sz w:val="28"/>
          <w:szCs w:val="28"/>
          <w14:ligatures w14:val="none"/>
        </w:rPr>
        <w:t xml:space="preserve">Katsigar </w:t>
      </w:r>
      <w:r w:rsidRPr="000C68AE">
        <w:rPr>
          <w:rFonts w:ascii="Times New Roman" w:eastAsia="Times New Roman" w:hAnsi="Times New Roman" w:cs="Times New Roman"/>
          <w:color w:val="000000"/>
          <w:kern w:val="0"/>
          <w:sz w:val="28"/>
          <w:szCs w:val="28"/>
          <w14:ligatures w14:val="none"/>
        </w:rPr>
        <w:t xml:space="preserve">was met. Similarly to </w:t>
      </w:r>
      <w:r w:rsidRPr="000C68AE">
        <w:rPr>
          <w:rFonts w:ascii="Times New Roman" w:eastAsia="Times New Roman" w:hAnsi="Times New Roman" w:cs="Times New Roman"/>
          <w:i/>
          <w:iCs/>
          <w:color w:val="000000"/>
          <w:kern w:val="0"/>
          <w:sz w:val="28"/>
          <w:szCs w:val="28"/>
          <w14:ligatures w14:val="none"/>
        </w:rPr>
        <w:t>Montoya</w:t>
      </w:r>
      <w:r w:rsidRPr="000C68AE">
        <w:rPr>
          <w:rFonts w:ascii="Times New Roman" w:eastAsia="Times New Roman" w:hAnsi="Times New Roman" w:cs="Times New Roman"/>
          <w:color w:val="000000"/>
          <w:kern w:val="0"/>
          <w:sz w:val="28"/>
          <w:szCs w:val="28"/>
          <w14:ligatures w14:val="none"/>
        </w:rPr>
        <w:t>, this walled off procedure ensured the government found evidence against the defendant through wholly independent outlets rather than through the defendant's compelled testimony. </w:t>
      </w:r>
    </w:p>
    <w:p w14:paraId="38794BC9" w14:textId="77777777" w:rsidR="00695936" w:rsidRDefault="000C68AE" w:rsidP="00695936">
      <w:pPr>
        <w:spacing w:after="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br/>
      </w:r>
    </w:p>
    <w:p w14:paraId="016C10FE" w14:textId="5EB7948C" w:rsidR="000C68AE" w:rsidRPr="007533AD" w:rsidRDefault="000C68AE" w:rsidP="007533AD">
      <w:pPr>
        <w:pStyle w:val="ListParagraph"/>
        <w:numPr>
          <w:ilvl w:val="0"/>
          <w:numId w:val="11"/>
        </w:numPr>
        <w:spacing w:after="0" w:line="240" w:lineRule="auto"/>
        <w:rPr>
          <w:rFonts w:ascii="Times New Roman" w:eastAsia="Times New Roman" w:hAnsi="Times New Roman" w:cs="Times New Roman"/>
          <w:color w:val="000000"/>
          <w:kern w:val="0"/>
          <w:sz w:val="28"/>
          <w:szCs w:val="28"/>
          <w14:ligatures w14:val="none"/>
        </w:rPr>
      </w:pPr>
      <w:r w:rsidRPr="007533AD">
        <w:rPr>
          <w:rFonts w:ascii="Times New Roman" w:eastAsia="Times New Roman" w:hAnsi="Times New Roman" w:cs="Times New Roman"/>
          <w:color w:val="000000"/>
          <w:kern w:val="0"/>
          <w:sz w:val="28"/>
          <w:szCs w:val="28"/>
          <w14:ligatures w14:val="none"/>
        </w:rPr>
        <w:lastRenderedPageBreak/>
        <w:t>The Government would have found Exhibit 19 lawfully through legitimate sources wholly independent of the defendant's testimony.</w:t>
      </w:r>
    </w:p>
    <w:p w14:paraId="29D49E8A"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5CD2EBCC"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The banking record which lists the defendant as the ultimate beneficial owner of the Cayman Islands Company d/b/a Marsh Holdings Ltd, which is marked as Exhibit 19. This  record would have been discovered inevitably through interviewing Parker and through other investigative leads following phone records. The primary goal of </w:t>
      </w:r>
      <w:r w:rsidRPr="000C68AE">
        <w:rPr>
          <w:rFonts w:ascii="Times New Roman" w:eastAsia="Times New Roman" w:hAnsi="Times New Roman" w:cs="Times New Roman"/>
          <w:i/>
          <w:iCs/>
          <w:color w:val="000000"/>
          <w:kern w:val="0"/>
          <w:sz w:val="28"/>
          <w:szCs w:val="28"/>
          <w14:ligatures w14:val="none"/>
        </w:rPr>
        <w:t>Kastigar</w:t>
      </w:r>
      <w:r w:rsidRPr="000C68AE">
        <w:rPr>
          <w:rFonts w:ascii="Times New Roman" w:eastAsia="Times New Roman" w:hAnsi="Times New Roman" w:cs="Times New Roman"/>
          <w:color w:val="000000"/>
          <w:kern w:val="0"/>
          <w:sz w:val="28"/>
          <w:szCs w:val="28"/>
          <w14:ligatures w14:val="none"/>
        </w:rPr>
        <w:t xml:space="preserve">, in being coextensive with the Fifth Amendment, once again provides that the immunity leaves both parties in substantially the same position as if the witness had claimed the Fifth Amendment privilege. </w:t>
      </w:r>
      <w:r w:rsidRPr="000C68AE">
        <w:rPr>
          <w:rFonts w:ascii="Times New Roman" w:eastAsia="Times New Roman" w:hAnsi="Times New Roman" w:cs="Times New Roman"/>
          <w:i/>
          <w:iCs/>
          <w:color w:val="000000"/>
          <w:kern w:val="0"/>
          <w:sz w:val="28"/>
          <w:szCs w:val="28"/>
          <w14:ligatures w14:val="none"/>
        </w:rPr>
        <w:t>Kastigar v. United States</w:t>
      </w:r>
      <w:r w:rsidRPr="000C68AE">
        <w:rPr>
          <w:rFonts w:ascii="Times New Roman" w:eastAsia="Times New Roman" w:hAnsi="Times New Roman" w:cs="Times New Roman"/>
          <w:color w:val="000000"/>
          <w:kern w:val="0"/>
          <w:sz w:val="28"/>
          <w:szCs w:val="28"/>
          <w14:ligatures w14:val="none"/>
        </w:rPr>
        <w:t xml:space="preserve">, 406 U.S. 441, 462 (1972). Therefore, the Government must utilize evidence that is untainted by the defendant’s testimony, as if the evidence would exist if the defendant stayed silent.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w:t>
      </w:r>
    </w:p>
    <w:p w14:paraId="22ACEA62"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Exhibit 19 was located through Parker who has been on the government's radar to interview since February of 2024. </w:t>
      </w:r>
    </w:p>
    <w:p w14:paraId="5EA877BC" w14:textId="1B92A88F"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Silver Palms Employee Roster, now marked as Exhibit 10, showcases Parker’s name, as she was an employee that worked at Silver Palms who needed to be interviewed after Daniel Blake’s death. During the interview with Parker, she informed the Government about the weeks leading up to Blake's death. Another line of questioning by the Government further disclosed that eight days after Blake was murdered, the defendant asked Parker to go to a storage unit. This admission by Parker led officers directly to the storage unit where the defendant instructed </w:t>
      </w:r>
      <w:r w:rsidRPr="000C68AE">
        <w:rPr>
          <w:rFonts w:ascii="Times New Roman" w:eastAsia="Times New Roman" w:hAnsi="Times New Roman" w:cs="Times New Roman"/>
          <w:color w:val="000000"/>
          <w:kern w:val="0"/>
          <w:sz w:val="28"/>
          <w:szCs w:val="28"/>
          <w14:ligatures w14:val="none"/>
        </w:rPr>
        <w:lastRenderedPageBreak/>
        <w:t>Parker to drop off a box labeled “Coastal.” Upon opening this box, Exhibit 19 was found. Although Exhibit 19 was not discovered until November 5th, 2024, the timing does not imply the government utilized parts of the defendant’s immunized testimony. Rather, the government found Exhibit 19 from protocols they already put into place long before the defendant gave her testimony. These protocols come from February of 2024. Secondly, the government would have located Exhibit 19 through further investigative measures regardless if the defendant testified or not, as they already had a suspicion regarding the defendant’s connection to Coastal. On Coastal’s incorporation paperwork, the phone number listed traced back to a prepaid cell. In the Spring of 2024, months before the defendant’s testimony, a subpoena of the prepaid cell showed over the course of four years there were multiple calls between two people only. These individuals were Donovan and the defendant. These phone calls sparked the Government's interest as it was already able to track down the owners of the other three accounts Emerald was wiring money to, but not Coastal.</w:t>
      </w:r>
    </w:p>
    <w:p w14:paraId="000641BD" w14:textId="77777777" w:rsidR="000C68AE" w:rsidRPr="000C68AE" w:rsidRDefault="000C68AE" w:rsidP="000C68AE">
      <w:pPr>
        <w:numPr>
          <w:ilvl w:val="0"/>
          <w:numId w:val="3"/>
        </w:numPr>
        <w:spacing w:after="0" w:line="240" w:lineRule="auto"/>
        <w:ind w:left="1440"/>
        <w:textAlignment w:val="baseline"/>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The Government received Kennedy Parker’s testimony lawfully through legitimate sources wholly independent of the defendant's testimony.</w:t>
      </w:r>
    </w:p>
    <w:p w14:paraId="0B14AC5B"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3324D77B" w14:textId="77777777" w:rsid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The Government received Parker’s testimony through legitimate sources wholly independent of the defendant’s testimony and can prove this assertion with three different documents. First, the Government produced a roster of all the </w:t>
      </w:r>
      <w:r w:rsidRPr="000C68AE">
        <w:rPr>
          <w:rFonts w:ascii="Times New Roman" w:eastAsia="Times New Roman" w:hAnsi="Times New Roman" w:cs="Times New Roman"/>
          <w:color w:val="000000"/>
          <w:kern w:val="0"/>
          <w:sz w:val="28"/>
          <w:szCs w:val="28"/>
          <w14:ligatures w14:val="none"/>
        </w:rPr>
        <w:lastRenderedPageBreak/>
        <w:t>employees who worked at Silver Palms marked as Exhibit 10 in February of 2024, six months prior to the defendant's testimony. On this roster, Parker was listed by name along with the department she worked in. Due to the frequency of Parker’s shifts at Silver Palms, the Government had already planned on interviewing Parker and obtaining her testimony. Shortly thereafter, as with any investigation, the Government needed to prioritize their resources and could not get through the entirety of the employee list in Exhibit 10 prior to the defendant’s compelled testimony. Secondly, to narrow down the list of potential employees to interview, Bryce Nolan made a priority list of first round interview picks after the wall went up, and before the defendant’s compelled testimony took place. This priority list of ten employees, marked as Exhibit 17, included Kennedy Parker. The third document, the “Calloway Team” to-do list marked as Exhibit 16, was produced by the Government on the week of August 25th, 2024, prior to the defendant's compelled testimony. The to-do list explicitly states to circle back to conducting employee interviews. Parker is one of the employees listed. The Government has now shown that there are three documents that were produced before the defendant’s compelled testimony with clear instructions of interviewing Parker. Therefore, the Government received Kennedy Parker’s testimony lawfully through legitimate sources wholly independent of the defendant's compelled testimony. </w:t>
      </w:r>
    </w:p>
    <w:p w14:paraId="26FC9263" w14:textId="77777777" w:rsidR="00695936" w:rsidRPr="000C68AE" w:rsidRDefault="00695936" w:rsidP="000C68AE">
      <w:pPr>
        <w:spacing w:after="0" w:line="480" w:lineRule="auto"/>
        <w:ind w:firstLine="720"/>
        <w:rPr>
          <w:rFonts w:ascii="Times New Roman" w:eastAsia="Times New Roman" w:hAnsi="Times New Roman" w:cs="Times New Roman"/>
          <w:color w:val="000000"/>
          <w:kern w:val="0"/>
          <w:sz w:val="28"/>
          <w:szCs w:val="28"/>
          <w14:ligatures w14:val="none"/>
        </w:rPr>
      </w:pPr>
    </w:p>
    <w:p w14:paraId="6899A833" w14:textId="06B549F0" w:rsidR="000C68AE" w:rsidRPr="00695936" w:rsidRDefault="000C68AE" w:rsidP="00695936">
      <w:pPr>
        <w:pStyle w:val="ListParagraph"/>
        <w:numPr>
          <w:ilvl w:val="0"/>
          <w:numId w:val="8"/>
        </w:numPr>
        <w:spacing w:after="0" w:line="240" w:lineRule="auto"/>
        <w:rPr>
          <w:rFonts w:ascii="Times New Roman" w:eastAsia="Times New Roman" w:hAnsi="Times New Roman" w:cs="Times New Roman"/>
          <w:color w:val="000000"/>
          <w:kern w:val="0"/>
          <w:sz w:val="28"/>
          <w:szCs w:val="28"/>
          <w14:ligatures w14:val="none"/>
        </w:rPr>
      </w:pPr>
      <w:r w:rsidRPr="00695936">
        <w:rPr>
          <w:rFonts w:ascii="Times New Roman" w:eastAsia="Times New Roman" w:hAnsi="Times New Roman" w:cs="Times New Roman"/>
          <w:color w:val="000000"/>
          <w:kern w:val="0"/>
          <w:sz w:val="28"/>
          <w:szCs w:val="28"/>
          <w14:ligatures w14:val="none"/>
        </w:rPr>
        <w:lastRenderedPageBreak/>
        <w:t>THE COURT SHOULD DENY THE DEFENDANT’S MOTION TO QUASH</w:t>
      </w:r>
      <w:r w:rsidR="00695936" w:rsidRPr="00695936">
        <w:rPr>
          <w:rFonts w:ascii="Times New Roman" w:eastAsia="Times New Roman" w:hAnsi="Times New Roman" w:cs="Times New Roman"/>
          <w:color w:val="000000"/>
          <w:kern w:val="0"/>
          <w:sz w:val="28"/>
          <w:szCs w:val="28"/>
          <w14:ligatures w14:val="none"/>
        </w:rPr>
        <w:t xml:space="preserve"> </w:t>
      </w:r>
      <w:r w:rsidRPr="00695936">
        <w:rPr>
          <w:rFonts w:ascii="Times New Roman" w:eastAsia="Times New Roman" w:hAnsi="Times New Roman" w:cs="Times New Roman"/>
          <w:color w:val="000000"/>
          <w:kern w:val="0"/>
          <w:sz w:val="28"/>
          <w:szCs w:val="28"/>
          <w14:ligatures w14:val="none"/>
        </w:rPr>
        <w:t>UNITED STATES SUBPOENA DUCES TECUM BECAUSE MADDOX</w:t>
      </w:r>
      <w:r w:rsidR="00695936" w:rsidRPr="00695936">
        <w:rPr>
          <w:rFonts w:ascii="Times New Roman" w:eastAsia="Times New Roman" w:hAnsi="Times New Roman" w:cs="Times New Roman"/>
          <w:color w:val="000000"/>
          <w:kern w:val="0"/>
          <w:sz w:val="28"/>
          <w:szCs w:val="28"/>
          <w14:ligatures w14:val="none"/>
        </w:rPr>
        <w:t xml:space="preserve"> </w:t>
      </w:r>
      <w:r w:rsidRPr="00695936">
        <w:rPr>
          <w:rFonts w:ascii="Times New Roman" w:eastAsia="Times New Roman" w:hAnsi="Times New Roman" w:cs="Times New Roman"/>
          <w:color w:val="000000"/>
          <w:kern w:val="0"/>
          <w:sz w:val="28"/>
          <w:szCs w:val="28"/>
          <w14:ligatures w14:val="none"/>
        </w:rPr>
        <w:t>ARMANA’S RECORDS OF SIERRA SETON’S INTERVIEW CONTAINS FACT WORK-PRODUCT THAT MUST BE RELEASED TO THE GOVERNMENT DUE TO SUBSTANTIAL NEED AND UNDUE HARDSHIP.</w:t>
      </w:r>
    </w:p>
    <w:p w14:paraId="69D6895C"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666090A5"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Federal Rule of Criminal Procedure 17(c)(2) provides that a subpoena ordering a witness to produce documents may be quashed if “compliance would be unreasonable or oppressive.” The Supreme Court in </w:t>
      </w:r>
      <w:r w:rsidRPr="000C68AE">
        <w:rPr>
          <w:rFonts w:ascii="Times New Roman" w:eastAsia="Times New Roman" w:hAnsi="Times New Roman" w:cs="Times New Roman"/>
          <w:i/>
          <w:iCs/>
          <w:color w:val="000000"/>
          <w:kern w:val="0"/>
          <w:sz w:val="28"/>
          <w:szCs w:val="28"/>
          <w14:ligatures w14:val="none"/>
        </w:rPr>
        <w:t>United States v. Nixon</w:t>
      </w:r>
      <w:r w:rsidRPr="000C68AE">
        <w:rPr>
          <w:rFonts w:ascii="Times New Roman" w:eastAsia="Times New Roman" w:hAnsi="Times New Roman" w:cs="Times New Roman"/>
          <w:color w:val="000000"/>
          <w:kern w:val="0"/>
          <w:sz w:val="28"/>
          <w:szCs w:val="28"/>
          <w14:ligatures w14:val="none"/>
        </w:rPr>
        <w:t xml:space="preserve"> established the burden the non-moving party must clear in order for a court to find the standard described in Rule 17(c)(2). </w:t>
      </w:r>
      <w:r w:rsidRPr="000C68AE">
        <w:rPr>
          <w:rFonts w:ascii="Times New Roman" w:eastAsia="Times New Roman" w:hAnsi="Times New Roman" w:cs="Times New Roman"/>
          <w:i/>
          <w:iCs/>
          <w:color w:val="000000"/>
          <w:kern w:val="0"/>
          <w:sz w:val="28"/>
          <w:szCs w:val="28"/>
          <w14:ligatures w14:val="none"/>
        </w:rPr>
        <w:t>United States v. Nixon</w:t>
      </w:r>
      <w:r w:rsidRPr="000C68AE">
        <w:rPr>
          <w:rFonts w:ascii="Times New Roman" w:eastAsia="Times New Roman" w:hAnsi="Times New Roman" w:cs="Times New Roman"/>
          <w:color w:val="000000"/>
          <w:kern w:val="0"/>
          <w:sz w:val="28"/>
          <w:szCs w:val="28"/>
          <w14:ligatures w14:val="none"/>
        </w:rPr>
        <w:t xml:space="preserve">, 418 U.S. 683, 700 (1974). The non-moving party must show (1) relevancy, (2) admissibility, and (3) specificity.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w:t>
      </w:r>
    </w:p>
    <w:p w14:paraId="2199FE4F"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Furthermore, materials protected under the attorney work product doctrine are not discoverable and generally cannot be ordered to be produced to the opposing party. Fed. R. Civ. P. 26(b)(3)(A). The Supreme Court clarified in </w:t>
      </w:r>
      <w:r w:rsidRPr="000C68AE">
        <w:rPr>
          <w:rFonts w:ascii="Times New Roman" w:eastAsia="Times New Roman" w:hAnsi="Times New Roman" w:cs="Times New Roman"/>
          <w:i/>
          <w:iCs/>
          <w:color w:val="000000"/>
          <w:kern w:val="0"/>
          <w:sz w:val="28"/>
          <w:szCs w:val="28"/>
          <w14:ligatures w14:val="none"/>
        </w:rPr>
        <w:t>Hickman</w:t>
      </w:r>
      <w:r w:rsidRPr="000C68AE">
        <w:rPr>
          <w:rFonts w:ascii="Times New Roman" w:eastAsia="Times New Roman" w:hAnsi="Times New Roman" w:cs="Times New Roman"/>
          <w:color w:val="000000"/>
          <w:kern w:val="0"/>
          <w:sz w:val="28"/>
          <w:szCs w:val="28"/>
          <w14:ligatures w14:val="none"/>
        </w:rPr>
        <w:t xml:space="preserve"> that work product is material prepared by an attorney or representative in preparation for litigation. </w:t>
      </w:r>
      <w:r w:rsidRPr="000C68AE">
        <w:rPr>
          <w:rFonts w:ascii="Times New Roman" w:eastAsia="Times New Roman" w:hAnsi="Times New Roman" w:cs="Times New Roman"/>
          <w:i/>
          <w:iCs/>
          <w:color w:val="000000"/>
          <w:kern w:val="0"/>
          <w:sz w:val="28"/>
          <w:szCs w:val="28"/>
          <w14:ligatures w14:val="none"/>
        </w:rPr>
        <w:t>Hickman v. Taylor</w:t>
      </w:r>
      <w:r w:rsidRPr="000C68AE">
        <w:rPr>
          <w:rFonts w:ascii="Times New Roman" w:eastAsia="Times New Roman" w:hAnsi="Times New Roman" w:cs="Times New Roman"/>
          <w:color w:val="000000"/>
          <w:kern w:val="0"/>
          <w:sz w:val="28"/>
          <w:szCs w:val="28"/>
          <w14:ligatures w14:val="none"/>
        </w:rPr>
        <w:t xml:space="preserve">, 329 U.S. 495, 508 (1947). Specifically, mental impressions of the case by the adversarial party are afforded absolute protection under the attorney work product doctrine, but fact work product is afforded only qualified protection.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To overcome qualified protection of fact work product, the party seeking the discovery must demonstrate a </w:t>
      </w:r>
      <w:r w:rsidRPr="000C68AE">
        <w:rPr>
          <w:rFonts w:ascii="Times New Roman" w:eastAsia="Times New Roman" w:hAnsi="Times New Roman" w:cs="Times New Roman"/>
          <w:color w:val="000000"/>
          <w:kern w:val="0"/>
          <w:sz w:val="28"/>
          <w:szCs w:val="28"/>
          <w14:ligatures w14:val="none"/>
        </w:rPr>
        <w:lastRenderedPageBreak/>
        <w:t xml:space="preserve">substantial need for the materials and an inability to obtain the substantial equivalent of the materials by other means because of undue hardship.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at 509.</w:t>
      </w:r>
    </w:p>
    <w:p w14:paraId="1C91C534" w14:textId="1F472745" w:rsidR="00695936" w:rsidRPr="00695936" w:rsidRDefault="000C68AE" w:rsidP="00695936">
      <w:pPr>
        <w:pStyle w:val="ListParagraph"/>
        <w:numPr>
          <w:ilvl w:val="0"/>
          <w:numId w:val="10"/>
        </w:numPr>
        <w:spacing w:after="0" w:line="240" w:lineRule="auto"/>
        <w:textAlignment w:val="baseline"/>
        <w:rPr>
          <w:rFonts w:ascii="Times New Roman" w:eastAsia="Times New Roman" w:hAnsi="Times New Roman" w:cs="Times New Roman"/>
          <w:color w:val="000000"/>
          <w:kern w:val="0"/>
          <w:sz w:val="28"/>
          <w:szCs w:val="28"/>
          <w14:ligatures w14:val="none"/>
        </w:rPr>
      </w:pPr>
      <w:r w:rsidRPr="00695936">
        <w:rPr>
          <w:rFonts w:ascii="Times New Roman" w:eastAsia="Times New Roman" w:hAnsi="Times New Roman" w:cs="Times New Roman"/>
          <w:color w:val="000000"/>
          <w:kern w:val="0"/>
          <w:sz w:val="28"/>
          <w:szCs w:val="28"/>
          <w14:ligatures w14:val="none"/>
        </w:rPr>
        <w:t xml:space="preserve">The defense’s compliance with the Government’s subpoena of Maddox </w:t>
      </w:r>
      <w:r w:rsidR="00695936" w:rsidRPr="00695936">
        <w:rPr>
          <w:rFonts w:ascii="Times New Roman" w:eastAsia="Times New Roman" w:hAnsi="Times New Roman" w:cs="Times New Roman"/>
          <w:color w:val="000000"/>
          <w:kern w:val="0"/>
          <w:sz w:val="28"/>
          <w:szCs w:val="28"/>
          <w14:ligatures w14:val="none"/>
        </w:rPr>
        <w:t xml:space="preserve">      </w:t>
      </w:r>
    </w:p>
    <w:p w14:paraId="2C697A34" w14:textId="784DBB78" w:rsidR="000C68AE" w:rsidRDefault="000C68AE" w:rsidP="00695936">
      <w:pPr>
        <w:pStyle w:val="ListParagraph"/>
        <w:spacing w:after="0" w:line="240" w:lineRule="auto"/>
        <w:ind w:left="1080"/>
        <w:textAlignment w:val="baseline"/>
        <w:rPr>
          <w:rFonts w:ascii="Times New Roman" w:eastAsia="Times New Roman" w:hAnsi="Times New Roman" w:cs="Times New Roman"/>
          <w:color w:val="000000"/>
          <w:kern w:val="0"/>
          <w:sz w:val="28"/>
          <w:szCs w:val="28"/>
          <w14:ligatures w14:val="none"/>
        </w:rPr>
      </w:pPr>
      <w:r w:rsidRPr="00695936">
        <w:rPr>
          <w:rFonts w:ascii="Times New Roman" w:eastAsia="Times New Roman" w:hAnsi="Times New Roman" w:cs="Times New Roman"/>
          <w:color w:val="000000"/>
          <w:kern w:val="0"/>
          <w:sz w:val="28"/>
          <w:szCs w:val="28"/>
          <w14:ligatures w14:val="none"/>
        </w:rPr>
        <w:t xml:space="preserve">Armana’s records of Sierra Seton’s interview on February 15, </w:t>
      </w:r>
      <w:r w:rsidR="00695936" w:rsidRPr="00695936">
        <w:rPr>
          <w:rFonts w:ascii="Times New Roman" w:eastAsia="Times New Roman" w:hAnsi="Times New Roman" w:cs="Times New Roman"/>
          <w:color w:val="000000"/>
          <w:kern w:val="0"/>
          <w:sz w:val="28"/>
          <w:szCs w:val="28"/>
          <w14:ligatures w14:val="none"/>
        </w:rPr>
        <w:t>2024,</w:t>
      </w:r>
      <w:r w:rsidRPr="00695936">
        <w:rPr>
          <w:rFonts w:ascii="Times New Roman" w:eastAsia="Times New Roman" w:hAnsi="Times New Roman" w:cs="Times New Roman"/>
          <w:color w:val="000000"/>
          <w:kern w:val="0"/>
          <w:sz w:val="28"/>
          <w:szCs w:val="28"/>
          <w14:ligatures w14:val="none"/>
        </w:rPr>
        <w:t xml:space="preserve"> does not violate work product privilege because the Government can prove that the document contains (1) fact work-product and (2) there is a substantial need for the document and (3) an inability to obtain the substantial equivalent because of undue hardship.</w:t>
      </w:r>
    </w:p>
    <w:p w14:paraId="5BA031E6" w14:textId="77777777" w:rsidR="00695936" w:rsidRPr="00695936" w:rsidRDefault="00695936" w:rsidP="00695936">
      <w:pPr>
        <w:pStyle w:val="ListParagraph"/>
        <w:spacing w:after="0" w:line="240" w:lineRule="auto"/>
        <w:ind w:left="1080"/>
        <w:textAlignment w:val="baseline"/>
        <w:rPr>
          <w:rFonts w:ascii="Times New Roman" w:eastAsia="Times New Roman" w:hAnsi="Times New Roman" w:cs="Times New Roman"/>
          <w:color w:val="000000"/>
          <w:kern w:val="0"/>
          <w:sz w:val="28"/>
          <w:szCs w:val="28"/>
          <w14:ligatures w14:val="none"/>
        </w:rPr>
      </w:pPr>
    </w:p>
    <w:p w14:paraId="41068D9B" w14:textId="3E27928B" w:rsidR="000C68AE" w:rsidRPr="000C68AE" w:rsidRDefault="000C68AE" w:rsidP="00695936">
      <w:pPr>
        <w:numPr>
          <w:ilvl w:val="0"/>
          <w:numId w:val="5"/>
        </w:numPr>
        <w:spacing w:after="0" w:line="480" w:lineRule="auto"/>
        <w:ind w:left="2160"/>
        <w:textAlignment w:val="baseline"/>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Maddox Armana’s records of Sierra Seton’s interview contain fact work product that must be released to the Government with the redaction of mental impressions. </w:t>
      </w:r>
    </w:p>
    <w:p w14:paraId="33733A0B" w14:textId="77777777"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 xml:space="preserve">In </w:t>
      </w:r>
      <w:r w:rsidRPr="000C68AE">
        <w:rPr>
          <w:rFonts w:ascii="Times New Roman" w:eastAsia="Times New Roman" w:hAnsi="Times New Roman" w:cs="Times New Roman"/>
          <w:i/>
          <w:iCs/>
          <w:color w:val="000000"/>
          <w:kern w:val="0"/>
          <w:sz w:val="28"/>
          <w:szCs w:val="28"/>
          <w14:ligatures w14:val="none"/>
        </w:rPr>
        <w:t>Hickman</w:t>
      </w:r>
      <w:r w:rsidRPr="000C68AE">
        <w:rPr>
          <w:rFonts w:ascii="Times New Roman" w:eastAsia="Times New Roman" w:hAnsi="Times New Roman" w:cs="Times New Roman"/>
          <w:color w:val="000000"/>
          <w:kern w:val="0"/>
          <w:sz w:val="28"/>
          <w:szCs w:val="28"/>
          <w14:ligatures w14:val="none"/>
        </w:rPr>
        <w:t xml:space="preserve">, the Supreme Court asserted that work product is the material prepared by an attorney or representative in preparation for litigation and is generally not discoverable. </w:t>
      </w:r>
      <w:r w:rsidRPr="000C68AE">
        <w:rPr>
          <w:rFonts w:ascii="Times New Roman" w:eastAsia="Times New Roman" w:hAnsi="Times New Roman" w:cs="Times New Roman"/>
          <w:i/>
          <w:iCs/>
          <w:color w:val="000000"/>
          <w:kern w:val="0"/>
          <w:sz w:val="28"/>
          <w:szCs w:val="28"/>
          <w14:ligatures w14:val="none"/>
        </w:rPr>
        <w:t>Hickman v. Taylor</w:t>
      </w:r>
      <w:r w:rsidRPr="000C68AE">
        <w:rPr>
          <w:rFonts w:ascii="Times New Roman" w:eastAsia="Times New Roman" w:hAnsi="Times New Roman" w:cs="Times New Roman"/>
          <w:color w:val="000000"/>
          <w:kern w:val="0"/>
          <w:sz w:val="28"/>
          <w:szCs w:val="28"/>
          <w14:ligatures w14:val="none"/>
        </w:rPr>
        <w:t xml:space="preserve">, 329 U.S. 495, 508 (1947). Maddox Armana was retained by the defense after Donovan was charged in anticipation of the Government charging the defendant next. Armana Dep. 43:29-38. Although Armana’s interview is therefore considered work product, the Government has a right to the portions of the record that disclose all relevant facts. In order to reduce the possibility of surprise, “mutual knowledge of all relevant facts gathered by both parties is essential to proper litigation.”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at 507. </w:t>
      </w:r>
    </w:p>
    <w:p w14:paraId="66867D74"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Armana specifically states that the body of the document prepared during her interview with Seton is “the factual account as Sierra gave it to me.” Armana Dep. 46:140. Armana distinguishes these notes from “the text in red . . . where you </w:t>
      </w:r>
      <w:r w:rsidRPr="000C68AE">
        <w:rPr>
          <w:rFonts w:ascii="Times New Roman" w:eastAsia="Times New Roman" w:hAnsi="Times New Roman" w:cs="Times New Roman"/>
          <w:color w:val="000000"/>
          <w:kern w:val="0"/>
          <w:sz w:val="28"/>
          <w:szCs w:val="28"/>
          <w14:ligatures w14:val="none"/>
        </w:rPr>
        <w:lastRenderedPageBreak/>
        <w:t xml:space="preserve">can see my own thoughts.” Armana Dep. 46:141. From Armana’s own admission, the body of the document is solely Seton’s factual account and is therefore considered fact work product. In </w:t>
      </w:r>
      <w:r w:rsidRPr="000C68AE">
        <w:rPr>
          <w:rFonts w:ascii="Times New Roman" w:eastAsia="Times New Roman" w:hAnsi="Times New Roman" w:cs="Times New Roman"/>
          <w:i/>
          <w:iCs/>
          <w:color w:val="000000"/>
          <w:kern w:val="0"/>
          <w:sz w:val="28"/>
          <w:szCs w:val="28"/>
          <w14:ligatures w14:val="none"/>
        </w:rPr>
        <w:t>Nobles</w:t>
      </w:r>
      <w:r w:rsidRPr="000C68AE">
        <w:rPr>
          <w:rFonts w:ascii="Times New Roman" w:eastAsia="Times New Roman" w:hAnsi="Times New Roman" w:cs="Times New Roman"/>
          <w:color w:val="000000"/>
          <w:kern w:val="0"/>
          <w:sz w:val="28"/>
          <w:szCs w:val="28"/>
          <w14:ligatures w14:val="none"/>
        </w:rPr>
        <w:t xml:space="preserve">, the court extended the work product doctrine expressed in the Federal Rules of Civil Procedure to all criminal cases. </w:t>
      </w:r>
      <w:r w:rsidRPr="000C68AE">
        <w:rPr>
          <w:rFonts w:ascii="Times New Roman" w:eastAsia="Times New Roman" w:hAnsi="Times New Roman" w:cs="Times New Roman"/>
          <w:i/>
          <w:iCs/>
          <w:color w:val="000000"/>
          <w:kern w:val="0"/>
          <w:sz w:val="28"/>
          <w:szCs w:val="28"/>
          <w14:ligatures w14:val="none"/>
        </w:rPr>
        <w:t>United States v. Nobles</w:t>
      </w:r>
      <w:r w:rsidRPr="000C68AE">
        <w:rPr>
          <w:rFonts w:ascii="Times New Roman" w:eastAsia="Times New Roman" w:hAnsi="Times New Roman" w:cs="Times New Roman"/>
          <w:color w:val="000000"/>
          <w:kern w:val="0"/>
          <w:sz w:val="28"/>
          <w:szCs w:val="28"/>
          <w14:ligatures w14:val="none"/>
        </w:rPr>
        <w:t>, 422 U.S. 225 (1975). The Federal Rules of Civil Procedure explicitly state that “if the court orders discovery . . . , it must protect against disclosure of the mental impressions, conclusions, opinions, or legal theories of a party’s attorney or other representative concerning the litigation.” Fed. R. Civ. P. 26(b)(3)(B). Therefore, the rules themselves describe the court's requirement to redact opinion work product from fact work product before the discovery is turned over to the opposing party. In this case, the court must redact Armana’s mental impressions written in red, but order the release of the fact work product described in the body of the document.</w:t>
      </w:r>
    </w:p>
    <w:p w14:paraId="010189A4" w14:textId="200BCCF9" w:rsidR="000C68AE" w:rsidRPr="00695936" w:rsidRDefault="00695936" w:rsidP="00695936">
      <w:pPr>
        <w:pStyle w:val="ListParagraph"/>
        <w:numPr>
          <w:ilvl w:val="0"/>
          <w:numId w:val="5"/>
        </w:numPr>
        <w:spacing w:after="0" w:line="480" w:lineRule="auto"/>
        <w:textAlignment w:val="baseline"/>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T</w:t>
      </w:r>
      <w:r w:rsidR="000C68AE" w:rsidRPr="00695936">
        <w:rPr>
          <w:rFonts w:ascii="Times New Roman" w:eastAsia="Times New Roman" w:hAnsi="Times New Roman" w:cs="Times New Roman"/>
          <w:color w:val="000000"/>
          <w:kern w:val="0"/>
          <w:sz w:val="28"/>
          <w:szCs w:val="28"/>
          <w14:ligatures w14:val="none"/>
        </w:rPr>
        <w:t>he Government can prove substantial need for Maddox Armana’s records of Sierra Seton’s interview because the records contain relevant facts as to each of the defendant’s charges leading to the discovery of more relevant evidence.</w:t>
      </w:r>
    </w:p>
    <w:p w14:paraId="330A0DA1" w14:textId="77777777"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 xml:space="preserve">The Government can prove substantial need for Seton’s factual account to overcome work product privilege. Substantial need can generally be met if the moving party demonstrates that “the materials are relevant to the case, the </w:t>
      </w:r>
      <w:r w:rsidRPr="000C68AE">
        <w:rPr>
          <w:rFonts w:ascii="Times New Roman" w:eastAsia="Times New Roman" w:hAnsi="Times New Roman" w:cs="Times New Roman"/>
          <w:color w:val="000000"/>
          <w:kern w:val="0"/>
          <w:sz w:val="28"/>
          <w:szCs w:val="28"/>
          <w14:ligatures w14:val="none"/>
        </w:rPr>
        <w:lastRenderedPageBreak/>
        <w:t xml:space="preserve">materials have a unique value apart from those already in the movant’s possession, and special circumstances excuse the movant’s failure to obtain the requested materials itself.” </w:t>
      </w:r>
      <w:r w:rsidRPr="000C68AE">
        <w:rPr>
          <w:rFonts w:ascii="Times New Roman" w:eastAsia="Times New Roman" w:hAnsi="Times New Roman" w:cs="Times New Roman"/>
          <w:i/>
          <w:iCs/>
          <w:color w:val="000000"/>
          <w:kern w:val="0"/>
          <w:sz w:val="28"/>
          <w:szCs w:val="28"/>
          <w14:ligatures w14:val="none"/>
        </w:rPr>
        <w:t>FTC v. Boehringer Ingelheim Pharms., Inc.</w:t>
      </w:r>
      <w:r w:rsidRPr="000C68AE">
        <w:rPr>
          <w:rFonts w:ascii="Times New Roman" w:eastAsia="Times New Roman" w:hAnsi="Times New Roman" w:cs="Times New Roman"/>
          <w:color w:val="000000"/>
          <w:kern w:val="0"/>
          <w:sz w:val="28"/>
          <w:szCs w:val="28"/>
          <w14:ligatures w14:val="none"/>
        </w:rPr>
        <w:t>, 778 F.3d 142, 155 (D.C. Cir. 2015).</w:t>
      </w:r>
    </w:p>
    <w:p w14:paraId="23B9A40C"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In </w:t>
      </w:r>
      <w:r w:rsidRPr="000C68AE">
        <w:rPr>
          <w:rFonts w:ascii="Times New Roman" w:eastAsia="Times New Roman" w:hAnsi="Times New Roman" w:cs="Times New Roman"/>
          <w:i/>
          <w:iCs/>
          <w:color w:val="000000"/>
          <w:kern w:val="0"/>
          <w:sz w:val="28"/>
          <w:szCs w:val="28"/>
          <w14:ligatures w14:val="none"/>
        </w:rPr>
        <w:t>Nixon</w:t>
      </w:r>
      <w:r w:rsidRPr="000C68AE">
        <w:rPr>
          <w:rFonts w:ascii="Times New Roman" w:eastAsia="Times New Roman" w:hAnsi="Times New Roman" w:cs="Times New Roman"/>
          <w:color w:val="000000"/>
          <w:kern w:val="0"/>
          <w:sz w:val="28"/>
          <w:szCs w:val="28"/>
          <w14:ligatures w14:val="none"/>
        </w:rPr>
        <w:t xml:space="preserve">, the special prosecutor was allowed to obtain the president’s audio tapes because the special prosecutor showed that there was “a sufficient likelihood that each of the tapes contain[ed] conversations relevant to the offenses charged in the indictment.” </w:t>
      </w:r>
      <w:r w:rsidRPr="000C68AE">
        <w:rPr>
          <w:rFonts w:ascii="Times New Roman" w:eastAsia="Times New Roman" w:hAnsi="Times New Roman" w:cs="Times New Roman"/>
          <w:i/>
          <w:iCs/>
          <w:color w:val="000000"/>
          <w:kern w:val="0"/>
          <w:sz w:val="28"/>
          <w:szCs w:val="28"/>
          <w14:ligatures w14:val="none"/>
        </w:rPr>
        <w:t>United States v. Nixon</w:t>
      </w:r>
      <w:r w:rsidRPr="000C68AE">
        <w:rPr>
          <w:rFonts w:ascii="Times New Roman" w:eastAsia="Times New Roman" w:hAnsi="Times New Roman" w:cs="Times New Roman"/>
          <w:color w:val="000000"/>
          <w:kern w:val="0"/>
          <w:sz w:val="28"/>
          <w:szCs w:val="28"/>
          <w14:ligatures w14:val="none"/>
        </w:rPr>
        <w:t xml:space="preserve">, 418 U.S. 683, 700 (1974). Like the special prosecutor in </w:t>
      </w:r>
      <w:r w:rsidRPr="000C68AE">
        <w:rPr>
          <w:rFonts w:ascii="Times New Roman" w:eastAsia="Times New Roman" w:hAnsi="Times New Roman" w:cs="Times New Roman"/>
          <w:i/>
          <w:iCs/>
          <w:color w:val="000000"/>
          <w:kern w:val="0"/>
          <w:sz w:val="28"/>
          <w:szCs w:val="28"/>
          <w14:ligatures w14:val="none"/>
        </w:rPr>
        <w:t>Nixon</w:t>
      </w:r>
      <w:r w:rsidRPr="000C68AE">
        <w:rPr>
          <w:rFonts w:ascii="Times New Roman" w:eastAsia="Times New Roman" w:hAnsi="Times New Roman" w:cs="Times New Roman"/>
          <w:color w:val="000000"/>
          <w:kern w:val="0"/>
          <w:sz w:val="28"/>
          <w:szCs w:val="28"/>
          <w14:ligatures w14:val="none"/>
        </w:rPr>
        <w:t>, the Government can prove in the defendant’s case that the information provided to Armana in Seton’s interview is relevant to both of the defendant’s offenses charged in her indictment. These relevant facts obtained from Seton tie directly to the Government’s case against the defendant for money laundering and killing of a witness. </w:t>
      </w:r>
    </w:p>
    <w:p w14:paraId="23D71513"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Furthermore, </w:t>
      </w:r>
      <w:r w:rsidRPr="000C68AE">
        <w:rPr>
          <w:rFonts w:ascii="Times New Roman" w:eastAsia="Times New Roman" w:hAnsi="Times New Roman" w:cs="Times New Roman"/>
          <w:i/>
          <w:iCs/>
          <w:color w:val="000000"/>
          <w:kern w:val="0"/>
          <w:sz w:val="28"/>
          <w:szCs w:val="28"/>
          <w14:ligatures w14:val="none"/>
        </w:rPr>
        <w:t xml:space="preserve">Hickman </w:t>
      </w:r>
      <w:r w:rsidRPr="000C68AE">
        <w:rPr>
          <w:rFonts w:ascii="Times New Roman" w:eastAsia="Times New Roman" w:hAnsi="Times New Roman" w:cs="Times New Roman"/>
          <w:color w:val="000000"/>
          <w:kern w:val="0"/>
          <w:sz w:val="28"/>
          <w:szCs w:val="28"/>
          <w14:ligatures w14:val="none"/>
        </w:rPr>
        <w:t>asserts that fact work product that is unavailable elsewhere may be discovered if it could “give clues as to the existence or location of relevant facts.”</w:t>
      </w:r>
      <w:r w:rsidRPr="000C68AE">
        <w:rPr>
          <w:rFonts w:ascii="Times New Roman" w:eastAsia="Times New Roman" w:hAnsi="Times New Roman" w:cs="Times New Roman"/>
          <w:i/>
          <w:iCs/>
          <w:color w:val="000000"/>
          <w:kern w:val="0"/>
          <w:sz w:val="28"/>
          <w:szCs w:val="28"/>
          <w14:ligatures w14:val="none"/>
        </w:rPr>
        <w:t xml:space="preserve"> Hickman</w:t>
      </w:r>
      <w:r w:rsidRPr="000C68AE">
        <w:rPr>
          <w:rFonts w:ascii="Times New Roman" w:eastAsia="Times New Roman" w:hAnsi="Times New Roman" w:cs="Times New Roman"/>
          <w:color w:val="000000"/>
          <w:kern w:val="0"/>
          <w:sz w:val="28"/>
          <w:szCs w:val="28"/>
          <w14:ligatures w14:val="none"/>
        </w:rPr>
        <w:t>, 329 U.S. at 511. Seton was rare because she was one of the only people that worked on the inside of Coastal and knew how it operated. Armana Dep. 44:60-65. Seton had information regarding Coastal’s records that ultimately prove the defendant’s association with the business. </w:t>
      </w:r>
    </w:p>
    <w:p w14:paraId="598BF118" w14:textId="7F305453" w:rsidR="000C68AE" w:rsidRPr="00695936" w:rsidRDefault="000C68AE" w:rsidP="00695936">
      <w:pPr>
        <w:pStyle w:val="ListParagraph"/>
        <w:numPr>
          <w:ilvl w:val="0"/>
          <w:numId w:val="5"/>
        </w:numPr>
        <w:spacing w:after="0" w:line="480" w:lineRule="auto"/>
        <w:textAlignment w:val="baseline"/>
        <w:rPr>
          <w:rFonts w:ascii="Times New Roman" w:eastAsia="Times New Roman" w:hAnsi="Times New Roman" w:cs="Times New Roman"/>
          <w:color w:val="000000"/>
          <w:kern w:val="0"/>
          <w:sz w:val="28"/>
          <w:szCs w:val="28"/>
          <w14:ligatures w14:val="none"/>
        </w:rPr>
      </w:pPr>
      <w:r w:rsidRPr="00695936">
        <w:rPr>
          <w:rFonts w:ascii="Times New Roman" w:eastAsia="Times New Roman" w:hAnsi="Times New Roman" w:cs="Times New Roman"/>
          <w:color w:val="000000"/>
          <w:kern w:val="0"/>
          <w:sz w:val="28"/>
          <w:szCs w:val="28"/>
          <w14:ligatures w14:val="none"/>
        </w:rPr>
        <w:lastRenderedPageBreak/>
        <w:t>The Government can prove undue hardship in obtaining the relevant facts contained in Maddox Armana’s interview with Sierra Seton because her geographic location is beyond the court’s subpoena power.</w:t>
      </w:r>
    </w:p>
    <w:p w14:paraId="68ACFA20" w14:textId="77777777"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 xml:space="preserve">The work product doctrine was established in order to promote justice and to protect clients’ interests. </w:t>
      </w:r>
      <w:r w:rsidRPr="000C68AE">
        <w:rPr>
          <w:rFonts w:ascii="Times New Roman" w:eastAsia="Times New Roman" w:hAnsi="Times New Roman" w:cs="Times New Roman"/>
          <w:i/>
          <w:iCs/>
          <w:color w:val="000000"/>
          <w:kern w:val="0"/>
          <w:sz w:val="28"/>
          <w:szCs w:val="28"/>
          <w14:ligatures w14:val="none"/>
        </w:rPr>
        <w:t>Hickman</w:t>
      </w:r>
      <w:r w:rsidRPr="000C68AE">
        <w:rPr>
          <w:rFonts w:ascii="Times New Roman" w:eastAsia="Times New Roman" w:hAnsi="Times New Roman" w:cs="Times New Roman"/>
          <w:color w:val="000000"/>
          <w:kern w:val="0"/>
          <w:sz w:val="28"/>
          <w:szCs w:val="28"/>
          <w14:ligatures w14:val="none"/>
        </w:rPr>
        <w:t xml:space="preserve">, 329 U.S. at 511. However, relevant and nonprivileged facts may be required to be produced to the adversarial party when there has been a demonstration that the denial of production would cause hardship or injustice.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at 509. The required showing of undue hardship is in “extreme circumstances such as unavailability due to death, brain injury or where a witness’s geographic location is beyond the court’s subpoena power.” </w:t>
      </w:r>
      <w:r w:rsidRPr="000C68AE">
        <w:rPr>
          <w:rFonts w:ascii="Times New Roman" w:eastAsia="Times New Roman" w:hAnsi="Times New Roman" w:cs="Times New Roman"/>
          <w:i/>
          <w:iCs/>
          <w:color w:val="000000"/>
          <w:kern w:val="0"/>
          <w:sz w:val="28"/>
          <w:szCs w:val="28"/>
          <w14:ligatures w14:val="none"/>
        </w:rPr>
        <w:t>U.S. Equal Emp. Opportunity Comm’n v. George Washington Univ.</w:t>
      </w:r>
      <w:r w:rsidRPr="000C68AE">
        <w:rPr>
          <w:rFonts w:ascii="Times New Roman" w:eastAsia="Times New Roman" w:hAnsi="Times New Roman" w:cs="Times New Roman"/>
          <w:color w:val="000000"/>
          <w:kern w:val="0"/>
          <w:sz w:val="28"/>
          <w:szCs w:val="28"/>
          <w14:ligatures w14:val="none"/>
        </w:rPr>
        <w:t>, 342 F.R.D. 161, 184 (D.D.C. 2022).</w:t>
      </w:r>
    </w:p>
    <w:p w14:paraId="4F047C09" w14:textId="77777777" w:rsidR="000C68AE" w:rsidRPr="000C68AE" w:rsidRDefault="000C68AE" w:rsidP="000C68AE">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Seton’s geographic location is beyond the Court’s subpoena power which shows undue hardship on the Government to obtain relevant facts related to the defendant’s case. In </w:t>
      </w:r>
      <w:r w:rsidRPr="000C68AE">
        <w:rPr>
          <w:rFonts w:ascii="Times New Roman" w:eastAsia="Times New Roman" w:hAnsi="Times New Roman" w:cs="Times New Roman"/>
          <w:i/>
          <w:iCs/>
          <w:color w:val="000000"/>
          <w:kern w:val="0"/>
          <w:sz w:val="28"/>
          <w:szCs w:val="28"/>
          <w14:ligatures w14:val="none"/>
        </w:rPr>
        <w:t>U.S. v. ISS Services, Inc.</w:t>
      </w:r>
      <w:r w:rsidRPr="000C68AE">
        <w:rPr>
          <w:rFonts w:ascii="Times New Roman" w:eastAsia="Times New Roman" w:hAnsi="Times New Roman" w:cs="Times New Roman"/>
          <w:color w:val="000000"/>
          <w:kern w:val="0"/>
          <w:sz w:val="28"/>
          <w:szCs w:val="28"/>
          <w14:ligatures w14:val="none"/>
        </w:rPr>
        <w:t xml:space="preserve">, the United States government petitioned to enforce a subpoena requiring a United Kingdom shipping firm to release an internal audit report. </w:t>
      </w:r>
      <w:r w:rsidRPr="000C68AE">
        <w:rPr>
          <w:rFonts w:ascii="Times New Roman" w:eastAsia="Times New Roman" w:hAnsi="Times New Roman" w:cs="Times New Roman"/>
          <w:i/>
          <w:iCs/>
          <w:color w:val="000000"/>
          <w:kern w:val="0"/>
          <w:sz w:val="28"/>
          <w:szCs w:val="28"/>
          <w14:ligatures w14:val="none"/>
        </w:rPr>
        <w:t>U.S. v. ISS Services, Inc.</w:t>
      </w:r>
      <w:r w:rsidRPr="000C68AE">
        <w:rPr>
          <w:rFonts w:ascii="Times New Roman" w:eastAsia="Times New Roman" w:hAnsi="Times New Roman" w:cs="Times New Roman"/>
          <w:color w:val="000000"/>
          <w:kern w:val="0"/>
          <w:sz w:val="28"/>
          <w:szCs w:val="28"/>
          <w14:ligatures w14:val="none"/>
        </w:rPr>
        <w:t xml:space="preserve">, 905 F. Supp. 2d 124 (D.D.C. 2012). The United Kingdom company refused to release the report to the United States’ government, claiming the report was protected by the work-product doctrine.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at 126. The court found unequivocal undue hardship because “it is </w:t>
      </w:r>
      <w:r w:rsidRPr="000C68AE">
        <w:rPr>
          <w:rFonts w:ascii="Times New Roman" w:eastAsia="Times New Roman" w:hAnsi="Times New Roman" w:cs="Times New Roman"/>
          <w:color w:val="000000"/>
          <w:kern w:val="0"/>
          <w:sz w:val="28"/>
          <w:szCs w:val="28"/>
          <w14:ligatures w14:val="none"/>
        </w:rPr>
        <w:lastRenderedPageBreak/>
        <w:t xml:space="preserve">unclear that the Government would have </w:t>
      </w:r>
      <w:r w:rsidRPr="000C68AE">
        <w:rPr>
          <w:rFonts w:ascii="Times New Roman" w:eastAsia="Times New Roman" w:hAnsi="Times New Roman" w:cs="Times New Roman"/>
          <w:i/>
          <w:iCs/>
          <w:color w:val="000000"/>
          <w:kern w:val="0"/>
          <w:sz w:val="28"/>
          <w:szCs w:val="28"/>
          <w14:ligatures w14:val="none"/>
        </w:rPr>
        <w:t xml:space="preserve">any </w:t>
      </w:r>
      <w:r w:rsidRPr="000C68AE">
        <w:rPr>
          <w:rFonts w:ascii="Times New Roman" w:eastAsia="Times New Roman" w:hAnsi="Times New Roman" w:cs="Times New Roman"/>
          <w:color w:val="000000"/>
          <w:kern w:val="0"/>
          <w:sz w:val="28"/>
          <w:szCs w:val="28"/>
          <w14:ligatures w14:val="none"/>
        </w:rPr>
        <w:t xml:space="preserve">means to procure equivalent information, let alone be able to do so without undue hardship.” </w:t>
      </w:r>
      <w:r w:rsidRPr="000C68AE">
        <w:rPr>
          <w:rFonts w:ascii="Times New Roman" w:eastAsia="Times New Roman" w:hAnsi="Times New Roman" w:cs="Times New Roman"/>
          <w:i/>
          <w:iCs/>
          <w:color w:val="000000"/>
          <w:kern w:val="0"/>
          <w:sz w:val="28"/>
          <w:szCs w:val="28"/>
          <w14:ligatures w14:val="none"/>
        </w:rPr>
        <w:t>Id.</w:t>
      </w:r>
      <w:r w:rsidRPr="000C68AE">
        <w:rPr>
          <w:rFonts w:ascii="Times New Roman" w:eastAsia="Times New Roman" w:hAnsi="Times New Roman" w:cs="Times New Roman"/>
          <w:color w:val="000000"/>
          <w:kern w:val="0"/>
          <w:sz w:val="28"/>
          <w:szCs w:val="28"/>
          <w14:ligatures w14:val="none"/>
        </w:rPr>
        <w:t xml:space="preserve"> at 139.</w:t>
      </w:r>
    </w:p>
    <w:p w14:paraId="68196FA3" w14:textId="7C1FE6CA" w:rsidR="000C68AE" w:rsidRPr="000C68AE" w:rsidRDefault="000C68AE" w:rsidP="00695936">
      <w:pPr>
        <w:spacing w:after="0" w:line="480" w:lineRule="auto"/>
        <w:ind w:firstLine="720"/>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xml:space="preserve">Like </w:t>
      </w:r>
      <w:r w:rsidRPr="000C68AE">
        <w:rPr>
          <w:rFonts w:ascii="Times New Roman" w:eastAsia="Times New Roman" w:hAnsi="Times New Roman" w:cs="Times New Roman"/>
          <w:i/>
          <w:iCs/>
          <w:color w:val="000000"/>
          <w:kern w:val="0"/>
          <w:sz w:val="28"/>
          <w:szCs w:val="28"/>
          <w14:ligatures w14:val="none"/>
        </w:rPr>
        <w:t>U.S. v. ISS Services, Inc.</w:t>
      </w:r>
      <w:r w:rsidRPr="000C68AE">
        <w:rPr>
          <w:rFonts w:ascii="Times New Roman" w:eastAsia="Times New Roman" w:hAnsi="Times New Roman" w:cs="Times New Roman"/>
          <w:color w:val="000000"/>
          <w:kern w:val="0"/>
          <w:sz w:val="28"/>
          <w:szCs w:val="28"/>
          <w14:ligatures w14:val="none"/>
        </w:rPr>
        <w:t>, the Government has no means to receive relevant information about the case from Seton. Armana stated that after interviewing Seton in February 2024, Seton left the country with another Coastal employee, Ky Chandler. Armana Dep. 46:146-148. Both individuals were last placed off the coast of Spain and haven’t “surfaced since.” Armana Dep. 46:148-149. If the Government were to subpoena Seton, her geographic location would be beyond the Court’s subpoena power. Furthermore, Armana believed that she would “only get one shot” at speaking with Seton because “that’s how it goes with a reluctant witness.” Armana Dep. 45:92-95. Armana’s interview with Seton was not recorded. The Government has no reasonable means to compel Seton to provide information concerning the defendant’s involvement with Coastal besides the factual account already given to Armana. </w:t>
      </w:r>
    </w:p>
    <w:p w14:paraId="32DCA54B" w14:textId="77777777" w:rsidR="000C68AE" w:rsidRPr="000C68AE" w:rsidRDefault="000C68AE" w:rsidP="000C68AE">
      <w:pPr>
        <w:spacing w:after="0" w:line="240" w:lineRule="auto"/>
        <w:jc w:val="center"/>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u w:val="single"/>
          <w14:ligatures w14:val="none"/>
        </w:rPr>
        <w:t>CONCLUSION</w:t>
      </w:r>
    </w:p>
    <w:p w14:paraId="55BE095C" w14:textId="77777777"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7679E376" w14:textId="77777777"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The defense’s Motion to Suppress Evidence Obtained in Violation of Court Order and Motion to Quash United States Subpoena Duces Tecum should be denied because the Government has met its respective burdens.</w:t>
      </w:r>
    </w:p>
    <w:p w14:paraId="3D182C4A" w14:textId="77777777"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 xml:space="preserve">The Government has affirmatively proven by a preponderance of the evidence under </w:t>
      </w:r>
      <w:r w:rsidRPr="000C68AE">
        <w:rPr>
          <w:rFonts w:ascii="Times New Roman" w:eastAsia="Times New Roman" w:hAnsi="Times New Roman" w:cs="Times New Roman"/>
          <w:i/>
          <w:iCs/>
          <w:color w:val="000000"/>
          <w:kern w:val="0"/>
          <w:sz w:val="28"/>
          <w:szCs w:val="28"/>
          <w14:ligatures w14:val="none"/>
        </w:rPr>
        <w:t>Kastigar</w:t>
      </w:r>
      <w:r w:rsidRPr="000C68AE">
        <w:rPr>
          <w:rFonts w:ascii="Times New Roman" w:eastAsia="Times New Roman" w:hAnsi="Times New Roman" w:cs="Times New Roman"/>
          <w:color w:val="000000"/>
          <w:kern w:val="0"/>
          <w:sz w:val="28"/>
          <w:szCs w:val="28"/>
          <w14:ligatures w14:val="none"/>
        </w:rPr>
        <w:t xml:space="preserve">, that its evidence was derived from a legitimate source </w:t>
      </w:r>
      <w:r w:rsidRPr="000C68AE">
        <w:rPr>
          <w:rFonts w:ascii="Times New Roman" w:eastAsia="Times New Roman" w:hAnsi="Times New Roman" w:cs="Times New Roman"/>
          <w:color w:val="000000"/>
          <w:kern w:val="0"/>
          <w:sz w:val="28"/>
          <w:szCs w:val="28"/>
          <w14:ligatures w14:val="none"/>
        </w:rPr>
        <w:lastRenderedPageBreak/>
        <w:t xml:space="preserve">wholly independent of the defendant’s compelled testimony. The walled off procedure put into place by the Government ensured that the defendant’s team was excluded from knowing anything derived from the defendant's compelled testimony. The Government relied strictly on its documentation process to prove under </w:t>
      </w:r>
      <w:r w:rsidRPr="000C68AE">
        <w:rPr>
          <w:rFonts w:ascii="Times New Roman" w:eastAsia="Times New Roman" w:hAnsi="Times New Roman" w:cs="Times New Roman"/>
          <w:i/>
          <w:iCs/>
          <w:color w:val="000000"/>
          <w:kern w:val="0"/>
          <w:sz w:val="28"/>
          <w:szCs w:val="28"/>
          <w14:ligatures w14:val="none"/>
        </w:rPr>
        <w:t>Katsigar</w:t>
      </w:r>
      <w:r w:rsidRPr="000C68AE">
        <w:rPr>
          <w:rFonts w:ascii="Times New Roman" w:eastAsia="Times New Roman" w:hAnsi="Times New Roman" w:cs="Times New Roman"/>
          <w:color w:val="000000"/>
          <w:kern w:val="0"/>
          <w:sz w:val="28"/>
          <w:szCs w:val="28"/>
          <w14:ligatures w14:val="none"/>
        </w:rPr>
        <w:t>, that the banking records marked as Exhibit 19, and Parker’s testimony would have always been discovered through other investigative means. Therefore, Exhibit 19 and Parker’s testimony must be admitted into evidence.</w:t>
      </w:r>
    </w:p>
    <w:p w14:paraId="6367E77A" w14:textId="0FC344A0"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 xml:space="preserve">The Government has also proven that Armana’s records from her interview with Seton on February 15, </w:t>
      </w:r>
      <w:r w:rsidR="00695936" w:rsidRPr="000C68AE">
        <w:rPr>
          <w:rFonts w:ascii="Times New Roman" w:eastAsia="Times New Roman" w:hAnsi="Times New Roman" w:cs="Times New Roman"/>
          <w:color w:val="000000"/>
          <w:kern w:val="0"/>
          <w:sz w:val="28"/>
          <w:szCs w:val="28"/>
          <w14:ligatures w14:val="none"/>
        </w:rPr>
        <w:t>2024,</w:t>
      </w:r>
      <w:r w:rsidRPr="000C68AE">
        <w:rPr>
          <w:rFonts w:ascii="Times New Roman" w:eastAsia="Times New Roman" w:hAnsi="Times New Roman" w:cs="Times New Roman"/>
          <w:color w:val="000000"/>
          <w:kern w:val="0"/>
          <w:sz w:val="28"/>
          <w:szCs w:val="28"/>
          <w14:ligatures w14:val="none"/>
        </w:rPr>
        <w:t xml:space="preserve"> contain fact work product that must be released due to substantial need and undue hardship. Armana admits to her records from her interview with Seton containing transcribed specific factual information relayed by Seton regarding how Coastal worked and who ran it. This transcription is considered fact work product and must be released to the Government because it contains relevant facts concerning both of the defendant’s charges. Furthermore, Seton is no longer living in the United States so the Government is under undue hardship in obtaining the relevant facts contained in Armana’s interview because Seton’s geographic location is beyond the court’s subpoena power.</w:t>
      </w:r>
    </w:p>
    <w:p w14:paraId="24280FEF" w14:textId="77777777" w:rsidR="000C68AE" w:rsidRPr="000C68AE" w:rsidRDefault="000C68AE" w:rsidP="000C68AE">
      <w:pPr>
        <w:spacing w:after="0" w:line="48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t>WHEREFORE, the Government respectfully requests this Court denies both motions presented by the defendant. </w:t>
      </w:r>
    </w:p>
    <w:p w14:paraId="2FF80AC8" w14:textId="77777777" w:rsid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p>
    <w:p w14:paraId="308378C8" w14:textId="77777777" w:rsidR="00695936" w:rsidRPr="000C68AE" w:rsidRDefault="00695936" w:rsidP="000C68AE">
      <w:pPr>
        <w:spacing w:after="0" w:line="240" w:lineRule="auto"/>
        <w:rPr>
          <w:rFonts w:ascii="Times New Roman" w:eastAsia="Times New Roman" w:hAnsi="Times New Roman" w:cs="Times New Roman"/>
          <w:color w:val="000000"/>
          <w:kern w:val="0"/>
          <w:sz w:val="28"/>
          <w:szCs w:val="28"/>
          <w14:ligatures w14:val="none"/>
        </w:rPr>
      </w:pPr>
    </w:p>
    <w:p w14:paraId="59C27505" w14:textId="2A8F0748"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lastRenderedPageBreak/>
        <w:t xml:space="preserve">This the </w:t>
      </w:r>
      <w:r w:rsidR="00695936" w:rsidRPr="00003C26">
        <w:rPr>
          <w:rFonts w:ascii="Times New Roman" w:eastAsia="Times New Roman" w:hAnsi="Times New Roman" w:cs="Times New Roman"/>
          <w:color w:val="000000"/>
          <w:kern w:val="0"/>
          <w:sz w:val="28"/>
          <w:szCs w:val="28"/>
          <w14:ligatures w14:val="none"/>
        </w:rPr>
        <w:t>30</w:t>
      </w:r>
      <w:r w:rsidR="00695936" w:rsidRPr="00003C26">
        <w:rPr>
          <w:rFonts w:ascii="Times New Roman" w:eastAsia="Times New Roman" w:hAnsi="Times New Roman" w:cs="Times New Roman"/>
          <w:color w:val="000000"/>
          <w:kern w:val="0"/>
          <w:sz w:val="28"/>
          <w:szCs w:val="28"/>
          <w:vertAlign w:val="superscript"/>
          <w14:ligatures w14:val="none"/>
        </w:rPr>
        <w:t>th</w:t>
      </w:r>
      <w:r w:rsidR="00003C26" w:rsidRPr="00003C26">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 xml:space="preserve">day of </w:t>
      </w:r>
      <w:r w:rsidR="00003C26" w:rsidRPr="00003C26">
        <w:rPr>
          <w:rFonts w:ascii="Times New Roman" w:eastAsia="Times New Roman" w:hAnsi="Times New Roman" w:cs="Times New Roman"/>
          <w:color w:val="000000"/>
          <w:kern w:val="0"/>
          <w:sz w:val="28"/>
          <w:szCs w:val="28"/>
          <w14:ligatures w14:val="none"/>
        </w:rPr>
        <w:t>August,</w:t>
      </w:r>
      <w:r w:rsidR="00003C26">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2026.        </w:t>
      </w:r>
    </w:p>
    <w:p w14:paraId="14101CE8" w14:textId="77777777" w:rsidR="000C68AE" w:rsidRPr="000C68AE" w:rsidRDefault="000C68AE" w:rsidP="000C68AE">
      <w:pPr>
        <w:spacing w:after="240" w:line="240" w:lineRule="auto"/>
        <w:rPr>
          <w:rFonts w:ascii="Times New Roman" w:eastAsia="Times New Roman" w:hAnsi="Times New Roman" w:cs="Times New Roman"/>
          <w:color w:val="000000"/>
          <w:kern w:val="0"/>
          <w:sz w:val="28"/>
          <w:szCs w:val="28"/>
          <w14:ligatures w14:val="none"/>
        </w:rPr>
      </w:pPr>
    </w:p>
    <w:p w14:paraId="4931ACD3" w14:textId="0D0E12AA" w:rsidR="000C68AE" w:rsidRPr="000C68AE" w:rsidRDefault="000C68AE" w:rsidP="000C68AE">
      <w:pPr>
        <w:spacing w:after="0" w:line="240" w:lineRule="auto"/>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                 </w:t>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t xml:space="preserve">  By:</w:t>
      </w:r>
      <w:r w:rsidR="00003C26">
        <w:rPr>
          <w:rFonts w:ascii="Times New Roman" w:eastAsia="Times New Roman" w:hAnsi="Times New Roman" w:cs="Times New Roman"/>
          <w:color w:val="000000"/>
          <w:kern w:val="0"/>
          <w:sz w:val="28"/>
          <w:szCs w:val="28"/>
          <w14:ligatures w14:val="none"/>
        </w:rPr>
        <w:t xml:space="preserve"> </w:t>
      </w:r>
      <w:r w:rsidR="00003C26" w:rsidRPr="00003C26">
        <w:rPr>
          <w:rFonts w:ascii="Times New Roman" w:eastAsia="Times New Roman" w:hAnsi="Times New Roman" w:cs="Times New Roman"/>
          <w:color w:val="000000"/>
          <w:kern w:val="0"/>
          <w:sz w:val="28"/>
          <w:szCs w:val="28"/>
          <w14:ligatures w14:val="none"/>
        </w:rPr>
        <w:t>________</w:t>
      </w:r>
      <w:r w:rsidR="00003C26" w:rsidRPr="00003C26">
        <w:rPr>
          <w:rFonts w:ascii="Times New Roman" w:eastAsia="Times New Roman" w:hAnsi="Times New Roman" w:cs="Times New Roman"/>
          <w:color w:val="000000"/>
          <w:kern w:val="0"/>
          <w:sz w:val="28"/>
          <w:szCs w:val="28"/>
          <w:u w:val="single"/>
          <w14:ligatures w14:val="none"/>
        </w:rPr>
        <w:t>/s/ Team 307</w:t>
      </w:r>
      <w:r w:rsidR="00003C26" w:rsidRPr="00003C26">
        <w:rPr>
          <w:rFonts w:ascii="Times New Roman" w:eastAsia="Times New Roman" w:hAnsi="Times New Roman" w:cs="Times New Roman"/>
          <w:color w:val="000000"/>
          <w:kern w:val="0"/>
          <w:sz w:val="28"/>
          <w:szCs w:val="28"/>
          <w14:ligatures w14:val="none"/>
        </w:rPr>
        <w:t>_______</w:t>
      </w:r>
    </w:p>
    <w:p w14:paraId="11BFEB81" w14:textId="4B55C945" w:rsidR="000C68AE" w:rsidRPr="000C68AE" w:rsidRDefault="000C68AE" w:rsidP="00695936">
      <w:pPr>
        <w:spacing w:after="0" w:line="240" w:lineRule="auto"/>
        <w:jc w:val="right"/>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00695936">
        <w:rPr>
          <w:rFonts w:ascii="Times New Roman" w:eastAsia="Times New Roman" w:hAnsi="Times New Roman" w:cs="Times New Roman"/>
          <w:color w:val="000000"/>
          <w:kern w:val="0"/>
          <w:sz w:val="28"/>
          <w:szCs w:val="28"/>
          <w14:ligatures w14:val="none"/>
        </w:rPr>
        <w:t xml:space="preserve">        </w:t>
      </w:r>
      <w:r w:rsidRPr="000C68AE">
        <w:rPr>
          <w:rFonts w:ascii="Times New Roman" w:eastAsia="Times New Roman" w:hAnsi="Times New Roman" w:cs="Times New Roman"/>
          <w:color w:val="000000"/>
          <w:kern w:val="0"/>
          <w:sz w:val="28"/>
          <w:szCs w:val="28"/>
          <w14:ligatures w14:val="none"/>
        </w:rPr>
        <w:t>Team Number 307</w:t>
      </w:r>
    </w:p>
    <w:p w14:paraId="0ABA66F8" w14:textId="72E2FEB1" w:rsidR="000C68AE" w:rsidRPr="000C68AE" w:rsidRDefault="000C68AE" w:rsidP="00695936">
      <w:pPr>
        <w:spacing w:after="0" w:line="240" w:lineRule="auto"/>
        <w:jc w:val="right"/>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t>Assistant United States Attorney</w:t>
      </w:r>
    </w:p>
    <w:p w14:paraId="2C0CE6ED" w14:textId="77777777" w:rsidR="000C68AE" w:rsidRPr="000C68AE" w:rsidRDefault="000C68AE" w:rsidP="00695936">
      <w:pPr>
        <w:spacing w:after="0" w:line="240" w:lineRule="auto"/>
        <w:jc w:val="right"/>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t>  Office Address</w:t>
      </w:r>
    </w:p>
    <w:p w14:paraId="0603D9BC" w14:textId="77777777" w:rsidR="000C68AE" w:rsidRPr="000C68AE" w:rsidRDefault="000C68AE" w:rsidP="00695936">
      <w:pPr>
        <w:spacing w:after="0" w:line="240" w:lineRule="auto"/>
        <w:jc w:val="right"/>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t>  Office Phone Number</w:t>
      </w:r>
    </w:p>
    <w:p w14:paraId="5CC4A749" w14:textId="77777777" w:rsidR="000C68AE" w:rsidRPr="000C68AE" w:rsidRDefault="000C68AE" w:rsidP="00695936">
      <w:pPr>
        <w:spacing w:after="0" w:line="240" w:lineRule="auto"/>
        <w:jc w:val="right"/>
        <w:rPr>
          <w:rFonts w:ascii="Times New Roman" w:eastAsia="Times New Roman" w:hAnsi="Times New Roman" w:cs="Times New Roman"/>
          <w:color w:val="000000"/>
          <w:kern w:val="0"/>
          <w:sz w:val="28"/>
          <w:szCs w:val="28"/>
          <w14:ligatures w14:val="none"/>
        </w:rPr>
      </w:pP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r>
      <w:r w:rsidRPr="000C68AE">
        <w:rPr>
          <w:rFonts w:ascii="Times New Roman" w:eastAsia="Times New Roman" w:hAnsi="Times New Roman" w:cs="Times New Roman"/>
          <w:color w:val="000000"/>
          <w:kern w:val="0"/>
          <w:sz w:val="28"/>
          <w:szCs w:val="28"/>
          <w14:ligatures w14:val="none"/>
        </w:rPr>
        <w:tab/>
        <w:t>  Bar Number</w:t>
      </w:r>
    </w:p>
    <w:p w14:paraId="7F5278E0" w14:textId="77777777" w:rsidR="000C68AE" w:rsidRPr="000C68AE" w:rsidRDefault="000C68AE" w:rsidP="000C68AE">
      <w:pPr>
        <w:spacing w:after="240" w:line="240" w:lineRule="auto"/>
        <w:rPr>
          <w:rFonts w:ascii="Times New Roman" w:eastAsia="Times New Roman" w:hAnsi="Times New Roman" w:cs="Times New Roman"/>
          <w:kern w:val="0"/>
          <w:sz w:val="28"/>
          <w:szCs w:val="28"/>
          <w14:ligatures w14:val="none"/>
        </w:rPr>
      </w:pPr>
    </w:p>
    <w:p w14:paraId="19F43605" w14:textId="77777777" w:rsidR="000C68AE" w:rsidRPr="000C68AE" w:rsidRDefault="000C68AE" w:rsidP="000C68AE">
      <w:pPr>
        <w:spacing w:after="0" w:line="240" w:lineRule="auto"/>
        <w:rPr>
          <w:rFonts w:ascii="Times New Roman" w:eastAsia="Times New Roman" w:hAnsi="Times New Roman" w:cs="Times New Roman"/>
          <w:kern w:val="0"/>
          <w:sz w:val="28"/>
          <w:szCs w:val="28"/>
          <w14:ligatures w14:val="none"/>
        </w:rPr>
      </w:pPr>
    </w:p>
    <w:p w14:paraId="1FA87DC1" w14:textId="77777777" w:rsidR="00C66F6A" w:rsidRPr="00EE76A0" w:rsidRDefault="00C66F6A">
      <w:pPr>
        <w:rPr>
          <w:rFonts w:ascii="Times New Roman" w:hAnsi="Times New Roman" w:cs="Times New Roman"/>
          <w:sz w:val="28"/>
          <w:szCs w:val="28"/>
        </w:rPr>
      </w:pPr>
    </w:p>
    <w:sectPr w:rsidR="00C66F6A" w:rsidRPr="00EE76A0" w:rsidSect="00EE76A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EC00" w14:textId="77777777" w:rsidR="00BD203C" w:rsidRDefault="00BD203C" w:rsidP="000C68AE">
      <w:pPr>
        <w:spacing w:after="0" w:line="240" w:lineRule="auto"/>
      </w:pPr>
      <w:r>
        <w:separator/>
      </w:r>
    </w:p>
  </w:endnote>
  <w:endnote w:type="continuationSeparator" w:id="0">
    <w:p w14:paraId="57FBB086" w14:textId="77777777" w:rsidR="00BD203C" w:rsidRDefault="00BD203C" w:rsidP="000C6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322854"/>
      <w:docPartObj>
        <w:docPartGallery w:val="Page Numbers (Bottom of Page)"/>
        <w:docPartUnique/>
      </w:docPartObj>
    </w:sdtPr>
    <w:sdtEndPr>
      <w:rPr>
        <w:rStyle w:val="PageNumber"/>
      </w:rPr>
    </w:sdtEndPr>
    <w:sdtContent>
      <w:p w14:paraId="4CA0FFBC" w14:textId="59C47BA6" w:rsidR="000C68AE" w:rsidRDefault="000C68AE" w:rsidP="00EE76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39D4AF" w14:textId="77777777" w:rsidR="000C68AE" w:rsidRDefault="000C68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5218311"/>
      <w:docPartObj>
        <w:docPartGallery w:val="Page Numbers (Bottom of Page)"/>
        <w:docPartUnique/>
      </w:docPartObj>
    </w:sdtPr>
    <w:sdtEndPr>
      <w:rPr>
        <w:rStyle w:val="PageNumber"/>
      </w:rPr>
    </w:sdtEndPr>
    <w:sdtContent>
      <w:p w14:paraId="524F307B" w14:textId="6C768A14" w:rsidR="00EE76A0" w:rsidRDefault="00EE76A0" w:rsidP="00EE76A0">
        <w:pPr>
          <w:pStyle w:val="Footer"/>
          <w:framePr w:wrap="none" w:vAnchor="text" w:hAnchor="margin" w:xAlign="center" w:y="1"/>
          <w:rPr>
            <w:rStyle w:val="PageNumber"/>
          </w:rPr>
        </w:pPr>
        <w:r w:rsidRPr="00EE76A0">
          <w:rPr>
            <w:rStyle w:val="PageNumber"/>
            <w:rFonts w:ascii="Times New Roman" w:hAnsi="Times New Roman" w:cs="Times New Roman"/>
            <w:sz w:val="28"/>
            <w:szCs w:val="28"/>
          </w:rPr>
          <w:fldChar w:fldCharType="begin"/>
        </w:r>
        <w:r w:rsidRPr="00EE76A0">
          <w:rPr>
            <w:rStyle w:val="PageNumber"/>
            <w:rFonts w:ascii="Times New Roman" w:hAnsi="Times New Roman" w:cs="Times New Roman"/>
            <w:sz w:val="28"/>
            <w:szCs w:val="28"/>
          </w:rPr>
          <w:instrText xml:space="preserve"> PAGE </w:instrText>
        </w:r>
        <w:r w:rsidRPr="00EE76A0">
          <w:rPr>
            <w:rStyle w:val="PageNumber"/>
            <w:rFonts w:ascii="Times New Roman" w:hAnsi="Times New Roman" w:cs="Times New Roman"/>
            <w:sz w:val="28"/>
            <w:szCs w:val="28"/>
          </w:rPr>
          <w:fldChar w:fldCharType="separate"/>
        </w:r>
        <w:r w:rsidRPr="00EE76A0">
          <w:rPr>
            <w:rStyle w:val="PageNumber"/>
            <w:rFonts w:ascii="Times New Roman" w:hAnsi="Times New Roman" w:cs="Times New Roman"/>
            <w:noProof/>
            <w:sz w:val="28"/>
            <w:szCs w:val="28"/>
          </w:rPr>
          <w:t>ii</w:t>
        </w:r>
        <w:r w:rsidRPr="00EE76A0">
          <w:rPr>
            <w:rStyle w:val="PageNumber"/>
            <w:rFonts w:ascii="Times New Roman" w:hAnsi="Times New Roman" w:cs="Times New Roman"/>
            <w:sz w:val="28"/>
            <w:szCs w:val="28"/>
          </w:rPr>
          <w:fldChar w:fldCharType="end"/>
        </w:r>
      </w:p>
    </w:sdtContent>
  </w:sdt>
  <w:p w14:paraId="19544E5E" w14:textId="77777777" w:rsidR="00EE76A0" w:rsidRDefault="00EE7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3FC43" w14:textId="77777777" w:rsidR="00BD203C" w:rsidRDefault="00BD203C" w:rsidP="000C68AE">
      <w:pPr>
        <w:spacing w:after="0" w:line="240" w:lineRule="auto"/>
      </w:pPr>
      <w:r>
        <w:separator/>
      </w:r>
    </w:p>
  </w:footnote>
  <w:footnote w:type="continuationSeparator" w:id="0">
    <w:p w14:paraId="69034978" w14:textId="77777777" w:rsidR="00BD203C" w:rsidRDefault="00BD203C" w:rsidP="000C68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21E6"/>
    <w:multiLevelType w:val="multilevel"/>
    <w:tmpl w:val="47E0C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DC76D8"/>
    <w:multiLevelType w:val="hybridMultilevel"/>
    <w:tmpl w:val="A58EDA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F95149"/>
    <w:multiLevelType w:val="hybridMultilevel"/>
    <w:tmpl w:val="5F9E9714"/>
    <w:lvl w:ilvl="0" w:tplc="10ECB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2E084A"/>
    <w:multiLevelType w:val="multilevel"/>
    <w:tmpl w:val="508C9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EB5554"/>
    <w:multiLevelType w:val="hybridMultilevel"/>
    <w:tmpl w:val="6D20F330"/>
    <w:lvl w:ilvl="0" w:tplc="F77E21A4">
      <w:start w:val="2"/>
      <w:numFmt w:val="upperLetter"/>
      <w:lvlText w:val="%1."/>
      <w:lvlJc w:val="left"/>
      <w:pPr>
        <w:tabs>
          <w:tab w:val="num" w:pos="720"/>
        </w:tabs>
        <w:ind w:left="720" w:hanging="360"/>
      </w:pPr>
    </w:lvl>
    <w:lvl w:ilvl="1" w:tplc="F65E0E68" w:tentative="1">
      <w:start w:val="1"/>
      <w:numFmt w:val="decimal"/>
      <w:lvlText w:val="%2."/>
      <w:lvlJc w:val="left"/>
      <w:pPr>
        <w:tabs>
          <w:tab w:val="num" w:pos="1440"/>
        </w:tabs>
        <w:ind w:left="1440" w:hanging="360"/>
      </w:pPr>
    </w:lvl>
    <w:lvl w:ilvl="2" w:tplc="128CEB86" w:tentative="1">
      <w:start w:val="1"/>
      <w:numFmt w:val="decimal"/>
      <w:lvlText w:val="%3."/>
      <w:lvlJc w:val="left"/>
      <w:pPr>
        <w:tabs>
          <w:tab w:val="num" w:pos="2160"/>
        </w:tabs>
        <w:ind w:left="2160" w:hanging="360"/>
      </w:pPr>
    </w:lvl>
    <w:lvl w:ilvl="3" w:tplc="3386132C" w:tentative="1">
      <w:start w:val="1"/>
      <w:numFmt w:val="decimal"/>
      <w:lvlText w:val="%4."/>
      <w:lvlJc w:val="left"/>
      <w:pPr>
        <w:tabs>
          <w:tab w:val="num" w:pos="2880"/>
        </w:tabs>
        <w:ind w:left="2880" w:hanging="360"/>
      </w:pPr>
    </w:lvl>
    <w:lvl w:ilvl="4" w:tplc="D15E9126" w:tentative="1">
      <w:start w:val="1"/>
      <w:numFmt w:val="decimal"/>
      <w:lvlText w:val="%5."/>
      <w:lvlJc w:val="left"/>
      <w:pPr>
        <w:tabs>
          <w:tab w:val="num" w:pos="3600"/>
        </w:tabs>
        <w:ind w:left="3600" w:hanging="360"/>
      </w:pPr>
    </w:lvl>
    <w:lvl w:ilvl="5" w:tplc="DA84996E" w:tentative="1">
      <w:start w:val="1"/>
      <w:numFmt w:val="decimal"/>
      <w:lvlText w:val="%6."/>
      <w:lvlJc w:val="left"/>
      <w:pPr>
        <w:tabs>
          <w:tab w:val="num" w:pos="4320"/>
        </w:tabs>
        <w:ind w:left="4320" w:hanging="360"/>
      </w:pPr>
    </w:lvl>
    <w:lvl w:ilvl="6" w:tplc="80863204" w:tentative="1">
      <w:start w:val="1"/>
      <w:numFmt w:val="decimal"/>
      <w:lvlText w:val="%7."/>
      <w:lvlJc w:val="left"/>
      <w:pPr>
        <w:tabs>
          <w:tab w:val="num" w:pos="5040"/>
        </w:tabs>
        <w:ind w:left="5040" w:hanging="360"/>
      </w:pPr>
    </w:lvl>
    <w:lvl w:ilvl="7" w:tplc="14066734" w:tentative="1">
      <w:start w:val="1"/>
      <w:numFmt w:val="decimal"/>
      <w:lvlText w:val="%8."/>
      <w:lvlJc w:val="left"/>
      <w:pPr>
        <w:tabs>
          <w:tab w:val="num" w:pos="5760"/>
        </w:tabs>
        <w:ind w:left="5760" w:hanging="360"/>
      </w:pPr>
    </w:lvl>
    <w:lvl w:ilvl="8" w:tplc="CE900344" w:tentative="1">
      <w:start w:val="1"/>
      <w:numFmt w:val="decimal"/>
      <w:lvlText w:val="%9."/>
      <w:lvlJc w:val="left"/>
      <w:pPr>
        <w:tabs>
          <w:tab w:val="num" w:pos="6480"/>
        </w:tabs>
        <w:ind w:left="6480" w:hanging="360"/>
      </w:pPr>
    </w:lvl>
  </w:abstractNum>
  <w:abstractNum w:abstractNumId="5" w15:restartNumberingAfterBreak="0">
    <w:nsid w:val="43B81F93"/>
    <w:multiLevelType w:val="multilevel"/>
    <w:tmpl w:val="10A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CC414F"/>
    <w:multiLevelType w:val="multilevel"/>
    <w:tmpl w:val="5914E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4F2D59"/>
    <w:multiLevelType w:val="hybridMultilevel"/>
    <w:tmpl w:val="886ADE24"/>
    <w:lvl w:ilvl="0" w:tplc="AE8834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E411609"/>
    <w:multiLevelType w:val="multilevel"/>
    <w:tmpl w:val="2E6C58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5A2543"/>
    <w:multiLevelType w:val="multilevel"/>
    <w:tmpl w:val="4B2E7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E27D1C"/>
    <w:multiLevelType w:val="hybridMultilevel"/>
    <w:tmpl w:val="556A47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5704051">
    <w:abstractNumId w:val="6"/>
    <w:lvlOverride w:ilvl="0">
      <w:lvl w:ilvl="0">
        <w:numFmt w:val="upperRoman"/>
        <w:lvlText w:val="%1."/>
        <w:lvlJc w:val="right"/>
      </w:lvl>
    </w:lvlOverride>
  </w:num>
  <w:num w:numId="2" w16cid:durableId="818689050">
    <w:abstractNumId w:val="3"/>
    <w:lvlOverride w:ilvl="0">
      <w:lvl w:ilvl="0">
        <w:numFmt w:val="upperLetter"/>
        <w:lvlText w:val="%1."/>
        <w:lvlJc w:val="left"/>
      </w:lvl>
    </w:lvlOverride>
  </w:num>
  <w:num w:numId="3" w16cid:durableId="1541937916">
    <w:abstractNumId w:val="4"/>
  </w:num>
  <w:num w:numId="4" w16cid:durableId="1997803806">
    <w:abstractNumId w:val="9"/>
    <w:lvlOverride w:ilvl="0">
      <w:lvl w:ilvl="0">
        <w:numFmt w:val="upperLetter"/>
        <w:lvlText w:val="%1."/>
        <w:lvlJc w:val="left"/>
      </w:lvl>
    </w:lvlOverride>
  </w:num>
  <w:num w:numId="5" w16cid:durableId="1135299565">
    <w:abstractNumId w:val="5"/>
  </w:num>
  <w:num w:numId="6" w16cid:durableId="274824449">
    <w:abstractNumId w:val="0"/>
    <w:lvlOverride w:ilvl="0">
      <w:lvl w:ilvl="0">
        <w:numFmt w:val="decimal"/>
        <w:lvlText w:val="%1."/>
        <w:lvlJc w:val="left"/>
      </w:lvl>
    </w:lvlOverride>
  </w:num>
  <w:num w:numId="7" w16cid:durableId="1564632635">
    <w:abstractNumId w:val="8"/>
    <w:lvlOverride w:ilvl="0">
      <w:lvl w:ilvl="0">
        <w:numFmt w:val="decimal"/>
        <w:lvlText w:val="%1."/>
        <w:lvlJc w:val="left"/>
      </w:lvl>
    </w:lvlOverride>
  </w:num>
  <w:num w:numId="8" w16cid:durableId="248390771">
    <w:abstractNumId w:val="2"/>
  </w:num>
  <w:num w:numId="9" w16cid:durableId="667368372">
    <w:abstractNumId w:val="10"/>
  </w:num>
  <w:num w:numId="10" w16cid:durableId="748162227">
    <w:abstractNumId w:val="7"/>
  </w:num>
  <w:num w:numId="11" w16cid:durableId="2001274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8AE"/>
    <w:rsid w:val="00003C26"/>
    <w:rsid w:val="000C68AE"/>
    <w:rsid w:val="001A60F5"/>
    <w:rsid w:val="002A451A"/>
    <w:rsid w:val="00366D03"/>
    <w:rsid w:val="003D63FC"/>
    <w:rsid w:val="00466655"/>
    <w:rsid w:val="00567828"/>
    <w:rsid w:val="00695936"/>
    <w:rsid w:val="007533AD"/>
    <w:rsid w:val="00787262"/>
    <w:rsid w:val="00807C23"/>
    <w:rsid w:val="0088207C"/>
    <w:rsid w:val="00950E31"/>
    <w:rsid w:val="0099746C"/>
    <w:rsid w:val="00BD203C"/>
    <w:rsid w:val="00C66F6A"/>
    <w:rsid w:val="00EE7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1FE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8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8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8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8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8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8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8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8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8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8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8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8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8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8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8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8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8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8AE"/>
    <w:rPr>
      <w:rFonts w:eastAsiaTheme="majorEastAsia" w:cstheme="majorBidi"/>
      <w:color w:val="272727" w:themeColor="text1" w:themeTint="D8"/>
    </w:rPr>
  </w:style>
  <w:style w:type="paragraph" w:styleId="Title">
    <w:name w:val="Title"/>
    <w:basedOn w:val="Normal"/>
    <w:next w:val="Normal"/>
    <w:link w:val="TitleChar"/>
    <w:uiPriority w:val="10"/>
    <w:qFormat/>
    <w:rsid w:val="000C68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8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8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8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8AE"/>
    <w:pPr>
      <w:spacing w:before="160"/>
      <w:jc w:val="center"/>
    </w:pPr>
    <w:rPr>
      <w:i/>
      <w:iCs/>
      <w:color w:val="404040" w:themeColor="text1" w:themeTint="BF"/>
    </w:rPr>
  </w:style>
  <w:style w:type="character" w:customStyle="1" w:styleId="QuoteChar">
    <w:name w:val="Quote Char"/>
    <w:basedOn w:val="DefaultParagraphFont"/>
    <w:link w:val="Quote"/>
    <w:uiPriority w:val="29"/>
    <w:rsid w:val="000C68AE"/>
    <w:rPr>
      <w:i/>
      <w:iCs/>
      <w:color w:val="404040" w:themeColor="text1" w:themeTint="BF"/>
    </w:rPr>
  </w:style>
  <w:style w:type="paragraph" w:styleId="ListParagraph">
    <w:name w:val="List Paragraph"/>
    <w:basedOn w:val="Normal"/>
    <w:uiPriority w:val="34"/>
    <w:qFormat/>
    <w:rsid w:val="000C68AE"/>
    <w:pPr>
      <w:ind w:left="720"/>
      <w:contextualSpacing/>
    </w:pPr>
  </w:style>
  <w:style w:type="character" w:styleId="IntenseEmphasis">
    <w:name w:val="Intense Emphasis"/>
    <w:basedOn w:val="DefaultParagraphFont"/>
    <w:uiPriority w:val="21"/>
    <w:qFormat/>
    <w:rsid w:val="000C68AE"/>
    <w:rPr>
      <w:i/>
      <w:iCs/>
      <w:color w:val="0F4761" w:themeColor="accent1" w:themeShade="BF"/>
    </w:rPr>
  </w:style>
  <w:style w:type="paragraph" w:styleId="IntenseQuote">
    <w:name w:val="Intense Quote"/>
    <w:basedOn w:val="Normal"/>
    <w:next w:val="Normal"/>
    <w:link w:val="IntenseQuoteChar"/>
    <w:uiPriority w:val="30"/>
    <w:qFormat/>
    <w:rsid w:val="000C68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8AE"/>
    <w:rPr>
      <w:i/>
      <w:iCs/>
      <w:color w:val="0F4761" w:themeColor="accent1" w:themeShade="BF"/>
    </w:rPr>
  </w:style>
  <w:style w:type="character" w:styleId="IntenseReference">
    <w:name w:val="Intense Reference"/>
    <w:basedOn w:val="DefaultParagraphFont"/>
    <w:uiPriority w:val="32"/>
    <w:qFormat/>
    <w:rsid w:val="000C68AE"/>
    <w:rPr>
      <w:b/>
      <w:bCs/>
      <w:smallCaps/>
      <w:color w:val="0F4761" w:themeColor="accent1" w:themeShade="BF"/>
      <w:spacing w:val="5"/>
    </w:rPr>
  </w:style>
  <w:style w:type="paragraph" w:styleId="NormalWeb">
    <w:name w:val="Normal (Web)"/>
    <w:basedOn w:val="Normal"/>
    <w:uiPriority w:val="99"/>
    <w:semiHidden/>
    <w:unhideWhenUsed/>
    <w:rsid w:val="000C68A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0C68AE"/>
  </w:style>
  <w:style w:type="character" w:styleId="Hyperlink">
    <w:name w:val="Hyperlink"/>
    <w:basedOn w:val="DefaultParagraphFont"/>
    <w:uiPriority w:val="99"/>
    <w:semiHidden/>
    <w:unhideWhenUsed/>
    <w:rsid w:val="000C68AE"/>
    <w:rPr>
      <w:color w:val="0000FF"/>
      <w:u w:val="single"/>
    </w:rPr>
  </w:style>
  <w:style w:type="paragraph" w:styleId="Footer">
    <w:name w:val="footer"/>
    <w:basedOn w:val="Normal"/>
    <w:link w:val="FooterChar"/>
    <w:uiPriority w:val="99"/>
    <w:unhideWhenUsed/>
    <w:rsid w:val="000C6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8AE"/>
  </w:style>
  <w:style w:type="character" w:styleId="PageNumber">
    <w:name w:val="page number"/>
    <w:basedOn w:val="DefaultParagraphFont"/>
    <w:uiPriority w:val="99"/>
    <w:semiHidden/>
    <w:unhideWhenUsed/>
    <w:rsid w:val="000C68AE"/>
  </w:style>
  <w:style w:type="paragraph" w:styleId="Header">
    <w:name w:val="header"/>
    <w:basedOn w:val="Normal"/>
    <w:link w:val="HeaderChar"/>
    <w:uiPriority w:val="99"/>
    <w:unhideWhenUsed/>
    <w:rsid w:val="000C6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Gf1xht7ZPGlSfPFrPS2uvPOrQUyjFvcsC7zfzjGjroo/edit?tab=t.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document/d/1Gf1xht7ZPGlSfPFrPS2uvPOrQUyjFvcsC7zfzjGjroo/edit?tab=t.0" TargetMode="Externa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docs.google.com/document/d/1Gf1xht7ZPGlSfPFrPS2uvPOrQUyjFvcsC7zfzjGjroo/edit?tab=t.0" TargetMode="External"/><Relationship Id="rId4" Type="http://schemas.openxmlformats.org/officeDocument/2006/relationships/webSettings" Target="webSettings.xml"/><Relationship Id="rId9" Type="http://schemas.openxmlformats.org/officeDocument/2006/relationships/hyperlink" Target="https://docs.google.com/document/d/1Gf1xht7ZPGlSfPFrPS2uvPOrQUyjFvcsC7zfzjGjroo/edit?tab=t.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88E10D06-CD50-4FDD-85B1-569C73490548}"/>
</file>

<file path=customXml/itemProps2.xml><?xml version="1.0" encoding="utf-8"?>
<ds:datastoreItem xmlns:ds="http://schemas.openxmlformats.org/officeDocument/2006/customXml" ds:itemID="{646D94D1-2B75-4407-AC66-A1B66E8F8987}"/>
</file>

<file path=customXml/itemProps3.xml><?xml version="1.0" encoding="utf-8"?>
<ds:datastoreItem xmlns:ds="http://schemas.openxmlformats.org/officeDocument/2006/customXml" ds:itemID="{DC61E27B-236B-4B08-92D1-B73DC64B3ADB}"/>
</file>

<file path=docProps/app.xml><?xml version="1.0" encoding="utf-8"?>
<Properties xmlns="http://schemas.openxmlformats.org/officeDocument/2006/extended-properties" xmlns:vt="http://schemas.openxmlformats.org/officeDocument/2006/docPropsVTypes">
  <Template>Normal.dotm</Template>
  <TotalTime>0</TotalTime>
  <Pages>21</Pages>
  <Words>3928</Words>
  <Characters>22393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2026-09-09T00:36:00Z</dcterms:created>
  <dcterms:modified xsi:type="dcterms:W3CDTF">2026-09-09T00:36:00Z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