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DD5A0A" w:rsidRDefault="00EF3DAB">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IN THE UNITED STATES COURT OF APPEALS</w:t>
      </w:r>
    </w:p>
    <w:p w14:paraId="00000002" w14:textId="77777777" w:rsidR="00DD5A0A" w:rsidRDefault="00EF3DAB">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FOR THE FOURTEENTH CIRCUIT</w:t>
      </w:r>
    </w:p>
    <w:p w14:paraId="00000003" w14:textId="77777777" w:rsidR="00DD5A0A" w:rsidRDefault="00DD5A0A">
      <w:pPr>
        <w:jc w:val="center"/>
        <w:rPr>
          <w:rFonts w:ascii="Times New Roman" w:eastAsia="Times New Roman" w:hAnsi="Times New Roman" w:cs="Times New Roman"/>
          <w:b/>
          <w:bCs/>
          <w:sz w:val="28"/>
          <w:szCs w:val="28"/>
        </w:rPr>
      </w:pPr>
    </w:p>
    <w:p w14:paraId="00000004" w14:textId="77777777" w:rsidR="00DD5A0A" w:rsidRDefault="00DD5A0A">
      <w:pPr>
        <w:jc w:val="center"/>
        <w:rPr>
          <w:rFonts w:ascii="Times New Roman" w:eastAsia="Times New Roman" w:hAnsi="Times New Roman" w:cs="Times New Roman"/>
          <w:b/>
          <w:bCs/>
          <w:sz w:val="28"/>
          <w:szCs w:val="28"/>
        </w:rPr>
      </w:pPr>
    </w:p>
    <w:p w14:paraId="00000005" w14:textId="77777777" w:rsidR="00DD5A0A" w:rsidRDefault="00DD5A0A">
      <w:pPr>
        <w:jc w:val="center"/>
        <w:rPr>
          <w:rFonts w:ascii="Times New Roman" w:eastAsia="Times New Roman" w:hAnsi="Times New Roman" w:cs="Times New Roman"/>
          <w:b/>
          <w:bCs/>
          <w:sz w:val="28"/>
          <w:szCs w:val="28"/>
        </w:rPr>
      </w:pPr>
    </w:p>
    <w:p w14:paraId="00000006" w14:textId="77777777" w:rsidR="00DD5A0A" w:rsidRDefault="00EF3DAB">
      <w:pP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UNITED STATES OF AMERICA</w:t>
      </w:r>
    </w:p>
    <w:p w14:paraId="00000007" w14:textId="77777777" w:rsidR="00DD5A0A" w:rsidRDefault="00DD5A0A">
      <w:pPr>
        <w:rPr>
          <w:rFonts w:ascii="Times New Roman" w:eastAsia="Times New Roman" w:hAnsi="Times New Roman" w:cs="Times New Roman"/>
          <w:b/>
          <w:bCs/>
          <w:sz w:val="28"/>
          <w:szCs w:val="28"/>
        </w:rPr>
      </w:pPr>
    </w:p>
    <w:p w14:paraId="00000008" w14:textId="77777777" w:rsidR="00DD5A0A" w:rsidRDefault="00DD5A0A">
      <w:pPr>
        <w:rPr>
          <w:rFonts w:ascii="Times New Roman" w:eastAsia="Times New Roman" w:hAnsi="Times New Roman" w:cs="Times New Roman"/>
          <w:b/>
          <w:bCs/>
          <w:sz w:val="28"/>
          <w:szCs w:val="28"/>
        </w:rPr>
      </w:pPr>
    </w:p>
    <w:p w14:paraId="00000009" w14:textId="77777777" w:rsidR="00DD5A0A" w:rsidRDefault="00DD5A0A">
      <w:pPr>
        <w:rPr>
          <w:rFonts w:ascii="Times New Roman" w:eastAsia="Times New Roman" w:hAnsi="Times New Roman" w:cs="Times New Roman"/>
          <w:b/>
          <w:bCs/>
          <w:sz w:val="28"/>
          <w:szCs w:val="28"/>
        </w:rPr>
      </w:pPr>
    </w:p>
    <w:p w14:paraId="0000000A" w14:textId="19CFE48E" w:rsidR="00DD5A0A" w:rsidRDefault="00EF3DAB">
      <w:pP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t>v.</w:t>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t xml:space="preserve">     CASE NO. 2025-CF-00417</w:t>
      </w:r>
    </w:p>
    <w:p w14:paraId="0000000B" w14:textId="77777777" w:rsidR="00DD5A0A" w:rsidRDefault="00DD5A0A">
      <w:pPr>
        <w:rPr>
          <w:rFonts w:ascii="Times New Roman" w:eastAsia="Times New Roman" w:hAnsi="Times New Roman" w:cs="Times New Roman"/>
          <w:b/>
          <w:bCs/>
          <w:sz w:val="28"/>
          <w:szCs w:val="28"/>
        </w:rPr>
      </w:pPr>
    </w:p>
    <w:p w14:paraId="0000000C" w14:textId="77777777" w:rsidR="00DD5A0A" w:rsidRDefault="00DD5A0A">
      <w:pPr>
        <w:rPr>
          <w:rFonts w:ascii="Times New Roman" w:eastAsia="Times New Roman" w:hAnsi="Times New Roman" w:cs="Times New Roman"/>
          <w:b/>
          <w:bCs/>
          <w:sz w:val="28"/>
          <w:szCs w:val="28"/>
        </w:rPr>
      </w:pPr>
    </w:p>
    <w:p w14:paraId="0000000D" w14:textId="77777777" w:rsidR="00DD5A0A" w:rsidRDefault="00DD5A0A">
      <w:pPr>
        <w:rPr>
          <w:rFonts w:ascii="Times New Roman" w:eastAsia="Times New Roman" w:hAnsi="Times New Roman" w:cs="Times New Roman"/>
          <w:b/>
          <w:bCs/>
          <w:sz w:val="28"/>
          <w:szCs w:val="28"/>
        </w:rPr>
      </w:pPr>
    </w:p>
    <w:p w14:paraId="0000000E" w14:textId="77777777" w:rsidR="00DD5A0A" w:rsidRDefault="00EF3DAB">
      <w:pP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EMILY CALLOWAY</w:t>
      </w:r>
    </w:p>
    <w:p w14:paraId="0000000F" w14:textId="77777777" w:rsidR="00DD5A0A" w:rsidRDefault="00DD5A0A">
      <w:pPr>
        <w:rPr>
          <w:rFonts w:ascii="Times New Roman" w:eastAsia="Times New Roman" w:hAnsi="Times New Roman" w:cs="Times New Roman"/>
          <w:b/>
          <w:bCs/>
          <w:sz w:val="28"/>
          <w:szCs w:val="28"/>
        </w:rPr>
      </w:pPr>
    </w:p>
    <w:p w14:paraId="00000010" w14:textId="77777777" w:rsidR="00DD5A0A" w:rsidRDefault="00DD5A0A">
      <w:pPr>
        <w:rPr>
          <w:rFonts w:ascii="Times New Roman" w:eastAsia="Times New Roman" w:hAnsi="Times New Roman" w:cs="Times New Roman"/>
          <w:b/>
          <w:bCs/>
          <w:sz w:val="28"/>
          <w:szCs w:val="28"/>
        </w:rPr>
      </w:pPr>
    </w:p>
    <w:p w14:paraId="00000011" w14:textId="77777777" w:rsidR="00DD5A0A" w:rsidRDefault="00DD5A0A">
      <w:pPr>
        <w:rPr>
          <w:rFonts w:ascii="Times New Roman" w:eastAsia="Times New Roman" w:hAnsi="Times New Roman" w:cs="Times New Roman"/>
          <w:b/>
          <w:bCs/>
          <w:sz w:val="28"/>
          <w:szCs w:val="28"/>
        </w:rPr>
      </w:pPr>
    </w:p>
    <w:p w14:paraId="00000012" w14:textId="77777777" w:rsidR="00DD5A0A" w:rsidRDefault="00DD5A0A">
      <w:pPr>
        <w:rPr>
          <w:rFonts w:ascii="Times New Roman" w:eastAsia="Times New Roman" w:hAnsi="Times New Roman" w:cs="Times New Roman"/>
          <w:b/>
          <w:bCs/>
          <w:sz w:val="28"/>
          <w:szCs w:val="28"/>
        </w:rPr>
      </w:pPr>
    </w:p>
    <w:p w14:paraId="00000013" w14:textId="5F6B0EF3" w:rsidR="00DD5A0A" w:rsidRDefault="00EF3DAB">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DEFENDANT</w:t>
      </w:r>
      <w:r w:rsidR="002468FB">
        <w:rPr>
          <w:rFonts w:ascii="Times New Roman" w:eastAsia="Times New Roman" w:hAnsi="Times New Roman" w:cs="Times New Roman"/>
          <w:b/>
          <w:bCs/>
          <w:sz w:val="28"/>
          <w:szCs w:val="28"/>
        </w:rPr>
        <w:t>’</w:t>
      </w:r>
      <w:r>
        <w:rPr>
          <w:rFonts w:ascii="Times New Roman" w:eastAsia="Times New Roman" w:hAnsi="Times New Roman" w:cs="Times New Roman"/>
          <w:b/>
          <w:bCs/>
          <w:sz w:val="28"/>
          <w:szCs w:val="28"/>
        </w:rPr>
        <w:t>S MEMORANDUM IN SUPPORT OF MOTION TO SUPPRESS AND MOTION TO QUASH SUBPOENA</w:t>
      </w:r>
    </w:p>
    <w:p w14:paraId="00000014" w14:textId="77777777" w:rsidR="00DD5A0A" w:rsidRDefault="00DD5A0A">
      <w:pPr>
        <w:jc w:val="center"/>
        <w:rPr>
          <w:rFonts w:ascii="Times New Roman" w:eastAsia="Times New Roman" w:hAnsi="Times New Roman" w:cs="Times New Roman"/>
          <w:b/>
          <w:bCs/>
          <w:sz w:val="28"/>
          <w:szCs w:val="28"/>
        </w:rPr>
      </w:pPr>
    </w:p>
    <w:p w14:paraId="00000015" w14:textId="77777777" w:rsidR="00DD5A0A" w:rsidRDefault="00DD5A0A">
      <w:pPr>
        <w:jc w:val="center"/>
        <w:rPr>
          <w:rFonts w:ascii="Times New Roman" w:eastAsia="Times New Roman" w:hAnsi="Times New Roman" w:cs="Times New Roman"/>
          <w:b/>
          <w:bCs/>
          <w:sz w:val="28"/>
          <w:szCs w:val="28"/>
        </w:rPr>
      </w:pPr>
    </w:p>
    <w:p w14:paraId="00000016" w14:textId="77777777" w:rsidR="00DD5A0A" w:rsidRDefault="00DD5A0A">
      <w:pPr>
        <w:jc w:val="center"/>
        <w:rPr>
          <w:rFonts w:ascii="Times New Roman" w:eastAsia="Times New Roman" w:hAnsi="Times New Roman" w:cs="Times New Roman"/>
          <w:b/>
          <w:bCs/>
          <w:sz w:val="28"/>
          <w:szCs w:val="28"/>
        </w:rPr>
      </w:pPr>
    </w:p>
    <w:p w14:paraId="00000017" w14:textId="77777777" w:rsidR="00DD5A0A" w:rsidRDefault="00DD5A0A">
      <w:pPr>
        <w:jc w:val="center"/>
        <w:rPr>
          <w:rFonts w:ascii="Times New Roman" w:eastAsia="Times New Roman" w:hAnsi="Times New Roman" w:cs="Times New Roman"/>
          <w:b/>
          <w:bCs/>
          <w:sz w:val="28"/>
          <w:szCs w:val="28"/>
        </w:rPr>
      </w:pPr>
    </w:p>
    <w:p w14:paraId="00000018" w14:textId="77777777" w:rsidR="00DD5A0A" w:rsidRDefault="00DD5A0A">
      <w:pPr>
        <w:jc w:val="center"/>
        <w:rPr>
          <w:rFonts w:ascii="Times New Roman" w:eastAsia="Times New Roman" w:hAnsi="Times New Roman" w:cs="Times New Roman"/>
          <w:b/>
          <w:bCs/>
          <w:sz w:val="28"/>
          <w:szCs w:val="28"/>
        </w:rPr>
      </w:pPr>
    </w:p>
    <w:p w14:paraId="00000019" w14:textId="77777777" w:rsidR="00DD5A0A" w:rsidRDefault="00DD5A0A">
      <w:pPr>
        <w:jc w:val="center"/>
        <w:rPr>
          <w:rFonts w:ascii="Times New Roman" w:eastAsia="Times New Roman" w:hAnsi="Times New Roman" w:cs="Times New Roman"/>
          <w:b/>
          <w:bCs/>
          <w:sz w:val="28"/>
          <w:szCs w:val="28"/>
        </w:rPr>
      </w:pPr>
    </w:p>
    <w:p w14:paraId="0000001A" w14:textId="77777777" w:rsidR="00DD5A0A" w:rsidRDefault="00DD5A0A">
      <w:pPr>
        <w:jc w:val="center"/>
        <w:rPr>
          <w:rFonts w:ascii="Times New Roman" w:eastAsia="Times New Roman" w:hAnsi="Times New Roman" w:cs="Times New Roman"/>
          <w:b/>
          <w:bCs/>
          <w:sz w:val="28"/>
          <w:szCs w:val="28"/>
        </w:rPr>
      </w:pPr>
    </w:p>
    <w:p w14:paraId="0000001B" w14:textId="77777777" w:rsidR="00DD5A0A" w:rsidRDefault="00DD5A0A">
      <w:pPr>
        <w:jc w:val="center"/>
        <w:rPr>
          <w:rFonts w:ascii="Times New Roman" w:eastAsia="Times New Roman" w:hAnsi="Times New Roman" w:cs="Times New Roman"/>
          <w:b/>
          <w:bCs/>
          <w:sz w:val="28"/>
          <w:szCs w:val="28"/>
        </w:rPr>
      </w:pPr>
    </w:p>
    <w:p w14:paraId="0000001C" w14:textId="77777777" w:rsidR="00DD5A0A" w:rsidRDefault="00DD5A0A">
      <w:pPr>
        <w:jc w:val="center"/>
        <w:rPr>
          <w:rFonts w:ascii="Times New Roman" w:eastAsia="Times New Roman" w:hAnsi="Times New Roman" w:cs="Times New Roman"/>
          <w:b/>
          <w:bCs/>
          <w:sz w:val="28"/>
          <w:szCs w:val="28"/>
        </w:rPr>
      </w:pPr>
    </w:p>
    <w:p w14:paraId="0000001D" w14:textId="77777777" w:rsidR="00DD5A0A" w:rsidRDefault="00DD5A0A">
      <w:pPr>
        <w:jc w:val="center"/>
        <w:rPr>
          <w:rFonts w:ascii="Times New Roman" w:eastAsia="Times New Roman" w:hAnsi="Times New Roman" w:cs="Times New Roman"/>
          <w:b/>
          <w:bCs/>
          <w:sz w:val="28"/>
          <w:szCs w:val="28"/>
        </w:rPr>
      </w:pPr>
    </w:p>
    <w:p w14:paraId="0000001E" w14:textId="77777777" w:rsidR="00DD5A0A" w:rsidRDefault="00DD5A0A">
      <w:pPr>
        <w:rPr>
          <w:rFonts w:ascii="Times New Roman" w:eastAsia="Times New Roman" w:hAnsi="Times New Roman" w:cs="Times New Roman"/>
          <w:b/>
          <w:bCs/>
          <w:sz w:val="28"/>
          <w:szCs w:val="28"/>
        </w:rPr>
      </w:pPr>
    </w:p>
    <w:p w14:paraId="0000001F" w14:textId="77777777" w:rsidR="00DD5A0A" w:rsidRDefault="00DD5A0A">
      <w:pPr>
        <w:rPr>
          <w:rFonts w:ascii="Times New Roman" w:eastAsia="Times New Roman" w:hAnsi="Times New Roman" w:cs="Times New Roman"/>
          <w:b/>
          <w:bCs/>
          <w:sz w:val="28"/>
          <w:szCs w:val="28"/>
        </w:rPr>
      </w:pPr>
    </w:p>
    <w:p w14:paraId="00000020" w14:textId="77777777" w:rsidR="00DD5A0A" w:rsidRDefault="00DD5A0A">
      <w:pPr>
        <w:rPr>
          <w:rFonts w:ascii="Times New Roman" w:eastAsia="Times New Roman" w:hAnsi="Times New Roman" w:cs="Times New Roman"/>
          <w:b/>
          <w:bCs/>
          <w:sz w:val="28"/>
          <w:szCs w:val="28"/>
        </w:rPr>
      </w:pPr>
    </w:p>
    <w:p w14:paraId="00000021" w14:textId="77777777" w:rsidR="00DD5A0A" w:rsidRDefault="00DD5A0A">
      <w:pPr>
        <w:spacing w:line="480" w:lineRule="auto"/>
        <w:rPr>
          <w:rFonts w:ascii="Century Schoolbook" w:eastAsia="Century Schoolbook" w:hAnsi="Century Schoolbook" w:cs="Century Schoolbook"/>
          <w:sz w:val="28"/>
          <w:szCs w:val="28"/>
        </w:rPr>
      </w:pPr>
    </w:p>
    <w:p w14:paraId="00000022" w14:textId="77777777" w:rsidR="00DD5A0A" w:rsidRPr="0063249C" w:rsidRDefault="00EF3DAB">
      <w:pPr>
        <w:spacing w:line="480" w:lineRule="auto"/>
        <w:jc w:val="center"/>
        <w:rPr>
          <w:rFonts w:ascii="Times New Roman" w:eastAsia="Times New Roman" w:hAnsi="Times New Roman" w:cs="Times New Roman"/>
          <w:b/>
          <w:bCs/>
          <w:sz w:val="28"/>
          <w:szCs w:val="28"/>
        </w:rPr>
      </w:pPr>
      <w:r w:rsidRPr="0063249C">
        <w:rPr>
          <w:rFonts w:ascii="Times New Roman" w:eastAsia="Times New Roman" w:hAnsi="Times New Roman" w:cs="Times New Roman"/>
          <w:b/>
          <w:bCs/>
          <w:sz w:val="28"/>
          <w:szCs w:val="28"/>
        </w:rPr>
        <w:lastRenderedPageBreak/>
        <w:t>TABLE OF CONTENTS</w:t>
      </w:r>
    </w:p>
    <w:p w14:paraId="00000023" w14:textId="7CD2B814" w:rsidR="00DD5A0A" w:rsidRPr="0063249C" w:rsidRDefault="00DD5A0A">
      <w:pPr>
        <w:widowControl w:val="0"/>
        <w:tabs>
          <w:tab w:val="right" w:pos="12000"/>
        </w:tabs>
        <w:spacing w:before="60" w:line="480" w:lineRule="auto"/>
        <w:rPr>
          <w:rFonts w:ascii="Times New Roman" w:eastAsia="Times New Roman" w:hAnsi="Times New Roman" w:cs="Times New Roman"/>
          <w:sz w:val="28"/>
          <w:szCs w:val="28"/>
        </w:rPr>
      </w:pPr>
      <w:hyperlink r:id="rId7" w:anchor="heading=h.lavbvxgyuadx">
        <w:r w:rsidRPr="0063249C">
          <w:rPr>
            <w:rFonts w:ascii="Times New Roman" w:eastAsia="Times New Roman" w:hAnsi="Times New Roman" w:cs="Times New Roman"/>
            <w:sz w:val="28"/>
            <w:szCs w:val="28"/>
          </w:rPr>
          <w:t>INTRODUCTION………………………………………………………………...</w:t>
        </w:r>
        <w:r w:rsidRPr="0063249C">
          <w:rPr>
            <w:rFonts w:ascii="Times New Roman" w:eastAsia="Times New Roman" w:hAnsi="Times New Roman" w:cs="Times New Roman"/>
            <w:sz w:val="28"/>
            <w:szCs w:val="28"/>
          </w:rPr>
          <w:tab/>
        </w:r>
      </w:hyperlink>
      <w:r w:rsidR="0063249C" w:rsidRPr="0063249C">
        <w:rPr>
          <w:rFonts w:ascii="Times New Roman" w:eastAsia="Times New Roman" w:hAnsi="Times New Roman" w:cs="Times New Roman"/>
          <w:sz w:val="28"/>
          <w:szCs w:val="28"/>
        </w:rPr>
        <w:t>1</w:t>
      </w:r>
    </w:p>
    <w:p w14:paraId="00000024" w14:textId="291BDEE6" w:rsidR="00DD5A0A" w:rsidRPr="0063249C" w:rsidRDefault="00DD5A0A">
      <w:pPr>
        <w:widowControl w:val="0"/>
        <w:tabs>
          <w:tab w:val="right" w:pos="12000"/>
        </w:tabs>
        <w:spacing w:before="60" w:line="480" w:lineRule="auto"/>
        <w:rPr>
          <w:rFonts w:ascii="Times New Roman" w:eastAsia="Times New Roman" w:hAnsi="Times New Roman" w:cs="Times New Roman"/>
          <w:sz w:val="28"/>
          <w:szCs w:val="28"/>
        </w:rPr>
      </w:pPr>
      <w:hyperlink r:id="rId8" w:anchor="heading=h.vtc5fdfl4t4a">
        <w:r w:rsidRPr="0063249C">
          <w:rPr>
            <w:rFonts w:ascii="Times New Roman" w:eastAsia="Times New Roman" w:hAnsi="Times New Roman" w:cs="Times New Roman"/>
            <w:sz w:val="28"/>
            <w:szCs w:val="28"/>
          </w:rPr>
          <w:t>FACTS…………………………………………………………………………….</w:t>
        </w:r>
        <w:r w:rsidRPr="0063249C">
          <w:rPr>
            <w:rFonts w:ascii="Times New Roman" w:eastAsia="Times New Roman" w:hAnsi="Times New Roman" w:cs="Times New Roman"/>
            <w:sz w:val="28"/>
            <w:szCs w:val="28"/>
          </w:rPr>
          <w:tab/>
        </w:r>
      </w:hyperlink>
      <w:r w:rsidR="0063249C" w:rsidRPr="0063249C">
        <w:rPr>
          <w:rFonts w:ascii="Times New Roman" w:eastAsia="Times New Roman" w:hAnsi="Times New Roman" w:cs="Times New Roman"/>
          <w:sz w:val="28"/>
          <w:szCs w:val="28"/>
        </w:rPr>
        <w:t>1</w:t>
      </w:r>
    </w:p>
    <w:p w14:paraId="00000025" w14:textId="7BE05D75" w:rsidR="00DD5A0A" w:rsidRPr="0063249C" w:rsidRDefault="00DD5A0A">
      <w:pPr>
        <w:widowControl w:val="0"/>
        <w:tabs>
          <w:tab w:val="right" w:pos="12000"/>
        </w:tabs>
        <w:spacing w:before="60" w:line="480" w:lineRule="auto"/>
        <w:rPr>
          <w:rFonts w:ascii="Times New Roman" w:eastAsia="Times New Roman" w:hAnsi="Times New Roman" w:cs="Times New Roman"/>
          <w:sz w:val="28"/>
          <w:szCs w:val="28"/>
        </w:rPr>
      </w:pPr>
      <w:hyperlink r:id="rId9" w:anchor="heading=h.sdabw0kmif2t">
        <w:r w:rsidRPr="0063249C">
          <w:rPr>
            <w:rFonts w:ascii="Times New Roman" w:eastAsia="Times New Roman" w:hAnsi="Times New Roman" w:cs="Times New Roman"/>
            <w:sz w:val="28"/>
            <w:szCs w:val="28"/>
          </w:rPr>
          <w:t>ARGUMENT……………………………………………………………………...</w:t>
        </w:r>
        <w:r w:rsidRPr="0063249C">
          <w:rPr>
            <w:rFonts w:ascii="Times New Roman" w:eastAsia="Times New Roman" w:hAnsi="Times New Roman" w:cs="Times New Roman"/>
            <w:sz w:val="28"/>
            <w:szCs w:val="28"/>
          </w:rPr>
          <w:tab/>
        </w:r>
      </w:hyperlink>
      <w:r w:rsidR="0063249C" w:rsidRPr="0063249C">
        <w:rPr>
          <w:rFonts w:ascii="Times New Roman" w:eastAsia="Times New Roman" w:hAnsi="Times New Roman" w:cs="Times New Roman"/>
          <w:sz w:val="28"/>
          <w:szCs w:val="28"/>
        </w:rPr>
        <w:t>2</w:t>
      </w:r>
    </w:p>
    <w:p w14:paraId="00000026" w14:textId="0AF1E45F" w:rsidR="00DD5A0A" w:rsidRPr="0063249C" w:rsidRDefault="00DD5A0A">
      <w:pPr>
        <w:widowControl w:val="0"/>
        <w:tabs>
          <w:tab w:val="right" w:pos="12000"/>
        </w:tabs>
        <w:spacing w:before="60" w:line="480" w:lineRule="auto"/>
        <w:rPr>
          <w:rFonts w:ascii="Times New Roman" w:eastAsia="Times New Roman" w:hAnsi="Times New Roman" w:cs="Times New Roman"/>
          <w:sz w:val="28"/>
          <w:szCs w:val="28"/>
        </w:rPr>
      </w:pPr>
      <w:hyperlink r:id="rId10" w:anchor="heading=h.tqj4wute27od">
        <w:r w:rsidRPr="0063249C">
          <w:rPr>
            <w:rFonts w:ascii="Times New Roman" w:eastAsia="Times New Roman" w:hAnsi="Times New Roman" w:cs="Times New Roman"/>
            <w:sz w:val="28"/>
            <w:szCs w:val="28"/>
          </w:rPr>
          <w:t xml:space="preserve">CONCLUSION……………………………………………….…………………..13 </w:t>
        </w:r>
        <w:r w:rsidRPr="0063249C">
          <w:rPr>
            <w:rFonts w:ascii="Times New Roman" w:eastAsia="Times New Roman" w:hAnsi="Times New Roman" w:cs="Times New Roman"/>
            <w:sz w:val="28"/>
            <w:szCs w:val="28"/>
          </w:rPr>
          <w:tab/>
        </w:r>
      </w:hyperlink>
    </w:p>
    <w:p w14:paraId="00000045" w14:textId="290D6CBA" w:rsidR="00DD5A0A" w:rsidRPr="0063249C" w:rsidRDefault="00EF3DAB" w:rsidP="0063249C">
      <w:pPr>
        <w:spacing w:line="480" w:lineRule="auto"/>
        <w:jc w:val="center"/>
        <w:rPr>
          <w:rFonts w:ascii="Century Schoolbook" w:eastAsia="Century Schoolbook" w:hAnsi="Century Schoolbook" w:cs="Century Schoolbook"/>
          <w:sz w:val="28"/>
          <w:szCs w:val="28"/>
        </w:rPr>
      </w:pPr>
      <w:r>
        <w:br w:type="page"/>
      </w:r>
    </w:p>
    <w:p w14:paraId="3B36EFCE" w14:textId="19EC7DE3" w:rsidR="0063249C" w:rsidRPr="00923D22" w:rsidRDefault="0063249C" w:rsidP="0063249C">
      <w:pPr>
        <w:pStyle w:val="TOAHeading"/>
        <w:tabs>
          <w:tab w:val="right" w:leader="dot" w:pos="9350"/>
        </w:tabs>
        <w:spacing w:line="480" w:lineRule="auto"/>
        <w:jc w:val="center"/>
        <w:rPr>
          <w:rFonts w:ascii="Times New Roman" w:eastAsiaTheme="minorEastAsia" w:hAnsi="Times New Roman" w:cs="Times New Roman"/>
          <w:b/>
          <w:bCs/>
          <w:noProof/>
          <w:sz w:val="28"/>
          <w:szCs w:val="28"/>
        </w:rPr>
      </w:pPr>
      <w:r w:rsidRPr="00923D22">
        <w:rPr>
          <w:rFonts w:ascii="Times New Roman" w:hAnsi="Times New Roman" w:cs="Times New Roman"/>
          <w:sz w:val="28"/>
          <w:szCs w:val="28"/>
        </w:rPr>
        <w:lastRenderedPageBreak/>
        <w:fldChar w:fldCharType="begin"/>
      </w:r>
      <w:r w:rsidRPr="00923D22">
        <w:rPr>
          <w:rFonts w:ascii="Times New Roman" w:hAnsi="Times New Roman" w:cs="Times New Roman"/>
          <w:sz w:val="28"/>
          <w:szCs w:val="28"/>
        </w:rPr>
        <w:instrText xml:space="preserve"> TOA \h \c "1" </w:instrText>
      </w:r>
      <w:r w:rsidRPr="00923D22">
        <w:rPr>
          <w:rFonts w:ascii="Times New Roman" w:hAnsi="Times New Roman" w:cs="Times New Roman"/>
          <w:sz w:val="28"/>
          <w:szCs w:val="28"/>
        </w:rPr>
        <w:fldChar w:fldCharType="separate"/>
      </w:r>
      <w:r w:rsidRPr="00923D22">
        <w:rPr>
          <w:rFonts w:ascii="Times New Roman" w:hAnsi="Times New Roman" w:cs="Times New Roman"/>
          <w:noProof/>
          <w:sz w:val="28"/>
          <w:szCs w:val="28"/>
        </w:rPr>
        <w:t>C</w:t>
      </w:r>
      <w:r w:rsidR="00923D22" w:rsidRPr="00923D22">
        <w:rPr>
          <w:rFonts w:ascii="Times New Roman" w:hAnsi="Times New Roman" w:cs="Times New Roman"/>
          <w:noProof/>
          <w:sz w:val="28"/>
          <w:szCs w:val="28"/>
        </w:rPr>
        <w:t>ASES</w:t>
      </w:r>
    </w:p>
    <w:p w14:paraId="5A3BEB84" w14:textId="77777777" w:rsidR="0063249C" w:rsidRPr="00923D22" w:rsidRDefault="0063249C" w:rsidP="0063249C">
      <w:pPr>
        <w:pStyle w:val="TableofAuthorities"/>
        <w:tabs>
          <w:tab w:val="right" w:leader="dot" w:pos="9350"/>
        </w:tabs>
        <w:spacing w:line="480" w:lineRule="auto"/>
        <w:rPr>
          <w:rFonts w:ascii="Times New Roman" w:eastAsia="Times New Roman" w:hAnsi="Times New Roman" w:cs="Times New Roman"/>
          <w:noProof/>
          <w:sz w:val="28"/>
          <w:szCs w:val="28"/>
        </w:rPr>
      </w:pPr>
      <w:r w:rsidRPr="00923D22">
        <w:rPr>
          <w:rFonts w:ascii="Times New Roman" w:eastAsia="Times New Roman" w:hAnsi="Times New Roman" w:cs="Times New Roman"/>
          <w:i/>
          <w:iCs/>
          <w:noProof/>
          <w:sz w:val="28"/>
          <w:szCs w:val="28"/>
        </w:rPr>
        <w:t>Drummond Co. v. Conrad &amp; Scherer, LLP</w:t>
      </w:r>
      <w:r w:rsidRPr="00923D22">
        <w:rPr>
          <w:rFonts w:ascii="Times New Roman" w:eastAsia="Times New Roman" w:hAnsi="Times New Roman" w:cs="Times New Roman"/>
          <w:noProof/>
          <w:sz w:val="28"/>
          <w:szCs w:val="28"/>
        </w:rPr>
        <w:t>,</w:t>
      </w:r>
    </w:p>
    <w:p w14:paraId="459A83BC" w14:textId="5C59D0B1" w:rsidR="0063249C" w:rsidRPr="00923D22" w:rsidRDefault="0063249C" w:rsidP="0063249C">
      <w:pPr>
        <w:pStyle w:val="TableofAuthorities"/>
        <w:tabs>
          <w:tab w:val="right" w:leader="dot" w:pos="9350"/>
        </w:tabs>
        <w:spacing w:line="480" w:lineRule="auto"/>
        <w:ind w:left="0" w:firstLine="0"/>
        <w:rPr>
          <w:rFonts w:ascii="Times New Roman" w:hAnsi="Times New Roman" w:cs="Times New Roman"/>
          <w:noProof/>
          <w:sz w:val="28"/>
          <w:szCs w:val="28"/>
        </w:rPr>
      </w:pPr>
      <w:r w:rsidRPr="00923D22">
        <w:rPr>
          <w:rFonts w:ascii="Times New Roman" w:eastAsia="Times New Roman" w:hAnsi="Times New Roman" w:cs="Times New Roman"/>
          <w:noProof/>
          <w:sz w:val="28"/>
          <w:szCs w:val="28"/>
        </w:rPr>
        <w:t xml:space="preserve">        885 F.3d 1324 (1975).</w:t>
      </w:r>
      <w:r w:rsidRPr="00923D22">
        <w:rPr>
          <w:rFonts w:ascii="Times New Roman" w:hAnsi="Times New Roman" w:cs="Times New Roman"/>
          <w:noProof/>
          <w:sz w:val="28"/>
          <w:szCs w:val="28"/>
        </w:rPr>
        <w:tab/>
        <w:t>12</w:t>
      </w:r>
    </w:p>
    <w:p w14:paraId="126039F6" w14:textId="77777777" w:rsidR="0063249C" w:rsidRPr="00923D22" w:rsidRDefault="0063249C" w:rsidP="0063249C">
      <w:pPr>
        <w:pStyle w:val="TableofAuthorities"/>
        <w:tabs>
          <w:tab w:val="right" w:leader="dot" w:pos="9350"/>
        </w:tabs>
        <w:spacing w:line="480" w:lineRule="auto"/>
        <w:rPr>
          <w:rFonts w:ascii="Times New Roman" w:eastAsia="Times New Roman" w:hAnsi="Times New Roman" w:cs="Times New Roman"/>
          <w:noProof/>
          <w:sz w:val="28"/>
          <w:szCs w:val="28"/>
        </w:rPr>
      </w:pPr>
      <w:r w:rsidRPr="00923D22">
        <w:rPr>
          <w:rFonts w:ascii="Times New Roman" w:eastAsia="Times New Roman" w:hAnsi="Times New Roman" w:cs="Times New Roman"/>
          <w:i/>
          <w:iCs/>
          <w:noProof/>
          <w:sz w:val="28"/>
          <w:szCs w:val="28"/>
        </w:rPr>
        <w:t>Hickman v. Taylor</w:t>
      </w:r>
      <w:r w:rsidRPr="00923D22">
        <w:rPr>
          <w:rFonts w:ascii="Times New Roman" w:eastAsia="Times New Roman" w:hAnsi="Times New Roman" w:cs="Times New Roman"/>
          <w:noProof/>
          <w:sz w:val="28"/>
          <w:szCs w:val="28"/>
        </w:rPr>
        <w:t>,</w:t>
      </w:r>
    </w:p>
    <w:p w14:paraId="53BC8B3A" w14:textId="2F892BD2" w:rsidR="0063249C" w:rsidRPr="00923D22" w:rsidRDefault="0063249C" w:rsidP="0063249C">
      <w:pPr>
        <w:pStyle w:val="TableofAuthorities"/>
        <w:tabs>
          <w:tab w:val="right" w:leader="dot" w:pos="9350"/>
        </w:tabs>
        <w:spacing w:line="480" w:lineRule="auto"/>
        <w:rPr>
          <w:rFonts w:ascii="Times New Roman" w:hAnsi="Times New Roman" w:cs="Times New Roman"/>
          <w:noProof/>
          <w:sz w:val="28"/>
          <w:szCs w:val="28"/>
        </w:rPr>
      </w:pPr>
      <w:r w:rsidRPr="00923D22">
        <w:rPr>
          <w:rFonts w:ascii="Times New Roman" w:eastAsia="Times New Roman" w:hAnsi="Times New Roman" w:cs="Times New Roman"/>
          <w:noProof/>
          <w:sz w:val="28"/>
          <w:szCs w:val="28"/>
        </w:rPr>
        <w:t xml:space="preserve">        329 U.S. 495 (1947).</w:t>
      </w:r>
      <w:r w:rsidRPr="00923D22">
        <w:rPr>
          <w:rFonts w:ascii="Times New Roman" w:hAnsi="Times New Roman" w:cs="Times New Roman"/>
          <w:noProof/>
          <w:sz w:val="28"/>
          <w:szCs w:val="28"/>
        </w:rPr>
        <w:tab/>
        <w:t>10</w:t>
      </w:r>
    </w:p>
    <w:p w14:paraId="386ACBF3" w14:textId="77777777" w:rsidR="0063249C" w:rsidRPr="00923D22" w:rsidRDefault="0063249C" w:rsidP="0063249C">
      <w:pPr>
        <w:pStyle w:val="TableofAuthorities"/>
        <w:tabs>
          <w:tab w:val="right" w:leader="dot" w:pos="9350"/>
        </w:tabs>
        <w:spacing w:line="480" w:lineRule="auto"/>
        <w:rPr>
          <w:rFonts w:ascii="Times New Roman" w:eastAsia="Times New Roman" w:hAnsi="Times New Roman" w:cs="Times New Roman"/>
          <w:noProof/>
          <w:sz w:val="28"/>
          <w:szCs w:val="28"/>
        </w:rPr>
      </w:pPr>
      <w:r w:rsidRPr="00923D22">
        <w:rPr>
          <w:rFonts w:ascii="Times New Roman" w:eastAsia="Times New Roman" w:hAnsi="Times New Roman" w:cs="Times New Roman"/>
          <w:i/>
          <w:iCs/>
          <w:noProof/>
          <w:sz w:val="28"/>
          <w:szCs w:val="28"/>
        </w:rPr>
        <w:t>In re Grand Jury Investigation</w:t>
      </w:r>
      <w:r w:rsidRPr="00923D22">
        <w:rPr>
          <w:rFonts w:ascii="Times New Roman" w:eastAsia="Times New Roman" w:hAnsi="Times New Roman" w:cs="Times New Roman"/>
          <w:noProof/>
          <w:sz w:val="28"/>
          <w:szCs w:val="28"/>
        </w:rPr>
        <w:t xml:space="preserve">, </w:t>
      </w:r>
    </w:p>
    <w:p w14:paraId="0336184D" w14:textId="32016463" w:rsidR="0063249C" w:rsidRPr="00923D22" w:rsidRDefault="0063249C" w:rsidP="0063249C">
      <w:pPr>
        <w:pStyle w:val="TableofAuthorities"/>
        <w:tabs>
          <w:tab w:val="right" w:leader="dot" w:pos="9350"/>
        </w:tabs>
        <w:spacing w:line="480" w:lineRule="auto"/>
        <w:rPr>
          <w:rFonts w:ascii="Times New Roman" w:hAnsi="Times New Roman" w:cs="Times New Roman"/>
          <w:noProof/>
          <w:sz w:val="28"/>
          <w:szCs w:val="28"/>
        </w:rPr>
      </w:pPr>
      <w:r w:rsidRPr="00923D22">
        <w:rPr>
          <w:rFonts w:ascii="Times New Roman" w:eastAsia="Times New Roman" w:hAnsi="Times New Roman" w:cs="Times New Roman"/>
          <w:noProof/>
          <w:sz w:val="28"/>
          <w:szCs w:val="28"/>
        </w:rPr>
        <w:t xml:space="preserve">        599 F.2d 1224, 1232 (3rd Cir. 1979).</w:t>
      </w:r>
      <w:r w:rsidRPr="00923D22">
        <w:rPr>
          <w:rFonts w:ascii="Times New Roman" w:hAnsi="Times New Roman" w:cs="Times New Roman"/>
          <w:noProof/>
          <w:sz w:val="28"/>
          <w:szCs w:val="28"/>
        </w:rPr>
        <w:tab/>
        <w:t>11</w:t>
      </w:r>
    </w:p>
    <w:p w14:paraId="71FDF719" w14:textId="77777777" w:rsidR="0063249C" w:rsidRPr="00923D22" w:rsidRDefault="0063249C" w:rsidP="0063249C">
      <w:pPr>
        <w:pStyle w:val="TableofAuthorities"/>
        <w:tabs>
          <w:tab w:val="right" w:leader="dot" w:pos="9350"/>
        </w:tabs>
        <w:spacing w:line="480" w:lineRule="auto"/>
        <w:rPr>
          <w:rFonts w:ascii="Times New Roman" w:eastAsia="Times New Roman" w:hAnsi="Times New Roman" w:cs="Times New Roman"/>
          <w:noProof/>
          <w:sz w:val="28"/>
          <w:szCs w:val="28"/>
        </w:rPr>
      </w:pPr>
      <w:r w:rsidRPr="00923D22">
        <w:rPr>
          <w:rFonts w:ascii="Times New Roman" w:eastAsia="Times New Roman" w:hAnsi="Times New Roman" w:cs="Times New Roman"/>
          <w:i/>
          <w:iCs/>
          <w:noProof/>
          <w:sz w:val="28"/>
          <w:szCs w:val="28"/>
        </w:rPr>
        <w:t>Kastigar v. United States</w:t>
      </w:r>
      <w:r w:rsidRPr="00923D22">
        <w:rPr>
          <w:rFonts w:ascii="Times New Roman" w:eastAsia="Times New Roman" w:hAnsi="Times New Roman" w:cs="Times New Roman"/>
          <w:noProof/>
          <w:sz w:val="28"/>
          <w:szCs w:val="28"/>
        </w:rPr>
        <w:t xml:space="preserve">, </w:t>
      </w:r>
    </w:p>
    <w:p w14:paraId="4D4EE87C" w14:textId="44FF3156" w:rsidR="0063249C" w:rsidRPr="00923D22" w:rsidRDefault="0063249C" w:rsidP="0063249C">
      <w:pPr>
        <w:pStyle w:val="TableofAuthorities"/>
        <w:tabs>
          <w:tab w:val="right" w:leader="dot" w:pos="9350"/>
        </w:tabs>
        <w:spacing w:line="480" w:lineRule="auto"/>
        <w:rPr>
          <w:rFonts w:ascii="Times New Roman" w:hAnsi="Times New Roman" w:cs="Times New Roman"/>
          <w:noProof/>
          <w:sz w:val="28"/>
          <w:szCs w:val="28"/>
        </w:rPr>
      </w:pPr>
      <w:r w:rsidRPr="00923D22">
        <w:rPr>
          <w:rFonts w:ascii="Times New Roman" w:eastAsia="Times New Roman" w:hAnsi="Times New Roman" w:cs="Times New Roman"/>
          <w:noProof/>
          <w:sz w:val="28"/>
          <w:szCs w:val="28"/>
        </w:rPr>
        <w:t xml:space="preserve">        406 U.S. 441 (1972)</w:t>
      </w:r>
      <w:r w:rsidRPr="00923D22">
        <w:rPr>
          <w:rFonts w:ascii="Times New Roman" w:hAnsi="Times New Roman" w:cs="Times New Roman"/>
          <w:noProof/>
          <w:sz w:val="28"/>
          <w:szCs w:val="28"/>
        </w:rPr>
        <w:tab/>
        <w:t>4, 6</w:t>
      </w:r>
    </w:p>
    <w:p w14:paraId="67D41B5E" w14:textId="77777777" w:rsidR="0063249C" w:rsidRPr="00923D22" w:rsidRDefault="0063249C" w:rsidP="0063249C">
      <w:pPr>
        <w:pStyle w:val="TableofAuthorities"/>
        <w:tabs>
          <w:tab w:val="right" w:leader="dot" w:pos="9350"/>
        </w:tabs>
        <w:spacing w:line="480" w:lineRule="auto"/>
        <w:rPr>
          <w:rFonts w:ascii="Times New Roman" w:eastAsia="Times New Roman" w:hAnsi="Times New Roman" w:cs="Times New Roman"/>
          <w:noProof/>
          <w:sz w:val="28"/>
          <w:szCs w:val="28"/>
        </w:rPr>
      </w:pPr>
      <w:r w:rsidRPr="00923D22">
        <w:rPr>
          <w:rFonts w:ascii="Times New Roman" w:eastAsia="Times New Roman" w:hAnsi="Times New Roman" w:cs="Times New Roman"/>
          <w:i/>
          <w:iCs/>
          <w:noProof/>
          <w:sz w:val="28"/>
          <w:szCs w:val="28"/>
        </w:rPr>
        <w:t>Ullmann v. United States</w:t>
      </w:r>
      <w:r w:rsidRPr="00923D22">
        <w:rPr>
          <w:rFonts w:ascii="Times New Roman" w:eastAsia="Times New Roman" w:hAnsi="Times New Roman" w:cs="Times New Roman"/>
          <w:noProof/>
          <w:sz w:val="28"/>
          <w:szCs w:val="28"/>
        </w:rPr>
        <w:t xml:space="preserve">, </w:t>
      </w:r>
    </w:p>
    <w:p w14:paraId="6739C4D3" w14:textId="310C7166" w:rsidR="0063249C" w:rsidRPr="00923D22" w:rsidRDefault="0063249C" w:rsidP="0063249C">
      <w:pPr>
        <w:pStyle w:val="TableofAuthorities"/>
        <w:tabs>
          <w:tab w:val="right" w:leader="dot" w:pos="9350"/>
        </w:tabs>
        <w:spacing w:line="480" w:lineRule="auto"/>
        <w:rPr>
          <w:rFonts w:ascii="Times New Roman" w:hAnsi="Times New Roman" w:cs="Times New Roman"/>
          <w:noProof/>
          <w:sz w:val="28"/>
          <w:szCs w:val="28"/>
        </w:rPr>
      </w:pPr>
      <w:r w:rsidRPr="00923D22">
        <w:rPr>
          <w:rFonts w:ascii="Times New Roman" w:eastAsia="Times New Roman" w:hAnsi="Times New Roman" w:cs="Times New Roman"/>
          <w:noProof/>
          <w:sz w:val="28"/>
          <w:szCs w:val="28"/>
        </w:rPr>
        <w:t xml:space="preserve">        350 U.S. 422, 434 (1956).</w:t>
      </w:r>
      <w:r w:rsidRPr="00923D22">
        <w:rPr>
          <w:rFonts w:ascii="Times New Roman" w:hAnsi="Times New Roman" w:cs="Times New Roman"/>
          <w:noProof/>
          <w:sz w:val="28"/>
          <w:szCs w:val="28"/>
        </w:rPr>
        <w:tab/>
        <w:t>5</w:t>
      </w:r>
    </w:p>
    <w:p w14:paraId="22187335" w14:textId="77777777" w:rsidR="0063249C" w:rsidRPr="00923D22" w:rsidRDefault="0063249C" w:rsidP="0063249C">
      <w:pPr>
        <w:pStyle w:val="TableofAuthorities"/>
        <w:tabs>
          <w:tab w:val="right" w:leader="dot" w:pos="9350"/>
        </w:tabs>
        <w:spacing w:line="480" w:lineRule="auto"/>
        <w:rPr>
          <w:rFonts w:ascii="Times New Roman" w:eastAsia="Times New Roman" w:hAnsi="Times New Roman" w:cs="Times New Roman"/>
          <w:noProof/>
          <w:sz w:val="28"/>
          <w:szCs w:val="28"/>
        </w:rPr>
      </w:pPr>
      <w:r w:rsidRPr="00923D22">
        <w:rPr>
          <w:rFonts w:ascii="Times New Roman" w:eastAsia="Times New Roman" w:hAnsi="Times New Roman" w:cs="Times New Roman"/>
          <w:i/>
          <w:iCs/>
          <w:noProof/>
          <w:sz w:val="28"/>
          <w:szCs w:val="28"/>
        </w:rPr>
        <w:t>United States v. Hampton</w:t>
      </w:r>
      <w:r w:rsidRPr="00923D22">
        <w:rPr>
          <w:rFonts w:ascii="Times New Roman" w:eastAsia="Times New Roman" w:hAnsi="Times New Roman" w:cs="Times New Roman"/>
          <w:noProof/>
          <w:sz w:val="28"/>
          <w:szCs w:val="28"/>
        </w:rPr>
        <w:t xml:space="preserve">, </w:t>
      </w:r>
    </w:p>
    <w:p w14:paraId="2E40B316" w14:textId="27DD2022" w:rsidR="0063249C" w:rsidRPr="00923D22" w:rsidRDefault="0063249C" w:rsidP="0063249C">
      <w:pPr>
        <w:pStyle w:val="TableofAuthorities"/>
        <w:tabs>
          <w:tab w:val="right" w:leader="dot" w:pos="9350"/>
        </w:tabs>
        <w:spacing w:line="480" w:lineRule="auto"/>
        <w:rPr>
          <w:rFonts w:ascii="Times New Roman" w:hAnsi="Times New Roman" w:cs="Times New Roman"/>
          <w:noProof/>
          <w:sz w:val="28"/>
          <w:szCs w:val="28"/>
        </w:rPr>
      </w:pPr>
      <w:r w:rsidRPr="00923D22">
        <w:rPr>
          <w:rFonts w:ascii="Times New Roman" w:eastAsia="Times New Roman" w:hAnsi="Times New Roman" w:cs="Times New Roman"/>
          <w:noProof/>
          <w:sz w:val="28"/>
          <w:szCs w:val="28"/>
        </w:rPr>
        <w:t xml:space="preserve">        775 F.2d 1479, 1485 (11th Cir. 1985).</w:t>
      </w:r>
      <w:r w:rsidRPr="00923D22">
        <w:rPr>
          <w:rFonts w:ascii="Times New Roman" w:hAnsi="Times New Roman" w:cs="Times New Roman"/>
          <w:noProof/>
          <w:sz w:val="28"/>
          <w:szCs w:val="28"/>
        </w:rPr>
        <w:tab/>
        <w:t>7</w:t>
      </w:r>
    </w:p>
    <w:p w14:paraId="04595ACB" w14:textId="77777777" w:rsidR="0063249C" w:rsidRPr="00923D22" w:rsidRDefault="0063249C" w:rsidP="0063249C">
      <w:pPr>
        <w:pStyle w:val="TableofAuthorities"/>
        <w:tabs>
          <w:tab w:val="right" w:leader="dot" w:pos="9350"/>
        </w:tabs>
        <w:spacing w:line="480" w:lineRule="auto"/>
        <w:rPr>
          <w:rFonts w:ascii="Times New Roman" w:eastAsia="Times New Roman" w:hAnsi="Times New Roman" w:cs="Times New Roman"/>
          <w:noProof/>
          <w:sz w:val="28"/>
          <w:szCs w:val="28"/>
        </w:rPr>
      </w:pPr>
      <w:r w:rsidRPr="00923D22">
        <w:rPr>
          <w:rFonts w:ascii="Times New Roman" w:eastAsia="Times New Roman" w:hAnsi="Times New Roman" w:cs="Times New Roman"/>
          <w:i/>
          <w:iCs/>
          <w:noProof/>
          <w:sz w:val="28"/>
          <w:szCs w:val="28"/>
        </w:rPr>
        <w:t>United States v. Nobles</w:t>
      </w:r>
      <w:r w:rsidRPr="00923D22">
        <w:rPr>
          <w:rFonts w:ascii="Times New Roman" w:eastAsia="Times New Roman" w:hAnsi="Times New Roman" w:cs="Times New Roman"/>
          <w:noProof/>
          <w:sz w:val="28"/>
          <w:szCs w:val="28"/>
        </w:rPr>
        <w:t xml:space="preserve">, </w:t>
      </w:r>
    </w:p>
    <w:p w14:paraId="03232412" w14:textId="2D98FE14" w:rsidR="0063249C" w:rsidRPr="00923D22" w:rsidRDefault="0063249C" w:rsidP="0063249C">
      <w:pPr>
        <w:pStyle w:val="TableofAuthorities"/>
        <w:tabs>
          <w:tab w:val="right" w:leader="dot" w:pos="9350"/>
        </w:tabs>
        <w:spacing w:line="480" w:lineRule="auto"/>
        <w:rPr>
          <w:rFonts w:ascii="Times New Roman" w:hAnsi="Times New Roman" w:cs="Times New Roman"/>
          <w:noProof/>
          <w:sz w:val="28"/>
          <w:szCs w:val="28"/>
        </w:rPr>
      </w:pPr>
      <w:r w:rsidRPr="00923D22">
        <w:rPr>
          <w:rFonts w:ascii="Times New Roman" w:eastAsia="Times New Roman" w:hAnsi="Times New Roman" w:cs="Times New Roman"/>
          <w:noProof/>
          <w:sz w:val="28"/>
          <w:szCs w:val="28"/>
        </w:rPr>
        <w:t xml:space="preserve">        422 U.S. 225 (1975</w:t>
      </w:r>
      <w:r w:rsidRPr="00923D22">
        <w:rPr>
          <w:rFonts w:ascii="Times New Roman" w:hAnsi="Times New Roman" w:cs="Times New Roman"/>
          <w:noProof/>
          <w:sz w:val="28"/>
          <w:szCs w:val="28"/>
        </w:rPr>
        <w:tab/>
        <w:t>10</w:t>
      </w:r>
    </w:p>
    <w:p w14:paraId="0AB9F6FD" w14:textId="77777777" w:rsidR="0063249C" w:rsidRPr="00923D22" w:rsidRDefault="0063249C" w:rsidP="0063249C">
      <w:pPr>
        <w:pStyle w:val="TableofAuthorities"/>
        <w:tabs>
          <w:tab w:val="right" w:leader="dot" w:pos="9350"/>
        </w:tabs>
        <w:spacing w:line="480" w:lineRule="auto"/>
        <w:rPr>
          <w:rFonts w:ascii="Times New Roman" w:eastAsia="Times New Roman" w:hAnsi="Times New Roman" w:cs="Times New Roman"/>
          <w:noProof/>
          <w:sz w:val="28"/>
          <w:szCs w:val="28"/>
        </w:rPr>
      </w:pPr>
      <w:r w:rsidRPr="00923D22">
        <w:rPr>
          <w:rFonts w:ascii="Times New Roman" w:eastAsia="Times New Roman" w:hAnsi="Times New Roman" w:cs="Times New Roman"/>
          <w:i/>
          <w:iCs/>
          <w:noProof/>
          <w:sz w:val="28"/>
          <w:szCs w:val="28"/>
        </w:rPr>
        <w:t>United States v. Schmidgall</w:t>
      </w:r>
      <w:r w:rsidRPr="00923D22">
        <w:rPr>
          <w:rFonts w:ascii="Times New Roman" w:eastAsia="Times New Roman" w:hAnsi="Times New Roman" w:cs="Times New Roman"/>
          <w:noProof/>
          <w:sz w:val="28"/>
          <w:szCs w:val="28"/>
        </w:rPr>
        <w:t xml:space="preserve">, </w:t>
      </w:r>
    </w:p>
    <w:p w14:paraId="762B682E" w14:textId="44E7FC07" w:rsidR="0063249C" w:rsidRPr="00923D22" w:rsidRDefault="0063249C" w:rsidP="0063249C">
      <w:pPr>
        <w:pStyle w:val="TableofAuthorities"/>
        <w:tabs>
          <w:tab w:val="right" w:leader="dot" w:pos="9350"/>
        </w:tabs>
        <w:spacing w:line="480" w:lineRule="auto"/>
        <w:rPr>
          <w:rFonts w:ascii="Times New Roman" w:hAnsi="Times New Roman" w:cs="Times New Roman"/>
          <w:noProof/>
          <w:sz w:val="28"/>
          <w:szCs w:val="28"/>
        </w:rPr>
      </w:pPr>
      <w:r w:rsidRPr="00923D22">
        <w:rPr>
          <w:rFonts w:ascii="Times New Roman" w:eastAsia="Times New Roman" w:hAnsi="Times New Roman" w:cs="Times New Roman"/>
          <w:noProof/>
          <w:sz w:val="28"/>
          <w:szCs w:val="28"/>
        </w:rPr>
        <w:t xml:space="preserve">        25 F.3d 1523, 1528 (11th Cir. 1994).</w:t>
      </w:r>
      <w:r w:rsidRPr="00923D22">
        <w:rPr>
          <w:rFonts w:ascii="Times New Roman" w:hAnsi="Times New Roman" w:cs="Times New Roman"/>
          <w:noProof/>
          <w:sz w:val="28"/>
          <w:szCs w:val="28"/>
        </w:rPr>
        <w:tab/>
        <w:t>7</w:t>
      </w:r>
    </w:p>
    <w:p w14:paraId="2C4697B9" w14:textId="1878E2BB" w:rsidR="0063249C" w:rsidRPr="00923D22" w:rsidRDefault="0063249C" w:rsidP="0063249C">
      <w:pPr>
        <w:pStyle w:val="TOAHeading"/>
        <w:tabs>
          <w:tab w:val="right" w:leader="dot" w:pos="9350"/>
        </w:tabs>
        <w:spacing w:line="480" w:lineRule="auto"/>
        <w:jc w:val="center"/>
        <w:rPr>
          <w:rFonts w:ascii="Times New Roman" w:eastAsiaTheme="minorEastAsia" w:hAnsi="Times New Roman" w:cs="Times New Roman"/>
          <w:b/>
          <w:bCs/>
          <w:noProof/>
          <w:sz w:val="28"/>
          <w:szCs w:val="28"/>
        </w:rPr>
      </w:pPr>
      <w:r w:rsidRPr="00923D22">
        <w:rPr>
          <w:rFonts w:ascii="Times New Roman" w:hAnsi="Times New Roman" w:cs="Times New Roman"/>
          <w:sz w:val="28"/>
          <w:szCs w:val="28"/>
        </w:rPr>
        <w:fldChar w:fldCharType="end"/>
      </w:r>
      <w:r w:rsidRPr="00923D22">
        <w:rPr>
          <w:rFonts w:ascii="Times New Roman" w:hAnsi="Times New Roman" w:cs="Times New Roman"/>
          <w:sz w:val="28"/>
          <w:szCs w:val="28"/>
        </w:rPr>
        <w:fldChar w:fldCharType="begin"/>
      </w:r>
      <w:r w:rsidRPr="00923D22">
        <w:rPr>
          <w:rFonts w:ascii="Times New Roman" w:hAnsi="Times New Roman" w:cs="Times New Roman"/>
          <w:sz w:val="28"/>
          <w:szCs w:val="28"/>
        </w:rPr>
        <w:instrText xml:space="preserve"> TOA \h \c "2" </w:instrText>
      </w:r>
      <w:r w:rsidRPr="00923D22">
        <w:rPr>
          <w:rFonts w:ascii="Times New Roman" w:hAnsi="Times New Roman" w:cs="Times New Roman"/>
          <w:sz w:val="28"/>
          <w:szCs w:val="28"/>
        </w:rPr>
        <w:fldChar w:fldCharType="separate"/>
      </w:r>
      <w:r w:rsidRPr="00923D22">
        <w:rPr>
          <w:rFonts w:ascii="Times New Roman" w:hAnsi="Times New Roman" w:cs="Times New Roman"/>
          <w:noProof/>
          <w:sz w:val="28"/>
          <w:szCs w:val="28"/>
        </w:rPr>
        <w:t>S</w:t>
      </w:r>
      <w:r w:rsidR="00923D22" w:rsidRPr="00923D22">
        <w:rPr>
          <w:rFonts w:ascii="Times New Roman" w:hAnsi="Times New Roman" w:cs="Times New Roman"/>
          <w:noProof/>
          <w:sz w:val="28"/>
          <w:szCs w:val="28"/>
        </w:rPr>
        <w:t>TATUTES</w:t>
      </w:r>
    </w:p>
    <w:p w14:paraId="2B375A0B" w14:textId="77777777" w:rsidR="0063249C" w:rsidRPr="00923D22" w:rsidRDefault="0063249C" w:rsidP="0063249C">
      <w:pPr>
        <w:pStyle w:val="TableofAuthorities"/>
        <w:tabs>
          <w:tab w:val="right" w:leader="dot" w:pos="9350"/>
        </w:tabs>
        <w:spacing w:line="480" w:lineRule="auto"/>
        <w:rPr>
          <w:rFonts w:ascii="Times New Roman" w:hAnsi="Times New Roman" w:cs="Times New Roman"/>
          <w:noProof/>
          <w:sz w:val="28"/>
          <w:szCs w:val="28"/>
        </w:rPr>
      </w:pPr>
      <w:r w:rsidRPr="00923D22">
        <w:rPr>
          <w:rFonts w:ascii="Times New Roman" w:eastAsia="Times New Roman" w:hAnsi="Times New Roman" w:cs="Times New Roman"/>
          <w:noProof/>
          <w:sz w:val="28"/>
          <w:szCs w:val="28"/>
        </w:rPr>
        <w:t>18 U.S.C. § 1512(a)(1)(C)</w:t>
      </w:r>
      <w:r w:rsidRPr="00923D22">
        <w:rPr>
          <w:rFonts w:ascii="Times New Roman" w:hAnsi="Times New Roman" w:cs="Times New Roman"/>
          <w:noProof/>
          <w:sz w:val="28"/>
          <w:szCs w:val="28"/>
        </w:rPr>
        <w:tab/>
        <w:t>1, 2</w:t>
      </w:r>
    </w:p>
    <w:p w14:paraId="05861691" w14:textId="77777777" w:rsidR="0063249C" w:rsidRPr="00923D22" w:rsidRDefault="0063249C" w:rsidP="0063249C">
      <w:pPr>
        <w:pStyle w:val="TableofAuthorities"/>
        <w:tabs>
          <w:tab w:val="right" w:leader="dot" w:pos="9350"/>
        </w:tabs>
        <w:spacing w:line="480" w:lineRule="auto"/>
        <w:rPr>
          <w:rFonts w:ascii="Times New Roman" w:hAnsi="Times New Roman" w:cs="Times New Roman"/>
          <w:noProof/>
          <w:sz w:val="28"/>
          <w:szCs w:val="28"/>
        </w:rPr>
      </w:pPr>
      <w:r w:rsidRPr="00923D22">
        <w:rPr>
          <w:rFonts w:ascii="Times New Roman" w:eastAsia="Times New Roman" w:hAnsi="Times New Roman" w:cs="Times New Roman"/>
          <w:noProof/>
          <w:sz w:val="28"/>
          <w:szCs w:val="28"/>
        </w:rPr>
        <w:t>18 U.S.C. § 1956(a)(1)(B)(i)</w:t>
      </w:r>
      <w:r w:rsidRPr="00923D22">
        <w:rPr>
          <w:rFonts w:ascii="Times New Roman" w:hAnsi="Times New Roman" w:cs="Times New Roman"/>
          <w:noProof/>
          <w:sz w:val="28"/>
          <w:szCs w:val="28"/>
        </w:rPr>
        <w:tab/>
        <w:t>1, 2</w:t>
      </w:r>
    </w:p>
    <w:p w14:paraId="041C5F7E" w14:textId="77777777" w:rsidR="0063249C" w:rsidRPr="00923D22" w:rsidRDefault="0063249C" w:rsidP="0063249C">
      <w:pPr>
        <w:pStyle w:val="TableofAuthorities"/>
        <w:tabs>
          <w:tab w:val="right" w:leader="dot" w:pos="9350"/>
        </w:tabs>
        <w:spacing w:line="480" w:lineRule="auto"/>
        <w:rPr>
          <w:rFonts w:ascii="Times New Roman" w:hAnsi="Times New Roman" w:cs="Times New Roman"/>
          <w:noProof/>
          <w:sz w:val="28"/>
          <w:szCs w:val="28"/>
        </w:rPr>
      </w:pPr>
      <w:r w:rsidRPr="00923D22">
        <w:rPr>
          <w:rFonts w:ascii="Times New Roman" w:eastAsia="Times New Roman" w:hAnsi="Times New Roman" w:cs="Times New Roman"/>
          <w:noProof/>
          <w:sz w:val="28"/>
          <w:szCs w:val="28"/>
        </w:rPr>
        <w:lastRenderedPageBreak/>
        <w:t>18 U.S.C. § 6002</w:t>
      </w:r>
      <w:r w:rsidRPr="00923D22">
        <w:rPr>
          <w:rFonts w:ascii="Times New Roman" w:hAnsi="Times New Roman" w:cs="Times New Roman"/>
          <w:noProof/>
          <w:sz w:val="28"/>
          <w:szCs w:val="28"/>
        </w:rPr>
        <w:tab/>
        <w:t>3, 4, 5, 8</w:t>
      </w:r>
    </w:p>
    <w:p w14:paraId="339B5AF9" w14:textId="77777777" w:rsidR="0063249C" w:rsidRPr="00923D22" w:rsidRDefault="0063249C" w:rsidP="0063249C">
      <w:pPr>
        <w:pStyle w:val="TableofAuthorities"/>
        <w:tabs>
          <w:tab w:val="right" w:leader="dot" w:pos="9350"/>
        </w:tabs>
        <w:spacing w:line="480" w:lineRule="auto"/>
        <w:rPr>
          <w:rFonts w:ascii="Times New Roman" w:hAnsi="Times New Roman" w:cs="Times New Roman"/>
          <w:noProof/>
          <w:sz w:val="28"/>
          <w:szCs w:val="28"/>
        </w:rPr>
      </w:pPr>
      <w:r w:rsidRPr="00923D22">
        <w:rPr>
          <w:rFonts w:ascii="Times New Roman" w:eastAsia="Times New Roman" w:hAnsi="Times New Roman" w:cs="Times New Roman"/>
          <w:noProof/>
          <w:sz w:val="28"/>
          <w:szCs w:val="28"/>
        </w:rPr>
        <w:t>U.S.C. § 6003(b)</w:t>
      </w:r>
      <w:r w:rsidRPr="00923D22">
        <w:rPr>
          <w:rFonts w:ascii="Times New Roman" w:hAnsi="Times New Roman" w:cs="Times New Roman"/>
          <w:noProof/>
          <w:sz w:val="28"/>
          <w:szCs w:val="28"/>
        </w:rPr>
        <w:tab/>
        <w:t>4</w:t>
      </w:r>
    </w:p>
    <w:p w14:paraId="4F6A1B33" w14:textId="16282369" w:rsidR="0063249C" w:rsidRPr="00923D22" w:rsidRDefault="0063249C" w:rsidP="0063249C">
      <w:pPr>
        <w:pStyle w:val="TOAHeading"/>
        <w:tabs>
          <w:tab w:val="right" w:leader="dot" w:pos="9350"/>
        </w:tabs>
        <w:spacing w:line="480" w:lineRule="auto"/>
        <w:jc w:val="center"/>
        <w:rPr>
          <w:rFonts w:ascii="Times New Roman" w:eastAsiaTheme="minorEastAsia" w:hAnsi="Times New Roman" w:cs="Times New Roman"/>
          <w:b/>
          <w:bCs/>
          <w:noProof/>
          <w:sz w:val="28"/>
          <w:szCs w:val="28"/>
        </w:rPr>
      </w:pPr>
      <w:r w:rsidRPr="00923D22">
        <w:rPr>
          <w:rFonts w:ascii="Times New Roman" w:hAnsi="Times New Roman" w:cs="Times New Roman"/>
          <w:sz w:val="28"/>
          <w:szCs w:val="28"/>
        </w:rPr>
        <w:fldChar w:fldCharType="end"/>
      </w:r>
      <w:r w:rsidRPr="00923D22">
        <w:rPr>
          <w:rFonts w:ascii="Times New Roman" w:hAnsi="Times New Roman" w:cs="Times New Roman"/>
          <w:sz w:val="28"/>
          <w:szCs w:val="28"/>
        </w:rPr>
        <w:fldChar w:fldCharType="begin"/>
      </w:r>
      <w:r w:rsidRPr="00923D22">
        <w:rPr>
          <w:rFonts w:ascii="Times New Roman" w:hAnsi="Times New Roman" w:cs="Times New Roman"/>
          <w:sz w:val="28"/>
          <w:szCs w:val="28"/>
        </w:rPr>
        <w:instrText xml:space="preserve"> TOA \h \c "4" </w:instrText>
      </w:r>
      <w:r w:rsidRPr="00923D22">
        <w:rPr>
          <w:rFonts w:ascii="Times New Roman" w:hAnsi="Times New Roman" w:cs="Times New Roman"/>
          <w:sz w:val="28"/>
          <w:szCs w:val="28"/>
        </w:rPr>
        <w:fldChar w:fldCharType="separate"/>
      </w:r>
      <w:r w:rsidRPr="00923D22">
        <w:rPr>
          <w:rFonts w:ascii="Times New Roman" w:hAnsi="Times New Roman" w:cs="Times New Roman"/>
          <w:noProof/>
          <w:sz w:val="28"/>
          <w:szCs w:val="28"/>
        </w:rPr>
        <w:t>R</w:t>
      </w:r>
      <w:r w:rsidR="00923D22" w:rsidRPr="00923D22">
        <w:rPr>
          <w:rFonts w:ascii="Times New Roman" w:hAnsi="Times New Roman" w:cs="Times New Roman"/>
          <w:noProof/>
          <w:sz w:val="28"/>
          <w:szCs w:val="28"/>
        </w:rPr>
        <w:t>ULES</w:t>
      </w:r>
    </w:p>
    <w:p w14:paraId="34A244E7" w14:textId="77777777" w:rsidR="0063249C" w:rsidRPr="00923D22" w:rsidRDefault="0063249C" w:rsidP="0063249C">
      <w:pPr>
        <w:pStyle w:val="TableofAuthorities"/>
        <w:tabs>
          <w:tab w:val="right" w:leader="dot" w:pos="9350"/>
        </w:tabs>
        <w:spacing w:line="480" w:lineRule="auto"/>
        <w:rPr>
          <w:rFonts w:ascii="Times New Roman" w:hAnsi="Times New Roman" w:cs="Times New Roman"/>
          <w:noProof/>
          <w:sz w:val="28"/>
          <w:szCs w:val="28"/>
        </w:rPr>
      </w:pPr>
      <w:r w:rsidRPr="00923D22">
        <w:rPr>
          <w:rFonts w:ascii="Times New Roman" w:eastAsia="Times New Roman" w:hAnsi="Times New Roman" w:cs="Times New Roman"/>
          <w:noProof/>
          <w:sz w:val="28"/>
          <w:szCs w:val="28"/>
        </w:rPr>
        <w:t>Federal Rule of Civil Procedure 26(b)(3)(A)</w:t>
      </w:r>
      <w:r w:rsidRPr="00923D22">
        <w:rPr>
          <w:rFonts w:ascii="Times New Roman" w:hAnsi="Times New Roman" w:cs="Times New Roman"/>
          <w:noProof/>
          <w:sz w:val="28"/>
          <w:szCs w:val="28"/>
        </w:rPr>
        <w:tab/>
        <w:t>9, 11</w:t>
      </w:r>
    </w:p>
    <w:p w14:paraId="503A0F6F" w14:textId="77777777" w:rsidR="0063249C" w:rsidRPr="00923D22" w:rsidRDefault="0063249C" w:rsidP="0063249C">
      <w:pPr>
        <w:pStyle w:val="TableofAuthorities"/>
        <w:tabs>
          <w:tab w:val="right" w:leader="dot" w:pos="9350"/>
        </w:tabs>
        <w:spacing w:line="480" w:lineRule="auto"/>
        <w:rPr>
          <w:rFonts w:ascii="Times New Roman" w:hAnsi="Times New Roman" w:cs="Times New Roman"/>
          <w:noProof/>
          <w:sz w:val="28"/>
          <w:szCs w:val="28"/>
        </w:rPr>
      </w:pPr>
      <w:r w:rsidRPr="00923D22">
        <w:rPr>
          <w:rFonts w:ascii="Times New Roman" w:eastAsia="Times New Roman" w:hAnsi="Times New Roman" w:cs="Times New Roman"/>
          <w:noProof/>
          <w:sz w:val="28"/>
          <w:szCs w:val="28"/>
        </w:rPr>
        <w:t>Federal Rule of Civil Procedure 26(b)(3)(B)</w:t>
      </w:r>
      <w:r w:rsidRPr="00923D22">
        <w:rPr>
          <w:rFonts w:ascii="Times New Roman" w:hAnsi="Times New Roman" w:cs="Times New Roman"/>
          <w:noProof/>
          <w:sz w:val="28"/>
          <w:szCs w:val="28"/>
        </w:rPr>
        <w:tab/>
        <w:t>12</w:t>
      </w:r>
    </w:p>
    <w:p w14:paraId="5E6EF408" w14:textId="77777777" w:rsidR="0063249C" w:rsidRPr="00923D22" w:rsidRDefault="0063249C" w:rsidP="0063249C">
      <w:pPr>
        <w:pStyle w:val="TableofAuthorities"/>
        <w:tabs>
          <w:tab w:val="right" w:leader="dot" w:pos="9350"/>
        </w:tabs>
        <w:spacing w:line="480" w:lineRule="auto"/>
        <w:rPr>
          <w:rFonts w:ascii="Times New Roman" w:hAnsi="Times New Roman" w:cs="Times New Roman"/>
          <w:noProof/>
          <w:sz w:val="28"/>
          <w:szCs w:val="28"/>
        </w:rPr>
      </w:pPr>
      <w:r w:rsidRPr="00923D22">
        <w:rPr>
          <w:rFonts w:ascii="Times New Roman" w:eastAsia="Times New Roman" w:hAnsi="Times New Roman" w:cs="Times New Roman"/>
          <w:noProof/>
          <w:sz w:val="28"/>
          <w:szCs w:val="28"/>
        </w:rPr>
        <w:t>Federal Rule of Civil Procedure 26(b)(4)(C)</w:t>
      </w:r>
      <w:r w:rsidRPr="00923D22">
        <w:rPr>
          <w:rFonts w:ascii="Times New Roman" w:hAnsi="Times New Roman" w:cs="Times New Roman"/>
          <w:noProof/>
          <w:sz w:val="28"/>
          <w:szCs w:val="28"/>
        </w:rPr>
        <w:tab/>
        <w:t>10</w:t>
      </w:r>
    </w:p>
    <w:p w14:paraId="00000046" w14:textId="6194C786" w:rsidR="00DD5A0A" w:rsidRPr="0063249C" w:rsidRDefault="0063249C" w:rsidP="0063249C">
      <w:pPr>
        <w:spacing w:line="480" w:lineRule="auto"/>
        <w:rPr>
          <w:rFonts w:ascii="Times New Roman" w:eastAsia="Cambria" w:hAnsi="Times New Roman" w:cs="Times New Roman"/>
          <w:smallCaps/>
          <w:sz w:val="28"/>
          <w:szCs w:val="28"/>
          <w:u w:val="single"/>
        </w:rPr>
      </w:pPr>
      <w:r w:rsidRPr="00923D22">
        <w:rPr>
          <w:rFonts w:ascii="Times New Roman" w:hAnsi="Times New Roman" w:cs="Times New Roman"/>
          <w:sz w:val="28"/>
          <w:szCs w:val="28"/>
        </w:rPr>
        <w:fldChar w:fldCharType="end"/>
      </w:r>
      <w:r w:rsidRPr="0063249C">
        <w:rPr>
          <w:rFonts w:ascii="Times New Roman" w:hAnsi="Times New Roman" w:cs="Times New Roman"/>
          <w:sz w:val="28"/>
          <w:szCs w:val="28"/>
        </w:rPr>
        <w:br w:type="page"/>
      </w:r>
    </w:p>
    <w:p w14:paraId="5A15EE6E" w14:textId="77777777" w:rsidR="0063249C" w:rsidRDefault="0063249C">
      <w:pPr>
        <w:spacing w:line="480" w:lineRule="auto"/>
        <w:jc w:val="center"/>
        <w:rPr>
          <w:rFonts w:ascii="Times New Roman" w:eastAsia="Times New Roman" w:hAnsi="Times New Roman" w:cs="Times New Roman"/>
          <w:sz w:val="28"/>
          <w:szCs w:val="28"/>
        </w:rPr>
        <w:sectPr w:rsidR="0063249C" w:rsidSect="00923D22">
          <w:headerReference w:type="default" r:id="rId11"/>
          <w:footerReference w:type="even" r:id="rId12"/>
          <w:footerReference w:type="default" r:id="rId13"/>
          <w:footerReference w:type="first" r:id="rId14"/>
          <w:pgSz w:w="12240" w:h="15840"/>
          <w:pgMar w:top="1440" w:right="1440" w:bottom="1440" w:left="1440" w:header="720" w:footer="720" w:gutter="0"/>
          <w:pgNumType w:fmt="lowerRoman" w:start="1"/>
          <w:cols w:space="720"/>
          <w:titlePg/>
        </w:sectPr>
      </w:pPr>
    </w:p>
    <w:p w14:paraId="00000047" w14:textId="77777777" w:rsidR="00DD5A0A" w:rsidRPr="0063249C" w:rsidRDefault="00EF3DAB">
      <w:pPr>
        <w:spacing w:line="480" w:lineRule="auto"/>
        <w:jc w:val="center"/>
        <w:rPr>
          <w:rFonts w:ascii="Times New Roman" w:eastAsia="Times New Roman" w:hAnsi="Times New Roman" w:cs="Times New Roman"/>
          <w:sz w:val="28"/>
          <w:szCs w:val="28"/>
          <w:u w:val="single"/>
        </w:rPr>
      </w:pPr>
      <w:r w:rsidRPr="0063249C">
        <w:rPr>
          <w:rFonts w:ascii="Times New Roman" w:eastAsia="Times New Roman" w:hAnsi="Times New Roman" w:cs="Times New Roman"/>
          <w:sz w:val="28"/>
          <w:szCs w:val="28"/>
          <w:u w:val="single"/>
        </w:rPr>
        <w:lastRenderedPageBreak/>
        <w:t>INTRODUCTION</w:t>
      </w:r>
    </w:p>
    <w:p w14:paraId="00000048" w14:textId="63C5E09E" w:rsidR="00DD5A0A" w:rsidRDefault="00EF3DAB">
      <w:pPr>
        <w:spacing w:line="48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Emily Calloway was wrongly indicted on one count of killing a witness in violation of 18 U.S.C. § 1512(a)(1)(C)</w:t>
      </w:r>
      <w:r w:rsidR="0063249C">
        <w:rPr>
          <w:rFonts w:ascii="Times New Roman" w:eastAsia="Times New Roman" w:hAnsi="Times New Roman" w:cs="Times New Roman"/>
          <w:sz w:val="28"/>
          <w:szCs w:val="28"/>
        </w:rPr>
        <w:fldChar w:fldCharType="begin"/>
      </w:r>
      <w:r w:rsidR="0063249C">
        <w:instrText xml:space="preserve"> TA \l "</w:instrText>
      </w:r>
      <w:r w:rsidR="0063249C" w:rsidRPr="001A0C63">
        <w:rPr>
          <w:rFonts w:ascii="Times New Roman" w:eastAsia="Times New Roman" w:hAnsi="Times New Roman" w:cs="Times New Roman"/>
          <w:sz w:val="28"/>
          <w:szCs w:val="28"/>
        </w:rPr>
        <w:instrText>18 U.S.C. § 1512(a)(1)(C)</w:instrText>
      </w:r>
      <w:r w:rsidR="0063249C">
        <w:instrText xml:space="preserve">" \s "18 U.S.C. § 1512(a)(1)(C)" \c 2 </w:instrText>
      </w:r>
      <w:r w:rsidR="0063249C">
        <w:rPr>
          <w:rFonts w:ascii="Times New Roman" w:eastAsia="Times New Roman" w:hAnsi="Times New Roman" w:cs="Times New Roman"/>
          <w:sz w:val="28"/>
          <w:szCs w:val="28"/>
        </w:rPr>
        <w:fldChar w:fldCharType="end"/>
      </w:r>
      <w:r>
        <w:rPr>
          <w:rFonts w:ascii="Times New Roman" w:eastAsia="Times New Roman" w:hAnsi="Times New Roman" w:cs="Times New Roman"/>
          <w:sz w:val="28"/>
          <w:szCs w:val="28"/>
        </w:rPr>
        <w:t xml:space="preserve"> and one count of money laundering conspiracy in violation of 18 U.S.C. § 1956(</w:t>
      </w:r>
      <w:r w:rsidR="0063249C">
        <w:rPr>
          <w:rFonts w:ascii="Times New Roman" w:eastAsia="Times New Roman" w:hAnsi="Times New Roman" w:cs="Times New Roman"/>
          <w:sz w:val="28"/>
          <w:szCs w:val="28"/>
        </w:rPr>
        <w:t>a</w:t>
      </w:r>
      <w:r>
        <w:rPr>
          <w:rFonts w:ascii="Times New Roman" w:eastAsia="Times New Roman" w:hAnsi="Times New Roman" w:cs="Times New Roman"/>
          <w:sz w:val="28"/>
          <w:szCs w:val="28"/>
        </w:rPr>
        <w:t>)</w:t>
      </w:r>
      <w:r w:rsidR="0063249C">
        <w:rPr>
          <w:rFonts w:ascii="Times New Roman" w:eastAsia="Times New Roman" w:hAnsi="Times New Roman" w:cs="Times New Roman"/>
          <w:sz w:val="28"/>
          <w:szCs w:val="28"/>
        </w:rPr>
        <w:t>(1)(B)(i)</w:t>
      </w:r>
      <w:r w:rsidR="0063249C">
        <w:rPr>
          <w:rFonts w:ascii="Times New Roman" w:eastAsia="Times New Roman" w:hAnsi="Times New Roman" w:cs="Times New Roman"/>
          <w:sz w:val="28"/>
          <w:szCs w:val="28"/>
        </w:rPr>
        <w:fldChar w:fldCharType="begin"/>
      </w:r>
      <w:r w:rsidR="0063249C">
        <w:instrText xml:space="preserve"> TA \l "</w:instrText>
      </w:r>
      <w:r w:rsidR="0063249C" w:rsidRPr="001A0C63">
        <w:rPr>
          <w:rFonts w:ascii="Times New Roman" w:eastAsia="Times New Roman" w:hAnsi="Times New Roman" w:cs="Times New Roman"/>
          <w:sz w:val="28"/>
          <w:szCs w:val="28"/>
        </w:rPr>
        <w:instrText>18 U.S.C. § 1956(a)(1)(B)(i)</w:instrText>
      </w:r>
      <w:r w:rsidR="0063249C">
        <w:instrText xml:space="preserve">" \s "18 U.S.C. § 1956(a)(1)(B)(i)" \c 2 </w:instrText>
      </w:r>
      <w:r w:rsidR="0063249C">
        <w:rPr>
          <w:rFonts w:ascii="Times New Roman" w:eastAsia="Times New Roman" w:hAnsi="Times New Roman" w:cs="Times New Roman"/>
          <w:sz w:val="28"/>
          <w:szCs w:val="28"/>
        </w:rPr>
        <w:fldChar w:fldCharType="end"/>
      </w:r>
      <w:r>
        <w:rPr>
          <w:rFonts w:ascii="Times New Roman" w:eastAsia="Times New Roman" w:hAnsi="Times New Roman" w:cs="Times New Roman"/>
          <w:sz w:val="28"/>
          <w:szCs w:val="28"/>
        </w:rPr>
        <w:t xml:space="preserve">.  Ms. Calloway now moves to suppress evidence derived from her compelled testimony and moves to quash the subpoena issued by the Government. The Court must grant Ms. Calloway’s Motion to Suppress Evidence </w:t>
      </w:r>
      <w:r w:rsidR="0063249C">
        <w:rPr>
          <w:rFonts w:ascii="Times New Roman" w:eastAsia="Times New Roman" w:hAnsi="Times New Roman" w:cs="Times New Roman"/>
          <w:sz w:val="28"/>
          <w:szCs w:val="28"/>
        </w:rPr>
        <w:t xml:space="preserve">Obtained in Violation of Court Order </w:t>
      </w:r>
      <w:r>
        <w:rPr>
          <w:rFonts w:ascii="Times New Roman" w:eastAsia="Times New Roman" w:hAnsi="Times New Roman" w:cs="Times New Roman"/>
          <w:sz w:val="28"/>
          <w:szCs w:val="28"/>
        </w:rPr>
        <w:t xml:space="preserve">because the Government cannot meet </w:t>
      </w:r>
      <w:r w:rsidR="0063249C">
        <w:rPr>
          <w:rFonts w:ascii="Times New Roman" w:eastAsia="Times New Roman" w:hAnsi="Times New Roman" w:cs="Times New Roman"/>
          <w:sz w:val="28"/>
          <w:szCs w:val="28"/>
        </w:rPr>
        <w:t xml:space="preserve">its burden under the </w:t>
      </w:r>
      <w:r>
        <w:rPr>
          <w:rFonts w:ascii="Times New Roman" w:eastAsia="Times New Roman" w:hAnsi="Times New Roman" w:cs="Times New Roman"/>
          <w:i/>
          <w:iCs/>
          <w:sz w:val="28"/>
          <w:szCs w:val="28"/>
        </w:rPr>
        <w:t>Kastigar</w:t>
      </w:r>
      <w:r>
        <w:rPr>
          <w:rFonts w:ascii="Times New Roman" w:eastAsia="Times New Roman" w:hAnsi="Times New Roman" w:cs="Times New Roman"/>
          <w:sz w:val="28"/>
          <w:szCs w:val="28"/>
        </w:rPr>
        <w:t xml:space="preserve"> standard.  The Court must also grant Ms. Calloway’s Motion to Quash </w:t>
      </w:r>
      <w:r w:rsidR="0063249C">
        <w:rPr>
          <w:rFonts w:ascii="Times New Roman" w:eastAsia="Times New Roman" w:hAnsi="Times New Roman" w:cs="Times New Roman"/>
          <w:sz w:val="28"/>
          <w:szCs w:val="28"/>
        </w:rPr>
        <w:t xml:space="preserve">United States Subpoena Duces Tecum </w:t>
      </w:r>
      <w:r>
        <w:rPr>
          <w:rFonts w:ascii="Times New Roman" w:eastAsia="Times New Roman" w:hAnsi="Times New Roman" w:cs="Times New Roman"/>
          <w:sz w:val="28"/>
          <w:szCs w:val="28"/>
        </w:rPr>
        <w:t>because the evidence requested is undiscoverable.</w:t>
      </w:r>
    </w:p>
    <w:p w14:paraId="00000049" w14:textId="22F528FC" w:rsidR="00DD5A0A" w:rsidRPr="0063249C" w:rsidRDefault="0063249C">
      <w:pPr>
        <w:spacing w:line="480" w:lineRule="auto"/>
        <w:jc w:val="center"/>
        <w:rPr>
          <w:rFonts w:ascii="Times New Roman" w:eastAsia="Times New Roman" w:hAnsi="Times New Roman" w:cs="Times New Roman"/>
          <w:sz w:val="28"/>
          <w:szCs w:val="28"/>
          <w:u w:val="single"/>
        </w:rPr>
      </w:pPr>
      <w:r>
        <w:rPr>
          <w:rFonts w:ascii="Times New Roman" w:eastAsia="Times New Roman" w:hAnsi="Times New Roman" w:cs="Times New Roman"/>
          <w:sz w:val="28"/>
          <w:szCs w:val="28"/>
          <w:u w:val="single"/>
        </w:rPr>
        <w:t xml:space="preserve">STATEMENT OF </w:t>
      </w:r>
      <w:r w:rsidRPr="0063249C">
        <w:rPr>
          <w:rFonts w:ascii="Times New Roman" w:eastAsia="Times New Roman" w:hAnsi="Times New Roman" w:cs="Times New Roman"/>
          <w:sz w:val="28"/>
          <w:szCs w:val="28"/>
          <w:u w:val="single"/>
        </w:rPr>
        <w:t>FACTS</w:t>
      </w:r>
    </w:p>
    <w:p w14:paraId="0000004A" w14:textId="77777777" w:rsidR="00DD5A0A" w:rsidRDefault="00EF3DAB">
      <w:pPr>
        <w:spacing w:line="48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On December 12, 2023, Daniel Blake was murdered in his office at the Silver Palms, a luxury resort in Gulf Haven, Florida. Further investigation revealed that Saint Donovan, Ms. Calloway’s business partner, hired an individual to murder Blake. On January 20, 2024, Blake’s murderer was arrested. Donovan was also arrested for the homicide of Blake shortly thereafter.</w:t>
      </w:r>
    </w:p>
    <w:p w14:paraId="0000004B" w14:textId="684AAF78" w:rsidR="00DD5A0A" w:rsidRDefault="00EF3DAB">
      <w:pPr>
        <w:spacing w:line="480" w:lineRule="auto"/>
        <w:ind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In anticipation of potential litigation subsequent to Donovan’s arrest, </w:t>
      </w:r>
      <w:r w:rsidR="0063249C">
        <w:rPr>
          <w:rFonts w:ascii="Times New Roman" w:eastAsia="Times New Roman" w:hAnsi="Times New Roman" w:cs="Times New Roman"/>
          <w:sz w:val="28"/>
          <w:szCs w:val="28"/>
        </w:rPr>
        <w:t xml:space="preserve">counsel for </w:t>
      </w:r>
      <w:r>
        <w:rPr>
          <w:rFonts w:ascii="Times New Roman" w:eastAsia="Times New Roman" w:hAnsi="Times New Roman" w:cs="Times New Roman"/>
          <w:sz w:val="28"/>
          <w:szCs w:val="28"/>
        </w:rPr>
        <w:t xml:space="preserve">Ms. Calloway hired Maddox Armana, a private investigator, to better understand the financial structure of Silver Palms. In February of 2024, Armana interviewed Sierra Seton, the former operations manager of Coastal Event </w:t>
      </w:r>
      <w:r>
        <w:rPr>
          <w:rFonts w:ascii="Times New Roman" w:eastAsia="Times New Roman" w:hAnsi="Times New Roman" w:cs="Times New Roman"/>
          <w:sz w:val="28"/>
          <w:szCs w:val="28"/>
        </w:rPr>
        <w:lastRenderedPageBreak/>
        <w:t xml:space="preserve">Solutions, an event services and staffing organization that provided additional employees to Silver Palms for large events. Armana transcribed Seton’s responses to the interview questions along with her personal opinions and mental impressions. </w:t>
      </w:r>
    </w:p>
    <w:p w14:paraId="0000004C" w14:textId="5360CB82" w:rsidR="00DD5A0A" w:rsidRDefault="00EF3DAB">
      <w:pPr>
        <w:spacing w:line="48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On August 23, 2024, the trial court issued the order compelling Ms. Calloway’s testimony and conferring use and derivative-use immunity following her previous refusal to comply with the prosecution’s questions. Donovan’s trial began on October 7, 2024, and he was convicted on October 24, 2024. During Donovan’s trial, Ms. Calloway gave her compelled testimony pursuant to the conferred use and derivative-use immunity. Following Donovan’s conviction, the Government interviewed Kennedy Parker, an employee of Si</w:t>
      </w:r>
      <w:r>
        <w:rPr>
          <w:rFonts w:ascii="Times New Roman" w:eastAsia="Times New Roman" w:hAnsi="Times New Roman" w:cs="Times New Roman"/>
          <w:sz w:val="28"/>
          <w:szCs w:val="28"/>
        </w:rPr>
        <w:t>lver Palms, on October 31, 2024, to build the case against Ms. Calloway. Using information obtained from that interview, a grand jury indicted Ms. Calloway on September 23, 2025, on one count of killing a witness in violation of 18 U.S.C. § 1512(a)(1)(C)</w:t>
      </w:r>
      <w:r w:rsidR="0063249C">
        <w:rPr>
          <w:rFonts w:ascii="Times New Roman" w:eastAsia="Times New Roman" w:hAnsi="Times New Roman" w:cs="Times New Roman"/>
          <w:sz w:val="28"/>
          <w:szCs w:val="28"/>
        </w:rPr>
        <w:fldChar w:fldCharType="begin"/>
      </w:r>
      <w:r w:rsidR="0063249C">
        <w:rPr>
          <w:rFonts w:ascii="Times New Roman" w:eastAsia="Times New Roman" w:hAnsi="Times New Roman" w:cs="Times New Roman"/>
          <w:sz w:val="28"/>
          <w:szCs w:val="28"/>
        </w:rPr>
        <w:instrText xml:space="preserve"> TA \s "18 U.S.C. § 1512(a)(1)(C)" </w:instrText>
      </w:r>
      <w:r w:rsidR="0063249C">
        <w:rPr>
          <w:rFonts w:ascii="Times New Roman" w:eastAsia="Times New Roman" w:hAnsi="Times New Roman" w:cs="Times New Roman"/>
          <w:sz w:val="28"/>
          <w:szCs w:val="28"/>
        </w:rPr>
        <w:fldChar w:fldCharType="end"/>
      </w:r>
      <w:r>
        <w:rPr>
          <w:rFonts w:ascii="Times New Roman" w:eastAsia="Times New Roman" w:hAnsi="Times New Roman" w:cs="Times New Roman"/>
          <w:sz w:val="28"/>
          <w:szCs w:val="28"/>
        </w:rPr>
        <w:t xml:space="preserve"> and one count of money laundering conspiracy in violation of 18 U.S.C. § 1956(</w:t>
      </w:r>
      <w:r w:rsidR="0063249C">
        <w:rPr>
          <w:rFonts w:ascii="Times New Roman" w:eastAsia="Times New Roman" w:hAnsi="Times New Roman" w:cs="Times New Roman"/>
          <w:sz w:val="28"/>
          <w:szCs w:val="28"/>
        </w:rPr>
        <w:t>a)(1)(B)(i)</w:t>
      </w:r>
      <w:r w:rsidR="0063249C">
        <w:rPr>
          <w:rFonts w:ascii="Times New Roman" w:eastAsia="Times New Roman" w:hAnsi="Times New Roman" w:cs="Times New Roman"/>
          <w:sz w:val="28"/>
          <w:szCs w:val="28"/>
        </w:rPr>
        <w:fldChar w:fldCharType="begin"/>
      </w:r>
      <w:r w:rsidR="0063249C">
        <w:rPr>
          <w:rFonts w:ascii="Times New Roman" w:eastAsia="Times New Roman" w:hAnsi="Times New Roman" w:cs="Times New Roman"/>
          <w:sz w:val="28"/>
          <w:szCs w:val="28"/>
        </w:rPr>
        <w:instrText xml:space="preserve"> TA \s "18 U.S.C. § 1956(a)(1)(B)(i)" </w:instrText>
      </w:r>
      <w:r w:rsidR="0063249C">
        <w:rPr>
          <w:rFonts w:ascii="Times New Roman" w:eastAsia="Times New Roman" w:hAnsi="Times New Roman" w:cs="Times New Roman"/>
          <w:sz w:val="28"/>
          <w:szCs w:val="28"/>
        </w:rPr>
        <w:fldChar w:fldCharType="end"/>
      </w:r>
      <w:r>
        <w:rPr>
          <w:rFonts w:ascii="Times New Roman" w:eastAsia="Times New Roman" w:hAnsi="Times New Roman" w:cs="Times New Roman"/>
          <w:sz w:val="28"/>
          <w:szCs w:val="28"/>
        </w:rPr>
        <w:t xml:space="preserve">. </w:t>
      </w:r>
    </w:p>
    <w:p w14:paraId="0000004D" w14:textId="77777777" w:rsidR="00DD5A0A" w:rsidRPr="0063249C" w:rsidRDefault="00EF3DAB">
      <w:pPr>
        <w:spacing w:line="480" w:lineRule="auto"/>
        <w:jc w:val="center"/>
        <w:rPr>
          <w:rFonts w:ascii="Times New Roman" w:eastAsia="Times New Roman" w:hAnsi="Times New Roman" w:cs="Times New Roman"/>
          <w:sz w:val="28"/>
          <w:szCs w:val="28"/>
          <w:u w:val="single"/>
        </w:rPr>
      </w:pPr>
      <w:r w:rsidRPr="0063249C">
        <w:rPr>
          <w:rFonts w:ascii="Times New Roman" w:eastAsia="Times New Roman" w:hAnsi="Times New Roman" w:cs="Times New Roman"/>
          <w:sz w:val="28"/>
          <w:szCs w:val="28"/>
          <w:u w:val="single"/>
        </w:rPr>
        <w:t>ARGUMENT</w:t>
      </w:r>
    </w:p>
    <w:p w14:paraId="0000004E" w14:textId="77777777" w:rsidR="00DD5A0A" w:rsidRDefault="00EF3DAB">
      <w:pPr>
        <w:numPr>
          <w:ilvl w:val="0"/>
          <w:numId w:val="1"/>
        </w:num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THE COURT SHOULD GRANT MS. CALLOWAY’S MOTION TO SUPPRESS EVIDENCE BECAUSE THE GOVERNMENT CANNOT PROVE THAT THE DECISION TO INTERVIEW KENNEDY PARKER WAS MADE WHOLLY INDEPENDENT FROM MS. CALLOWAY’S TESTIMONY.</w:t>
      </w:r>
    </w:p>
    <w:p w14:paraId="0000004F" w14:textId="77777777" w:rsidR="00DD5A0A" w:rsidRDefault="00EF3DAB">
      <w:pPr>
        <w:spacing w:line="240" w:lineRule="auto"/>
        <w:rPr>
          <w:rFonts w:ascii="Century Schoolbook" w:eastAsia="Century Schoolbook" w:hAnsi="Century Schoolbook" w:cs="Century Schoolbook"/>
          <w:sz w:val="28"/>
          <w:szCs w:val="28"/>
        </w:rPr>
      </w:pPr>
      <w:r>
        <w:rPr>
          <w:rFonts w:ascii="Century Schoolbook" w:eastAsia="Century Schoolbook" w:hAnsi="Century Schoolbook" w:cs="Century Schoolbook"/>
          <w:sz w:val="28"/>
          <w:szCs w:val="28"/>
        </w:rPr>
        <w:tab/>
      </w:r>
    </w:p>
    <w:p w14:paraId="00000050" w14:textId="39C4655C" w:rsidR="00DD5A0A" w:rsidRDefault="00EF3DAB">
      <w:pPr>
        <w:spacing w:line="480" w:lineRule="auto"/>
        <w:rPr>
          <w:rFonts w:ascii="Times New Roman" w:eastAsia="Times New Roman" w:hAnsi="Times New Roman" w:cs="Times New Roman"/>
          <w:sz w:val="28"/>
          <w:szCs w:val="28"/>
        </w:rPr>
      </w:pPr>
      <w:r>
        <w:rPr>
          <w:rFonts w:ascii="Century Schoolbook" w:eastAsia="Century Schoolbook" w:hAnsi="Century Schoolbook" w:cs="Century Schoolbook"/>
          <w:sz w:val="28"/>
          <w:szCs w:val="28"/>
        </w:rPr>
        <w:lastRenderedPageBreak/>
        <w:tab/>
      </w:r>
      <w:r>
        <w:rPr>
          <w:rFonts w:ascii="Times New Roman" w:eastAsia="Times New Roman" w:hAnsi="Times New Roman" w:cs="Times New Roman"/>
          <w:sz w:val="28"/>
          <w:szCs w:val="28"/>
        </w:rPr>
        <w:t>The Court must grant Ms. Calloway’s Motion to Suppress Evidence regarding Kennedy Parker’s deposition. 18 U.S.C. § 6002</w:t>
      </w:r>
      <w:r w:rsidR="0063249C">
        <w:rPr>
          <w:rFonts w:ascii="Times New Roman" w:eastAsia="Times New Roman" w:hAnsi="Times New Roman" w:cs="Times New Roman"/>
          <w:sz w:val="28"/>
          <w:szCs w:val="28"/>
        </w:rPr>
        <w:fldChar w:fldCharType="begin"/>
      </w:r>
      <w:r w:rsidR="0063249C">
        <w:instrText xml:space="preserve"> TA \l "</w:instrText>
      </w:r>
      <w:r w:rsidR="0063249C" w:rsidRPr="001A0C63">
        <w:rPr>
          <w:rFonts w:ascii="Times New Roman" w:eastAsia="Times New Roman" w:hAnsi="Times New Roman" w:cs="Times New Roman"/>
          <w:sz w:val="28"/>
          <w:szCs w:val="28"/>
        </w:rPr>
        <w:instrText>18 U.S.C. § 6002</w:instrText>
      </w:r>
      <w:r w:rsidR="0063249C">
        <w:instrText xml:space="preserve">" \s "18 U.S.C. § 6002" \c 2 </w:instrText>
      </w:r>
      <w:r w:rsidR="0063249C">
        <w:rPr>
          <w:rFonts w:ascii="Times New Roman" w:eastAsia="Times New Roman" w:hAnsi="Times New Roman" w:cs="Times New Roman"/>
          <w:sz w:val="28"/>
          <w:szCs w:val="28"/>
        </w:rPr>
        <w:fldChar w:fldCharType="end"/>
      </w:r>
      <w:r>
        <w:rPr>
          <w:rFonts w:ascii="Times New Roman" w:eastAsia="Times New Roman" w:hAnsi="Times New Roman" w:cs="Times New Roman"/>
          <w:sz w:val="28"/>
          <w:szCs w:val="28"/>
        </w:rPr>
        <w:t xml:space="preserve"> states that the Government cannot use information derived from a witnesses’ compelled testimony against them in a criminal case. The Government cannot support the claim that the decision to interview Parker was made wholly independently of Ms. Calloway’s compelled testimony. Therefore, the Court must suppress any and all evidence relating to Ms. Calloway’s compelled testimony by suppressing Parker’s testimony.</w:t>
      </w:r>
    </w:p>
    <w:p w14:paraId="00000051" w14:textId="493C649C" w:rsidR="00DD5A0A" w:rsidRDefault="00EF3DAB">
      <w:pPr>
        <w:spacing w:line="48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t>Section 6002</w:t>
      </w:r>
      <w:r w:rsidR="0063249C">
        <w:rPr>
          <w:rFonts w:ascii="Times New Roman" w:eastAsia="Times New Roman" w:hAnsi="Times New Roman" w:cs="Times New Roman"/>
          <w:sz w:val="28"/>
          <w:szCs w:val="28"/>
        </w:rPr>
        <w:fldChar w:fldCharType="begin"/>
      </w:r>
      <w:r w:rsidR="0063249C">
        <w:instrText xml:space="preserve"> TA \l "</w:instrText>
      </w:r>
      <w:r w:rsidR="0063249C" w:rsidRPr="001A0C63">
        <w:rPr>
          <w:rFonts w:ascii="Times New Roman" w:eastAsia="Times New Roman" w:hAnsi="Times New Roman" w:cs="Times New Roman"/>
          <w:sz w:val="28"/>
          <w:szCs w:val="28"/>
        </w:rPr>
        <w:instrText>Section 6002</w:instrText>
      </w:r>
      <w:r w:rsidR="0063249C">
        <w:instrText xml:space="preserve">" \s "Section 6002" \c 2 </w:instrText>
      </w:r>
      <w:r w:rsidR="0063249C">
        <w:rPr>
          <w:rFonts w:ascii="Times New Roman" w:eastAsia="Times New Roman" w:hAnsi="Times New Roman" w:cs="Times New Roman"/>
          <w:sz w:val="28"/>
          <w:szCs w:val="28"/>
        </w:rPr>
        <w:fldChar w:fldCharType="end"/>
      </w:r>
      <w:r>
        <w:rPr>
          <w:rFonts w:ascii="Times New Roman" w:eastAsia="Times New Roman" w:hAnsi="Times New Roman" w:cs="Times New Roman"/>
          <w:sz w:val="28"/>
          <w:szCs w:val="28"/>
        </w:rPr>
        <w:t xml:space="preserve"> is designed to protect witnesses from criminal prosecution by granting them immunity from incriminating testimony compelled by the Government. Section 6002</w:t>
      </w:r>
      <w:r w:rsidR="0063249C">
        <w:rPr>
          <w:rFonts w:ascii="Times New Roman" w:eastAsia="Times New Roman" w:hAnsi="Times New Roman" w:cs="Times New Roman"/>
          <w:sz w:val="28"/>
          <w:szCs w:val="28"/>
        </w:rPr>
        <w:fldChar w:fldCharType="begin"/>
      </w:r>
      <w:r w:rsidR="0063249C">
        <w:instrText xml:space="preserve"> TA \s "Section 6002" </w:instrText>
      </w:r>
      <w:r w:rsidR="0063249C">
        <w:rPr>
          <w:rFonts w:ascii="Times New Roman" w:eastAsia="Times New Roman" w:hAnsi="Times New Roman" w:cs="Times New Roman"/>
          <w:sz w:val="28"/>
          <w:szCs w:val="28"/>
        </w:rPr>
        <w:fldChar w:fldCharType="end"/>
      </w:r>
      <w:r>
        <w:rPr>
          <w:rFonts w:ascii="Times New Roman" w:eastAsia="Times New Roman" w:hAnsi="Times New Roman" w:cs="Times New Roman"/>
          <w:sz w:val="28"/>
          <w:szCs w:val="28"/>
        </w:rPr>
        <w:t xml:space="preserve"> provides that “[w]henever</w:t>
      </w:r>
      <w:r>
        <w:rPr>
          <w:rFonts w:ascii="Times New Roman" w:eastAsia="Times New Roman" w:hAnsi="Times New Roman" w:cs="Times New Roman"/>
          <w:sz w:val="28"/>
          <w:szCs w:val="28"/>
        </w:rPr>
        <w:t xml:space="preserve"> a witness refuses, on the basis of his privilege against self-incrimination, to testify or provide other information in a proceeding before . . . a court or grand jury of the United States . . . and the person presiding over the proceeding communicates to the witness an order issued under this title, the witness may not refuse to comply with the order on the basis of his privilege against self-incrimination; but no testimony or other information compelled under the order (or any information directly or ind</w:t>
      </w:r>
      <w:r>
        <w:rPr>
          <w:rFonts w:ascii="Times New Roman" w:eastAsia="Times New Roman" w:hAnsi="Times New Roman" w:cs="Times New Roman"/>
          <w:sz w:val="28"/>
          <w:szCs w:val="28"/>
        </w:rPr>
        <w:t xml:space="preserve">irectly derived from such testimony or other information) may be used against the witness in any criminal case.” </w:t>
      </w:r>
      <w:r>
        <w:rPr>
          <w:rFonts w:ascii="Times New Roman" w:eastAsia="Times New Roman" w:hAnsi="Times New Roman" w:cs="Times New Roman"/>
          <w:i/>
          <w:iCs/>
          <w:sz w:val="28"/>
          <w:szCs w:val="28"/>
        </w:rPr>
        <w:t xml:space="preserve">Kastigar </w:t>
      </w:r>
      <w:r>
        <w:rPr>
          <w:rFonts w:ascii="Times New Roman" w:eastAsia="Times New Roman" w:hAnsi="Times New Roman" w:cs="Times New Roman"/>
          <w:sz w:val="28"/>
          <w:szCs w:val="28"/>
        </w:rPr>
        <w:t xml:space="preserve">established that a grant of use and derivative-use immunity from compelled testimony is coextensive with the Fifth Amendment </w:t>
      </w:r>
      <w:r>
        <w:rPr>
          <w:rFonts w:ascii="Times New Roman" w:eastAsia="Times New Roman" w:hAnsi="Times New Roman" w:cs="Times New Roman"/>
          <w:sz w:val="28"/>
          <w:szCs w:val="28"/>
        </w:rPr>
        <w:lastRenderedPageBreak/>
        <w:t xml:space="preserve">privilege of self-incrimination. </w:t>
      </w:r>
      <w:r>
        <w:rPr>
          <w:rFonts w:ascii="Times New Roman" w:eastAsia="Times New Roman" w:hAnsi="Times New Roman" w:cs="Times New Roman"/>
          <w:i/>
          <w:iCs/>
          <w:sz w:val="28"/>
          <w:szCs w:val="28"/>
        </w:rPr>
        <w:t>Kastigar v. United States</w:t>
      </w:r>
      <w:r>
        <w:rPr>
          <w:rFonts w:ascii="Times New Roman" w:eastAsia="Times New Roman" w:hAnsi="Times New Roman" w:cs="Times New Roman"/>
          <w:sz w:val="28"/>
          <w:szCs w:val="28"/>
        </w:rPr>
        <w:t>, 406 U.S. 441 (1972)</w:t>
      </w:r>
      <w:r w:rsidR="0063249C">
        <w:rPr>
          <w:rFonts w:ascii="Times New Roman" w:eastAsia="Times New Roman" w:hAnsi="Times New Roman" w:cs="Times New Roman"/>
          <w:sz w:val="28"/>
          <w:szCs w:val="28"/>
        </w:rPr>
        <w:fldChar w:fldCharType="begin"/>
      </w:r>
      <w:r w:rsidR="0063249C">
        <w:instrText xml:space="preserve"> TA \l "</w:instrText>
      </w:r>
      <w:r w:rsidR="0063249C" w:rsidRPr="001A0C63">
        <w:rPr>
          <w:rFonts w:ascii="Times New Roman" w:eastAsia="Times New Roman" w:hAnsi="Times New Roman" w:cs="Times New Roman"/>
          <w:i/>
          <w:iCs/>
          <w:sz w:val="28"/>
          <w:szCs w:val="28"/>
        </w:rPr>
        <w:instrText>Kastigar v. United States</w:instrText>
      </w:r>
      <w:r w:rsidR="0063249C" w:rsidRPr="001A0C63">
        <w:rPr>
          <w:rFonts w:ascii="Times New Roman" w:eastAsia="Times New Roman" w:hAnsi="Times New Roman" w:cs="Times New Roman"/>
          <w:sz w:val="28"/>
          <w:szCs w:val="28"/>
        </w:rPr>
        <w:instrText>, 406 U.S. 441 (1972)</w:instrText>
      </w:r>
      <w:r w:rsidR="0063249C">
        <w:instrText xml:space="preserve">" \s "Kastigar v. United States, 406 U.S. 441 (1972)" \c 1 </w:instrText>
      </w:r>
      <w:r w:rsidR="0063249C">
        <w:rPr>
          <w:rFonts w:ascii="Times New Roman" w:eastAsia="Times New Roman" w:hAnsi="Times New Roman" w:cs="Times New Roman"/>
          <w:sz w:val="28"/>
          <w:szCs w:val="28"/>
        </w:rPr>
        <w:fldChar w:fldCharType="end"/>
      </w:r>
      <w:r>
        <w:rPr>
          <w:rFonts w:ascii="Times New Roman" w:eastAsia="Times New Roman" w:hAnsi="Times New Roman" w:cs="Times New Roman"/>
          <w:sz w:val="28"/>
          <w:szCs w:val="28"/>
        </w:rPr>
        <w:t xml:space="preserve">. The </w:t>
      </w:r>
      <w:r w:rsidR="0063249C">
        <w:rPr>
          <w:rFonts w:ascii="Times New Roman" w:eastAsia="Times New Roman" w:hAnsi="Times New Roman" w:cs="Times New Roman"/>
          <w:sz w:val="28"/>
          <w:szCs w:val="28"/>
        </w:rPr>
        <w:t>C</w:t>
      </w:r>
      <w:r>
        <w:rPr>
          <w:rFonts w:ascii="Times New Roman" w:eastAsia="Times New Roman" w:hAnsi="Times New Roman" w:cs="Times New Roman"/>
          <w:sz w:val="28"/>
          <w:szCs w:val="28"/>
        </w:rPr>
        <w:t xml:space="preserve">ourt in </w:t>
      </w:r>
      <w:r>
        <w:rPr>
          <w:rFonts w:ascii="Times New Roman" w:eastAsia="Times New Roman" w:hAnsi="Times New Roman" w:cs="Times New Roman"/>
          <w:i/>
          <w:iCs/>
          <w:sz w:val="28"/>
          <w:szCs w:val="28"/>
        </w:rPr>
        <w:t>Kastigar</w:t>
      </w:r>
      <w:r>
        <w:rPr>
          <w:rFonts w:ascii="Times New Roman" w:eastAsia="Times New Roman" w:hAnsi="Times New Roman" w:cs="Times New Roman"/>
          <w:sz w:val="28"/>
          <w:szCs w:val="28"/>
        </w:rPr>
        <w:t xml:space="preserve"> determined it is permissible for the Government to compel testimony in exchange for appropriate immunities. </w:t>
      </w:r>
      <w:r>
        <w:rPr>
          <w:rFonts w:ascii="Times New Roman" w:eastAsia="Times New Roman" w:hAnsi="Times New Roman" w:cs="Times New Roman"/>
          <w:i/>
          <w:iCs/>
          <w:sz w:val="28"/>
          <w:szCs w:val="28"/>
        </w:rPr>
        <w:t>Id</w:t>
      </w:r>
      <w:r>
        <w:rPr>
          <w:rFonts w:ascii="Times New Roman" w:eastAsia="Times New Roman" w:hAnsi="Times New Roman" w:cs="Times New Roman"/>
          <w:sz w:val="28"/>
          <w:szCs w:val="28"/>
        </w:rPr>
        <w:t xml:space="preserve">. </w:t>
      </w:r>
    </w:p>
    <w:p w14:paraId="00000052" w14:textId="77777777" w:rsidR="00DD5A0A" w:rsidRDefault="00DD5A0A">
      <w:pPr>
        <w:spacing w:line="240" w:lineRule="auto"/>
        <w:ind w:left="720"/>
        <w:rPr>
          <w:rFonts w:ascii="Times New Roman" w:eastAsia="Times New Roman" w:hAnsi="Times New Roman" w:cs="Times New Roman"/>
          <w:sz w:val="28"/>
          <w:szCs w:val="28"/>
        </w:rPr>
      </w:pPr>
    </w:p>
    <w:p w14:paraId="00000053" w14:textId="77777777" w:rsidR="00DD5A0A" w:rsidRPr="0063249C" w:rsidRDefault="00EF3DAB">
      <w:pPr>
        <w:numPr>
          <w:ilvl w:val="0"/>
          <w:numId w:val="7"/>
        </w:numPr>
        <w:spacing w:line="480" w:lineRule="auto"/>
        <w:ind w:left="1080"/>
        <w:rPr>
          <w:rFonts w:ascii="Times New Roman" w:eastAsia="Times New Roman" w:hAnsi="Times New Roman" w:cs="Times New Roman"/>
          <w:sz w:val="28"/>
          <w:szCs w:val="28"/>
        </w:rPr>
      </w:pPr>
      <w:r w:rsidRPr="0063249C">
        <w:rPr>
          <w:rFonts w:ascii="Times New Roman" w:eastAsia="Times New Roman" w:hAnsi="Times New Roman" w:cs="Times New Roman"/>
          <w:sz w:val="28"/>
          <w:szCs w:val="28"/>
        </w:rPr>
        <w:t>Ms. Calloway was properly issued use and derivative-use immunity</w:t>
      </w:r>
    </w:p>
    <w:p w14:paraId="00000054" w14:textId="17A07696" w:rsidR="00DD5A0A" w:rsidRDefault="00EF3DAB" w:rsidP="0063249C">
      <w:pPr>
        <w:numPr>
          <w:ilvl w:val="0"/>
          <w:numId w:val="6"/>
        </w:numPr>
        <w:spacing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Invocation of Privilege and Operative Provisions of Operative Provisions of § 6002</w:t>
      </w:r>
      <w:r w:rsidR="0063249C">
        <w:rPr>
          <w:rFonts w:ascii="Times New Roman" w:eastAsia="Times New Roman" w:hAnsi="Times New Roman" w:cs="Times New Roman"/>
          <w:sz w:val="28"/>
          <w:szCs w:val="28"/>
        </w:rPr>
        <w:fldChar w:fldCharType="begin"/>
      </w:r>
      <w:r w:rsidR="0063249C">
        <w:instrText xml:space="preserve"> TA \s "18 U.S.C. § 6002" </w:instrText>
      </w:r>
      <w:r w:rsidR="0063249C">
        <w:rPr>
          <w:rFonts w:ascii="Times New Roman" w:eastAsia="Times New Roman" w:hAnsi="Times New Roman" w:cs="Times New Roman"/>
          <w:sz w:val="28"/>
          <w:szCs w:val="28"/>
        </w:rPr>
        <w:fldChar w:fldCharType="end"/>
      </w:r>
    </w:p>
    <w:p w14:paraId="00000055" w14:textId="77777777" w:rsidR="00DD5A0A" w:rsidRDefault="00EF3DAB">
      <w:pPr>
        <w:spacing w:line="48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 xml:space="preserve">Ms. Calloway met all the requirements to benefit from use and derivative-use immunity and was properly issued immunity. For a witness to qualify for use and derivative-use immunity under § 6002, they must (1) invoke their privilege against self-incrimination, (2) their testimony must be before a type of proceeding covered under § 6002, and (3) the order must be communicated to the witness by the authorized person presiding over the proceeding. </w:t>
      </w:r>
    </w:p>
    <w:p w14:paraId="00000056" w14:textId="77FADB7E" w:rsidR="00DD5A0A" w:rsidRDefault="00EF3DAB">
      <w:pPr>
        <w:spacing w:line="480" w:lineRule="auto"/>
        <w:ind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Ms. Calloway refused to testify on the basis of</w:t>
      </w:r>
      <w:r>
        <w:rPr>
          <w:rFonts w:ascii="Times New Roman" w:eastAsia="Times New Roman" w:hAnsi="Times New Roman" w:cs="Times New Roman"/>
          <w:sz w:val="28"/>
          <w:szCs w:val="28"/>
        </w:rPr>
        <w:t xml:space="preserve"> her Fifth Amendment privilege against self-incrimination when she was approached by a federal investigative agent and an </w:t>
      </w:r>
      <w:r w:rsidR="0063249C">
        <w:rPr>
          <w:rFonts w:ascii="Times New Roman" w:eastAsia="Times New Roman" w:hAnsi="Times New Roman" w:cs="Times New Roman"/>
          <w:sz w:val="28"/>
          <w:szCs w:val="28"/>
        </w:rPr>
        <w:t>A</w:t>
      </w:r>
      <w:r>
        <w:rPr>
          <w:rFonts w:ascii="Times New Roman" w:eastAsia="Times New Roman" w:hAnsi="Times New Roman" w:cs="Times New Roman"/>
          <w:sz w:val="28"/>
          <w:szCs w:val="28"/>
        </w:rPr>
        <w:t xml:space="preserve">ssistant </w:t>
      </w:r>
      <w:r w:rsidR="0063249C">
        <w:rPr>
          <w:rFonts w:ascii="Times New Roman" w:eastAsia="Times New Roman" w:hAnsi="Times New Roman" w:cs="Times New Roman"/>
          <w:sz w:val="28"/>
          <w:szCs w:val="28"/>
        </w:rPr>
        <w:t>D</w:t>
      </w:r>
      <w:r>
        <w:rPr>
          <w:rFonts w:ascii="Times New Roman" w:eastAsia="Times New Roman" w:hAnsi="Times New Roman" w:cs="Times New Roman"/>
          <w:sz w:val="28"/>
          <w:szCs w:val="28"/>
        </w:rPr>
        <w:t xml:space="preserve">istrict </w:t>
      </w:r>
      <w:r w:rsidR="0063249C">
        <w:rPr>
          <w:rFonts w:ascii="Times New Roman" w:eastAsia="Times New Roman" w:hAnsi="Times New Roman" w:cs="Times New Roman"/>
          <w:sz w:val="28"/>
          <w:szCs w:val="28"/>
        </w:rPr>
        <w:t>A</w:t>
      </w:r>
      <w:r>
        <w:rPr>
          <w:rFonts w:ascii="Times New Roman" w:eastAsia="Times New Roman" w:hAnsi="Times New Roman" w:cs="Times New Roman"/>
          <w:sz w:val="28"/>
          <w:szCs w:val="28"/>
        </w:rPr>
        <w:t>ttorney. Next, this proceeding is held in a United States Court of Appeals and thus is covered by § 6002</w:t>
      </w:r>
      <w:r w:rsidR="0063249C">
        <w:rPr>
          <w:rFonts w:ascii="Times New Roman" w:eastAsia="Times New Roman" w:hAnsi="Times New Roman" w:cs="Times New Roman"/>
          <w:sz w:val="28"/>
          <w:szCs w:val="28"/>
        </w:rPr>
        <w:fldChar w:fldCharType="begin"/>
      </w:r>
      <w:r w:rsidR="0063249C">
        <w:instrText xml:space="preserve"> TA \s "18 U.S.C. § 6002" </w:instrText>
      </w:r>
      <w:r w:rsidR="0063249C">
        <w:rPr>
          <w:rFonts w:ascii="Times New Roman" w:eastAsia="Times New Roman" w:hAnsi="Times New Roman" w:cs="Times New Roman"/>
          <w:sz w:val="28"/>
          <w:szCs w:val="28"/>
        </w:rPr>
        <w:fldChar w:fldCharType="end"/>
      </w:r>
      <w:r>
        <w:rPr>
          <w:rFonts w:ascii="Times New Roman" w:eastAsia="Times New Roman" w:hAnsi="Times New Roman" w:cs="Times New Roman"/>
          <w:sz w:val="28"/>
          <w:szCs w:val="28"/>
        </w:rPr>
        <w:t>. Lastly, Chief Judge Boals of the United States District Court for the Fourteenth Judicial Circuit, an authorized person pursuant to U.S.C. § 6003(b)</w:t>
      </w:r>
      <w:r w:rsidR="0063249C">
        <w:rPr>
          <w:rFonts w:ascii="Times New Roman" w:eastAsia="Times New Roman" w:hAnsi="Times New Roman" w:cs="Times New Roman"/>
          <w:sz w:val="28"/>
          <w:szCs w:val="28"/>
        </w:rPr>
        <w:fldChar w:fldCharType="begin"/>
      </w:r>
      <w:r w:rsidR="0063249C">
        <w:instrText xml:space="preserve"> TA \l "</w:instrText>
      </w:r>
      <w:r w:rsidR="0063249C" w:rsidRPr="001A0C63">
        <w:rPr>
          <w:rFonts w:ascii="Times New Roman" w:eastAsia="Times New Roman" w:hAnsi="Times New Roman" w:cs="Times New Roman"/>
          <w:sz w:val="28"/>
          <w:szCs w:val="28"/>
        </w:rPr>
        <w:instrText>U.S.C. § 6003(b)</w:instrText>
      </w:r>
      <w:r w:rsidR="0063249C">
        <w:instrText xml:space="preserve">" \s "U.S.C. § 6003(b)" \c 2 </w:instrText>
      </w:r>
      <w:r w:rsidR="0063249C">
        <w:rPr>
          <w:rFonts w:ascii="Times New Roman" w:eastAsia="Times New Roman" w:hAnsi="Times New Roman" w:cs="Times New Roman"/>
          <w:sz w:val="28"/>
          <w:szCs w:val="28"/>
        </w:rPr>
        <w:fldChar w:fldCharType="end"/>
      </w:r>
      <w:r>
        <w:rPr>
          <w:rFonts w:ascii="Times New Roman" w:eastAsia="Times New Roman" w:hAnsi="Times New Roman" w:cs="Times New Roman"/>
          <w:sz w:val="28"/>
          <w:szCs w:val="28"/>
        </w:rPr>
        <w:t xml:space="preserve"> presiding over the proceeding, authorized the order. Section 6002 reads that when these three prerequisites have been met, “the witness may not refuse to comply with the order . . . [and] no </w:t>
      </w:r>
      <w:r>
        <w:rPr>
          <w:rFonts w:ascii="Times New Roman" w:eastAsia="Times New Roman" w:hAnsi="Times New Roman" w:cs="Times New Roman"/>
          <w:sz w:val="28"/>
          <w:szCs w:val="28"/>
        </w:rPr>
        <w:lastRenderedPageBreak/>
        <w:t>testimony or other information compelled under the order . . . may be used against the witness in any criminal case.” 18 U.S.C. § 6002</w:t>
      </w:r>
      <w:r w:rsidR="0063249C">
        <w:rPr>
          <w:rFonts w:ascii="Times New Roman" w:eastAsia="Times New Roman" w:hAnsi="Times New Roman" w:cs="Times New Roman"/>
          <w:sz w:val="28"/>
          <w:szCs w:val="28"/>
        </w:rPr>
        <w:fldChar w:fldCharType="begin"/>
      </w:r>
      <w:r w:rsidR="0063249C">
        <w:rPr>
          <w:rFonts w:ascii="Times New Roman" w:eastAsia="Times New Roman" w:hAnsi="Times New Roman" w:cs="Times New Roman"/>
          <w:sz w:val="28"/>
          <w:szCs w:val="28"/>
        </w:rPr>
        <w:instrText xml:space="preserve"> TA \s "18 U.S.C. § 6002" </w:instrText>
      </w:r>
      <w:r w:rsidR="0063249C">
        <w:rPr>
          <w:rFonts w:ascii="Times New Roman" w:eastAsia="Times New Roman" w:hAnsi="Times New Roman" w:cs="Times New Roman"/>
          <w:sz w:val="28"/>
          <w:szCs w:val="28"/>
        </w:rPr>
        <w:fldChar w:fldCharType="end"/>
      </w:r>
      <w:r>
        <w:rPr>
          <w:rFonts w:ascii="Times New Roman" w:eastAsia="Times New Roman" w:hAnsi="Times New Roman" w:cs="Times New Roman"/>
          <w:sz w:val="28"/>
          <w:szCs w:val="28"/>
        </w:rPr>
        <w:t>. As a result of the order, Ms. Calloway was required to testify, but she earned use and derivative-use protection regarding any information derived directly or indirectly from her testimony.</w:t>
      </w:r>
    </w:p>
    <w:p w14:paraId="00000057" w14:textId="77777777" w:rsidR="00DD5A0A" w:rsidRDefault="00EF3DAB">
      <w:pPr>
        <w:numPr>
          <w:ilvl w:val="0"/>
          <w:numId w:val="6"/>
        </w:numPr>
        <w:spacing w:line="48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Exceptions to § 6002 Resulting in the Loss of Immunity</w:t>
      </w:r>
    </w:p>
    <w:p w14:paraId="00000058" w14:textId="77777777" w:rsidR="00DD5A0A" w:rsidRDefault="00EF3DAB">
      <w:pPr>
        <w:spacing w:line="48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 xml:space="preserve">Section 6002 provides exceptions to situations in which qualified witnesses may lose their immunity to be prosecuted in criminal court. This section states that “acts of perjury, giving a false statement, or otherwise failing to comply with the order” will annul the immunity granted and potentially confer prosecution among the witness. </w:t>
      </w:r>
    </w:p>
    <w:p w14:paraId="00000059" w14:textId="77777777" w:rsidR="00DD5A0A" w:rsidRDefault="00EF3DAB">
      <w:pPr>
        <w:spacing w:line="480" w:lineRule="auto"/>
        <w:rPr>
          <w:rFonts w:ascii="Times New Roman" w:eastAsia="Times New Roman" w:hAnsi="Times New Roman" w:cs="Times New Roman"/>
          <w:i/>
          <w:iCs/>
          <w:sz w:val="28"/>
          <w:szCs w:val="28"/>
        </w:rPr>
      </w:pPr>
      <w:r>
        <w:rPr>
          <w:rFonts w:ascii="Times New Roman" w:eastAsia="Times New Roman" w:hAnsi="Times New Roman" w:cs="Times New Roman"/>
          <w:sz w:val="28"/>
          <w:szCs w:val="28"/>
        </w:rPr>
        <w:tab/>
        <w:t>The Government has presented no evidence that Ms. Calloway engaged in any of the codified prohibited acts thus her immunity has not been invalidated</w:t>
      </w:r>
    </w:p>
    <w:p w14:paraId="0000005A" w14:textId="77777777" w:rsidR="00DD5A0A" w:rsidRDefault="00EF3DAB">
      <w:pPr>
        <w:numPr>
          <w:ilvl w:val="0"/>
          <w:numId w:val="6"/>
        </w:numPr>
        <w:spacing w:line="48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Ms. Calloway was properly given use and derivative use immunity</w:t>
      </w:r>
    </w:p>
    <w:p w14:paraId="0000005B" w14:textId="74258D1D" w:rsidR="00DD5A0A" w:rsidRDefault="00EF3DAB">
      <w:pPr>
        <w:spacing w:line="480" w:lineRule="auto"/>
        <w:ind w:firstLine="720"/>
        <w:rPr>
          <w:rFonts w:ascii="Times New Roman" w:eastAsia="Times New Roman" w:hAnsi="Times New Roman" w:cs="Times New Roman"/>
          <w:sz w:val="28"/>
          <w:szCs w:val="28"/>
        </w:rPr>
      </w:pPr>
      <w:r>
        <w:rPr>
          <w:rFonts w:ascii="Times New Roman" w:eastAsia="Times New Roman" w:hAnsi="Times New Roman" w:cs="Times New Roman"/>
          <w:i/>
          <w:iCs/>
          <w:sz w:val="28"/>
          <w:szCs w:val="28"/>
        </w:rPr>
        <w:t>Ullmann</w:t>
      </w:r>
      <w:r>
        <w:rPr>
          <w:rFonts w:ascii="Times New Roman" w:eastAsia="Times New Roman" w:hAnsi="Times New Roman" w:cs="Times New Roman"/>
          <w:sz w:val="28"/>
          <w:szCs w:val="28"/>
        </w:rPr>
        <w:t xml:space="preserve"> demonstrates that courts only have a limited role in applying immunity statutes. </w:t>
      </w:r>
      <w:r>
        <w:rPr>
          <w:rFonts w:ascii="Times New Roman" w:eastAsia="Times New Roman" w:hAnsi="Times New Roman" w:cs="Times New Roman"/>
          <w:i/>
          <w:iCs/>
          <w:sz w:val="28"/>
          <w:szCs w:val="28"/>
        </w:rPr>
        <w:t>Ullmann v. United States</w:t>
      </w:r>
      <w:r>
        <w:rPr>
          <w:rFonts w:ascii="Times New Roman" w:eastAsia="Times New Roman" w:hAnsi="Times New Roman" w:cs="Times New Roman"/>
          <w:sz w:val="28"/>
          <w:szCs w:val="28"/>
        </w:rPr>
        <w:t>, 350 U.S. 422, 434 (1956).</w:t>
      </w:r>
      <w:r w:rsidR="0063249C">
        <w:rPr>
          <w:rFonts w:ascii="Times New Roman" w:eastAsia="Times New Roman" w:hAnsi="Times New Roman" w:cs="Times New Roman"/>
          <w:sz w:val="28"/>
          <w:szCs w:val="28"/>
        </w:rPr>
        <w:fldChar w:fldCharType="begin"/>
      </w:r>
      <w:r w:rsidR="0063249C">
        <w:instrText xml:space="preserve"> TA \l "</w:instrText>
      </w:r>
      <w:r w:rsidR="0063249C" w:rsidRPr="001A0C63">
        <w:rPr>
          <w:rFonts w:ascii="Times New Roman" w:eastAsia="Times New Roman" w:hAnsi="Times New Roman" w:cs="Times New Roman"/>
          <w:i/>
          <w:iCs/>
          <w:sz w:val="28"/>
          <w:szCs w:val="28"/>
        </w:rPr>
        <w:instrText>Ullmann v. United States</w:instrText>
      </w:r>
      <w:r w:rsidR="0063249C" w:rsidRPr="001A0C63">
        <w:rPr>
          <w:rFonts w:ascii="Times New Roman" w:eastAsia="Times New Roman" w:hAnsi="Times New Roman" w:cs="Times New Roman"/>
          <w:sz w:val="28"/>
          <w:szCs w:val="28"/>
        </w:rPr>
        <w:instrText>, 350 U.S. 422, 434 (1956).</w:instrText>
      </w:r>
      <w:r w:rsidR="0063249C">
        <w:instrText xml:space="preserve">" \s "Ullmann v. United States, 350 U.S. 422, 434 (1956)." \c 1 </w:instrText>
      </w:r>
      <w:r w:rsidR="0063249C">
        <w:rPr>
          <w:rFonts w:ascii="Times New Roman" w:eastAsia="Times New Roman" w:hAnsi="Times New Roman" w:cs="Times New Roman"/>
          <w:sz w:val="28"/>
          <w:szCs w:val="28"/>
        </w:rPr>
        <w:fldChar w:fldCharType="end"/>
      </w:r>
      <w:r>
        <w:rPr>
          <w:rFonts w:ascii="Times New Roman" w:eastAsia="Times New Roman" w:hAnsi="Times New Roman" w:cs="Times New Roman"/>
          <w:sz w:val="28"/>
          <w:szCs w:val="28"/>
        </w:rPr>
        <w:t xml:space="preserve"> In </w:t>
      </w:r>
      <w:r>
        <w:rPr>
          <w:rFonts w:ascii="Times New Roman" w:eastAsia="Times New Roman" w:hAnsi="Times New Roman" w:cs="Times New Roman"/>
          <w:i/>
          <w:iCs/>
          <w:sz w:val="28"/>
          <w:szCs w:val="28"/>
        </w:rPr>
        <w:t>Ullmann</w:t>
      </w:r>
      <w:r>
        <w:rPr>
          <w:rFonts w:ascii="Times New Roman" w:eastAsia="Times New Roman" w:hAnsi="Times New Roman" w:cs="Times New Roman"/>
          <w:sz w:val="28"/>
          <w:szCs w:val="28"/>
        </w:rPr>
        <w:t xml:space="preserve">, the defendant refused to answer questions after being subpoenaed. The Court was faced with the issue of determining the constitutionality of the Immunity Act of 1954 when a defendant invoked his Fifth amendment right against self-incrimination. The Court then went on to say that “their duty is only to ascertain whether the statutory requirements [of the Immunity Act of 1954] are complied </w:t>
      </w:r>
      <w:r>
        <w:rPr>
          <w:rFonts w:ascii="Times New Roman" w:eastAsia="Times New Roman" w:hAnsi="Times New Roman" w:cs="Times New Roman"/>
          <w:sz w:val="28"/>
          <w:szCs w:val="28"/>
        </w:rPr>
        <w:lastRenderedPageBreak/>
        <w:t xml:space="preserve">with by the grand jury, the United States Attorney, and the Attorney General.” </w:t>
      </w:r>
      <w:r>
        <w:rPr>
          <w:rFonts w:ascii="Times New Roman" w:eastAsia="Times New Roman" w:hAnsi="Times New Roman" w:cs="Times New Roman"/>
          <w:i/>
          <w:iCs/>
          <w:sz w:val="28"/>
          <w:szCs w:val="28"/>
        </w:rPr>
        <w:t>Id</w:t>
      </w:r>
      <w:r>
        <w:rPr>
          <w:rFonts w:ascii="Times New Roman" w:eastAsia="Times New Roman" w:hAnsi="Times New Roman" w:cs="Times New Roman"/>
          <w:sz w:val="28"/>
          <w:szCs w:val="28"/>
        </w:rPr>
        <w:t xml:space="preserve">. The Court also noted its own precedent that “the act does not give [the judge] discretion to deny.” </w:t>
      </w:r>
      <w:r>
        <w:rPr>
          <w:rFonts w:ascii="Times New Roman" w:eastAsia="Times New Roman" w:hAnsi="Times New Roman" w:cs="Times New Roman"/>
          <w:i/>
          <w:iCs/>
          <w:sz w:val="28"/>
          <w:szCs w:val="28"/>
        </w:rPr>
        <w:t>Id</w:t>
      </w:r>
      <w:r>
        <w:rPr>
          <w:rFonts w:ascii="Times New Roman" w:eastAsia="Times New Roman" w:hAnsi="Times New Roman" w:cs="Times New Roman"/>
          <w:sz w:val="28"/>
          <w:szCs w:val="28"/>
        </w:rPr>
        <w:t>. at 426. Therefore, Ms. Calloway has use and derivative use immunity because she met all statutory requirements and the court does not have any discretion to deny the immunity.</w:t>
      </w:r>
    </w:p>
    <w:p w14:paraId="169D35E4" w14:textId="687D670F" w:rsidR="0063249C" w:rsidRPr="0063249C" w:rsidRDefault="00EF3DAB" w:rsidP="0063249C">
      <w:pPr>
        <w:spacing w:after="120" w:line="240" w:lineRule="auto"/>
        <w:ind w:left="1080" w:hanging="36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B. </w:t>
      </w:r>
      <w:r w:rsidRPr="0063249C">
        <w:rPr>
          <w:rFonts w:ascii="Times New Roman" w:eastAsia="Times New Roman" w:hAnsi="Times New Roman" w:cs="Times New Roman"/>
          <w:sz w:val="28"/>
          <w:szCs w:val="28"/>
        </w:rPr>
        <w:t>The Government cannot meet their burden of proof under the Kastigar standard.</w:t>
      </w:r>
    </w:p>
    <w:p w14:paraId="0000005D" w14:textId="0EEFC2BA" w:rsidR="00DD5A0A" w:rsidRDefault="00EF3DAB" w:rsidP="0063249C">
      <w:pPr>
        <w:spacing w:line="480" w:lineRule="auto"/>
        <w:ind w:firstLine="720"/>
        <w:rPr>
          <w:rFonts w:ascii="Times New Roman" w:eastAsia="Times New Roman" w:hAnsi="Times New Roman" w:cs="Times New Roman"/>
          <w:sz w:val="28"/>
          <w:szCs w:val="28"/>
          <w:u w:val="single"/>
        </w:rPr>
      </w:pPr>
      <w:r>
        <w:rPr>
          <w:rFonts w:ascii="Times New Roman" w:eastAsia="Times New Roman" w:hAnsi="Times New Roman" w:cs="Times New Roman"/>
          <w:sz w:val="28"/>
          <w:szCs w:val="28"/>
        </w:rPr>
        <w:t xml:space="preserve">Ms. Calloway followed all the proper steps relating to her testimony under a grant of immunity. </w:t>
      </w:r>
      <w:r>
        <w:rPr>
          <w:rFonts w:ascii="Times New Roman" w:eastAsia="Times New Roman" w:hAnsi="Times New Roman" w:cs="Times New Roman"/>
          <w:i/>
          <w:iCs/>
          <w:sz w:val="28"/>
          <w:szCs w:val="28"/>
        </w:rPr>
        <w:t xml:space="preserve">Kastigar </w:t>
      </w:r>
      <w:r>
        <w:rPr>
          <w:rFonts w:ascii="Times New Roman" w:eastAsia="Times New Roman" w:hAnsi="Times New Roman" w:cs="Times New Roman"/>
          <w:sz w:val="28"/>
          <w:szCs w:val="28"/>
        </w:rPr>
        <w:t>is responsible for establishing a procedural safeguard, called a “</w:t>
      </w:r>
      <w:r>
        <w:rPr>
          <w:rFonts w:ascii="Times New Roman" w:eastAsia="Times New Roman" w:hAnsi="Times New Roman" w:cs="Times New Roman"/>
          <w:i/>
          <w:iCs/>
          <w:sz w:val="28"/>
          <w:szCs w:val="28"/>
        </w:rPr>
        <w:t>Kastigar</w:t>
      </w:r>
      <w:r>
        <w:rPr>
          <w:rFonts w:ascii="Times New Roman" w:eastAsia="Times New Roman" w:hAnsi="Times New Roman" w:cs="Times New Roman"/>
          <w:sz w:val="28"/>
          <w:szCs w:val="28"/>
        </w:rPr>
        <w:t xml:space="preserve"> hearing,” where the government bears a heavy burden of proving all evidence against a witness was derived from a source wholly independent of the witness’s testimony. </w:t>
      </w:r>
      <w:r>
        <w:rPr>
          <w:rFonts w:ascii="Times New Roman" w:eastAsia="Times New Roman" w:hAnsi="Times New Roman" w:cs="Times New Roman"/>
          <w:i/>
          <w:iCs/>
          <w:sz w:val="28"/>
          <w:szCs w:val="28"/>
        </w:rPr>
        <w:t>Kastigar v. United States</w:t>
      </w:r>
      <w:r>
        <w:rPr>
          <w:rFonts w:ascii="Times New Roman" w:eastAsia="Times New Roman" w:hAnsi="Times New Roman" w:cs="Times New Roman"/>
          <w:sz w:val="28"/>
          <w:szCs w:val="28"/>
        </w:rPr>
        <w:t>, 406 U.S. 441 (1972)</w:t>
      </w:r>
      <w:r w:rsidR="0063249C">
        <w:rPr>
          <w:rFonts w:ascii="Times New Roman" w:eastAsia="Times New Roman" w:hAnsi="Times New Roman" w:cs="Times New Roman"/>
          <w:sz w:val="28"/>
          <w:szCs w:val="28"/>
        </w:rPr>
        <w:fldChar w:fldCharType="begin"/>
      </w:r>
      <w:r w:rsidR="0063249C">
        <w:rPr>
          <w:rFonts w:ascii="Times New Roman" w:eastAsia="Times New Roman" w:hAnsi="Times New Roman" w:cs="Times New Roman"/>
          <w:sz w:val="28"/>
          <w:szCs w:val="28"/>
        </w:rPr>
        <w:instrText xml:space="preserve"> TA \s "Kastigar v. United States, 406 U.S. 441 (1972)" </w:instrText>
      </w:r>
      <w:r w:rsidR="0063249C">
        <w:rPr>
          <w:rFonts w:ascii="Times New Roman" w:eastAsia="Times New Roman" w:hAnsi="Times New Roman" w:cs="Times New Roman"/>
          <w:sz w:val="28"/>
          <w:szCs w:val="28"/>
        </w:rPr>
        <w:fldChar w:fldCharType="end"/>
      </w:r>
      <w:r>
        <w:rPr>
          <w:rFonts w:ascii="Times New Roman" w:eastAsia="Times New Roman" w:hAnsi="Times New Roman" w:cs="Times New Roman"/>
          <w:sz w:val="28"/>
          <w:szCs w:val="28"/>
        </w:rPr>
        <w:t xml:space="preserve">. The Court in </w:t>
      </w:r>
      <w:r>
        <w:rPr>
          <w:rFonts w:ascii="Times New Roman" w:eastAsia="Times New Roman" w:hAnsi="Times New Roman" w:cs="Times New Roman"/>
          <w:i/>
          <w:iCs/>
          <w:sz w:val="28"/>
          <w:szCs w:val="28"/>
        </w:rPr>
        <w:t>Kastigar</w:t>
      </w:r>
      <w:r>
        <w:rPr>
          <w:rFonts w:ascii="Times New Roman" w:eastAsia="Times New Roman" w:hAnsi="Times New Roman" w:cs="Times New Roman"/>
          <w:sz w:val="28"/>
          <w:szCs w:val="28"/>
        </w:rPr>
        <w:t xml:space="preserve"> held that “[o]ne raising a claim under this statute need only show that he testified under a grant of immunity in order to shift to the government the heavy burden of proving that all of the evidence it purports to use is derived from legitimate independent sources.” </w:t>
      </w:r>
      <w:r>
        <w:rPr>
          <w:rFonts w:ascii="Times New Roman" w:eastAsia="Times New Roman" w:hAnsi="Times New Roman" w:cs="Times New Roman"/>
          <w:i/>
          <w:iCs/>
          <w:sz w:val="28"/>
          <w:szCs w:val="28"/>
        </w:rPr>
        <w:t>Id</w:t>
      </w:r>
      <w:r>
        <w:rPr>
          <w:rFonts w:ascii="Times New Roman" w:eastAsia="Times New Roman" w:hAnsi="Times New Roman" w:cs="Times New Roman"/>
          <w:sz w:val="28"/>
          <w:szCs w:val="28"/>
        </w:rPr>
        <w:t xml:space="preserve">. at 461. </w:t>
      </w:r>
    </w:p>
    <w:p w14:paraId="0000005E" w14:textId="77777777" w:rsidR="00DD5A0A" w:rsidRDefault="00EF3DAB">
      <w:pPr>
        <w:numPr>
          <w:ilvl w:val="0"/>
          <w:numId w:val="2"/>
        </w:numPr>
        <w:spacing w:line="48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Ms. Calloway testified under a grant of immunity</w:t>
      </w:r>
    </w:p>
    <w:p w14:paraId="0000005F" w14:textId="080CB8A0" w:rsidR="00DD5A0A" w:rsidRDefault="00EF3DAB">
      <w:pPr>
        <w:spacing w:line="480" w:lineRule="auto"/>
        <w:rPr>
          <w:rFonts w:ascii="Times New Roman" w:eastAsia="Times New Roman" w:hAnsi="Times New Roman" w:cs="Times New Roman"/>
          <w:sz w:val="28"/>
          <w:szCs w:val="28"/>
        </w:rPr>
      </w:pPr>
      <w:r>
        <w:rPr>
          <w:rFonts w:ascii="Century Schoolbook" w:eastAsia="Century Schoolbook" w:hAnsi="Century Schoolbook" w:cs="Century Schoolbook"/>
          <w:sz w:val="28"/>
          <w:szCs w:val="28"/>
        </w:rPr>
        <w:tab/>
      </w:r>
      <w:r>
        <w:rPr>
          <w:rFonts w:ascii="Times New Roman" w:eastAsia="Times New Roman" w:hAnsi="Times New Roman" w:cs="Times New Roman"/>
          <w:sz w:val="28"/>
          <w:szCs w:val="28"/>
        </w:rPr>
        <w:t xml:space="preserve">As outlined above, Ms. Calloway successfully testified under a grant of immunity by (1) invoking the Fifth Amendment, (2) the </w:t>
      </w:r>
      <w:r w:rsidR="0063249C">
        <w:rPr>
          <w:rFonts w:ascii="Times New Roman" w:eastAsia="Times New Roman" w:hAnsi="Times New Roman" w:cs="Times New Roman"/>
          <w:sz w:val="28"/>
          <w:szCs w:val="28"/>
        </w:rPr>
        <w:t>C</w:t>
      </w:r>
      <w:r>
        <w:rPr>
          <w:rFonts w:ascii="Times New Roman" w:eastAsia="Times New Roman" w:hAnsi="Times New Roman" w:cs="Times New Roman"/>
          <w:sz w:val="28"/>
          <w:szCs w:val="28"/>
        </w:rPr>
        <w:t xml:space="preserve">ourt issuing an immunity grant to compel Ms. Calloway’s testimony, (3) Ms. Calloway testifying pursuant to </w:t>
      </w:r>
      <w:r>
        <w:rPr>
          <w:rFonts w:ascii="Times New Roman" w:eastAsia="Times New Roman" w:hAnsi="Times New Roman" w:cs="Times New Roman"/>
          <w:sz w:val="28"/>
          <w:szCs w:val="28"/>
        </w:rPr>
        <w:lastRenderedPageBreak/>
        <w:t>the immunity grant, and (4) Ms. Calloway’s testimony including matters concerning her current prosecution.</w:t>
      </w:r>
    </w:p>
    <w:p w14:paraId="00000060" w14:textId="77777777" w:rsidR="00DD5A0A" w:rsidRDefault="00EF3DAB">
      <w:pPr>
        <w:numPr>
          <w:ilvl w:val="0"/>
          <w:numId w:val="2"/>
        </w:numPr>
        <w:spacing w:line="48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Burden shifts to Government</w:t>
      </w:r>
    </w:p>
    <w:p w14:paraId="00000061" w14:textId="1ECFB7A3" w:rsidR="00DD5A0A" w:rsidRDefault="00EF3DAB">
      <w:pPr>
        <w:spacing w:line="480" w:lineRule="auto"/>
        <w:rPr>
          <w:rFonts w:ascii="Times New Roman" w:eastAsia="Times New Roman" w:hAnsi="Times New Roman" w:cs="Times New Roman"/>
          <w:sz w:val="28"/>
          <w:szCs w:val="28"/>
        </w:rPr>
      </w:pPr>
      <w:r>
        <w:rPr>
          <w:rFonts w:ascii="Century Schoolbook" w:eastAsia="Century Schoolbook" w:hAnsi="Century Schoolbook" w:cs="Century Schoolbook"/>
          <w:sz w:val="28"/>
          <w:szCs w:val="28"/>
        </w:rPr>
        <w:tab/>
      </w:r>
      <w:r>
        <w:rPr>
          <w:rFonts w:ascii="Times New Roman" w:eastAsia="Times New Roman" w:hAnsi="Times New Roman" w:cs="Times New Roman"/>
          <w:i/>
          <w:iCs/>
          <w:sz w:val="28"/>
          <w:szCs w:val="28"/>
        </w:rPr>
        <w:t>Kastigar</w:t>
      </w:r>
      <w:r>
        <w:rPr>
          <w:rFonts w:ascii="Times New Roman" w:eastAsia="Times New Roman" w:hAnsi="Times New Roman" w:cs="Times New Roman"/>
          <w:sz w:val="28"/>
          <w:szCs w:val="28"/>
        </w:rPr>
        <w:t xml:space="preserve"> outlines the government’s required burden when it is prosecuting a witness who has previously given compelled testimony. “This burden of proof, which we affirm as appropriate, is not limited to a negation of taint; rather, it imposes on the prosecution the affirmative duty to prove that the evidence it proposes to use is derived from a legitimate source wholly independent of the compelled testimony.” </w:t>
      </w:r>
      <w:r>
        <w:rPr>
          <w:rFonts w:ascii="Times New Roman" w:eastAsia="Times New Roman" w:hAnsi="Times New Roman" w:cs="Times New Roman"/>
          <w:i/>
          <w:iCs/>
          <w:sz w:val="28"/>
          <w:szCs w:val="28"/>
        </w:rPr>
        <w:t>Kastigar v. United States</w:t>
      </w:r>
      <w:r>
        <w:rPr>
          <w:rFonts w:ascii="Times New Roman" w:eastAsia="Times New Roman" w:hAnsi="Times New Roman" w:cs="Times New Roman"/>
          <w:sz w:val="28"/>
          <w:szCs w:val="28"/>
        </w:rPr>
        <w:t xml:space="preserve">, 406 U.S. 441, 460 (1972). Additionally, </w:t>
      </w:r>
      <w:r>
        <w:rPr>
          <w:rFonts w:ascii="Times New Roman" w:eastAsia="Times New Roman" w:hAnsi="Times New Roman" w:cs="Times New Roman"/>
          <w:i/>
          <w:iCs/>
          <w:sz w:val="28"/>
          <w:szCs w:val="28"/>
        </w:rPr>
        <w:t>Hampton v. United States</w:t>
      </w:r>
      <w:r>
        <w:rPr>
          <w:rFonts w:ascii="Times New Roman" w:eastAsia="Times New Roman" w:hAnsi="Times New Roman" w:cs="Times New Roman"/>
          <w:sz w:val="28"/>
          <w:szCs w:val="28"/>
        </w:rPr>
        <w:t xml:space="preserve"> demonstrates that “mere denials of use by the prosecutors and other government agents are generally insufficient to meet the government’s burden, even if made in good faith.” </w:t>
      </w:r>
      <w:r>
        <w:rPr>
          <w:rFonts w:ascii="Times New Roman" w:eastAsia="Times New Roman" w:hAnsi="Times New Roman" w:cs="Times New Roman"/>
          <w:i/>
          <w:iCs/>
          <w:sz w:val="28"/>
          <w:szCs w:val="28"/>
        </w:rPr>
        <w:t>United States v. Hampton</w:t>
      </w:r>
      <w:r>
        <w:rPr>
          <w:rFonts w:ascii="Times New Roman" w:eastAsia="Times New Roman" w:hAnsi="Times New Roman" w:cs="Times New Roman"/>
          <w:sz w:val="28"/>
          <w:szCs w:val="28"/>
        </w:rPr>
        <w:t>, 775 F.2d 1479, 1485 (11th Cir. 1985).</w:t>
      </w:r>
      <w:r w:rsidR="0063249C">
        <w:rPr>
          <w:rFonts w:ascii="Times New Roman" w:eastAsia="Times New Roman" w:hAnsi="Times New Roman" w:cs="Times New Roman"/>
          <w:sz w:val="28"/>
          <w:szCs w:val="28"/>
        </w:rPr>
        <w:fldChar w:fldCharType="begin"/>
      </w:r>
      <w:r w:rsidR="0063249C">
        <w:instrText xml:space="preserve"> TA \l "</w:instrText>
      </w:r>
      <w:r w:rsidR="0063249C" w:rsidRPr="001A0C63">
        <w:rPr>
          <w:rFonts w:ascii="Times New Roman" w:eastAsia="Times New Roman" w:hAnsi="Times New Roman" w:cs="Times New Roman"/>
          <w:i/>
          <w:iCs/>
          <w:sz w:val="28"/>
          <w:szCs w:val="28"/>
        </w:rPr>
        <w:instrText>United States v. Hampton</w:instrText>
      </w:r>
      <w:r w:rsidR="0063249C" w:rsidRPr="001A0C63">
        <w:rPr>
          <w:rFonts w:ascii="Times New Roman" w:eastAsia="Times New Roman" w:hAnsi="Times New Roman" w:cs="Times New Roman"/>
          <w:sz w:val="28"/>
          <w:szCs w:val="28"/>
        </w:rPr>
        <w:instrText>, 775 F.2d 1479, 1485 (11th Cir. 1985).</w:instrText>
      </w:r>
      <w:r w:rsidR="0063249C">
        <w:instrText xml:space="preserve">" \s "United States v. Hampton, 775 F.2d 1479, 1485 (11th Cir. 1985)." \c 1 </w:instrText>
      </w:r>
      <w:r w:rsidR="0063249C">
        <w:rPr>
          <w:rFonts w:ascii="Times New Roman" w:eastAsia="Times New Roman" w:hAnsi="Times New Roman" w:cs="Times New Roman"/>
          <w:sz w:val="28"/>
          <w:szCs w:val="28"/>
        </w:rPr>
        <w:fldChar w:fldCharType="end"/>
      </w:r>
      <w:r>
        <w:rPr>
          <w:rFonts w:ascii="Times New Roman" w:eastAsia="Times New Roman" w:hAnsi="Times New Roman" w:cs="Times New Roman"/>
          <w:sz w:val="28"/>
          <w:szCs w:val="28"/>
        </w:rPr>
        <w:t xml:space="preserve"> Lastly, the court in </w:t>
      </w:r>
      <w:r>
        <w:rPr>
          <w:rFonts w:ascii="Times New Roman" w:eastAsia="Times New Roman" w:hAnsi="Times New Roman" w:cs="Times New Roman"/>
          <w:i/>
          <w:iCs/>
          <w:sz w:val="28"/>
          <w:szCs w:val="28"/>
        </w:rPr>
        <w:t>Schmidgall</w:t>
      </w:r>
      <w:r>
        <w:rPr>
          <w:rFonts w:ascii="Times New Roman" w:eastAsia="Times New Roman" w:hAnsi="Times New Roman" w:cs="Times New Roman"/>
          <w:sz w:val="28"/>
          <w:szCs w:val="28"/>
        </w:rPr>
        <w:t xml:space="preserve"> displayed that “[t]o establish a ‘wholly independent’ source, the government must demonstrate that each step of the investigative chain through which the evidence was obtained is untainted. This includes an affirmative showing that none of the evidence presented to the grand jury was derived directly or indirectly from immunized testimony.” </w:t>
      </w:r>
      <w:r>
        <w:rPr>
          <w:rFonts w:ascii="Times New Roman" w:eastAsia="Times New Roman" w:hAnsi="Times New Roman" w:cs="Times New Roman"/>
          <w:i/>
          <w:iCs/>
          <w:sz w:val="28"/>
          <w:szCs w:val="28"/>
        </w:rPr>
        <w:t>United States v. Schmidgall</w:t>
      </w:r>
      <w:r>
        <w:rPr>
          <w:rFonts w:ascii="Times New Roman" w:eastAsia="Times New Roman" w:hAnsi="Times New Roman" w:cs="Times New Roman"/>
          <w:sz w:val="28"/>
          <w:szCs w:val="28"/>
        </w:rPr>
        <w:t>, 25 F.3d 1523, 1528 (11th Cir. 1994).</w:t>
      </w:r>
      <w:r w:rsidR="0063249C">
        <w:rPr>
          <w:rFonts w:ascii="Times New Roman" w:eastAsia="Times New Roman" w:hAnsi="Times New Roman" w:cs="Times New Roman"/>
          <w:sz w:val="28"/>
          <w:szCs w:val="28"/>
        </w:rPr>
        <w:fldChar w:fldCharType="begin"/>
      </w:r>
      <w:r w:rsidR="0063249C">
        <w:instrText xml:space="preserve"> TA \l "</w:instrText>
      </w:r>
      <w:r w:rsidR="0063249C" w:rsidRPr="001A0C63">
        <w:rPr>
          <w:rFonts w:ascii="Times New Roman" w:eastAsia="Times New Roman" w:hAnsi="Times New Roman" w:cs="Times New Roman"/>
          <w:i/>
          <w:iCs/>
          <w:sz w:val="28"/>
          <w:szCs w:val="28"/>
        </w:rPr>
        <w:instrText>United States v. Schmidgall</w:instrText>
      </w:r>
      <w:r w:rsidR="0063249C" w:rsidRPr="001A0C63">
        <w:rPr>
          <w:rFonts w:ascii="Times New Roman" w:eastAsia="Times New Roman" w:hAnsi="Times New Roman" w:cs="Times New Roman"/>
          <w:sz w:val="28"/>
          <w:szCs w:val="28"/>
        </w:rPr>
        <w:instrText>, 25 F.3d 1523, 1528 (11th Cir. 1994).</w:instrText>
      </w:r>
      <w:r w:rsidR="0063249C">
        <w:instrText xml:space="preserve">" \s "United States v. Schmidgall, 25 F.3d 1523, 1528 (11th Cir. 1994)." \c 1 </w:instrText>
      </w:r>
      <w:r w:rsidR="0063249C">
        <w:rPr>
          <w:rFonts w:ascii="Times New Roman" w:eastAsia="Times New Roman" w:hAnsi="Times New Roman" w:cs="Times New Roman"/>
          <w:sz w:val="28"/>
          <w:szCs w:val="28"/>
        </w:rPr>
        <w:fldChar w:fldCharType="end"/>
      </w:r>
      <w:r>
        <w:rPr>
          <w:rFonts w:ascii="Times New Roman" w:eastAsia="Times New Roman" w:hAnsi="Times New Roman" w:cs="Times New Roman"/>
          <w:sz w:val="28"/>
          <w:szCs w:val="28"/>
        </w:rPr>
        <w:t xml:space="preserve"> </w:t>
      </w:r>
    </w:p>
    <w:p w14:paraId="00000062" w14:textId="77777777" w:rsidR="00DD5A0A" w:rsidRDefault="00EF3DAB">
      <w:pPr>
        <w:spacing w:line="48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In the present matter, the Government is not able to prove that the decision to interview Parker was derived wholly independent from Ms. Calloway’s </w:t>
      </w:r>
      <w:r>
        <w:rPr>
          <w:rFonts w:ascii="Times New Roman" w:eastAsia="Times New Roman" w:hAnsi="Times New Roman" w:cs="Times New Roman"/>
          <w:sz w:val="28"/>
          <w:szCs w:val="28"/>
        </w:rPr>
        <w:lastRenderedPageBreak/>
        <w:t xml:space="preserve">compelled testimony. According to </w:t>
      </w:r>
      <w:r>
        <w:rPr>
          <w:rFonts w:ascii="Times New Roman" w:eastAsia="Times New Roman" w:hAnsi="Times New Roman" w:cs="Times New Roman"/>
          <w:i/>
          <w:iCs/>
          <w:sz w:val="28"/>
          <w:szCs w:val="28"/>
        </w:rPr>
        <w:t>Kastigar</w:t>
      </w:r>
      <w:r>
        <w:rPr>
          <w:rFonts w:ascii="Times New Roman" w:eastAsia="Times New Roman" w:hAnsi="Times New Roman" w:cs="Times New Roman"/>
          <w:sz w:val="28"/>
          <w:szCs w:val="28"/>
        </w:rPr>
        <w:t>, the Government has the affirmative duty to prove all evidence is independent; a federal agent denying he viewed Ms. Calloway’s testimony or talked to the assistant district attorney assigned to the matter regarding the testimony is not sufficient to prove this affirmative duty. The Government must show exactly where the decision to interview Parker was made by being able to show a chain of decisions that led to Parker being identified as a witness; if that chain leads to Ms. Calloway’s testimony, Kennedy’</w:t>
      </w:r>
      <w:r>
        <w:rPr>
          <w:rFonts w:ascii="Times New Roman" w:eastAsia="Times New Roman" w:hAnsi="Times New Roman" w:cs="Times New Roman"/>
          <w:sz w:val="28"/>
          <w:szCs w:val="28"/>
        </w:rPr>
        <w:t xml:space="preserve">s testimony must be suppressed. </w:t>
      </w:r>
    </w:p>
    <w:p w14:paraId="00000063" w14:textId="7C776399" w:rsidR="00DD5A0A" w:rsidRDefault="00EF3DAB">
      <w:pPr>
        <w:spacing w:line="480" w:lineRule="auto"/>
        <w:ind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The Government has not offered any definitive proof that Parker was actually to</w:t>
      </w:r>
      <w:r>
        <w:rPr>
          <w:rFonts w:ascii="Times New Roman" w:eastAsia="Times New Roman" w:hAnsi="Times New Roman" w:cs="Times New Roman"/>
          <w:sz w:val="28"/>
          <w:szCs w:val="28"/>
        </w:rPr>
        <w:t xml:space="preserve"> be interviewed by, for example, providing proof of an interview date or any correspondence pertaining to relevant communications. The Government had many opportunities to interview Parker before Ms. Calloway’s compelled testimony. Because the Government cannot establish that Parker’s testimony was taken wholly independently of Ms. Calloway’s compelled testimony, the Government violated Ms. Calloway’s derivative-use protection granted to her by 18 U.S.C. § 6002</w:t>
      </w:r>
      <w:r w:rsidR="0063249C">
        <w:rPr>
          <w:rFonts w:ascii="Times New Roman" w:eastAsia="Times New Roman" w:hAnsi="Times New Roman" w:cs="Times New Roman"/>
          <w:sz w:val="28"/>
          <w:szCs w:val="28"/>
        </w:rPr>
        <w:fldChar w:fldCharType="begin"/>
      </w:r>
      <w:r w:rsidR="0063249C">
        <w:rPr>
          <w:rFonts w:ascii="Times New Roman" w:eastAsia="Times New Roman" w:hAnsi="Times New Roman" w:cs="Times New Roman"/>
          <w:sz w:val="28"/>
          <w:szCs w:val="28"/>
        </w:rPr>
        <w:instrText xml:space="preserve"> TA \s "18 U.S.C. § 6002" </w:instrText>
      </w:r>
      <w:r w:rsidR="0063249C">
        <w:rPr>
          <w:rFonts w:ascii="Times New Roman" w:eastAsia="Times New Roman" w:hAnsi="Times New Roman" w:cs="Times New Roman"/>
          <w:sz w:val="28"/>
          <w:szCs w:val="28"/>
        </w:rPr>
        <w:fldChar w:fldCharType="end"/>
      </w:r>
      <w:r>
        <w:rPr>
          <w:rFonts w:ascii="Times New Roman" w:eastAsia="Times New Roman" w:hAnsi="Times New Roman" w:cs="Times New Roman"/>
          <w:sz w:val="28"/>
          <w:szCs w:val="28"/>
        </w:rPr>
        <w:t>. As a result, Parker’s testimony must be suppressed.</w:t>
      </w:r>
    </w:p>
    <w:p w14:paraId="00000064" w14:textId="77777777" w:rsidR="00DD5A0A" w:rsidRDefault="00EF3DAB">
      <w:pPr>
        <w:spacing w:line="48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Ms. Calloway met all the prerequisites to earn use and derivative-use protection on the testimony she gave in </w:t>
      </w:r>
      <w:r>
        <w:rPr>
          <w:rFonts w:ascii="Times New Roman" w:eastAsia="Times New Roman" w:hAnsi="Times New Roman" w:cs="Times New Roman"/>
          <w:i/>
          <w:iCs/>
          <w:sz w:val="28"/>
          <w:szCs w:val="28"/>
        </w:rPr>
        <w:t>United States v. Saint Donovan</w:t>
      </w:r>
      <w:r>
        <w:rPr>
          <w:rFonts w:ascii="Times New Roman" w:eastAsia="Times New Roman" w:hAnsi="Times New Roman" w:cs="Times New Roman"/>
          <w:sz w:val="28"/>
          <w:szCs w:val="28"/>
        </w:rPr>
        <w:t xml:space="preserve"> and she meets none of the exceptions outlined under § 6002. Therefore, Ms. Calloway is immune from prosecution based on her testimony and the Government must prove </w:t>
      </w:r>
      <w:r>
        <w:rPr>
          <w:rFonts w:ascii="Times New Roman" w:eastAsia="Times New Roman" w:hAnsi="Times New Roman" w:cs="Times New Roman"/>
          <w:sz w:val="28"/>
          <w:szCs w:val="28"/>
        </w:rPr>
        <w:lastRenderedPageBreak/>
        <w:t>that Parker was interviewed independently of Ms. Calloway’s testimony. Because the Government cannot prove that the decision to interview Parker was made wholly independent from Ms. Calloway’s testimony, the court must grant the motion to suppress evidence, namely Parker’s testimony.</w:t>
      </w:r>
    </w:p>
    <w:p w14:paraId="00000065" w14:textId="77777777" w:rsidR="00DD5A0A" w:rsidRDefault="00DD5A0A">
      <w:pPr>
        <w:spacing w:line="240" w:lineRule="auto"/>
        <w:ind w:left="720"/>
        <w:rPr>
          <w:rFonts w:ascii="Times New Roman" w:eastAsia="Times New Roman" w:hAnsi="Times New Roman" w:cs="Times New Roman"/>
          <w:sz w:val="28"/>
          <w:szCs w:val="28"/>
        </w:rPr>
      </w:pPr>
    </w:p>
    <w:p w14:paraId="00000066" w14:textId="77777777" w:rsidR="00DD5A0A" w:rsidRDefault="00EF3DAB">
      <w:pPr>
        <w:numPr>
          <w:ilvl w:val="0"/>
          <w:numId w:val="1"/>
        </w:numPr>
        <w:spacing w:line="240" w:lineRule="auto"/>
        <w:rPr>
          <w:rFonts w:ascii="Century Schoolbook" w:eastAsia="Century Schoolbook" w:hAnsi="Century Schoolbook" w:cs="Century Schoolbook"/>
          <w:sz w:val="28"/>
          <w:szCs w:val="28"/>
        </w:rPr>
      </w:pPr>
      <w:r>
        <w:rPr>
          <w:rFonts w:ascii="Times New Roman" w:eastAsia="Times New Roman" w:hAnsi="Times New Roman" w:cs="Times New Roman"/>
          <w:sz w:val="28"/>
          <w:szCs w:val="28"/>
        </w:rPr>
        <w:t>THE COURT SHOULD GRANT MS. CALLOWAY’S MOTION TO QUASH SUBPOENA BECAUSE MADDOX ARMANA’S RECORDS OF THE SIERRA SETON INTERVIEW ARE OPINION WORK PRODUCT AND ARE NONDISCOVERABLE.</w:t>
      </w:r>
    </w:p>
    <w:p w14:paraId="00000067" w14:textId="77777777" w:rsidR="00DD5A0A" w:rsidRDefault="00EF3DAB">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r>
    </w:p>
    <w:p w14:paraId="00000068" w14:textId="0B8E0DBA" w:rsidR="00DD5A0A" w:rsidRDefault="00EF3DAB">
      <w:pPr>
        <w:spacing w:line="48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 xml:space="preserve">The Court must grant the Motion to Quash United States </w:t>
      </w:r>
      <w:r w:rsidR="0063249C">
        <w:rPr>
          <w:rFonts w:ascii="Times New Roman" w:eastAsia="Times New Roman" w:hAnsi="Times New Roman" w:cs="Times New Roman"/>
          <w:sz w:val="28"/>
          <w:szCs w:val="28"/>
        </w:rPr>
        <w:t>S</w:t>
      </w:r>
      <w:r>
        <w:rPr>
          <w:rFonts w:ascii="Times New Roman" w:eastAsia="Times New Roman" w:hAnsi="Times New Roman" w:cs="Times New Roman"/>
          <w:sz w:val="28"/>
          <w:szCs w:val="28"/>
        </w:rPr>
        <w:t xml:space="preserve">ubpoena </w:t>
      </w:r>
      <w:r w:rsidR="0063249C">
        <w:rPr>
          <w:rFonts w:ascii="Times New Roman" w:eastAsia="Times New Roman" w:hAnsi="Times New Roman" w:cs="Times New Roman"/>
          <w:sz w:val="28"/>
          <w:szCs w:val="28"/>
        </w:rPr>
        <w:t>D</w:t>
      </w:r>
      <w:r>
        <w:rPr>
          <w:rFonts w:ascii="Times New Roman" w:eastAsia="Times New Roman" w:hAnsi="Times New Roman" w:cs="Times New Roman"/>
          <w:sz w:val="28"/>
          <w:szCs w:val="28"/>
        </w:rPr>
        <w:t xml:space="preserve">uces </w:t>
      </w:r>
      <w:r w:rsidR="0063249C">
        <w:rPr>
          <w:rFonts w:ascii="Times New Roman" w:eastAsia="Times New Roman" w:hAnsi="Times New Roman" w:cs="Times New Roman"/>
          <w:sz w:val="28"/>
          <w:szCs w:val="28"/>
        </w:rPr>
        <w:t>T</w:t>
      </w:r>
      <w:r>
        <w:rPr>
          <w:rFonts w:ascii="Times New Roman" w:eastAsia="Times New Roman" w:hAnsi="Times New Roman" w:cs="Times New Roman"/>
          <w:sz w:val="28"/>
          <w:szCs w:val="28"/>
        </w:rPr>
        <w:t xml:space="preserve">ecum on Maddox Armana for the production of any and all records of Armana’s interview of Sierra Seton on February 15, 2024, as protected under work product </w:t>
      </w:r>
      <w:r>
        <w:rPr>
          <w:rFonts w:ascii="Century Schoolbook" w:eastAsia="Century Schoolbook" w:hAnsi="Century Schoolbook" w:cs="Century Schoolbook"/>
          <w:sz w:val="28"/>
          <w:szCs w:val="28"/>
        </w:rPr>
        <w:t>p</w:t>
      </w:r>
      <w:r>
        <w:rPr>
          <w:rFonts w:ascii="Times New Roman" w:eastAsia="Times New Roman" w:hAnsi="Times New Roman" w:cs="Times New Roman"/>
          <w:sz w:val="28"/>
          <w:szCs w:val="28"/>
        </w:rPr>
        <w:t>rivilege because the records contained Armana’s personal opinions and mental impressions.</w:t>
      </w:r>
    </w:p>
    <w:p w14:paraId="00000069" w14:textId="46235CEE" w:rsidR="00DD5A0A" w:rsidRDefault="00EF3DAB">
      <w:pPr>
        <w:spacing w:line="480" w:lineRule="auto"/>
        <w:rPr>
          <w:rFonts w:ascii="Times New Roman" w:eastAsia="Times New Roman" w:hAnsi="Times New Roman" w:cs="Times New Roman"/>
          <w:sz w:val="28"/>
          <w:szCs w:val="28"/>
        </w:rPr>
      </w:pPr>
      <w:r>
        <w:rPr>
          <w:rFonts w:ascii="Century Schoolbook" w:eastAsia="Century Schoolbook" w:hAnsi="Century Schoolbook" w:cs="Century Schoolbook"/>
          <w:sz w:val="28"/>
          <w:szCs w:val="28"/>
        </w:rPr>
        <w:tab/>
      </w:r>
      <w:r>
        <w:rPr>
          <w:rFonts w:ascii="Times New Roman" w:eastAsia="Times New Roman" w:hAnsi="Times New Roman" w:cs="Times New Roman"/>
          <w:sz w:val="28"/>
          <w:szCs w:val="28"/>
        </w:rPr>
        <w:t>Federal Rule of Civil Procedure 26(b)(3)(A)</w:t>
      </w:r>
      <w:r w:rsidR="0063249C">
        <w:rPr>
          <w:rFonts w:ascii="Times New Roman" w:eastAsia="Times New Roman" w:hAnsi="Times New Roman" w:cs="Times New Roman"/>
          <w:sz w:val="28"/>
          <w:szCs w:val="28"/>
        </w:rPr>
        <w:fldChar w:fldCharType="begin"/>
      </w:r>
      <w:r w:rsidR="0063249C">
        <w:instrText xml:space="preserve"> TA \l "</w:instrText>
      </w:r>
      <w:r w:rsidR="0063249C" w:rsidRPr="001A0C63">
        <w:rPr>
          <w:rFonts w:ascii="Times New Roman" w:eastAsia="Times New Roman" w:hAnsi="Times New Roman" w:cs="Times New Roman"/>
          <w:sz w:val="28"/>
          <w:szCs w:val="28"/>
        </w:rPr>
        <w:instrText>Federal Rule of Civil Procedure 26(b)(3)(A)</w:instrText>
      </w:r>
      <w:r w:rsidR="0063249C">
        <w:instrText xml:space="preserve">" \s "Federal Rule of Civil Procedure 26(b)(3)(A)" \c 4 </w:instrText>
      </w:r>
      <w:r w:rsidR="0063249C">
        <w:rPr>
          <w:rFonts w:ascii="Times New Roman" w:eastAsia="Times New Roman" w:hAnsi="Times New Roman" w:cs="Times New Roman"/>
          <w:sz w:val="28"/>
          <w:szCs w:val="28"/>
        </w:rPr>
        <w:fldChar w:fldCharType="end"/>
      </w:r>
      <w:r>
        <w:rPr>
          <w:rFonts w:ascii="Times New Roman" w:eastAsia="Times New Roman" w:hAnsi="Times New Roman" w:cs="Times New Roman"/>
          <w:sz w:val="28"/>
          <w:szCs w:val="28"/>
        </w:rPr>
        <w:t xml:space="preserve"> outlines the work product privilege rule by protecting parties from sharing “documents and tangible things . . .  prepared in anticipation of litigation or for trial” with the opposing party during discovery.  The purpose of the work product doctrine is “to protect an attorney’s mental impressions, conclusions, opinions, or legal theories.” The court in </w:t>
      </w:r>
      <w:r>
        <w:rPr>
          <w:rFonts w:ascii="Times New Roman" w:eastAsia="Times New Roman" w:hAnsi="Times New Roman" w:cs="Times New Roman"/>
          <w:i/>
          <w:iCs/>
          <w:sz w:val="28"/>
          <w:szCs w:val="28"/>
        </w:rPr>
        <w:t>Hickman</w:t>
      </w:r>
      <w:r>
        <w:rPr>
          <w:rFonts w:ascii="Times New Roman" w:eastAsia="Times New Roman" w:hAnsi="Times New Roman" w:cs="Times New Roman"/>
          <w:sz w:val="28"/>
          <w:szCs w:val="28"/>
        </w:rPr>
        <w:t xml:space="preserve"> held that “an adverse party’s counsel materials prepared in anticipation of litigation, known as work product, are not discoverable as of right. The party seeking discovery must demonstrate a substantial need for the materials and an </w:t>
      </w:r>
      <w:r>
        <w:rPr>
          <w:rFonts w:ascii="Times New Roman" w:eastAsia="Times New Roman" w:hAnsi="Times New Roman" w:cs="Times New Roman"/>
          <w:sz w:val="28"/>
          <w:szCs w:val="28"/>
        </w:rPr>
        <w:lastRenderedPageBreak/>
        <w:t xml:space="preserve">inability to obtain the substantial equivalent of the materials by other means by undue hardship.” </w:t>
      </w:r>
      <w:r>
        <w:rPr>
          <w:rFonts w:ascii="Times New Roman" w:eastAsia="Times New Roman" w:hAnsi="Times New Roman" w:cs="Times New Roman"/>
          <w:i/>
          <w:iCs/>
          <w:sz w:val="28"/>
          <w:szCs w:val="28"/>
        </w:rPr>
        <w:t>Hickman v. Taylor</w:t>
      </w:r>
      <w:r>
        <w:rPr>
          <w:rFonts w:ascii="Times New Roman" w:eastAsia="Times New Roman" w:hAnsi="Times New Roman" w:cs="Times New Roman"/>
          <w:sz w:val="28"/>
          <w:szCs w:val="28"/>
        </w:rPr>
        <w:t>, 329 U.S. 495 (1947).</w:t>
      </w:r>
      <w:r w:rsidR="0063249C">
        <w:rPr>
          <w:rFonts w:ascii="Times New Roman" w:eastAsia="Times New Roman" w:hAnsi="Times New Roman" w:cs="Times New Roman"/>
          <w:sz w:val="28"/>
          <w:szCs w:val="28"/>
        </w:rPr>
        <w:fldChar w:fldCharType="begin"/>
      </w:r>
      <w:r w:rsidR="0063249C">
        <w:instrText xml:space="preserve"> TA \l "</w:instrText>
      </w:r>
      <w:r w:rsidR="0063249C" w:rsidRPr="001A0C63">
        <w:rPr>
          <w:rFonts w:ascii="Times New Roman" w:eastAsia="Times New Roman" w:hAnsi="Times New Roman" w:cs="Times New Roman"/>
          <w:i/>
          <w:iCs/>
          <w:sz w:val="28"/>
          <w:szCs w:val="28"/>
        </w:rPr>
        <w:instrText>Hickman v. Taylor</w:instrText>
      </w:r>
      <w:r w:rsidR="0063249C" w:rsidRPr="001A0C63">
        <w:rPr>
          <w:rFonts w:ascii="Times New Roman" w:eastAsia="Times New Roman" w:hAnsi="Times New Roman" w:cs="Times New Roman"/>
          <w:sz w:val="28"/>
          <w:szCs w:val="28"/>
        </w:rPr>
        <w:instrText>, 329 U.S. 495 (1947).</w:instrText>
      </w:r>
      <w:r w:rsidR="0063249C">
        <w:instrText xml:space="preserve">" \s "Hickman v. Taylor, 329 U.S. 495 (1947)." \c 1 </w:instrText>
      </w:r>
      <w:r w:rsidR="0063249C">
        <w:rPr>
          <w:rFonts w:ascii="Times New Roman" w:eastAsia="Times New Roman" w:hAnsi="Times New Roman" w:cs="Times New Roman"/>
          <w:sz w:val="28"/>
          <w:szCs w:val="28"/>
        </w:rPr>
        <w:fldChar w:fldCharType="end"/>
      </w:r>
    </w:p>
    <w:p w14:paraId="0000006A" w14:textId="63C6B0BE" w:rsidR="00DD5A0A" w:rsidRDefault="00EF3DAB">
      <w:pPr>
        <w:spacing w:line="480" w:lineRule="auto"/>
        <w:ind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Federal Rule of Civil Procedure 26(b)(4)(C)</w:t>
      </w:r>
      <w:r w:rsidR="0063249C">
        <w:rPr>
          <w:rFonts w:ascii="Times New Roman" w:eastAsia="Times New Roman" w:hAnsi="Times New Roman" w:cs="Times New Roman"/>
          <w:sz w:val="28"/>
          <w:szCs w:val="28"/>
        </w:rPr>
        <w:fldChar w:fldCharType="begin"/>
      </w:r>
      <w:r w:rsidR="0063249C">
        <w:instrText xml:space="preserve"> TA \l "</w:instrText>
      </w:r>
      <w:r w:rsidR="0063249C" w:rsidRPr="001A0C63">
        <w:rPr>
          <w:rFonts w:ascii="Times New Roman" w:eastAsia="Times New Roman" w:hAnsi="Times New Roman" w:cs="Times New Roman"/>
          <w:sz w:val="28"/>
          <w:szCs w:val="28"/>
        </w:rPr>
        <w:instrText>Federal Rule of Civil Procedure 26(b)(4)(C)</w:instrText>
      </w:r>
      <w:r w:rsidR="0063249C">
        <w:instrText xml:space="preserve">" \s "Federal Rule of Civil Procedure 26(b)(4)(C)" \c 4 </w:instrText>
      </w:r>
      <w:r w:rsidR="0063249C">
        <w:rPr>
          <w:rFonts w:ascii="Times New Roman" w:eastAsia="Times New Roman" w:hAnsi="Times New Roman" w:cs="Times New Roman"/>
          <w:sz w:val="28"/>
          <w:szCs w:val="28"/>
        </w:rPr>
        <w:fldChar w:fldCharType="end"/>
      </w:r>
      <w:r>
        <w:rPr>
          <w:rFonts w:ascii="Times New Roman" w:eastAsia="Times New Roman" w:hAnsi="Times New Roman" w:cs="Times New Roman"/>
          <w:sz w:val="28"/>
          <w:szCs w:val="28"/>
        </w:rPr>
        <w:t xml:space="preserve"> extends this rule to include a party’s retained testifying expert witness, except as those communications relate to: “[c]ompensation for expert’s study or testimony; [i]dentify facts or data that the party’s attorney provided and that the expert considered in forming the opinions to be expressed; or [i]dentify</w:t>
      </w:r>
      <w:r>
        <w:rPr>
          <w:rFonts w:ascii="Times New Roman" w:eastAsia="Times New Roman" w:hAnsi="Times New Roman" w:cs="Times New Roman"/>
          <w:sz w:val="28"/>
          <w:szCs w:val="28"/>
        </w:rPr>
        <w:t xml:space="preserve"> assumptions that the party’s attorney provided and that the expert relied on in forming the opinions to be expressed.” None of these exceptions are relevant in the present matter. Additionally, the rule goes on to explain that while expert reports are discoverable, drafts of the report are protected under attorney work product privilege. </w:t>
      </w:r>
      <w:r>
        <w:rPr>
          <w:rFonts w:ascii="Times New Roman" w:eastAsia="Times New Roman" w:hAnsi="Times New Roman" w:cs="Times New Roman"/>
          <w:i/>
          <w:iCs/>
          <w:sz w:val="28"/>
          <w:szCs w:val="28"/>
        </w:rPr>
        <w:t>Id</w:t>
      </w:r>
      <w:r>
        <w:rPr>
          <w:rFonts w:ascii="Times New Roman" w:eastAsia="Times New Roman" w:hAnsi="Times New Roman" w:cs="Times New Roman"/>
          <w:sz w:val="28"/>
          <w:szCs w:val="28"/>
        </w:rPr>
        <w:t xml:space="preserve">. The Court in </w:t>
      </w:r>
      <w:r>
        <w:rPr>
          <w:rFonts w:ascii="Times New Roman" w:eastAsia="Times New Roman" w:hAnsi="Times New Roman" w:cs="Times New Roman"/>
          <w:i/>
          <w:iCs/>
          <w:sz w:val="28"/>
          <w:szCs w:val="28"/>
        </w:rPr>
        <w:t>Nobles</w:t>
      </w:r>
      <w:r>
        <w:rPr>
          <w:rFonts w:ascii="Times New Roman" w:eastAsia="Times New Roman" w:hAnsi="Times New Roman" w:cs="Times New Roman"/>
          <w:sz w:val="28"/>
          <w:szCs w:val="28"/>
        </w:rPr>
        <w:t xml:space="preserve">, extended the work product doctrine to extend to all criminal cases. </w:t>
      </w:r>
      <w:r>
        <w:rPr>
          <w:rFonts w:ascii="Times New Roman" w:eastAsia="Times New Roman" w:hAnsi="Times New Roman" w:cs="Times New Roman"/>
          <w:i/>
          <w:iCs/>
          <w:sz w:val="28"/>
          <w:szCs w:val="28"/>
        </w:rPr>
        <w:t>United States v. Nobles</w:t>
      </w:r>
      <w:r>
        <w:rPr>
          <w:rFonts w:ascii="Times New Roman" w:eastAsia="Times New Roman" w:hAnsi="Times New Roman" w:cs="Times New Roman"/>
          <w:sz w:val="28"/>
          <w:szCs w:val="28"/>
        </w:rPr>
        <w:t>, 422 U.S. 225 (1975</w:t>
      </w:r>
      <w:r w:rsidR="0063249C">
        <w:rPr>
          <w:rFonts w:ascii="Times New Roman" w:eastAsia="Times New Roman" w:hAnsi="Times New Roman" w:cs="Times New Roman"/>
          <w:sz w:val="28"/>
          <w:szCs w:val="28"/>
        </w:rPr>
        <w:fldChar w:fldCharType="begin"/>
      </w:r>
      <w:r w:rsidR="0063249C">
        <w:instrText xml:space="preserve"> TA \l "</w:instrText>
      </w:r>
      <w:r w:rsidR="0063249C" w:rsidRPr="001A0C63">
        <w:rPr>
          <w:rFonts w:ascii="Times New Roman" w:eastAsia="Times New Roman" w:hAnsi="Times New Roman" w:cs="Times New Roman"/>
          <w:i/>
          <w:iCs/>
          <w:sz w:val="28"/>
          <w:szCs w:val="28"/>
        </w:rPr>
        <w:instrText>United States v. Nobles</w:instrText>
      </w:r>
      <w:r w:rsidR="0063249C" w:rsidRPr="001A0C63">
        <w:rPr>
          <w:rFonts w:ascii="Times New Roman" w:eastAsia="Times New Roman" w:hAnsi="Times New Roman" w:cs="Times New Roman"/>
          <w:sz w:val="28"/>
          <w:szCs w:val="28"/>
        </w:rPr>
        <w:instrText>, 422 U.S. 225 (1975</w:instrText>
      </w:r>
      <w:r w:rsidR="0063249C">
        <w:instrText xml:space="preserve">" \s "United States v. Nobles, 422 U.S. 225 (1975" \c 1 </w:instrText>
      </w:r>
      <w:r w:rsidR="0063249C">
        <w:rPr>
          <w:rFonts w:ascii="Times New Roman" w:eastAsia="Times New Roman" w:hAnsi="Times New Roman" w:cs="Times New Roman"/>
          <w:sz w:val="28"/>
          <w:szCs w:val="28"/>
        </w:rPr>
        <w:fldChar w:fldCharType="end"/>
      </w:r>
      <w:r>
        <w:rPr>
          <w:rFonts w:ascii="Times New Roman" w:eastAsia="Times New Roman" w:hAnsi="Times New Roman" w:cs="Times New Roman"/>
          <w:sz w:val="28"/>
          <w:szCs w:val="28"/>
        </w:rPr>
        <w:t>).</w:t>
      </w:r>
      <w:r>
        <w:rPr>
          <w:rFonts w:ascii="Times New Roman" w:eastAsia="Times New Roman" w:hAnsi="Times New Roman" w:cs="Times New Roman"/>
          <w:i/>
          <w:iCs/>
          <w:sz w:val="28"/>
          <w:szCs w:val="28"/>
        </w:rPr>
        <w:t xml:space="preserve"> </w:t>
      </w:r>
    </w:p>
    <w:p w14:paraId="0000006B" w14:textId="77777777" w:rsidR="00DD5A0A" w:rsidRPr="0063249C" w:rsidRDefault="00EF3DAB" w:rsidP="0063249C">
      <w:pPr>
        <w:numPr>
          <w:ilvl w:val="0"/>
          <w:numId w:val="5"/>
        </w:numPr>
        <w:spacing w:after="240" w:line="240" w:lineRule="auto"/>
        <w:ind w:left="1080"/>
        <w:rPr>
          <w:rFonts w:ascii="Times New Roman" w:eastAsia="Times New Roman" w:hAnsi="Times New Roman" w:cs="Times New Roman"/>
          <w:sz w:val="28"/>
          <w:szCs w:val="28"/>
        </w:rPr>
      </w:pPr>
      <w:r w:rsidRPr="0063249C">
        <w:rPr>
          <w:rFonts w:ascii="Times New Roman" w:eastAsia="Times New Roman" w:hAnsi="Times New Roman" w:cs="Times New Roman"/>
          <w:sz w:val="28"/>
          <w:szCs w:val="28"/>
        </w:rPr>
        <w:t>Maddox Armana’s Notes from the Sierra Seton Interview Are Classified as Work Product and are Not Discoverable Because It Falls Under Opinion Work Product</w:t>
      </w:r>
    </w:p>
    <w:p w14:paraId="0000006C" w14:textId="77777777" w:rsidR="00DD5A0A" w:rsidRDefault="00EF3DAB">
      <w:pPr>
        <w:numPr>
          <w:ilvl w:val="0"/>
          <w:numId w:val="4"/>
        </w:numPr>
        <w:spacing w:line="48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Work Product</w:t>
      </w:r>
    </w:p>
    <w:p w14:paraId="0000006D" w14:textId="343C92FE" w:rsidR="00DD5A0A" w:rsidRDefault="00EF3DAB">
      <w:pPr>
        <w:spacing w:line="480" w:lineRule="auto"/>
        <w:rPr>
          <w:rFonts w:ascii="Times New Roman" w:eastAsia="Times New Roman" w:hAnsi="Times New Roman" w:cs="Times New Roman"/>
          <w:sz w:val="28"/>
          <w:szCs w:val="28"/>
        </w:rPr>
      </w:pPr>
      <w:r>
        <w:rPr>
          <w:rFonts w:ascii="Century Schoolbook" w:eastAsia="Century Schoolbook" w:hAnsi="Century Schoolbook" w:cs="Century Schoolbook"/>
          <w:sz w:val="28"/>
          <w:szCs w:val="28"/>
        </w:rPr>
        <w:tab/>
      </w:r>
      <w:r>
        <w:rPr>
          <w:rFonts w:ascii="Times New Roman" w:eastAsia="Times New Roman" w:hAnsi="Times New Roman" w:cs="Times New Roman"/>
          <w:sz w:val="28"/>
          <w:szCs w:val="28"/>
        </w:rPr>
        <w:t xml:space="preserve">In order to qualify for work product privilege, a document or tangible thing must be prepared in anticipation of litigation or trial. </w:t>
      </w:r>
      <w:r>
        <w:rPr>
          <w:rFonts w:ascii="Times New Roman" w:eastAsia="Times New Roman" w:hAnsi="Times New Roman" w:cs="Times New Roman"/>
          <w:i/>
          <w:iCs/>
          <w:sz w:val="28"/>
          <w:szCs w:val="28"/>
        </w:rPr>
        <w:t>Hickman v. Taylor</w:t>
      </w:r>
      <w:r>
        <w:rPr>
          <w:rFonts w:ascii="Times New Roman" w:eastAsia="Times New Roman" w:hAnsi="Times New Roman" w:cs="Times New Roman"/>
          <w:sz w:val="28"/>
          <w:szCs w:val="28"/>
        </w:rPr>
        <w:t>, 329 U.S. 495 (1947).</w:t>
      </w:r>
      <w:r w:rsidR="0063249C">
        <w:rPr>
          <w:rFonts w:ascii="Times New Roman" w:eastAsia="Times New Roman" w:hAnsi="Times New Roman" w:cs="Times New Roman"/>
          <w:sz w:val="28"/>
          <w:szCs w:val="28"/>
        </w:rPr>
        <w:fldChar w:fldCharType="begin"/>
      </w:r>
      <w:r w:rsidR="0063249C">
        <w:rPr>
          <w:rFonts w:ascii="Times New Roman" w:eastAsia="Times New Roman" w:hAnsi="Times New Roman" w:cs="Times New Roman"/>
          <w:sz w:val="28"/>
          <w:szCs w:val="28"/>
        </w:rPr>
        <w:instrText xml:space="preserve"> TA \s "Hickman v. Taylor, 329 U.S. 495 (1947)." </w:instrText>
      </w:r>
      <w:r w:rsidR="0063249C">
        <w:rPr>
          <w:rFonts w:ascii="Times New Roman" w:eastAsia="Times New Roman" w:hAnsi="Times New Roman" w:cs="Times New Roman"/>
          <w:sz w:val="28"/>
          <w:szCs w:val="28"/>
        </w:rPr>
        <w:fldChar w:fldCharType="end"/>
      </w:r>
      <w:r>
        <w:rPr>
          <w:rFonts w:ascii="Times New Roman" w:eastAsia="Times New Roman" w:hAnsi="Times New Roman" w:cs="Times New Roman"/>
          <w:sz w:val="28"/>
          <w:szCs w:val="28"/>
        </w:rPr>
        <w:t xml:space="preserve">  Discovery may be made into factual work product upon a party showing substantial need for the materials to prepare its case and that it cannot, </w:t>
      </w:r>
      <w:r>
        <w:rPr>
          <w:rFonts w:ascii="Times New Roman" w:eastAsia="Times New Roman" w:hAnsi="Times New Roman" w:cs="Times New Roman"/>
          <w:sz w:val="28"/>
          <w:szCs w:val="28"/>
        </w:rPr>
        <w:lastRenderedPageBreak/>
        <w:t xml:space="preserve">without undue hardship, obtain a substantial equivalent. </w:t>
      </w:r>
      <w:r>
        <w:rPr>
          <w:rFonts w:ascii="Times New Roman" w:eastAsia="Times New Roman" w:hAnsi="Times New Roman" w:cs="Times New Roman"/>
          <w:i/>
          <w:iCs/>
          <w:sz w:val="28"/>
          <w:szCs w:val="28"/>
        </w:rPr>
        <w:t>Id</w:t>
      </w:r>
      <w:r>
        <w:rPr>
          <w:rFonts w:ascii="Times New Roman" w:eastAsia="Times New Roman" w:hAnsi="Times New Roman" w:cs="Times New Roman"/>
          <w:sz w:val="28"/>
          <w:szCs w:val="28"/>
        </w:rPr>
        <w:t>.  Federal Rule of Civil Procedure 26(b)(3)(A)</w:t>
      </w:r>
      <w:r w:rsidR="0063249C">
        <w:rPr>
          <w:rFonts w:ascii="Times New Roman" w:eastAsia="Times New Roman" w:hAnsi="Times New Roman" w:cs="Times New Roman"/>
          <w:sz w:val="28"/>
          <w:szCs w:val="28"/>
        </w:rPr>
        <w:fldChar w:fldCharType="begin"/>
      </w:r>
      <w:r w:rsidR="0063249C">
        <w:rPr>
          <w:rFonts w:ascii="Times New Roman" w:eastAsia="Times New Roman" w:hAnsi="Times New Roman" w:cs="Times New Roman"/>
          <w:sz w:val="28"/>
          <w:szCs w:val="28"/>
        </w:rPr>
        <w:instrText xml:space="preserve"> TA \s "Federal Rule of Civil Procedure 26(b)(3)(A)" </w:instrText>
      </w:r>
      <w:r w:rsidR="0063249C">
        <w:rPr>
          <w:rFonts w:ascii="Times New Roman" w:eastAsia="Times New Roman" w:hAnsi="Times New Roman" w:cs="Times New Roman"/>
          <w:sz w:val="28"/>
          <w:szCs w:val="28"/>
        </w:rPr>
        <w:fldChar w:fldCharType="end"/>
      </w:r>
      <w:r>
        <w:rPr>
          <w:rFonts w:ascii="Times New Roman" w:eastAsia="Times New Roman" w:hAnsi="Times New Roman" w:cs="Times New Roman"/>
          <w:sz w:val="28"/>
          <w:szCs w:val="28"/>
        </w:rPr>
        <w:t xml:space="preserve"> extends this definition to include a party’s representative. Armana was retained by counsel for Ms. Calloway in preparation for potential litigation against her. The notes written by Armana, that the Government subpoenaed, were prepared in anticipation of litigation, and therefore, falls under work product protection.</w:t>
      </w:r>
    </w:p>
    <w:p w14:paraId="0000006E" w14:textId="77777777" w:rsidR="00DD5A0A" w:rsidRDefault="00EF3DAB">
      <w:pPr>
        <w:numPr>
          <w:ilvl w:val="0"/>
          <w:numId w:val="3"/>
        </w:numPr>
        <w:spacing w:line="480" w:lineRule="auto"/>
        <w:ind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Undue Hardship and Due Diligence</w:t>
      </w:r>
    </w:p>
    <w:p w14:paraId="0000006F" w14:textId="558546BA" w:rsidR="00DD5A0A" w:rsidRDefault="00EF3DAB">
      <w:pPr>
        <w:spacing w:line="48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i/>
          <w:iCs/>
          <w:sz w:val="28"/>
          <w:szCs w:val="28"/>
        </w:rPr>
        <w:t>In re Grand Jury Investigation</w:t>
      </w:r>
      <w:r>
        <w:rPr>
          <w:rFonts w:ascii="Times New Roman" w:eastAsia="Times New Roman" w:hAnsi="Times New Roman" w:cs="Times New Roman"/>
          <w:sz w:val="28"/>
          <w:szCs w:val="28"/>
        </w:rPr>
        <w:t xml:space="preserve"> demonstrates that the government must provide proof of any and all</w:t>
      </w:r>
      <w:r>
        <w:rPr>
          <w:rFonts w:ascii="Times New Roman" w:eastAsia="Times New Roman" w:hAnsi="Times New Roman" w:cs="Times New Roman"/>
          <w:sz w:val="28"/>
          <w:szCs w:val="28"/>
        </w:rPr>
        <w:t xml:space="preserve"> efforts used to secure testimony before it can be discovered. </w:t>
      </w:r>
      <w:r>
        <w:rPr>
          <w:rFonts w:ascii="Times New Roman" w:eastAsia="Times New Roman" w:hAnsi="Times New Roman" w:cs="Times New Roman"/>
          <w:i/>
          <w:iCs/>
          <w:sz w:val="28"/>
          <w:szCs w:val="28"/>
        </w:rPr>
        <w:t>In re Grand Jury Investigation</w:t>
      </w:r>
      <w:r>
        <w:rPr>
          <w:rFonts w:ascii="Times New Roman" w:eastAsia="Times New Roman" w:hAnsi="Times New Roman" w:cs="Times New Roman"/>
          <w:sz w:val="28"/>
          <w:szCs w:val="28"/>
        </w:rPr>
        <w:t>, 599 F.2d 1224, 1232 (3rd Cir. 1979).</w:t>
      </w:r>
      <w:r w:rsidR="0063249C">
        <w:rPr>
          <w:rFonts w:ascii="Times New Roman" w:eastAsia="Times New Roman" w:hAnsi="Times New Roman" w:cs="Times New Roman"/>
          <w:sz w:val="28"/>
          <w:szCs w:val="28"/>
        </w:rPr>
        <w:fldChar w:fldCharType="begin"/>
      </w:r>
      <w:r w:rsidR="0063249C">
        <w:instrText xml:space="preserve"> TA \l "</w:instrText>
      </w:r>
      <w:r w:rsidR="0063249C" w:rsidRPr="001A0C63">
        <w:rPr>
          <w:rFonts w:ascii="Times New Roman" w:eastAsia="Times New Roman" w:hAnsi="Times New Roman" w:cs="Times New Roman"/>
          <w:i/>
          <w:iCs/>
          <w:sz w:val="28"/>
          <w:szCs w:val="28"/>
        </w:rPr>
        <w:instrText>In re Grand Jury Investigation</w:instrText>
      </w:r>
      <w:r w:rsidR="0063249C" w:rsidRPr="001A0C63">
        <w:rPr>
          <w:rFonts w:ascii="Times New Roman" w:eastAsia="Times New Roman" w:hAnsi="Times New Roman" w:cs="Times New Roman"/>
          <w:sz w:val="28"/>
          <w:szCs w:val="28"/>
        </w:rPr>
        <w:instrText>, 599 F.2d 1224, 1232 (3rd Cir. 1979).</w:instrText>
      </w:r>
      <w:r w:rsidR="0063249C">
        <w:instrText xml:space="preserve">" \s "In re Grand Jury Investigation, 599 F.2d 1224, 1232 (3rd Cir. 1979)." \c 1 </w:instrText>
      </w:r>
      <w:r w:rsidR="0063249C">
        <w:rPr>
          <w:rFonts w:ascii="Times New Roman" w:eastAsia="Times New Roman" w:hAnsi="Times New Roman" w:cs="Times New Roman"/>
          <w:sz w:val="28"/>
          <w:szCs w:val="28"/>
        </w:rPr>
        <w:fldChar w:fldCharType="end"/>
      </w:r>
      <w:r>
        <w:rPr>
          <w:rFonts w:ascii="Times New Roman" w:eastAsia="Times New Roman" w:hAnsi="Times New Roman" w:cs="Times New Roman"/>
          <w:sz w:val="28"/>
          <w:szCs w:val="28"/>
        </w:rPr>
        <w:t xml:space="preserve"> In </w:t>
      </w:r>
      <w:r>
        <w:rPr>
          <w:rFonts w:ascii="Times New Roman" w:eastAsia="Times New Roman" w:hAnsi="Times New Roman" w:cs="Times New Roman"/>
          <w:i/>
          <w:iCs/>
          <w:sz w:val="28"/>
          <w:szCs w:val="28"/>
        </w:rPr>
        <w:t>In re Grand Jury Investigation</w:t>
      </w:r>
      <w:r>
        <w:rPr>
          <w:rFonts w:ascii="Times New Roman" w:eastAsia="Times New Roman" w:hAnsi="Times New Roman" w:cs="Times New Roman"/>
          <w:sz w:val="28"/>
          <w:szCs w:val="28"/>
        </w:rPr>
        <w:t xml:space="preserve">, the Government requested production of interview memoranda and employee questionnaires prepared by defense counsel. </w:t>
      </w:r>
      <w:r>
        <w:rPr>
          <w:rFonts w:ascii="Times New Roman" w:eastAsia="Times New Roman" w:hAnsi="Times New Roman" w:cs="Times New Roman"/>
          <w:i/>
          <w:iCs/>
          <w:sz w:val="28"/>
          <w:szCs w:val="28"/>
        </w:rPr>
        <w:t>Id</w:t>
      </w:r>
      <w:r>
        <w:rPr>
          <w:rFonts w:ascii="Times New Roman" w:eastAsia="Times New Roman" w:hAnsi="Times New Roman" w:cs="Times New Roman"/>
          <w:sz w:val="28"/>
          <w:szCs w:val="28"/>
        </w:rPr>
        <w:t xml:space="preserve"> at 1226. The court stated that “the government should make a reasonable effort to secure his testimony before attempting to invade an attorney’s files.” The court held that good cause for disclosure only existed pertaining to one deceased employee, as it was not possible for the government to obtain his information. However, the court ruled that all other employee questionnaires were protected under work product privilege. </w:t>
      </w:r>
    </w:p>
    <w:p w14:paraId="00000070" w14:textId="77777777" w:rsidR="00DD5A0A" w:rsidRDefault="00EF3DAB">
      <w:pPr>
        <w:spacing w:line="480" w:lineRule="auto"/>
        <w:rPr>
          <w:rFonts w:ascii="Times New Roman" w:eastAsia="Times New Roman" w:hAnsi="Times New Roman" w:cs="Times New Roman"/>
          <w:sz w:val="28"/>
          <w:szCs w:val="28"/>
        </w:rPr>
      </w:pPr>
      <w:r>
        <w:rPr>
          <w:rFonts w:ascii="Century Schoolbook" w:eastAsia="Century Schoolbook" w:hAnsi="Century Schoolbook" w:cs="Century Schoolbook"/>
          <w:sz w:val="28"/>
          <w:szCs w:val="28"/>
        </w:rPr>
        <w:tab/>
      </w:r>
      <w:r>
        <w:rPr>
          <w:rFonts w:ascii="Times New Roman" w:eastAsia="Times New Roman" w:hAnsi="Times New Roman" w:cs="Times New Roman"/>
          <w:sz w:val="28"/>
          <w:szCs w:val="28"/>
        </w:rPr>
        <w:t xml:space="preserve">Here, Sierra Seton is still alive; it is therefore possible, even if difficult, for the Government to retrieve the same information on their own accord. Armana was </w:t>
      </w:r>
      <w:r>
        <w:rPr>
          <w:rFonts w:ascii="Times New Roman" w:eastAsia="Times New Roman" w:hAnsi="Times New Roman" w:cs="Times New Roman"/>
          <w:sz w:val="28"/>
          <w:szCs w:val="28"/>
        </w:rPr>
        <w:lastRenderedPageBreak/>
        <w:t>able to locate and interview Seton prior to Seton’s fleeing to Spain. Agent Bryce Nolan, on behalf of the Government, had the same opportunity to interview Ms. Seton but failed to act. Additionally, the Government has shown absolutely no evidence of a reasonable effort to “secure [Ms. Seton’s] testimony before attempting to invade [Ms. Armana’s] files.” As a result, the Government has not shown that they have a substantial need for this information, nor have they displayed a reasonable effort to secure Seto</w:t>
      </w:r>
      <w:r>
        <w:rPr>
          <w:rFonts w:ascii="Times New Roman" w:eastAsia="Times New Roman" w:hAnsi="Times New Roman" w:cs="Times New Roman"/>
          <w:sz w:val="28"/>
          <w:szCs w:val="28"/>
        </w:rPr>
        <w:t>n’s testimony.</w:t>
      </w:r>
    </w:p>
    <w:p w14:paraId="00000071" w14:textId="77777777" w:rsidR="00DD5A0A" w:rsidRDefault="00EF3DAB">
      <w:pPr>
        <w:numPr>
          <w:ilvl w:val="0"/>
          <w:numId w:val="4"/>
        </w:numPr>
        <w:spacing w:line="48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Opinion v. Fact Work Product</w:t>
      </w:r>
    </w:p>
    <w:p w14:paraId="00000072" w14:textId="6513A368" w:rsidR="00DD5A0A" w:rsidRDefault="00EF3DAB">
      <w:pPr>
        <w:spacing w:line="48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t>Federal Rule of Civil Procedure 26(b)(3)(B)</w:t>
      </w:r>
      <w:r w:rsidR="0063249C">
        <w:rPr>
          <w:rFonts w:ascii="Times New Roman" w:eastAsia="Times New Roman" w:hAnsi="Times New Roman" w:cs="Times New Roman"/>
          <w:sz w:val="28"/>
          <w:szCs w:val="28"/>
        </w:rPr>
        <w:fldChar w:fldCharType="begin"/>
      </w:r>
      <w:r w:rsidR="0063249C">
        <w:instrText xml:space="preserve"> TA \l "</w:instrText>
      </w:r>
      <w:r w:rsidR="0063249C" w:rsidRPr="001A0C63">
        <w:rPr>
          <w:rFonts w:ascii="Times New Roman" w:eastAsia="Times New Roman" w:hAnsi="Times New Roman" w:cs="Times New Roman"/>
          <w:sz w:val="28"/>
          <w:szCs w:val="28"/>
        </w:rPr>
        <w:instrText>Federal Rule of Civil Procedure 26(b)(3)(B)</w:instrText>
      </w:r>
      <w:r w:rsidR="0063249C">
        <w:instrText xml:space="preserve">" \s "Federal Rule of Civil Procedure 26(b)(3)(B)" \c 4 </w:instrText>
      </w:r>
      <w:r w:rsidR="0063249C">
        <w:rPr>
          <w:rFonts w:ascii="Times New Roman" w:eastAsia="Times New Roman" w:hAnsi="Times New Roman" w:cs="Times New Roman"/>
          <w:sz w:val="28"/>
          <w:szCs w:val="28"/>
        </w:rPr>
        <w:fldChar w:fldCharType="end"/>
      </w:r>
      <w:r>
        <w:rPr>
          <w:rFonts w:ascii="Times New Roman" w:eastAsia="Times New Roman" w:hAnsi="Times New Roman" w:cs="Times New Roman"/>
          <w:sz w:val="28"/>
          <w:szCs w:val="28"/>
        </w:rPr>
        <w:t xml:space="preserve"> outlines the difference between opinion and fact work product and states, “[g]reater</w:t>
      </w:r>
      <w:r>
        <w:rPr>
          <w:rFonts w:ascii="Times New Roman" w:eastAsia="Times New Roman" w:hAnsi="Times New Roman" w:cs="Times New Roman"/>
          <w:sz w:val="28"/>
          <w:szCs w:val="28"/>
        </w:rPr>
        <w:t xml:space="preserve"> protection is given to the attorney’s opinion work product, that is, materials containing the mental impressions, conclusions, opinions, or legal theories of a party's attorney or other representative concerning the litigation. Such materials enjoy a nearly absolute immunity and can be discovered only in very rare and extraordinary circumstances.” </w:t>
      </w:r>
      <w:r>
        <w:rPr>
          <w:rFonts w:ascii="Times New Roman" w:eastAsia="Times New Roman" w:hAnsi="Times New Roman" w:cs="Times New Roman"/>
          <w:i/>
          <w:iCs/>
          <w:sz w:val="28"/>
          <w:szCs w:val="28"/>
        </w:rPr>
        <w:t>Drummond Co. v. Conrad &amp; Scherer, LLP</w:t>
      </w:r>
      <w:r>
        <w:rPr>
          <w:rFonts w:ascii="Times New Roman" w:eastAsia="Times New Roman" w:hAnsi="Times New Roman" w:cs="Times New Roman"/>
          <w:sz w:val="28"/>
          <w:szCs w:val="28"/>
        </w:rPr>
        <w:t>, 885 F.3d 1324</w:t>
      </w:r>
      <w:r w:rsidR="0063249C">
        <w:rPr>
          <w:rFonts w:ascii="Times New Roman" w:eastAsia="Times New Roman" w:hAnsi="Times New Roman" w:cs="Times New Roman"/>
          <w:sz w:val="28"/>
          <w:szCs w:val="28"/>
        </w:rPr>
        <w:t xml:space="preserve"> (1975)</w:t>
      </w:r>
      <w:r>
        <w:rPr>
          <w:rFonts w:ascii="Times New Roman" w:eastAsia="Times New Roman" w:hAnsi="Times New Roman" w:cs="Times New Roman"/>
          <w:sz w:val="28"/>
          <w:szCs w:val="28"/>
        </w:rPr>
        <w:t>.</w:t>
      </w:r>
      <w:r w:rsidR="0063249C">
        <w:rPr>
          <w:rFonts w:ascii="Times New Roman" w:eastAsia="Times New Roman" w:hAnsi="Times New Roman" w:cs="Times New Roman"/>
          <w:sz w:val="28"/>
          <w:szCs w:val="28"/>
        </w:rPr>
        <w:fldChar w:fldCharType="begin"/>
      </w:r>
      <w:r w:rsidR="0063249C">
        <w:instrText xml:space="preserve"> TA \l "</w:instrText>
      </w:r>
      <w:r w:rsidR="0063249C" w:rsidRPr="001A0C63">
        <w:rPr>
          <w:rFonts w:ascii="Times New Roman" w:eastAsia="Times New Roman" w:hAnsi="Times New Roman" w:cs="Times New Roman"/>
          <w:i/>
          <w:iCs/>
          <w:sz w:val="28"/>
          <w:szCs w:val="28"/>
        </w:rPr>
        <w:instrText>Drummond Co. v. Conrad &amp; Scherer, LLP</w:instrText>
      </w:r>
      <w:r w:rsidR="0063249C" w:rsidRPr="001A0C63">
        <w:rPr>
          <w:rFonts w:ascii="Times New Roman" w:eastAsia="Times New Roman" w:hAnsi="Times New Roman" w:cs="Times New Roman"/>
          <w:sz w:val="28"/>
          <w:szCs w:val="28"/>
        </w:rPr>
        <w:instrText>, 885 F.3d 1324 (1975).</w:instrText>
      </w:r>
      <w:r w:rsidR="0063249C">
        <w:instrText xml:space="preserve">" \s "Drummond Co. v. Conrad &amp; Scherer, LLP, 885 F.3d 1324 (1975)." \c 1 </w:instrText>
      </w:r>
      <w:r w:rsidR="0063249C">
        <w:rPr>
          <w:rFonts w:ascii="Times New Roman" w:eastAsia="Times New Roman" w:hAnsi="Times New Roman" w:cs="Times New Roman"/>
          <w:sz w:val="28"/>
          <w:szCs w:val="28"/>
        </w:rPr>
        <w:fldChar w:fldCharType="end"/>
      </w:r>
      <w:r>
        <w:rPr>
          <w:rFonts w:ascii="Times New Roman" w:eastAsia="Times New Roman" w:hAnsi="Times New Roman" w:cs="Times New Roman"/>
          <w:sz w:val="28"/>
          <w:szCs w:val="28"/>
        </w:rPr>
        <w:t xml:space="preserve"> As mentioned above, this rule extends to criminal law cases by </w:t>
      </w:r>
      <w:r>
        <w:rPr>
          <w:rFonts w:ascii="Times New Roman" w:eastAsia="Times New Roman" w:hAnsi="Times New Roman" w:cs="Times New Roman"/>
          <w:i/>
          <w:iCs/>
          <w:sz w:val="28"/>
          <w:szCs w:val="28"/>
        </w:rPr>
        <w:t>United States v. Nobles</w:t>
      </w:r>
      <w:r>
        <w:rPr>
          <w:rFonts w:ascii="Times New Roman" w:eastAsia="Times New Roman" w:hAnsi="Times New Roman" w:cs="Times New Roman"/>
          <w:sz w:val="28"/>
          <w:szCs w:val="28"/>
        </w:rPr>
        <w:t xml:space="preserve">. </w:t>
      </w:r>
    </w:p>
    <w:p w14:paraId="00000073" w14:textId="77777777" w:rsidR="00DD5A0A" w:rsidRDefault="00EF3DAB">
      <w:pPr>
        <w:spacing w:line="48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Exhibit 21 is considered an opinion work product because it contains Armana’s mental impressions and opinions from the Seton interview and must be subject to increased protection. Therefore, these records qualify as opinion work </w:t>
      </w:r>
      <w:r>
        <w:rPr>
          <w:rFonts w:ascii="Times New Roman" w:eastAsia="Times New Roman" w:hAnsi="Times New Roman" w:cs="Times New Roman"/>
          <w:sz w:val="28"/>
          <w:szCs w:val="28"/>
        </w:rPr>
        <w:lastRenderedPageBreak/>
        <w:t xml:space="preserve">product and are subject to higher protection than factual work product. As a result, the Court must grant the Motion to Quash the Subpoena. </w:t>
      </w:r>
    </w:p>
    <w:p w14:paraId="00000074" w14:textId="77777777" w:rsidR="00DD5A0A" w:rsidRPr="0063249C" w:rsidRDefault="00EF3DAB">
      <w:pPr>
        <w:spacing w:line="480" w:lineRule="auto"/>
        <w:jc w:val="center"/>
        <w:rPr>
          <w:rFonts w:ascii="Times New Roman" w:eastAsia="Times New Roman" w:hAnsi="Times New Roman" w:cs="Times New Roman"/>
          <w:sz w:val="28"/>
          <w:szCs w:val="28"/>
          <w:u w:val="single"/>
        </w:rPr>
      </w:pPr>
      <w:r w:rsidRPr="0063249C">
        <w:rPr>
          <w:rFonts w:ascii="Times New Roman" w:eastAsia="Times New Roman" w:hAnsi="Times New Roman" w:cs="Times New Roman"/>
          <w:sz w:val="28"/>
          <w:szCs w:val="28"/>
          <w:u w:val="single"/>
        </w:rPr>
        <w:t>CONCLUSION</w:t>
      </w:r>
    </w:p>
    <w:p w14:paraId="00000075" w14:textId="14E7B520" w:rsidR="00DD5A0A" w:rsidRDefault="0063249C" w:rsidP="0063249C">
      <w:pPr>
        <w:spacing w:line="480" w:lineRule="auto"/>
        <w:ind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The Government cannot prove that the decision to interview Kennedy Parker was made wholly independent of Ms. Calloway’s compelled testimony because Maddox Armana’s notes of the Sierra Seton interview are classified as opinion work product and therefore undiscoverable. WHEREFORE, the Ms. Calloway respectfully requests this Court grant both the Motion to Suppress Evidence Obtained in Violation of Court Order and the Motion to Quash the Subpoena Duces Tecum.</w:t>
      </w:r>
    </w:p>
    <w:p w14:paraId="00000076" w14:textId="77777777" w:rsidR="00DD5A0A" w:rsidRDefault="00DD5A0A">
      <w:pPr>
        <w:spacing w:line="480" w:lineRule="auto"/>
        <w:rPr>
          <w:rFonts w:ascii="Times New Roman" w:eastAsia="Times New Roman" w:hAnsi="Times New Roman" w:cs="Times New Roman"/>
          <w:sz w:val="28"/>
          <w:szCs w:val="28"/>
        </w:rPr>
      </w:pPr>
    </w:p>
    <w:p w14:paraId="00000077" w14:textId="351385EA" w:rsidR="00DD5A0A" w:rsidRDefault="00EF3DAB">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This the </w:t>
      </w:r>
      <w:r w:rsidR="00923D22" w:rsidRPr="00923D22">
        <w:rPr>
          <w:rFonts w:ascii="Times New Roman" w:eastAsia="Times New Roman" w:hAnsi="Times New Roman" w:cs="Times New Roman"/>
          <w:sz w:val="28"/>
          <w:szCs w:val="28"/>
        </w:rPr>
        <w:t>30</w:t>
      </w:r>
      <w:r w:rsidR="00923D22" w:rsidRPr="00923D22">
        <w:rPr>
          <w:rFonts w:ascii="Times New Roman" w:eastAsia="Times New Roman" w:hAnsi="Times New Roman" w:cs="Times New Roman"/>
          <w:sz w:val="28"/>
          <w:szCs w:val="28"/>
          <w:vertAlign w:val="superscript"/>
        </w:rPr>
        <w:t>th</w:t>
      </w:r>
      <w:r w:rsidR="00923D22" w:rsidRPr="00923D22">
        <w:rPr>
          <w:rFonts w:ascii="Times New Roman" w:eastAsia="Times New Roman" w:hAnsi="Times New Roman" w:cs="Times New Roman"/>
          <w:sz w:val="28"/>
          <w:szCs w:val="28"/>
        </w:rPr>
        <w:t xml:space="preserve"> </w:t>
      </w:r>
      <w:r w:rsidR="00923D22">
        <w:rPr>
          <w:rFonts w:ascii="Times New Roman" w:eastAsia="Times New Roman" w:hAnsi="Times New Roman" w:cs="Times New Roman"/>
          <w:sz w:val="28"/>
          <w:szCs w:val="28"/>
        </w:rPr>
        <w:t>day</w:t>
      </w:r>
      <w:r>
        <w:rPr>
          <w:rFonts w:ascii="Times New Roman" w:eastAsia="Times New Roman" w:hAnsi="Times New Roman" w:cs="Times New Roman"/>
          <w:sz w:val="28"/>
          <w:szCs w:val="28"/>
        </w:rPr>
        <w:t xml:space="preserve"> of</w:t>
      </w:r>
      <w:r w:rsidR="00923D22">
        <w:rPr>
          <w:rFonts w:ascii="Times New Roman" w:eastAsia="Times New Roman" w:hAnsi="Times New Roman" w:cs="Times New Roman"/>
          <w:sz w:val="28"/>
          <w:szCs w:val="28"/>
        </w:rPr>
        <w:t xml:space="preserve"> </w:t>
      </w:r>
      <w:r w:rsidR="00923D22" w:rsidRPr="00923D22">
        <w:rPr>
          <w:rFonts w:ascii="Times New Roman" w:eastAsia="Times New Roman" w:hAnsi="Times New Roman" w:cs="Times New Roman"/>
          <w:sz w:val="28"/>
          <w:szCs w:val="28"/>
        </w:rPr>
        <w:t>August</w:t>
      </w:r>
      <w:r w:rsidR="00923D2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2026.      </w:t>
      </w:r>
    </w:p>
    <w:p w14:paraId="52F1208D" w14:textId="77777777" w:rsidR="00923D22" w:rsidRDefault="00923D22">
      <w:pPr>
        <w:rPr>
          <w:rFonts w:ascii="Times New Roman" w:eastAsia="Times New Roman" w:hAnsi="Times New Roman" w:cs="Times New Roman"/>
          <w:sz w:val="28"/>
          <w:szCs w:val="28"/>
        </w:rPr>
      </w:pPr>
    </w:p>
    <w:p w14:paraId="00000079" w14:textId="77777777" w:rsidR="00DD5A0A" w:rsidRDefault="00DD5A0A">
      <w:pPr>
        <w:rPr>
          <w:rFonts w:ascii="Times New Roman" w:eastAsia="Times New Roman" w:hAnsi="Times New Roman" w:cs="Times New Roman"/>
          <w:sz w:val="28"/>
          <w:szCs w:val="28"/>
        </w:rPr>
      </w:pPr>
    </w:p>
    <w:p w14:paraId="0000007A" w14:textId="4CDD220A" w:rsidR="00DD5A0A" w:rsidRDefault="00EF3DAB" w:rsidP="00923D22">
      <w:pPr>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 xml:space="preserve">   By: __</w:t>
      </w:r>
      <w:r w:rsidR="00923D22">
        <w:rPr>
          <w:rFonts w:ascii="Times New Roman" w:eastAsia="Times New Roman" w:hAnsi="Times New Roman" w:cs="Times New Roman"/>
          <w:sz w:val="28"/>
          <w:szCs w:val="28"/>
          <w:u w:val="single"/>
        </w:rPr>
        <w:t>/s/ Team 307</w:t>
      </w:r>
      <w:r>
        <w:rPr>
          <w:rFonts w:ascii="Times New Roman" w:eastAsia="Times New Roman" w:hAnsi="Times New Roman" w:cs="Times New Roman"/>
          <w:sz w:val="28"/>
          <w:szCs w:val="28"/>
        </w:rPr>
        <w:t>___________</w:t>
      </w:r>
    </w:p>
    <w:p w14:paraId="0000007B" w14:textId="77777777" w:rsidR="00DD5A0A" w:rsidRDefault="00EF3DAB" w:rsidP="00923D22">
      <w:pPr>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 xml:space="preserve">   Team Number 307</w:t>
      </w:r>
    </w:p>
    <w:p w14:paraId="0000007C" w14:textId="77777777" w:rsidR="00DD5A0A" w:rsidRDefault="00EF3DAB" w:rsidP="00923D22">
      <w:pPr>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 xml:space="preserve">   Criminal Defense Attorney</w:t>
      </w:r>
    </w:p>
    <w:p w14:paraId="0000007D" w14:textId="77777777" w:rsidR="00DD5A0A" w:rsidRDefault="00EF3DAB" w:rsidP="00923D22">
      <w:pPr>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 xml:space="preserve">   Office Address</w:t>
      </w:r>
    </w:p>
    <w:p w14:paraId="0000007E" w14:textId="77777777" w:rsidR="00DD5A0A" w:rsidRDefault="00EF3DAB" w:rsidP="00923D22">
      <w:pPr>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 xml:space="preserve">   Office Phone Number</w:t>
      </w:r>
    </w:p>
    <w:p w14:paraId="0000007F" w14:textId="77777777" w:rsidR="00DD5A0A" w:rsidRDefault="00EF3DAB" w:rsidP="00923D22">
      <w:pPr>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 xml:space="preserve">   Bar Number</w:t>
      </w:r>
    </w:p>
    <w:p w14:paraId="00000080" w14:textId="77777777" w:rsidR="00DD5A0A" w:rsidRDefault="00DD5A0A">
      <w:pPr>
        <w:spacing w:line="480" w:lineRule="auto"/>
        <w:rPr>
          <w:rFonts w:ascii="Times New Roman" w:eastAsia="Times New Roman" w:hAnsi="Times New Roman" w:cs="Times New Roman"/>
        </w:rPr>
      </w:pPr>
    </w:p>
    <w:sectPr w:rsidR="00DD5A0A" w:rsidSect="0063249C">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E4C6B5" w14:textId="77777777" w:rsidR="00EF3DAB" w:rsidRDefault="00EF3DAB">
      <w:pPr>
        <w:spacing w:line="240" w:lineRule="auto"/>
      </w:pPr>
      <w:r>
        <w:separator/>
      </w:r>
    </w:p>
  </w:endnote>
  <w:endnote w:type="continuationSeparator" w:id="0">
    <w:p w14:paraId="31716A15" w14:textId="77777777" w:rsidR="00EF3DAB" w:rsidRDefault="00EF3DA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F8D3F0A1-099D-4145-B64A-38E3BFD256D9}"/>
  </w:font>
  <w:font w:name="Century Schoolbook">
    <w:panose1 w:val="02040604050505020304"/>
    <w:charset w:val="00"/>
    <w:family w:val="roman"/>
    <w:pitch w:val="variable"/>
    <w:sig w:usb0="00000287" w:usb1="00000000" w:usb2="00000000" w:usb3="00000000" w:csb0="0000009F" w:csb1="00000000"/>
    <w:embedRegular r:id="rId2" w:fontKey="{870F8B00-362B-4C0D-9B2F-B30566EC2EA3}"/>
  </w:font>
  <w:font w:name="Calibri">
    <w:panose1 w:val="020F0502020204030204"/>
    <w:charset w:val="00"/>
    <w:family w:val="swiss"/>
    <w:pitch w:val="variable"/>
    <w:sig w:usb0="E4002EFF" w:usb1="C200247B" w:usb2="00000009" w:usb3="00000000" w:csb0="000001FF" w:csb1="00000000"/>
    <w:embedRegular r:id="rId3" w:fontKey="{A86A7E25-5F9B-46B6-9296-0DD21E1364A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31638799"/>
      <w:docPartObj>
        <w:docPartGallery w:val="Page Numbers (Bottom of Page)"/>
        <w:docPartUnique/>
      </w:docPartObj>
    </w:sdtPr>
    <w:sdtEndPr>
      <w:rPr>
        <w:rStyle w:val="PageNumber"/>
      </w:rPr>
    </w:sdtEndPr>
    <w:sdtContent>
      <w:p w14:paraId="40590B10" w14:textId="2D120752" w:rsidR="0063249C" w:rsidRDefault="0063249C" w:rsidP="0090662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sdt>
    <w:sdtPr>
      <w:rPr>
        <w:rStyle w:val="PageNumber"/>
      </w:rPr>
      <w:id w:val="1652561900"/>
      <w:docPartObj>
        <w:docPartGallery w:val="Page Numbers (Bottom of Page)"/>
        <w:docPartUnique/>
      </w:docPartObj>
    </w:sdtPr>
    <w:sdtEndPr>
      <w:rPr>
        <w:rStyle w:val="PageNumber"/>
      </w:rPr>
    </w:sdtEndPr>
    <w:sdtContent>
      <w:p w14:paraId="55056AA7" w14:textId="6CDE8FD2" w:rsidR="0063249C" w:rsidRDefault="0063249C" w:rsidP="0090662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543CC67" w14:textId="77777777" w:rsidR="0063249C" w:rsidRDefault="0063249C" w:rsidP="0063249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28742711"/>
      <w:docPartObj>
        <w:docPartGallery w:val="Page Numbers (Bottom of Page)"/>
        <w:docPartUnique/>
      </w:docPartObj>
    </w:sdtPr>
    <w:sdtEndPr>
      <w:rPr>
        <w:rStyle w:val="PageNumber"/>
        <w:rFonts w:ascii="Times New Roman" w:hAnsi="Times New Roman" w:cs="Times New Roman"/>
        <w:sz w:val="28"/>
        <w:szCs w:val="28"/>
      </w:rPr>
    </w:sdtEndPr>
    <w:sdtContent>
      <w:p w14:paraId="2CBF96D0" w14:textId="324AD1F9" w:rsidR="0063249C" w:rsidRPr="000112FF" w:rsidRDefault="0063249C" w:rsidP="0063249C">
        <w:pPr>
          <w:pStyle w:val="Footer"/>
          <w:framePr w:wrap="none" w:vAnchor="text" w:hAnchor="margin" w:xAlign="center" w:y="1"/>
          <w:jc w:val="center"/>
          <w:rPr>
            <w:rStyle w:val="PageNumber"/>
            <w:rFonts w:ascii="Times New Roman" w:hAnsi="Times New Roman" w:cs="Times New Roman"/>
            <w:sz w:val="28"/>
            <w:szCs w:val="28"/>
          </w:rPr>
        </w:pPr>
        <w:r w:rsidRPr="000112FF">
          <w:rPr>
            <w:rStyle w:val="PageNumber"/>
            <w:rFonts w:ascii="Times New Roman" w:hAnsi="Times New Roman" w:cs="Times New Roman"/>
            <w:sz w:val="28"/>
            <w:szCs w:val="28"/>
          </w:rPr>
          <w:fldChar w:fldCharType="begin"/>
        </w:r>
        <w:r w:rsidRPr="000112FF">
          <w:rPr>
            <w:rStyle w:val="PageNumber"/>
            <w:rFonts w:ascii="Times New Roman" w:hAnsi="Times New Roman" w:cs="Times New Roman"/>
            <w:sz w:val="28"/>
            <w:szCs w:val="28"/>
          </w:rPr>
          <w:instrText xml:space="preserve"> PAGE </w:instrText>
        </w:r>
        <w:r w:rsidRPr="000112FF">
          <w:rPr>
            <w:rStyle w:val="PageNumber"/>
            <w:rFonts w:ascii="Times New Roman" w:hAnsi="Times New Roman" w:cs="Times New Roman"/>
            <w:sz w:val="28"/>
            <w:szCs w:val="28"/>
          </w:rPr>
          <w:fldChar w:fldCharType="separate"/>
        </w:r>
        <w:r w:rsidRPr="000112FF">
          <w:rPr>
            <w:rStyle w:val="PageNumber"/>
            <w:rFonts w:ascii="Times New Roman" w:hAnsi="Times New Roman" w:cs="Times New Roman"/>
            <w:noProof/>
            <w:sz w:val="28"/>
            <w:szCs w:val="28"/>
          </w:rPr>
          <w:t>3</w:t>
        </w:r>
        <w:r w:rsidRPr="000112FF">
          <w:rPr>
            <w:rStyle w:val="PageNumber"/>
            <w:rFonts w:ascii="Times New Roman" w:hAnsi="Times New Roman" w:cs="Times New Roman"/>
            <w:sz w:val="28"/>
            <w:szCs w:val="28"/>
          </w:rPr>
          <w:fldChar w:fldCharType="end"/>
        </w:r>
      </w:p>
    </w:sdtContent>
  </w:sdt>
  <w:p w14:paraId="00000083" w14:textId="7B55FC5E" w:rsidR="00DD5A0A" w:rsidRPr="000112FF" w:rsidRDefault="00DD5A0A" w:rsidP="0063249C">
    <w:pPr>
      <w:ind w:right="360"/>
      <w:jc w:val="center"/>
      <w:rPr>
        <w:rFonts w:ascii="Times New Roman" w:eastAsia="Times New Roman" w:hAnsi="Times New Roman" w:cs="Times New Roman"/>
        <w:sz w:val="28"/>
        <w:szCs w:val="2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84" w14:textId="77777777" w:rsidR="00DD5A0A" w:rsidRDefault="00DD5A0A">
    <w:pPr>
      <w:jc w:val="center"/>
      <w:rPr>
        <w:rFonts w:ascii="Times New Roman" w:eastAsia="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5B29B" w14:textId="77777777" w:rsidR="00EF3DAB" w:rsidRDefault="00EF3DAB">
      <w:pPr>
        <w:spacing w:line="240" w:lineRule="auto"/>
      </w:pPr>
      <w:r>
        <w:separator/>
      </w:r>
    </w:p>
  </w:footnote>
  <w:footnote w:type="continuationSeparator" w:id="0">
    <w:p w14:paraId="3DB859B7" w14:textId="77777777" w:rsidR="00EF3DAB" w:rsidRDefault="00EF3DA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81" w14:textId="77777777" w:rsidR="00DD5A0A" w:rsidRDefault="00DD5A0A">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7300D"/>
    <w:multiLevelType w:val="multilevel"/>
    <w:tmpl w:val="3D7C2AE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20D77FC8"/>
    <w:multiLevelType w:val="multilevel"/>
    <w:tmpl w:val="D1C0440E"/>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24A74E13"/>
    <w:multiLevelType w:val="multilevel"/>
    <w:tmpl w:val="D4E030C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15:restartNumberingAfterBreak="0">
    <w:nsid w:val="2C3D68D7"/>
    <w:multiLevelType w:val="multilevel"/>
    <w:tmpl w:val="A8A8B330"/>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15:restartNumberingAfterBreak="0">
    <w:nsid w:val="3B08643C"/>
    <w:multiLevelType w:val="multilevel"/>
    <w:tmpl w:val="42C011FC"/>
    <w:lvl w:ilvl="0">
      <w:start w:val="1"/>
      <w:numFmt w:val="decimal"/>
      <w:lvlText w:val="%1."/>
      <w:lvlJc w:val="left"/>
      <w:pPr>
        <w:ind w:left="144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51311E6E"/>
    <w:multiLevelType w:val="multilevel"/>
    <w:tmpl w:val="41FE33D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6" w15:restartNumberingAfterBreak="0">
    <w:nsid w:val="6BDA5867"/>
    <w:multiLevelType w:val="multilevel"/>
    <w:tmpl w:val="576896B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16cid:durableId="428618579">
    <w:abstractNumId w:val="1"/>
  </w:num>
  <w:num w:numId="2" w16cid:durableId="291328061">
    <w:abstractNumId w:val="5"/>
  </w:num>
  <w:num w:numId="3" w16cid:durableId="696538562">
    <w:abstractNumId w:val="2"/>
  </w:num>
  <w:num w:numId="4" w16cid:durableId="392236585">
    <w:abstractNumId w:val="4"/>
  </w:num>
  <w:num w:numId="5" w16cid:durableId="231278709">
    <w:abstractNumId w:val="3"/>
  </w:num>
  <w:num w:numId="6" w16cid:durableId="1380125087">
    <w:abstractNumId w:val="6"/>
  </w:num>
  <w:num w:numId="7" w16cid:durableId="11080851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5A0A"/>
    <w:rsid w:val="000112FF"/>
    <w:rsid w:val="000940B2"/>
    <w:rsid w:val="002468FB"/>
    <w:rsid w:val="002A451A"/>
    <w:rsid w:val="00434F1E"/>
    <w:rsid w:val="0063249C"/>
    <w:rsid w:val="0083385F"/>
    <w:rsid w:val="00846127"/>
    <w:rsid w:val="00923D22"/>
    <w:rsid w:val="00AB56A4"/>
    <w:rsid w:val="00C22AEA"/>
    <w:rsid w:val="00C556E5"/>
    <w:rsid w:val="00DD5A0A"/>
    <w:rsid w:val="00EF3DAB"/>
    <w:rsid w:val="00FD43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F3A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63249C"/>
    <w:pPr>
      <w:tabs>
        <w:tab w:val="center" w:pos="4680"/>
        <w:tab w:val="right" w:pos="9360"/>
      </w:tabs>
      <w:spacing w:line="240" w:lineRule="auto"/>
    </w:pPr>
  </w:style>
  <w:style w:type="character" w:customStyle="1" w:styleId="HeaderChar">
    <w:name w:val="Header Char"/>
    <w:basedOn w:val="DefaultParagraphFont"/>
    <w:link w:val="Header"/>
    <w:uiPriority w:val="99"/>
    <w:rsid w:val="0063249C"/>
  </w:style>
  <w:style w:type="paragraph" w:styleId="Footer">
    <w:name w:val="footer"/>
    <w:basedOn w:val="Normal"/>
    <w:link w:val="FooterChar"/>
    <w:uiPriority w:val="99"/>
    <w:unhideWhenUsed/>
    <w:rsid w:val="0063249C"/>
    <w:pPr>
      <w:tabs>
        <w:tab w:val="center" w:pos="4680"/>
        <w:tab w:val="right" w:pos="9360"/>
      </w:tabs>
      <w:spacing w:line="240" w:lineRule="auto"/>
    </w:pPr>
  </w:style>
  <w:style w:type="character" w:customStyle="1" w:styleId="FooterChar">
    <w:name w:val="Footer Char"/>
    <w:basedOn w:val="DefaultParagraphFont"/>
    <w:link w:val="Footer"/>
    <w:uiPriority w:val="99"/>
    <w:rsid w:val="0063249C"/>
  </w:style>
  <w:style w:type="character" w:styleId="PageNumber">
    <w:name w:val="page number"/>
    <w:basedOn w:val="DefaultParagraphFont"/>
    <w:uiPriority w:val="99"/>
    <w:semiHidden/>
    <w:unhideWhenUsed/>
    <w:rsid w:val="0063249C"/>
  </w:style>
  <w:style w:type="paragraph" w:styleId="ListParagraph">
    <w:name w:val="List Paragraph"/>
    <w:basedOn w:val="Normal"/>
    <w:uiPriority w:val="34"/>
    <w:qFormat/>
    <w:rsid w:val="0063249C"/>
    <w:pPr>
      <w:ind w:left="720"/>
      <w:contextualSpacing/>
    </w:pPr>
  </w:style>
  <w:style w:type="paragraph" w:styleId="TableofAuthorities">
    <w:name w:val="table of authorities"/>
    <w:basedOn w:val="Normal"/>
    <w:next w:val="Normal"/>
    <w:uiPriority w:val="99"/>
    <w:unhideWhenUsed/>
    <w:rsid w:val="0063249C"/>
    <w:pPr>
      <w:ind w:left="220" w:hanging="220"/>
    </w:pPr>
    <w:rPr>
      <w:rFonts w:asciiTheme="minorHAnsi" w:hAnsiTheme="minorHAnsi"/>
      <w:sz w:val="20"/>
      <w:szCs w:val="20"/>
    </w:rPr>
  </w:style>
  <w:style w:type="paragraph" w:styleId="TOAHeading">
    <w:name w:val="toa heading"/>
    <w:basedOn w:val="Normal"/>
    <w:next w:val="Normal"/>
    <w:uiPriority w:val="99"/>
    <w:unhideWhenUsed/>
    <w:rsid w:val="0063249C"/>
    <w:pPr>
      <w:spacing w:before="120" w:after="120"/>
    </w:pPr>
    <w:rPr>
      <w:rFonts w:asciiTheme="minorHAnsi" w:hAnsiTheme="minorHAnsi"/>
      <w:sz w:val="20"/>
      <w:szCs w:val="2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cs.google.com/document/d/1Gf1xht7ZPGlSfPFrPS2uvPOrQUyjFvcsC7zfzjGjroo/edit?tab=t.0" TargetMode="External"/><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docs.google.com/document/d/1Gf1xht7ZPGlSfPFrPS2uvPOrQUyjFvcsC7zfzjGjroo/edit?tab=t.0" TargetMode="External"/><Relationship Id="rId12" Type="http://schemas.openxmlformats.org/officeDocument/2006/relationships/footer" Target="footer1.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docs.google.com/document/d/1Gf1xht7ZPGlSfPFrPS2uvPOrQUyjFvcsC7zfzjGjroo/edit?tab=t.0" TargetMode="Externa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yperlink" Target="https://docs.google.com/document/d/1Gf1xht7ZPGlSfPFrPS2uvPOrQUyjFvcsC7zfzjGjroo/edit?tab=t.0" TargetMode="Externa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A01D7EFA89344A8F856027092B5075" ma:contentTypeVersion="21" ma:contentTypeDescription="Create a new document." ma:contentTypeScope="" ma:versionID="751ace066f2da9b693ab3f9a40a5a727">
  <xsd:schema xmlns:xsd="http://www.w3.org/2001/XMLSchema" xmlns:xs="http://www.w3.org/2001/XMLSchema" xmlns:p="http://schemas.microsoft.com/office/2006/metadata/properties" xmlns:ns1="http://schemas.microsoft.com/sharepoint/v3" xmlns:ns2="d33c2442-a497-4bf2-8178-c2e517c6367d" xmlns:ns3="57e9c615-4274-4914-b6df-8689fc6b3121" targetNamespace="http://schemas.microsoft.com/office/2006/metadata/properties" ma:root="true" ma:fieldsID="47964fbeece60e05f996b34e1c17b024" ns1:_="" ns2:_="" ns3:_="">
    <xsd:import namespace="http://schemas.microsoft.com/sharepoint/v3"/>
    <xsd:import namespace="d33c2442-a497-4bf2-8178-c2e517c6367d"/>
    <xsd:import namespace="57e9c615-4274-4914-b6df-8689fc6b312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3:SharedWithUsers" minOccurs="0"/>
                <xsd:element ref="ns3:SharedWithDetails"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3c2442-a497-4bf2-8178-c2e517c636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32881b5-e800-45b5-9690-d88bf9558ae5"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e9c615-4274-4914-b6df-8689fc6b3121"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f14c491-c4d9-41ef-b7d6-cda1cc50d378}" ma:internalName="TaxCatchAll" ma:showField="CatchAllData" ma:web="57e9c615-4274-4914-b6df-8689fc6b3121">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33c2442-a497-4bf2-8178-c2e517c6367d">
      <Terms xmlns="http://schemas.microsoft.com/office/infopath/2007/PartnerControls"/>
    </lcf76f155ced4ddcb4097134ff3c332f>
    <_ip_UnifiedCompliancePolicyProperties xmlns="http://schemas.microsoft.com/sharepoint/v3" xsi:nil="true"/>
    <TaxCatchAll xmlns="57e9c615-4274-4914-b6df-8689fc6b3121" xsi:nil="true"/>
  </documentManagement>
</p:properties>
</file>

<file path=customXml/itemProps1.xml><?xml version="1.0" encoding="utf-8"?>
<ds:datastoreItem xmlns:ds="http://schemas.openxmlformats.org/officeDocument/2006/customXml" ds:itemID="{1A231175-9F37-4A6B-8405-7FBEC4E15540}"/>
</file>

<file path=customXml/itemProps2.xml><?xml version="1.0" encoding="utf-8"?>
<ds:datastoreItem xmlns:ds="http://schemas.openxmlformats.org/officeDocument/2006/customXml" ds:itemID="{ACB7830E-9109-4D1C-A3AC-543C90960716}"/>
</file>

<file path=customXml/itemProps3.xml><?xml version="1.0" encoding="utf-8"?>
<ds:datastoreItem xmlns:ds="http://schemas.openxmlformats.org/officeDocument/2006/customXml" ds:itemID="{CCE61947-195F-4B2C-BEAE-E1B7FAD6B4C8}"/>
</file>

<file path=docProps/app.xml><?xml version="1.0" encoding="utf-8"?>
<Properties xmlns="http://schemas.openxmlformats.org/officeDocument/2006/extended-properties" xmlns:vt="http://schemas.openxmlformats.org/officeDocument/2006/docPropsVTypes">
  <Template>Normal.dotm</Template>
  <TotalTime>0</TotalTime>
  <Pages>17</Pages>
  <Words>3287</Words>
  <Characters>18737</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2026-09-09T00:36:00Z</dcterms:created>
  <dcterms:modified xsi:type="dcterms:W3CDTF">2026-09-09T00:36:00Z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0x010100E5A01D7EFA89344A8F856027092B5075</vt:lpwstr>
  </property>
</Properties>
</file>