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26814" w14:textId="2487F408" w:rsidR="00885D64" w:rsidRPr="00885D64" w:rsidRDefault="00885D64" w:rsidP="00885D64">
      <w:pPr>
        <w:spacing w:after="0" w:line="240" w:lineRule="auto"/>
        <w:jc w:val="right"/>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Team </w:t>
      </w:r>
      <w:r w:rsidR="003D2CB7">
        <w:rPr>
          <w:rFonts w:ascii="Times New Roman" w:eastAsia="Times New Roman" w:hAnsi="Times New Roman" w:cs="Times New Roman"/>
          <w:color w:val="000000"/>
          <w:kern w:val="0"/>
          <w:sz w:val="28"/>
          <w:szCs w:val="28"/>
          <w14:ligatures w14:val="none"/>
        </w:rPr>
        <w:t>306</w:t>
      </w:r>
      <w:r w:rsidRPr="00885D64">
        <w:rPr>
          <w:rFonts w:ascii="Times New Roman" w:eastAsia="Times New Roman" w:hAnsi="Times New Roman" w:cs="Times New Roman"/>
          <w:color w:val="000000"/>
          <w:kern w:val="0"/>
          <w:sz w:val="28"/>
          <w:szCs w:val="28"/>
          <w14:ligatures w14:val="none"/>
        </w:rPr>
        <w:t> </w:t>
      </w:r>
    </w:p>
    <w:p w14:paraId="48EF9EDB" w14:textId="77777777" w:rsidR="00885D64" w:rsidRPr="00885D64" w:rsidRDefault="00E12540" w:rsidP="00885D64">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A54F2BA">
          <v:rect id="_x0000_i1025" style="width:0;height:1.5pt" o:hralign="center" o:hrstd="t" o:hr="t" fillcolor="#a0a0a0" stroked="f"/>
        </w:pict>
      </w:r>
    </w:p>
    <w:p w14:paraId="2BAE1E5D" w14:textId="77777777" w:rsidR="00885D64" w:rsidRPr="00885D64" w:rsidRDefault="00885D64" w:rsidP="00885D64">
      <w:pPr>
        <w:spacing w:after="0" w:line="240" w:lineRule="auto"/>
        <w:jc w:val="center"/>
        <w:rPr>
          <w:rFonts w:ascii="Times New Roman" w:eastAsia="Times New Roman" w:hAnsi="Times New Roman" w:cs="Times New Roman"/>
          <w:kern w:val="0"/>
          <w14:ligatures w14:val="none"/>
        </w:rPr>
      </w:pPr>
      <w:r w:rsidRPr="00885D64">
        <w:rPr>
          <w:rFonts w:ascii="Times New Roman" w:eastAsia="Times New Roman" w:hAnsi="Times New Roman" w:cs="Times New Roman"/>
          <w:b/>
          <w:bCs/>
          <w:color w:val="000000"/>
          <w:kern w:val="0"/>
          <w:sz w:val="28"/>
          <w:szCs w:val="28"/>
          <w14:ligatures w14:val="none"/>
        </w:rPr>
        <w:t>UNITED STATES DISTRICT COURT </w:t>
      </w:r>
    </w:p>
    <w:p w14:paraId="51CF915A" w14:textId="77777777" w:rsidR="00885D64" w:rsidRPr="00885D64" w:rsidRDefault="00885D64" w:rsidP="00885D64">
      <w:pPr>
        <w:spacing w:after="0" w:line="240" w:lineRule="auto"/>
        <w:jc w:val="center"/>
        <w:rPr>
          <w:rFonts w:ascii="Times New Roman" w:eastAsia="Times New Roman" w:hAnsi="Times New Roman" w:cs="Times New Roman"/>
          <w:kern w:val="0"/>
          <w14:ligatures w14:val="none"/>
        </w:rPr>
      </w:pPr>
      <w:r w:rsidRPr="00885D64">
        <w:rPr>
          <w:rFonts w:ascii="Times New Roman" w:eastAsia="Times New Roman" w:hAnsi="Times New Roman" w:cs="Times New Roman"/>
          <w:b/>
          <w:bCs/>
          <w:color w:val="000000"/>
          <w:kern w:val="0"/>
          <w:sz w:val="28"/>
          <w:szCs w:val="28"/>
          <w14:ligatures w14:val="none"/>
        </w:rPr>
        <w:t>MIDDLE DISTRICT OF FLORIDA </w:t>
      </w:r>
    </w:p>
    <w:p w14:paraId="2308130C" w14:textId="77777777" w:rsidR="00885D64" w:rsidRPr="00885D64" w:rsidRDefault="00E12540" w:rsidP="00885D64">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7F06F8E">
          <v:rect id="_x0000_i1026" style="width:0;height:1.5pt" o:hralign="center" o:hrstd="t" o:hr="t" fillcolor="#a0a0a0" stroked="f"/>
        </w:pict>
      </w:r>
    </w:p>
    <w:p w14:paraId="07CF75AD"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tbl>
      <w:tblPr>
        <w:tblW w:w="9360" w:type="dxa"/>
        <w:tblCellMar>
          <w:top w:w="15" w:type="dxa"/>
          <w:left w:w="15" w:type="dxa"/>
          <w:bottom w:w="15" w:type="dxa"/>
          <w:right w:w="15" w:type="dxa"/>
        </w:tblCellMar>
        <w:tblLook w:val="04A0" w:firstRow="1" w:lastRow="0" w:firstColumn="1" w:lastColumn="0" w:noHBand="0" w:noVBand="1"/>
      </w:tblPr>
      <w:tblGrid>
        <w:gridCol w:w="4905"/>
        <w:gridCol w:w="4455"/>
      </w:tblGrid>
      <w:tr w:rsidR="00885D64" w:rsidRPr="00885D64" w14:paraId="4A1871D3" w14:textId="77777777">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CE217CF"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UNITED STATES OF AMERICA,</w:t>
            </w:r>
            <w:r w:rsidRPr="00885D64">
              <w:rPr>
                <w:rFonts w:ascii="Times New Roman" w:eastAsia="Times New Roman" w:hAnsi="Times New Roman" w:cs="Times New Roman"/>
                <w:b/>
                <w:bCs/>
                <w:color w:val="000000"/>
                <w:kern w:val="0"/>
                <w:sz w:val="28"/>
                <w:szCs w:val="28"/>
                <w14:ligatures w14:val="none"/>
              </w:rPr>
              <w:t> </w:t>
            </w:r>
          </w:p>
          <w:p w14:paraId="48B82F40"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5CF975ED"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vs. </w:t>
            </w:r>
          </w:p>
          <w:p w14:paraId="692DF078"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226F1099"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EMILY CALLOWAY</w:t>
            </w:r>
          </w:p>
          <w:p w14:paraId="19DC91BB"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3DCF65BC" w14:textId="77777777" w:rsidR="00885D64" w:rsidRPr="00885D64" w:rsidRDefault="00885D64" w:rsidP="00885D64">
            <w:pPr>
              <w:spacing w:after="0" w:line="240" w:lineRule="auto"/>
              <w:ind w:left="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Defendant. </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87EBCFB" w14:textId="77777777" w:rsidR="00885D64" w:rsidRPr="00885D64" w:rsidRDefault="00885D64" w:rsidP="00885D64">
            <w:pPr>
              <w:spacing w:after="240" w:line="240" w:lineRule="auto"/>
              <w:rPr>
                <w:rFonts w:ascii="Times New Roman" w:eastAsia="Times New Roman" w:hAnsi="Times New Roman" w:cs="Times New Roman"/>
                <w:kern w:val="0"/>
                <w14:ligatures w14:val="none"/>
              </w:rPr>
            </w:pPr>
            <w:r w:rsidRPr="00885D64">
              <w:rPr>
                <w:rFonts w:ascii="Times New Roman" w:eastAsia="Times New Roman" w:hAnsi="Times New Roman" w:cs="Times New Roman"/>
                <w:kern w:val="0"/>
                <w14:ligatures w14:val="none"/>
              </w:rPr>
              <w:br/>
            </w:r>
          </w:p>
          <w:p w14:paraId="1124C14D" w14:textId="77777777" w:rsidR="00885D64" w:rsidRPr="00885D64" w:rsidRDefault="00885D64" w:rsidP="00885D64">
            <w:pPr>
              <w:spacing w:after="0" w:line="240" w:lineRule="auto"/>
              <w:ind w:left="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Case No. 2025-CF-00417 </w:t>
            </w:r>
          </w:p>
        </w:tc>
      </w:tr>
    </w:tbl>
    <w:p w14:paraId="26D3971A" w14:textId="77777777" w:rsidR="00885D64" w:rsidRPr="00885D64" w:rsidRDefault="00E12540" w:rsidP="00885D64">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DF49E4F">
          <v:rect id="_x0000_i1027" style="width:0;height:1.5pt" o:hralign="center" o:hrstd="t" o:hr="t" fillcolor="#a0a0a0" stroked="f"/>
        </w:pict>
      </w:r>
    </w:p>
    <w:p w14:paraId="1E58860E"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451B971C" w14:textId="77777777" w:rsidR="00885D64" w:rsidRPr="00885D64" w:rsidRDefault="00885D64" w:rsidP="00885D64">
      <w:pPr>
        <w:spacing w:after="0" w:line="240" w:lineRule="auto"/>
        <w:jc w:val="center"/>
        <w:rPr>
          <w:rFonts w:ascii="Times New Roman" w:eastAsia="Times New Roman" w:hAnsi="Times New Roman" w:cs="Times New Roman"/>
          <w:kern w:val="0"/>
          <w14:ligatures w14:val="none"/>
        </w:rPr>
      </w:pPr>
      <w:r w:rsidRPr="00885D64">
        <w:rPr>
          <w:rFonts w:ascii="Times New Roman" w:eastAsia="Times New Roman" w:hAnsi="Times New Roman" w:cs="Times New Roman"/>
          <w:b/>
          <w:bCs/>
          <w:color w:val="000000"/>
          <w:kern w:val="0"/>
          <w:sz w:val="28"/>
          <w:szCs w:val="28"/>
          <w14:ligatures w14:val="none"/>
        </w:rPr>
        <w:t>DEFENDANT’S MEMORANDUM IN SUPPORT OF MOTION TO SUPPRESS EVIDENCE OBTAINED IN VIOLATION OF A COURT ORDER &amp; MOTION TO QUASH UNITED STATES SUBPOENA DUCES TECUM ON MADDOX ARMANA </w:t>
      </w:r>
    </w:p>
    <w:p w14:paraId="4E80E6B6" w14:textId="77777777" w:rsidR="00885D64" w:rsidRPr="00885D64" w:rsidRDefault="00E12540" w:rsidP="00885D64">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C6A2321">
          <v:rect id="_x0000_i1028" style="width:0;height:1.5pt" o:hralign="center" o:hrstd="t" o:hr="t" fillcolor="#a0a0a0" stroked="f"/>
        </w:pict>
      </w:r>
    </w:p>
    <w:p w14:paraId="421FB047" w14:textId="77777777" w:rsidR="00885D64" w:rsidRPr="00885D64" w:rsidRDefault="00885D64" w:rsidP="00885D64">
      <w:pPr>
        <w:spacing w:after="240" w:line="240" w:lineRule="auto"/>
      </w:pPr>
      <w:r>
        <w:br/>
      </w:r>
      <w:r>
        <w:br/>
      </w:r>
      <w:r>
        <w:br/>
      </w:r>
      <w:r>
        <w:br/>
      </w:r>
      <w:r>
        <w:br/>
      </w:r>
      <w:r>
        <w:br/>
      </w:r>
      <w:r>
        <w:br/>
      </w:r>
      <w:r>
        <w:br/>
      </w:r>
    </w:p>
    <w:p w14:paraId="7BCC11F2" w14:textId="74F5044C" w:rsidR="264A300B" w:rsidRDefault="264A300B" w:rsidP="264A300B">
      <w:pPr>
        <w:spacing w:after="240" w:line="240" w:lineRule="auto"/>
      </w:pPr>
    </w:p>
    <w:p w14:paraId="31410EC0" w14:textId="32373AD3" w:rsidR="264A300B" w:rsidRDefault="264A300B" w:rsidP="264A300B">
      <w:pPr>
        <w:spacing w:after="240" w:line="240" w:lineRule="auto"/>
      </w:pPr>
    </w:p>
    <w:p w14:paraId="0C65B0AF" w14:textId="5DB110FA" w:rsidR="264A300B" w:rsidRDefault="264A300B" w:rsidP="264A300B">
      <w:pPr>
        <w:spacing w:after="240" w:line="240" w:lineRule="auto"/>
      </w:pPr>
    </w:p>
    <w:p w14:paraId="500EAFAD" w14:textId="6D5F7098" w:rsidR="264A300B" w:rsidRDefault="264A300B" w:rsidP="264A300B">
      <w:pPr>
        <w:spacing w:after="240" w:line="240" w:lineRule="auto"/>
      </w:pPr>
    </w:p>
    <w:p w14:paraId="54BA7DAA" w14:textId="5678B4AA" w:rsidR="00885D64" w:rsidRPr="00885D64" w:rsidRDefault="00885D64" w:rsidP="00885D64">
      <w:pPr>
        <w:spacing w:after="0" w:line="240" w:lineRule="auto"/>
        <w:jc w:val="right"/>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/s/ Team </w:t>
      </w:r>
      <w:r w:rsidR="003D2CB7">
        <w:rPr>
          <w:rFonts w:ascii="Times New Roman" w:eastAsia="Times New Roman" w:hAnsi="Times New Roman" w:cs="Times New Roman"/>
          <w:color w:val="000000"/>
          <w:kern w:val="0"/>
          <w:sz w:val="28"/>
          <w:szCs w:val="28"/>
          <w14:ligatures w14:val="none"/>
        </w:rPr>
        <w:t>306</w:t>
      </w:r>
      <w:r w:rsidRPr="00885D64">
        <w:rPr>
          <w:rFonts w:ascii="Times New Roman" w:eastAsia="Times New Roman" w:hAnsi="Times New Roman" w:cs="Times New Roman"/>
          <w:color w:val="000000"/>
          <w:kern w:val="0"/>
          <w:sz w:val="28"/>
          <w:szCs w:val="28"/>
          <w14:ligatures w14:val="none"/>
        </w:rPr>
        <w:t> </w:t>
      </w:r>
    </w:p>
    <w:p w14:paraId="23DFBFAC"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59C8FB28" w14:textId="77777777" w:rsidR="00885D64" w:rsidRDefault="00885D64" w:rsidP="00885D64">
      <w:pPr>
        <w:spacing w:after="0" w:line="240" w:lineRule="auto"/>
        <w:jc w:val="right"/>
        <w:rPr>
          <w:rFonts w:ascii="Times New Roman" w:eastAsia="Times New Roman" w:hAnsi="Times New Roman" w:cs="Times New Roman"/>
          <w:i/>
          <w:iCs/>
          <w:color w:val="000000"/>
          <w:kern w:val="0"/>
          <w:sz w:val="28"/>
          <w:szCs w:val="28"/>
          <w14:ligatures w14:val="none"/>
        </w:rPr>
      </w:pPr>
      <w:r w:rsidRPr="264A300B">
        <w:rPr>
          <w:rFonts w:ascii="Times New Roman" w:eastAsia="Times New Roman" w:hAnsi="Times New Roman" w:cs="Times New Roman"/>
          <w:i/>
          <w:iCs/>
          <w:color w:val="000000"/>
          <w:kern w:val="0"/>
          <w:sz w:val="28"/>
          <w:szCs w:val="28"/>
          <w14:ligatures w14:val="none"/>
        </w:rPr>
        <w:t>Attorneys for Emily Calloway </w:t>
      </w:r>
    </w:p>
    <w:p w14:paraId="0C044E47" w14:textId="77777777" w:rsidR="0036300E" w:rsidRDefault="0036300E" w:rsidP="0036300E">
      <w:pPr>
        <w:spacing w:after="0" w:line="240" w:lineRule="auto"/>
        <w:sectPr w:rsidR="0036300E" w:rsidSect="0036300E">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2C478FBA" w14:textId="157739A5" w:rsidR="00885D64" w:rsidRPr="00885D64" w:rsidRDefault="00885D64" w:rsidP="0036300E">
      <w:pPr>
        <w:spacing w:after="0" w:line="240" w:lineRule="auto"/>
        <w:rPr>
          <w:rFonts w:ascii="Times New Roman" w:eastAsia="Times New Roman" w:hAnsi="Times New Roman" w:cs="Times New Roman"/>
          <w:i/>
          <w:iCs/>
          <w:color w:val="000000" w:themeColor="text1"/>
          <w:sz w:val="28"/>
          <w:szCs w:val="28"/>
        </w:rPr>
      </w:pPr>
    </w:p>
    <w:p w14:paraId="0E5806ED" w14:textId="4D81C2EF" w:rsidR="00885D64" w:rsidRPr="00885D64" w:rsidRDefault="00885D64" w:rsidP="264A300B">
      <w:pPr>
        <w:spacing w:after="0" w:line="240" w:lineRule="auto"/>
        <w:jc w:val="right"/>
        <w:rPr>
          <w:rFonts w:ascii="Times New Roman" w:eastAsia="Times New Roman" w:hAnsi="Times New Roman" w:cs="Times New Roman"/>
          <w:i/>
          <w:iCs/>
          <w:color w:val="000000" w:themeColor="text1"/>
          <w:kern w:val="0"/>
          <w:sz w:val="28"/>
          <w:szCs w:val="28"/>
          <w14:ligatures w14:val="none"/>
        </w:rPr>
      </w:pPr>
    </w:p>
    <w:p w14:paraId="620E59F5" w14:textId="77777777" w:rsidR="00885D64" w:rsidRPr="00885D64" w:rsidRDefault="00885D64" w:rsidP="00885D64">
      <w:pPr>
        <w:spacing w:after="0" w:line="240" w:lineRule="auto"/>
        <w:jc w:val="center"/>
        <w:rPr>
          <w:rFonts w:ascii="Times New Roman" w:eastAsia="Times New Roman" w:hAnsi="Times New Roman" w:cs="Times New Roman"/>
          <w:kern w:val="0"/>
          <w14:ligatures w14:val="none"/>
        </w:rPr>
      </w:pPr>
      <w:r w:rsidRPr="00885D64">
        <w:rPr>
          <w:rFonts w:ascii="Times New Roman" w:eastAsia="Times New Roman" w:hAnsi="Times New Roman" w:cs="Times New Roman"/>
          <w:b/>
          <w:bCs/>
          <w:color w:val="000000"/>
          <w:kern w:val="0"/>
          <w:sz w:val="28"/>
          <w:szCs w:val="28"/>
          <w14:ligatures w14:val="none"/>
        </w:rPr>
        <w:t>TABLE OF CONTENTS</w:t>
      </w:r>
    </w:p>
    <w:p w14:paraId="5B9DFE1E"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572AB73D" w14:textId="77777777" w:rsidR="00885D64" w:rsidRPr="00885D64" w:rsidRDefault="00885D64" w:rsidP="00885D64">
      <w:pPr>
        <w:spacing w:before="60" w:after="0" w:line="240" w:lineRule="auto"/>
        <w:ind w:left="360"/>
        <w:rPr>
          <w:rFonts w:ascii="Times New Roman" w:eastAsia="Times New Roman" w:hAnsi="Times New Roman" w:cs="Times New Roman"/>
          <w:kern w:val="0"/>
          <w14:ligatures w14:val="none"/>
        </w:rPr>
      </w:pPr>
      <w:hyperlink r:id="rId9" w:anchor="heading=h.zc3ogyletyvj" w:history="1">
        <w:r w:rsidRPr="00885D64">
          <w:rPr>
            <w:rFonts w:ascii="Times New Roman" w:eastAsia="Times New Roman" w:hAnsi="Times New Roman" w:cs="Times New Roman"/>
            <w:b/>
            <w:bCs/>
            <w:color w:val="000000"/>
            <w:kern w:val="0"/>
            <w:sz w:val="28"/>
            <w:szCs w:val="28"/>
            <w14:ligatures w14:val="none"/>
          </w:rPr>
          <w:t>TABLE OF AUTHORITIES</w:t>
        </w:r>
        <w:r w:rsidRPr="00885D64">
          <w:rPr>
            <w:rFonts w:ascii="Times New Roman" w:eastAsia="Times New Roman" w:hAnsi="Times New Roman" w:cs="Times New Roman"/>
            <w:b/>
            <w:bCs/>
            <w:color w:val="000000"/>
            <w:kern w:val="0"/>
            <w:sz w:val="28"/>
            <w:szCs w:val="28"/>
            <w14:ligatures w14:val="none"/>
          </w:rPr>
          <w:tab/>
          <w:t>4</w:t>
        </w:r>
      </w:hyperlink>
    </w:p>
    <w:p w14:paraId="1CC4800B" w14:textId="77777777" w:rsidR="00885D64" w:rsidRPr="00885D64" w:rsidRDefault="00885D64" w:rsidP="00885D64">
      <w:pPr>
        <w:spacing w:before="60" w:after="0" w:line="240" w:lineRule="auto"/>
        <w:ind w:left="360"/>
        <w:rPr>
          <w:rFonts w:ascii="Times New Roman" w:eastAsia="Times New Roman" w:hAnsi="Times New Roman" w:cs="Times New Roman"/>
          <w:kern w:val="0"/>
          <w14:ligatures w14:val="none"/>
        </w:rPr>
      </w:pPr>
      <w:hyperlink r:id="rId10" w:anchor="heading=h.g5n74s7ki2d6" w:history="1">
        <w:r w:rsidRPr="00885D64">
          <w:rPr>
            <w:rFonts w:ascii="Times New Roman" w:eastAsia="Times New Roman" w:hAnsi="Times New Roman" w:cs="Times New Roman"/>
            <w:b/>
            <w:bCs/>
            <w:color w:val="000000"/>
            <w:kern w:val="0"/>
            <w:sz w:val="28"/>
            <w:szCs w:val="28"/>
            <w14:ligatures w14:val="none"/>
          </w:rPr>
          <w:t>INTRODUCTION</w:t>
        </w:r>
        <w:r w:rsidRPr="00885D64">
          <w:rPr>
            <w:rFonts w:ascii="Times New Roman" w:eastAsia="Times New Roman" w:hAnsi="Times New Roman" w:cs="Times New Roman"/>
            <w:b/>
            <w:bCs/>
            <w:color w:val="000000"/>
            <w:kern w:val="0"/>
            <w:sz w:val="28"/>
            <w:szCs w:val="28"/>
            <w14:ligatures w14:val="none"/>
          </w:rPr>
          <w:tab/>
          <w:t>5</w:t>
        </w:r>
      </w:hyperlink>
    </w:p>
    <w:p w14:paraId="3970FA84" w14:textId="77777777" w:rsidR="00885D64" w:rsidRPr="00885D64" w:rsidRDefault="00885D64" w:rsidP="00885D64">
      <w:pPr>
        <w:spacing w:before="60" w:after="0" w:line="240" w:lineRule="auto"/>
        <w:ind w:left="360"/>
        <w:rPr>
          <w:rFonts w:ascii="Times New Roman" w:eastAsia="Times New Roman" w:hAnsi="Times New Roman" w:cs="Times New Roman"/>
          <w:kern w:val="0"/>
          <w14:ligatures w14:val="none"/>
        </w:rPr>
      </w:pPr>
      <w:hyperlink r:id="rId11" w:anchor="heading=h.zh6itozaom7j" w:history="1">
        <w:r w:rsidRPr="00885D64">
          <w:rPr>
            <w:rFonts w:ascii="Times New Roman" w:eastAsia="Times New Roman" w:hAnsi="Times New Roman" w:cs="Times New Roman"/>
            <w:b/>
            <w:bCs/>
            <w:color w:val="000000"/>
            <w:kern w:val="0"/>
            <w:sz w:val="28"/>
            <w:szCs w:val="28"/>
            <w14:ligatures w14:val="none"/>
          </w:rPr>
          <w:t>STATEMENT OF FACTS</w:t>
        </w:r>
        <w:r w:rsidRPr="00885D64">
          <w:rPr>
            <w:rFonts w:ascii="Times New Roman" w:eastAsia="Times New Roman" w:hAnsi="Times New Roman" w:cs="Times New Roman"/>
            <w:b/>
            <w:bCs/>
            <w:color w:val="000000"/>
            <w:kern w:val="0"/>
            <w:sz w:val="28"/>
            <w:szCs w:val="28"/>
            <w14:ligatures w14:val="none"/>
          </w:rPr>
          <w:tab/>
          <w:t>6</w:t>
        </w:r>
      </w:hyperlink>
    </w:p>
    <w:p w14:paraId="3E476F99" w14:textId="77777777" w:rsidR="00885D64" w:rsidRPr="00885D64" w:rsidRDefault="00885D64" w:rsidP="00885D64">
      <w:pPr>
        <w:spacing w:before="60" w:after="0" w:line="240" w:lineRule="auto"/>
        <w:ind w:left="720"/>
        <w:rPr>
          <w:rFonts w:ascii="Times New Roman" w:eastAsia="Times New Roman" w:hAnsi="Times New Roman" w:cs="Times New Roman"/>
          <w:kern w:val="0"/>
          <w14:ligatures w14:val="none"/>
        </w:rPr>
      </w:pPr>
      <w:hyperlink r:id="rId12" w:anchor="heading=h.vfhitnn8st8r" w:history="1">
        <w:r w:rsidRPr="00885D64">
          <w:rPr>
            <w:rFonts w:ascii="Times New Roman" w:eastAsia="Times New Roman" w:hAnsi="Times New Roman" w:cs="Times New Roman"/>
            <w:b/>
            <w:bCs/>
            <w:color w:val="000000"/>
            <w:kern w:val="0"/>
            <w:sz w:val="28"/>
            <w:szCs w:val="28"/>
            <w14:ligatures w14:val="none"/>
          </w:rPr>
          <w:t xml:space="preserve">I. </w:t>
        </w:r>
        <w:r w:rsidRPr="00885D64">
          <w:rPr>
            <w:rFonts w:ascii="Times New Roman" w:eastAsia="Times New Roman" w:hAnsi="Times New Roman" w:cs="Times New Roman"/>
            <w:b/>
            <w:bCs/>
            <w:color w:val="000000"/>
            <w:kern w:val="0"/>
            <w:sz w:val="28"/>
            <w:szCs w:val="28"/>
            <w:u w:val="single"/>
            <w14:ligatures w14:val="none"/>
          </w:rPr>
          <w:t>The court must grant Defendant’s Motion to Suppress Evidence Obtained in Violation of a Court Order</w:t>
        </w:r>
        <w:r w:rsidRPr="00885D64">
          <w:rPr>
            <w:rFonts w:ascii="Times New Roman" w:eastAsia="Times New Roman" w:hAnsi="Times New Roman" w:cs="Times New Roman"/>
            <w:b/>
            <w:bCs/>
            <w:color w:val="000000"/>
            <w:kern w:val="0"/>
            <w:sz w:val="28"/>
            <w:szCs w:val="28"/>
            <w14:ligatures w14:val="none"/>
          </w:rPr>
          <w:tab/>
          <w:t>10</w:t>
        </w:r>
      </w:hyperlink>
    </w:p>
    <w:p w14:paraId="55910BA9" w14:textId="77777777" w:rsidR="00885D64" w:rsidRPr="00885D64" w:rsidRDefault="00885D64" w:rsidP="00885D64">
      <w:pPr>
        <w:spacing w:before="60" w:after="0" w:line="240" w:lineRule="auto"/>
        <w:ind w:left="1080"/>
        <w:rPr>
          <w:rFonts w:ascii="Times New Roman" w:eastAsia="Times New Roman" w:hAnsi="Times New Roman" w:cs="Times New Roman"/>
          <w:kern w:val="0"/>
          <w14:ligatures w14:val="none"/>
        </w:rPr>
      </w:pPr>
      <w:hyperlink r:id="rId13" w:anchor="heading=h.qrhr26m9cct5" w:history="1">
        <w:r w:rsidRPr="00885D64">
          <w:rPr>
            <w:rFonts w:ascii="Times New Roman" w:eastAsia="Times New Roman" w:hAnsi="Times New Roman" w:cs="Times New Roman"/>
            <w:b/>
            <w:bCs/>
            <w:color w:val="000000"/>
            <w:kern w:val="0"/>
            <w:sz w:val="28"/>
            <w:szCs w:val="28"/>
            <w14:ligatures w14:val="none"/>
          </w:rPr>
          <w:t>A. The Government must affirmatively prove a wholly independent source for each challenged item, and it must account for every step of the chain that produced it.</w:t>
        </w:r>
        <w:r w:rsidRPr="00885D64">
          <w:rPr>
            <w:rFonts w:ascii="Times New Roman" w:eastAsia="Times New Roman" w:hAnsi="Times New Roman" w:cs="Times New Roman"/>
            <w:b/>
            <w:bCs/>
            <w:color w:val="000000"/>
            <w:kern w:val="0"/>
            <w:sz w:val="28"/>
            <w:szCs w:val="28"/>
            <w14:ligatures w14:val="none"/>
          </w:rPr>
          <w:tab/>
          <w:t>10</w:t>
        </w:r>
      </w:hyperlink>
    </w:p>
    <w:p w14:paraId="38792C62" w14:textId="77777777" w:rsidR="00885D64" w:rsidRPr="00885D64" w:rsidRDefault="00885D64" w:rsidP="00885D64">
      <w:pPr>
        <w:spacing w:before="60" w:after="0" w:line="240" w:lineRule="auto"/>
        <w:ind w:left="1080"/>
        <w:rPr>
          <w:rFonts w:ascii="Times New Roman" w:eastAsia="Times New Roman" w:hAnsi="Times New Roman" w:cs="Times New Roman"/>
          <w:kern w:val="0"/>
          <w14:ligatures w14:val="none"/>
        </w:rPr>
      </w:pPr>
      <w:hyperlink r:id="rId14" w:anchor="heading=h.h08gxel0zj4t" w:history="1">
        <w:r w:rsidRPr="00885D64">
          <w:rPr>
            <w:rFonts w:ascii="Times New Roman" w:eastAsia="Times New Roman" w:hAnsi="Times New Roman" w:cs="Times New Roman"/>
            <w:b/>
            <w:bCs/>
            <w:color w:val="000000"/>
            <w:kern w:val="0"/>
            <w:sz w:val="28"/>
            <w:szCs w:val="28"/>
            <w14:ligatures w14:val="none"/>
          </w:rPr>
          <w:t>B. The Government cannot prove that its interest in Kennedy Parker arose from any source other than the compelled testimony.</w:t>
        </w:r>
        <w:r w:rsidRPr="00885D64">
          <w:rPr>
            <w:rFonts w:ascii="Times New Roman" w:eastAsia="Times New Roman" w:hAnsi="Times New Roman" w:cs="Times New Roman"/>
            <w:b/>
            <w:bCs/>
            <w:color w:val="000000"/>
            <w:kern w:val="0"/>
            <w:sz w:val="28"/>
            <w:szCs w:val="28"/>
            <w14:ligatures w14:val="none"/>
          </w:rPr>
          <w:tab/>
          <w:t>12</w:t>
        </w:r>
      </w:hyperlink>
    </w:p>
    <w:p w14:paraId="1BA88B36" w14:textId="77777777" w:rsidR="00885D64" w:rsidRPr="00885D64" w:rsidRDefault="00885D64" w:rsidP="00885D64">
      <w:pPr>
        <w:spacing w:before="60" w:after="0" w:line="240" w:lineRule="auto"/>
        <w:ind w:left="1800"/>
        <w:rPr>
          <w:rFonts w:ascii="Times New Roman" w:eastAsia="Times New Roman" w:hAnsi="Times New Roman" w:cs="Times New Roman"/>
          <w:kern w:val="0"/>
          <w14:ligatures w14:val="none"/>
        </w:rPr>
      </w:pPr>
      <w:hyperlink r:id="rId15" w:anchor="heading=h.jm1ze15amjfw" w:history="1">
        <w:r w:rsidRPr="00885D64">
          <w:rPr>
            <w:rFonts w:ascii="Times New Roman" w:eastAsia="Times New Roman" w:hAnsi="Times New Roman" w:cs="Times New Roman"/>
            <w:b/>
            <w:bCs/>
            <w:color w:val="000000"/>
            <w:kern w:val="0"/>
            <w:sz w:val="28"/>
            <w:szCs w:val="28"/>
            <w14:ligatures w14:val="none"/>
          </w:rPr>
          <w:t xml:space="preserve">1. </w:t>
        </w:r>
        <w:r w:rsidRPr="00885D64">
          <w:rPr>
            <w:rFonts w:ascii="Times New Roman" w:eastAsia="Times New Roman" w:hAnsi="Times New Roman" w:cs="Times New Roman"/>
            <w:b/>
            <w:bCs/>
            <w:i/>
            <w:iCs/>
            <w:color w:val="000000"/>
            <w:kern w:val="0"/>
            <w:sz w:val="28"/>
            <w:szCs w:val="28"/>
            <w14:ligatures w14:val="none"/>
          </w:rPr>
          <w:t>The compelled testimony supplied both the witness and the subject matter of the interview</w:t>
        </w:r>
        <w:r w:rsidRPr="00885D64">
          <w:rPr>
            <w:rFonts w:ascii="Times New Roman" w:eastAsia="Times New Roman" w:hAnsi="Times New Roman" w:cs="Times New Roman"/>
            <w:b/>
            <w:bCs/>
            <w:color w:val="000000"/>
            <w:kern w:val="0"/>
            <w:sz w:val="28"/>
            <w:szCs w:val="28"/>
            <w14:ligatures w14:val="none"/>
          </w:rPr>
          <w:t>.</w:t>
        </w:r>
        <w:r w:rsidRPr="00885D64">
          <w:rPr>
            <w:rFonts w:ascii="Times New Roman" w:eastAsia="Times New Roman" w:hAnsi="Times New Roman" w:cs="Times New Roman"/>
            <w:b/>
            <w:bCs/>
            <w:color w:val="000000"/>
            <w:kern w:val="0"/>
            <w:sz w:val="28"/>
            <w:szCs w:val="28"/>
            <w14:ligatures w14:val="none"/>
          </w:rPr>
          <w:tab/>
          <w:t>12</w:t>
        </w:r>
      </w:hyperlink>
    </w:p>
    <w:p w14:paraId="2BF167C4" w14:textId="77777777" w:rsidR="00885D64" w:rsidRPr="00885D64" w:rsidRDefault="00885D64" w:rsidP="00885D64">
      <w:pPr>
        <w:spacing w:before="60" w:after="0" w:line="240" w:lineRule="auto"/>
        <w:ind w:left="1800"/>
        <w:rPr>
          <w:rFonts w:ascii="Times New Roman" w:eastAsia="Times New Roman" w:hAnsi="Times New Roman" w:cs="Times New Roman"/>
          <w:kern w:val="0"/>
          <w14:ligatures w14:val="none"/>
        </w:rPr>
      </w:pPr>
      <w:hyperlink r:id="rId16" w:anchor="heading=h.pbw9m4216a44" w:history="1">
        <w:r w:rsidRPr="00885D64">
          <w:rPr>
            <w:rFonts w:ascii="Times New Roman" w:eastAsia="Times New Roman" w:hAnsi="Times New Roman" w:cs="Times New Roman"/>
            <w:b/>
            <w:bCs/>
            <w:color w:val="000000"/>
            <w:kern w:val="0"/>
            <w:sz w:val="28"/>
            <w:szCs w:val="28"/>
            <w14:ligatures w14:val="none"/>
          </w:rPr>
          <w:t xml:space="preserve">2. </w:t>
        </w:r>
        <w:r w:rsidRPr="00885D64">
          <w:rPr>
            <w:rFonts w:ascii="Times New Roman" w:eastAsia="Times New Roman" w:hAnsi="Times New Roman" w:cs="Times New Roman"/>
            <w:b/>
            <w:bCs/>
            <w:i/>
            <w:iCs/>
            <w:color w:val="000000"/>
            <w:kern w:val="0"/>
            <w:sz w:val="28"/>
            <w:szCs w:val="28"/>
            <w14:ligatures w14:val="none"/>
          </w:rPr>
          <w:t>Knowing Parker’s name is not knowing her account, and Exhibits 16 and 17 establish only the former</w:t>
        </w:r>
        <w:r w:rsidRPr="00885D64">
          <w:rPr>
            <w:rFonts w:ascii="Times New Roman" w:eastAsia="Times New Roman" w:hAnsi="Times New Roman" w:cs="Times New Roman"/>
            <w:b/>
            <w:bCs/>
            <w:color w:val="000000"/>
            <w:kern w:val="0"/>
            <w:sz w:val="28"/>
            <w:szCs w:val="28"/>
            <w14:ligatures w14:val="none"/>
          </w:rPr>
          <w:t>.</w:t>
        </w:r>
        <w:r w:rsidRPr="00885D64">
          <w:rPr>
            <w:rFonts w:ascii="Times New Roman" w:eastAsia="Times New Roman" w:hAnsi="Times New Roman" w:cs="Times New Roman"/>
            <w:b/>
            <w:bCs/>
            <w:color w:val="000000"/>
            <w:kern w:val="0"/>
            <w:sz w:val="28"/>
            <w:szCs w:val="28"/>
            <w14:ligatures w14:val="none"/>
          </w:rPr>
          <w:tab/>
          <w:t>13</w:t>
        </w:r>
      </w:hyperlink>
    </w:p>
    <w:p w14:paraId="6726992D" w14:textId="77777777" w:rsidR="00885D64" w:rsidRPr="00885D64" w:rsidRDefault="00885D64" w:rsidP="00885D64">
      <w:pPr>
        <w:spacing w:before="60" w:after="0" w:line="240" w:lineRule="auto"/>
        <w:ind w:left="1800"/>
        <w:rPr>
          <w:rFonts w:ascii="Times New Roman" w:eastAsia="Times New Roman" w:hAnsi="Times New Roman" w:cs="Times New Roman"/>
          <w:kern w:val="0"/>
          <w14:ligatures w14:val="none"/>
        </w:rPr>
      </w:pPr>
      <w:hyperlink r:id="rId17" w:anchor="heading=h.rqd85i2r1c2x" w:history="1">
        <w:r w:rsidRPr="00885D64">
          <w:rPr>
            <w:rFonts w:ascii="Times New Roman" w:eastAsia="Times New Roman" w:hAnsi="Times New Roman" w:cs="Times New Roman"/>
            <w:b/>
            <w:bCs/>
            <w:color w:val="000000"/>
            <w:kern w:val="0"/>
            <w:sz w:val="28"/>
            <w:szCs w:val="28"/>
            <w14:ligatures w14:val="none"/>
          </w:rPr>
          <w:t xml:space="preserve">3. </w:t>
        </w:r>
        <w:r w:rsidRPr="00885D64">
          <w:rPr>
            <w:rFonts w:ascii="Times New Roman" w:eastAsia="Times New Roman" w:hAnsi="Times New Roman" w:cs="Times New Roman"/>
            <w:b/>
            <w:bCs/>
            <w:i/>
            <w:iCs/>
            <w:color w:val="000000"/>
            <w:kern w:val="0"/>
            <w:sz w:val="28"/>
            <w:szCs w:val="28"/>
            <w14:ligatures w14:val="none"/>
          </w:rPr>
          <w:t>An assertion that the agent would have found the evidence anyway is not proof of an independent source</w:t>
        </w:r>
        <w:r w:rsidRPr="00885D64">
          <w:rPr>
            <w:rFonts w:ascii="Times New Roman" w:eastAsia="Times New Roman" w:hAnsi="Times New Roman" w:cs="Times New Roman"/>
            <w:b/>
            <w:bCs/>
            <w:color w:val="000000"/>
            <w:kern w:val="0"/>
            <w:sz w:val="28"/>
            <w:szCs w:val="28"/>
            <w14:ligatures w14:val="none"/>
          </w:rPr>
          <w:t>.</w:t>
        </w:r>
        <w:r w:rsidRPr="00885D64">
          <w:rPr>
            <w:rFonts w:ascii="Times New Roman" w:eastAsia="Times New Roman" w:hAnsi="Times New Roman" w:cs="Times New Roman"/>
            <w:b/>
            <w:bCs/>
            <w:color w:val="000000"/>
            <w:kern w:val="0"/>
            <w:sz w:val="28"/>
            <w:szCs w:val="28"/>
            <w14:ligatures w14:val="none"/>
          </w:rPr>
          <w:tab/>
          <w:t>14</w:t>
        </w:r>
      </w:hyperlink>
    </w:p>
    <w:p w14:paraId="4ECF3E6B" w14:textId="77777777" w:rsidR="00885D64" w:rsidRPr="00885D64" w:rsidRDefault="00885D64" w:rsidP="00885D64">
      <w:pPr>
        <w:spacing w:before="60" w:after="0" w:line="240" w:lineRule="auto"/>
        <w:ind w:left="1080"/>
        <w:rPr>
          <w:rFonts w:ascii="Times New Roman" w:eastAsia="Times New Roman" w:hAnsi="Times New Roman" w:cs="Times New Roman"/>
          <w:kern w:val="0"/>
          <w14:ligatures w14:val="none"/>
        </w:rPr>
      </w:pPr>
      <w:hyperlink r:id="rId18" w:anchor="heading=h.lvp4nfrvl1pb" w:history="1">
        <w:r w:rsidRPr="00885D64">
          <w:rPr>
            <w:rFonts w:ascii="Times New Roman" w:eastAsia="Times New Roman" w:hAnsi="Times New Roman" w:cs="Times New Roman"/>
            <w:b/>
            <w:bCs/>
            <w:color w:val="000000"/>
            <w:kern w:val="0"/>
            <w:sz w:val="28"/>
            <w:szCs w:val="28"/>
            <w14:ligatures w14:val="none"/>
          </w:rPr>
          <w:t>C. The Government cannot prove that the October 31 interview, or Parker’s account of it, was unaffected by the compelled testimony.</w:t>
        </w:r>
        <w:r w:rsidRPr="00885D64">
          <w:rPr>
            <w:rFonts w:ascii="Times New Roman" w:eastAsia="Times New Roman" w:hAnsi="Times New Roman" w:cs="Times New Roman"/>
            <w:b/>
            <w:bCs/>
            <w:color w:val="000000"/>
            <w:kern w:val="0"/>
            <w:sz w:val="28"/>
            <w:szCs w:val="28"/>
            <w14:ligatures w14:val="none"/>
          </w:rPr>
          <w:tab/>
          <w:t>15</w:t>
        </w:r>
      </w:hyperlink>
    </w:p>
    <w:p w14:paraId="7F9A7E5C" w14:textId="77777777" w:rsidR="00885D64" w:rsidRPr="00885D64" w:rsidRDefault="00885D64" w:rsidP="00885D64">
      <w:pPr>
        <w:spacing w:before="60" w:after="0" w:line="240" w:lineRule="auto"/>
        <w:ind w:left="1800"/>
        <w:rPr>
          <w:rFonts w:ascii="Times New Roman" w:eastAsia="Times New Roman" w:hAnsi="Times New Roman" w:cs="Times New Roman"/>
          <w:kern w:val="0"/>
          <w14:ligatures w14:val="none"/>
        </w:rPr>
      </w:pPr>
      <w:hyperlink r:id="rId19" w:anchor="heading=h.8dltmry5a02" w:history="1">
        <w:r w:rsidRPr="00885D64">
          <w:rPr>
            <w:rFonts w:ascii="Times New Roman" w:eastAsia="Times New Roman" w:hAnsi="Times New Roman" w:cs="Times New Roman"/>
            <w:b/>
            <w:bCs/>
            <w:color w:val="000000"/>
            <w:kern w:val="0"/>
            <w:sz w:val="28"/>
            <w:szCs w:val="28"/>
            <w14:ligatures w14:val="none"/>
          </w:rPr>
          <w:t xml:space="preserve">1. </w:t>
        </w:r>
        <w:r w:rsidRPr="00885D64">
          <w:rPr>
            <w:rFonts w:ascii="Times New Roman" w:eastAsia="Times New Roman" w:hAnsi="Times New Roman" w:cs="Times New Roman"/>
            <w:b/>
            <w:bCs/>
            <w:i/>
            <w:iCs/>
            <w:color w:val="000000"/>
            <w:kern w:val="0"/>
            <w:sz w:val="28"/>
            <w:szCs w:val="28"/>
            <w14:ligatures w14:val="none"/>
          </w:rPr>
          <w:t>The Government created no record of the interview it must now defend</w:t>
        </w:r>
        <w:r w:rsidRPr="00885D64">
          <w:rPr>
            <w:rFonts w:ascii="Times New Roman" w:eastAsia="Times New Roman" w:hAnsi="Times New Roman" w:cs="Times New Roman"/>
            <w:b/>
            <w:bCs/>
            <w:color w:val="000000"/>
            <w:kern w:val="0"/>
            <w:sz w:val="28"/>
            <w:szCs w:val="28"/>
            <w14:ligatures w14:val="none"/>
          </w:rPr>
          <w:t>.</w:t>
        </w:r>
        <w:r w:rsidRPr="00885D64">
          <w:rPr>
            <w:rFonts w:ascii="Times New Roman" w:eastAsia="Times New Roman" w:hAnsi="Times New Roman" w:cs="Times New Roman"/>
            <w:b/>
            <w:bCs/>
            <w:color w:val="000000"/>
            <w:kern w:val="0"/>
            <w:sz w:val="28"/>
            <w:szCs w:val="28"/>
            <w14:ligatures w14:val="none"/>
          </w:rPr>
          <w:tab/>
          <w:t>15</w:t>
        </w:r>
      </w:hyperlink>
    </w:p>
    <w:p w14:paraId="64EE9A69" w14:textId="77777777" w:rsidR="00885D64" w:rsidRPr="00885D64" w:rsidRDefault="00885D64" w:rsidP="00885D64">
      <w:pPr>
        <w:spacing w:before="60" w:after="0" w:line="240" w:lineRule="auto"/>
        <w:ind w:left="1800"/>
        <w:rPr>
          <w:rFonts w:ascii="Times New Roman" w:eastAsia="Times New Roman" w:hAnsi="Times New Roman" w:cs="Times New Roman"/>
          <w:kern w:val="0"/>
          <w14:ligatures w14:val="none"/>
        </w:rPr>
      </w:pPr>
      <w:hyperlink r:id="rId20" w:anchor="heading=h.2g6c3fah576r" w:history="1">
        <w:r w:rsidRPr="00885D64">
          <w:rPr>
            <w:rFonts w:ascii="Times New Roman" w:eastAsia="Times New Roman" w:hAnsi="Times New Roman" w:cs="Times New Roman"/>
            <w:b/>
            <w:bCs/>
            <w:color w:val="000000"/>
            <w:kern w:val="0"/>
            <w:sz w:val="28"/>
            <w:szCs w:val="28"/>
            <w14:ligatures w14:val="none"/>
          </w:rPr>
          <w:t xml:space="preserve">2. </w:t>
        </w:r>
        <w:r w:rsidRPr="00885D64">
          <w:rPr>
            <w:rFonts w:ascii="Times New Roman" w:eastAsia="Times New Roman" w:hAnsi="Times New Roman" w:cs="Times New Roman"/>
            <w:b/>
            <w:bCs/>
            <w:i/>
            <w:iCs/>
            <w:color w:val="000000"/>
            <w:kern w:val="0"/>
            <w:sz w:val="28"/>
            <w:szCs w:val="28"/>
            <w14:ligatures w14:val="none"/>
          </w:rPr>
          <w:t>Parker’s exposure through the public trial is the Government’s burden to disprove</w:t>
        </w:r>
        <w:r w:rsidRPr="00885D64">
          <w:rPr>
            <w:rFonts w:ascii="Times New Roman" w:eastAsia="Times New Roman" w:hAnsi="Times New Roman" w:cs="Times New Roman"/>
            <w:b/>
            <w:bCs/>
            <w:color w:val="000000"/>
            <w:kern w:val="0"/>
            <w:sz w:val="28"/>
            <w:szCs w:val="28"/>
            <w14:ligatures w14:val="none"/>
          </w:rPr>
          <w:t>.</w:t>
        </w:r>
        <w:r w:rsidRPr="00885D64">
          <w:rPr>
            <w:rFonts w:ascii="Times New Roman" w:eastAsia="Times New Roman" w:hAnsi="Times New Roman" w:cs="Times New Roman"/>
            <w:b/>
            <w:bCs/>
            <w:color w:val="000000"/>
            <w:kern w:val="0"/>
            <w:sz w:val="28"/>
            <w:szCs w:val="28"/>
            <w14:ligatures w14:val="none"/>
          </w:rPr>
          <w:tab/>
          <w:t>17</w:t>
        </w:r>
      </w:hyperlink>
    </w:p>
    <w:p w14:paraId="30A6AC40" w14:textId="77777777" w:rsidR="00885D64" w:rsidRPr="00885D64" w:rsidRDefault="00885D64" w:rsidP="00885D64">
      <w:pPr>
        <w:spacing w:before="60" w:after="0" w:line="240" w:lineRule="auto"/>
        <w:ind w:left="1800"/>
        <w:rPr>
          <w:rFonts w:ascii="Times New Roman" w:eastAsia="Times New Roman" w:hAnsi="Times New Roman" w:cs="Times New Roman"/>
          <w:kern w:val="0"/>
          <w14:ligatures w14:val="none"/>
        </w:rPr>
      </w:pPr>
      <w:hyperlink r:id="rId21" w:anchor="heading=h.x97nkckcu8aq" w:history="1">
        <w:r w:rsidRPr="00885D64">
          <w:rPr>
            <w:rFonts w:ascii="Times New Roman" w:eastAsia="Times New Roman" w:hAnsi="Times New Roman" w:cs="Times New Roman"/>
            <w:b/>
            <w:bCs/>
            <w:color w:val="000000"/>
            <w:kern w:val="0"/>
            <w:sz w:val="28"/>
            <w:szCs w:val="28"/>
            <w14:ligatures w14:val="none"/>
          </w:rPr>
          <w:t xml:space="preserve">3. </w:t>
        </w:r>
        <w:r w:rsidRPr="00885D64">
          <w:rPr>
            <w:rFonts w:ascii="Times New Roman" w:eastAsia="Times New Roman" w:hAnsi="Times New Roman" w:cs="Times New Roman"/>
            <w:b/>
            <w:bCs/>
            <w:i/>
            <w:iCs/>
            <w:color w:val="000000"/>
            <w:kern w:val="0"/>
            <w:sz w:val="28"/>
            <w:szCs w:val="28"/>
            <w14:ligatures w14:val="none"/>
          </w:rPr>
          <w:t>The wall does not supply the proof the statute requires</w:t>
        </w:r>
        <w:r w:rsidRPr="00885D64">
          <w:rPr>
            <w:rFonts w:ascii="Times New Roman" w:eastAsia="Times New Roman" w:hAnsi="Times New Roman" w:cs="Times New Roman"/>
            <w:b/>
            <w:bCs/>
            <w:color w:val="000000"/>
            <w:kern w:val="0"/>
            <w:sz w:val="28"/>
            <w:szCs w:val="28"/>
            <w14:ligatures w14:val="none"/>
          </w:rPr>
          <w:t>.</w:t>
        </w:r>
        <w:r w:rsidRPr="00885D64">
          <w:rPr>
            <w:rFonts w:ascii="Times New Roman" w:eastAsia="Times New Roman" w:hAnsi="Times New Roman" w:cs="Times New Roman"/>
            <w:b/>
            <w:bCs/>
            <w:color w:val="000000"/>
            <w:kern w:val="0"/>
            <w:sz w:val="28"/>
            <w:szCs w:val="28"/>
            <w14:ligatures w14:val="none"/>
          </w:rPr>
          <w:tab/>
          <w:t>18</w:t>
        </w:r>
      </w:hyperlink>
    </w:p>
    <w:p w14:paraId="052AE1A1" w14:textId="77777777" w:rsidR="00885D64" w:rsidRPr="00885D64" w:rsidRDefault="00885D64" w:rsidP="00885D64">
      <w:pPr>
        <w:spacing w:before="60" w:after="0" w:line="240" w:lineRule="auto"/>
        <w:ind w:left="1080"/>
        <w:rPr>
          <w:rFonts w:ascii="Times New Roman" w:eastAsia="Times New Roman" w:hAnsi="Times New Roman" w:cs="Times New Roman"/>
          <w:kern w:val="0"/>
          <w14:ligatures w14:val="none"/>
        </w:rPr>
      </w:pPr>
      <w:hyperlink r:id="rId22" w:anchor="heading=h.eb1v7ilpmpkl" w:history="1">
        <w:r w:rsidRPr="00885D64">
          <w:rPr>
            <w:rFonts w:ascii="Times New Roman" w:eastAsia="Times New Roman" w:hAnsi="Times New Roman" w:cs="Times New Roman"/>
            <w:b/>
            <w:bCs/>
            <w:color w:val="000000"/>
            <w:kern w:val="0"/>
            <w:sz w:val="28"/>
            <w:szCs w:val="28"/>
            <w14:ligatures w14:val="none"/>
          </w:rPr>
          <w:t>D. Exhibit 19 must be suppressed as the fruit of the Parker interview.</w:t>
        </w:r>
        <w:r w:rsidRPr="00885D64">
          <w:rPr>
            <w:rFonts w:ascii="Times New Roman" w:eastAsia="Times New Roman" w:hAnsi="Times New Roman" w:cs="Times New Roman"/>
            <w:b/>
            <w:bCs/>
            <w:color w:val="000000"/>
            <w:kern w:val="0"/>
            <w:sz w:val="28"/>
            <w:szCs w:val="28"/>
            <w14:ligatures w14:val="none"/>
          </w:rPr>
          <w:tab/>
          <w:t>19</w:t>
        </w:r>
      </w:hyperlink>
    </w:p>
    <w:p w14:paraId="591E90D0" w14:textId="77777777" w:rsidR="00885D64" w:rsidRPr="00885D64" w:rsidRDefault="00885D64" w:rsidP="00885D64">
      <w:pPr>
        <w:spacing w:before="60" w:after="0" w:line="240" w:lineRule="auto"/>
        <w:ind w:left="720"/>
        <w:rPr>
          <w:rFonts w:ascii="Times New Roman" w:eastAsia="Times New Roman" w:hAnsi="Times New Roman" w:cs="Times New Roman"/>
          <w:kern w:val="0"/>
          <w14:ligatures w14:val="none"/>
        </w:rPr>
      </w:pPr>
      <w:hyperlink r:id="rId23" w:anchor="heading=h.s31zy7l73s4i" w:history="1">
        <w:r w:rsidRPr="00885D64">
          <w:rPr>
            <w:rFonts w:ascii="Times New Roman" w:eastAsia="Times New Roman" w:hAnsi="Times New Roman" w:cs="Times New Roman"/>
            <w:b/>
            <w:bCs/>
            <w:color w:val="000000"/>
            <w:kern w:val="0"/>
            <w:sz w:val="28"/>
            <w:szCs w:val="28"/>
            <w14:ligatures w14:val="none"/>
          </w:rPr>
          <w:t xml:space="preserve">II. </w:t>
        </w:r>
        <w:r w:rsidRPr="00885D64">
          <w:rPr>
            <w:rFonts w:ascii="Times New Roman" w:eastAsia="Times New Roman" w:hAnsi="Times New Roman" w:cs="Times New Roman"/>
            <w:b/>
            <w:bCs/>
            <w:color w:val="000000"/>
            <w:kern w:val="0"/>
            <w:sz w:val="28"/>
            <w:szCs w:val="28"/>
            <w:u w:val="single"/>
            <w14:ligatures w14:val="none"/>
          </w:rPr>
          <w:t>The court must grant Defendant’s Motion to Quash the Government’s Subpoena for Maddox Armana’s Notes from Interview with Sierra Seton on February 15, 2023</w:t>
        </w:r>
        <w:r w:rsidRPr="00885D64">
          <w:rPr>
            <w:rFonts w:ascii="Times New Roman" w:eastAsia="Times New Roman" w:hAnsi="Times New Roman" w:cs="Times New Roman"/>
            <w:b/>
            <w:bCs/>
            <w:color w:val="000000"/>
            <w:kern w:val="0"/>
            <w:sz w:val="28"/>
            <w:szCs w:val="28"/>
            <w14:ligatures w14:val="none"/>
          </w:rPr>
          <w:t>.</w:t>
        </w:r>
        <w:r w:rsidRPr="00885D64">
          <w:rPr>
            <w:rFonts w:ascii="Times New Roman" w:eastAsia="Times New Roman" w:hAnsi="Times New Roman" w:cs="Times New Roman"/>
            <w:b/>
            <w:bCs/>
            <w:color w:val="000000"/>
            <w:kern w:val="0"/>
            <w:sz w:val="28"/>
            <w:szCs w:val="28"/>
            <w14:ligatures w14:val="none"/>
          </w:rPr>
          <w:tab/>
          <w:t>20</w:t>
        </w:r>
      </w:hyperlink>
    </w:p>
    <w:p w14:paraId="04A665AA" w14:textId="77777777" w:rsidR="00885D64" w:rsidRPr="00885D64" w:rsidRDefault="00885D64" w:rsidP="00885D64">
      <w:pPr>
        <w:spacing w:before="60" w:after="0" w:line="240" w:lineRule="auto"/>
        <w:ind w:left="1080"/>
        <w:rPr>
          <w:rFonts w:ascii="Times New Roman" w:eastAsia="Times New Roman" w:hAnsi="Times New Roman" w:cs="Times New Roman"/>
          <w:kern w:val="0"/>
          <w14:ligatures w14:val="none"/>
        </w:rPr>
      </w:pPr>
      <w:hyperlink r:id="rId24" w:anchor="heading=h.hqrgda9tjzxi" w:history="1">
        <w:r w:rsidRPr="00885D64">
          <w:rPr>
            <w:rFonts w:ascii="Times New Roman" w:eastAsia="Times New Roman" w:hAnsi="Times New Roman" w:cs="Times New Roman"/>
            <w:b/>
            <w:bCs/>
            <w:color w:val="000000"/>
            <w:kern w:val="0"/>
            <w:sz w:val="28"/>
            <w:szCs w:val="28"/>
            <w14:ligatures w14:val="none"/>
          </w:rPr>
          <w:t>A. The materials sought by this subpoena are protected under the work-product doctrine.</w:t>
        </w:r>
        <w:r w:rsidRPr="00885D64">
          <w:rPr>
            <w:rFonts w:ascii="Times New Roman" w:eastAsia="Times New Roman" w:hAnsi="Times New Roman" w:cs="Times New Roman"/>
            <w:b/>
            <w:bCs/>
            <w:color w:val="000000"/>
            <w:kern w:val="0"/>
            <w:sz w:val="28"/>
            <w:szCs w:val="28"/>
            <w14:ligatures w14:val="none"/>
          </w:rPr>
          <w:tab/>
          <w:t>22</w:t>
        </w:r>
      </w:hyperlink>
    </w:p>
    <w:p w14:paraId="7E96E606" w14:textId="77777777" w:rsidR="00885D64" w:rsidRPr="00885D64" w:rsidRDefault="00885D64" w:rsidP="00885D64">
      <w:pPr>
        <w:spacing w:before="60" w:after="0" w:line="240" w:lineRule="auto"/>
        <w:ind w:left="1800"/>
        <w:rPr>
          <w:rFonts w:ascii="Times New Roman" w:eastAsia="Times New Roman" w:hAnsi="Times New Roman" w:cs="Times New Roman"/>
          <w:kern w:val="0"/>
          <w14:ligatures w14:val="none"/>
        </w:rPr>
      </w:pPr>
      <w:hyperlink r:id="rId25" w:anchor="heading=h.dgax1mgpooia" w:history="1">
        <w:r w:rsidRPr="00885D64">
          <w:rPr>
            <w:rFonts w:ascii="Times New Roman" w:eastAsia="Times New Roman" w:hAnsi="Times New Roman" w:cs="Times New Roman"/>
            <w:b/>
            <w:bCs/>
            <w:i/>
            <w:iCs/>
            <w:color w:val="000000"/>
            <w:kern w:val="0"/>
            <w:sz w:val="28"/>
            <w:szCs w:val="28"/>
            <w14:ligatures w14:val="none"/>
          </w:rPr>
          <w:t>1. The work-product doctrine applies to work generated by Maddox Armana as an agent of defense counsel.</w:t>
        </w:r>
        <w:r w:rsidRPr="00885D64">
          <w:rPr>
            <w:rFonts w:ascii="Times New Roman" w:eastAsia="Times New Roman" w:hAnsi="Times New Roman" w:cs="Times New Roman"/>
            <w:b/>
            <w:bCs/>
            <w:i/>
            <w:iCs/>
            <w:color w:val="000000"/>
            <w:kern w:val="0"/>
            <w:sz w:val="28"/>
            <w:szCs w:val="28"/>
            <w14:ligatures w14:val="none"/>
          </w:rPr>
          <w:tab/>
          <w:t>23</w:t>
        </w:r>
      </w:hyperlink>
    </w:p>
    <w:p w14:paraId="7E036804" w14:textId="77777777" w:rsidR="00885D64" w:rsidRPr="00885D64" w:rsidRDefault="00885D64" w:rsidP="00885D64">
      <w:pPr>
        <w:spacing w:before="60" w:after="0" w:line="240" w:lineRule="auto"/>
        <w:ind w:left="1800"/>
        <w:rPr>
          <w:rFonts w:ascii="Times New Roman" w:eastAsia="Times New Roman" w:hAnsi="Times New Roman" w:cs="Times New Roman"/>
          <w:kern w:val="0"/>
          <w14:ligatures w14:val="none"/>
        </w:rPr>
      </w:pPr>
      <w:hyperlink r:id="rId26" w:anchor="heading=h.fw4kw7qbmu91" w:history="1">
        <w:r w:rsidRPr="00885D64">
          <w:rPr>
            <w:rFonts w:ascii="Times New Roman" w:eastAsia="Times New Roman" w:hAnsi="Times New Roman" w:cs="Times New Roman"/>
            <w:b/>
            <w:bCs/>
            <w:i/>
            <w:iCs/>
            <w:color w:val="000000"/>
            <w:kern w:val="0"/>
            <w:sz w:val="28"/>
            <w:szCs w:val="28"/>
            <w14:ligatures w14:val="none"/>
          </w:rPr>
          <w:t>2. Maddox Armana’s  interview with Sierra Seton was conducted in anticipation of litigation.</w:t>
        </w:r>
        <w:r w:rsidRPr="00885D64">
          <w:rPr>
            <w:rFonts w:ascii="Times New Roman" w:eastAsia="Times New Roman" w:hAnsi="Times New Roman" w:cs="Times New Roman"/>
            <w:b/>
            <w:bCs/>
            <w:i/>
            <w:iCs/>
            <w:color w:val="000000"/>
            <w:kern w:val="0"/>
            <w:sz w:val="28"/>
            <w:szCs w:val="28"/>
            <w14:ligatures w14:val="none"/>
          </w:rPr>
          <w:tab/>
          <w:t>24</w:t>
        </w:r>
      </w:hyperlink>
    </w:p>
    <w:p w14:paraId="63BA5AC3" w14:textId="77777777" w:rsidR="00885D64" w:rsidRPr="00885D64" w:rsidRDefault="00885D64" w:rsidP="00885D64">
      <w:pPr>
        <w:spacing w:before="60" w:after="0" w:line="240" w:lineRule="auto"/>
        <w:ind w:left="1080"/>
        <w:rPr>
          <w:rFonts w:ascii="Times New Roman" w:eastAsia="Times New Roman" w:hAnsi="Times New Roman" w:cs="Times New Roman"/>
          <w:kern w:val="0"/>
          <w14:ligatures w14:val="none"/>
        </w:rPr>
      </w:pPr>
      <w:hyperlink r:id="rId27" w:anchor="heading=h.hyfcdce8ag84" w:history="1">
        <w:r w:rsidRPr="00885D64">
          <w:rPr>
            <w:rFonts w:ascii="Times New Roman" w:eastAsia="Times New Roman" w:hAnsi="Times New Roman" w:cs="Times New Roman"/>
            <w:b/>
            <w:bCs/>
            <w:color w:val="000000"/>
            <w:kern w:val="0"/>
            <w:sz w:val="28"/>
            <w:szCs w:val="28"/>
            <w14:ligatures w14:val="none"/>
          </w:rPr>
          <w:t>B. The government cannot overcome its burden of proof to overcome the work-product protections here.</w:t>
        </w:r>
        <w:r w:rsidRPr="00885D64">
          <w:rPr>
            <w:rFonts w:ascii="Times New Roman" w:eastAsia="Times New Roman" w:hAnsi="Times New Roman" w:cs="Times New Roman"/>
            <w:b/>
            <w:bCs/>
            <w:color w:val="000000"/>
            <w:kern w:val="0"/>
            <w:sz w:val="28"/>
            <w:szCs w:val="28"/>
            <w14:ligatures w14:val="none"/>
          </w:rPr>
          <w:tab/>
          <w:t>25</w:t>
        </w:r>
      </w:hyperlink>
    </w:p>
    <w:p w14:paraId="7F38C7AC" w14:textId="77777777" w:rsidR="00885D64" w:rsidRPr="00885D64" w:rsidRDefault="00885D64" w:rsidP="00885D64">
      <w:pPr>
        <w:spacing w:before="60" w:after="0" w:line="240" w:lineRule="auto"/>
        <w:ind w:left="1800"/>
        <w:rPr>
          <w:rFonts w:ascii="Times New Roman" w:eastAsia="Times New Roman" w:hAnsi="Times New Roman" w:cs="Times New Roman"/>
          <w:kern w:val="0"/>
          <w14:ligatures w14:val="none"/>
        </w:rPr>
      </w:pPr>
      <w:hyperlink r:id="rId28" w:anchor="heading=h.qgnzvmgrnfmn" w:history="1">
        <w:r w:rsidRPr="00885D64">
          <w:rPr>
            <w:rFonts w:ascii="Times New Roman" w:eastAsia="Times New Roman" w:hAnsi="Times New Roman" w:cs="Times New Roman"/>
            <w:b/>
            <w:bCs/>
            <w:i/>
            <w:iCs/>
            <w:color w:val="000000"/>
            <w:kern w:val="0"/>
            <w:sz w:val="28"/>
            <w:szCs w:val="28"/>
            <w14:ligatures w14:val="none"/>
          </w:rPr>
          <w:t>1. The red text of Maddox Armana’s testimony is opinion work product and subject to unqualified protection.</w:t>
        </w:r>
        <w:r w:rsidRPr="00885D64">
          <w:rPr>
            <w:rFonts w:ascii="Times New Roman" w:eastAsia="Times New Roman" w:hAnsi="Times New Roman" w:cs="Times New Roman"/>
            <w:b/>
            <w:bCs/>
            <w:i/>
            <w:iCs/>
            <w:color w:val="000000"/>
            <w:kern w:val="0"/>
            <w:sz w:val="28"/>
            <w:szCs w:val="28"/>
            <w14:ligatures w14:val="none"/>
          </w:rPr>
          <w:tab/>
          <w:t>26</w:t>
        </w:r>
      </w:hyperlink>
    </w:p>
    <w:p w14:paraId="405113B6" w14:textId="77777777" w:rsidR="00885D64" w:rsidRPr="00885D64" w:rsidRDefault="00885D64" w:rsidP="00885D64">
      <w:pPr>
        <w:spacing w:before="60" w:after="0" w:line="240" w:lineRule="auto"/>
        <w:ind w:left="1800"/>
        <w:rPr>
          <w:rFonts w:ascii="Times New Roman" w:eastAsia="Times New Roman" w:hAnsi="Times New Roman" w:cs="Times New Roman"/>
          <w:kern w:val="0"/>
          <w14:ligatures w14:val="none"/>
        </w:rPr>
      </w:pPr>
      <w:hyperlink r:id="rId29" w:anchor="heading=h.fmao0xml3shf" w:history="1">
        <w:r w:rsidRPr="00885D64">
          <w:rPr>
            <w:rFonts w:ascii="Times New Roman" w:eastAsia="Times New Roman" w:hAnsi="Times New Roman" w:cs="Times New Roman"/>
            <w:b/>
            <w:bCs/>
            <w:i/>
            <w:iCs/>
            <w:color w:val="000000"/>
            <w:kern w:val="0"/>
            <w:sz w:val="28"/>
            <w:szCs w:val="28"/>
            <w14:ligatures w14:val="none"/>
          </w:rPr>
          <w:t>2. The black text of Maddox Armana’s testimony qualifies as ordinary work product and must be protected because the government cannot meet its burden of showing undue hardship.</w:t>
        </w:r>
        <w:r w:rsidRPr="00885D64">
          <w:rPr>
            <w:rFonts w:ascii="Times New Roman" w:eastAsia="Times New Roman" w:hAnsi="Times New Roman" w:cs="Times New Roman"/>
            <w:b/>
            <w:bCs/>
            <w:i/>
            <w:iCs/>
            <w:color w:val="000000"/>
            <w:kern w:val="0"/>
            <w:sz w:val="28"/>
            <w:szCs w:val="28"/>
            <w14:ligatures w14:val="none"/>
          </w:rPr>
          <w:tab/>
          <w:t>27</w:t>
        </w:r>
      </w:hyperlink>
    </w:p>
    <w:p w14:paraId="016DFB46" w14:textId="77777777" w:rsidR="00885D64" w:rsidRDefault="00885D64" w:rsidP="00885D64">
      <w:pPr>
        <w:spacing w:after="240" w:line="240" w:lineRule="auto"/>
        <w:rPr>
          <w:rFonts w:ascii="Times New Roman" w:eastAsia="Times New Roman" w:hAnsi="Times New Roman" w:cs="Times New Roman"/>
          <w:kern w:val="0"/>
          <w14:ligatures w14:val="none"/>
        </w:rPr>
      </w:pPr>
      <w:r>
        <w:br/>
      </w:r>
      <w:r>
        <w:br/>
      </w:r>
      <w:r>
        <w:br/>
      </w:r>
      <w:r>
        <w:br/>
      </w:r>
      <w:r>
        <w:br/>
      </w:r>
      <w:r>
        <w:br/>
      </w:r>
      <w:r>
        <w:br/>
      </w:r>
      <w:r>
        <w:br/>
      </w:r>
      <w:r>
        <w:br/>
      </w:r>
      <w:r>
        <w:br/>
      </w:r>
      <w:r>
        <w:br/>
      </w:r>
      <w:r>
        <w:br/>
      </w:r>
      <w:r>
        <w:br/>
      </w:r>
      <w:r>
        <w:br/>
      </w:r>
      <w:r>
        <w:br/>
      </w:r>
      <w:r>
        <w:br/>
      </w:r>
      <w:r>
        <w:br/>
      </w:r>
      <w:r>
        <w:br/>
      </w:r>
      <w:r>
        <w:br/>
      </w:r>
      <w:r>
        <w:br/>
      </w:r>
      <w:r>
        <w:br/>
      </w:r>
      <w:r>
        <w:br/>
      </w:r>
      <w:r>
        <w:br/>
      </w:r>
    </w:p>
    <w:p w14:paraId="2CE66F3B" w14:textId="77777777" w:rsidR="0042594E" w:rsidRDefault="0042594E" w:rsidP="00885D64">
      <w:pPr>
        <w:spacing w:after="240" w:line="240" w:lineRule="auto"/>
        <w:rPr>
          <w:rFonts w:ascii="Times New Roman" w:eastAsia="Times New Roman" w:hAnsi="Times New Roman" w:cs="Times New Roman"/>
          <w:kern w:val="0"/>
          <w14:ligatures w14:val="none"/>
        </w:rPr>
      </w:pPr>
    </w:p>
    <w:p w14:paraId="29576FDA" w14:textId="77777777" w:rsidR="0042594E" w:rsidRDefault="0042594E" w:rsidP="00885D64">
      <w:pPr>
        <w:spacing w:after="240" w:line="240" w:lineRule="auto"/>
        <w:rPr>
          <w:rFonts w:ascii="Times New Roman" w:eastAsia="Times New Roman" w:hAnsi="Times New Roman" w:cs="Times New Roman"/>
          <w:kern w:val="0"/>
          <w14:ligatures w14:val="none"/>
        </w:rPr>
      </w:pPr>
    </w:p>
    <w:p w14:paraId="5D41EB86" w14:textId="7EC10B43" w:rsidR="0042594E" w:rsidRDefault="0042594E" w:rsidP="264A300B">
      <w:pPr>
        <w:spacing w:after="240" w:line="240" w:lineRule="auto"/>
        <w:rPr>
          <w:rFonts w:ascii="Times New Roman" w:eastAsia="Times New Roman" w:hAnsi="Times New Roman" w:cs="Times New Roman"/>
          <w:kern w:val="0"/>
          <w14:ligatures w14:val="none"/>
        </w:rPr>
      </w:pPr>
    </w:p>
    <w:p w14:paraId="569CF2EB" w14:textId="77777777" w:rsidR="0036300E" w:rsidRPr="00885D64" w:rsidRDefault="0036300E" w:rsidP="264A300B">
      <w:pPr>
        <w:spacing w:after="240" w:line="240" w:lineRule="auto"/>
        <w:rPr>
          <w:rFonts w:ascii="Times New Roman" w:eastAsia="Times New Roman" w:hAnsi="Times New Roman" w:cs="Times New Roman"/>
          <w:kern w:val="0"/>
          <w14:ligatures w14:val="none"/>
        </w:rPr>
      </w:pPr>
    </w:p>
    <w:p w14:paraId="734D4AD9" w14:textId="77777777" w:rsidR="00885D64" w:rsidRPr="00885D64" w:rsidRDefault="00885D64" w:rsidP="00885D64">
      <w:pPr>
        <w:spacing w:before="400" w:after="120" w:line="240" w:lineRule="auto"/>
        <w:jc w:val="center"/>
        <w:outlineLvl w:val="0"/>
        <w:rPr>
          <w:rFonts w:ascii="Times New Roman" w:eastAsia="Times New Roman" w:hAnsi="Times New Roman" w:cs="Times New Roman"/>
          <w:b/>
          <w:bCs/>
          <w:kern w:val="36"/>
          <w:sz w:val="48"/>
          <w:szCs w:val="48"/>
          <w14:ligatures w14:val="none"/>
        </w:rPr>
      </w:pPr>
      <w:r w:rsidRPr="00885D64">
        <w:rPr>
          <w:rFonts w:ascii="Times New Roman" w:eastAsia="Times New Roman" w:hAnsi="Times New Roman" w:cs="Times New Roman"/>
          <w:b/>
          <w:bCs/>
          <w:color w:val="000000"/>
          <w:kern w:val="36"/>
          <w:sz w:val="28"/>
          <w:szCs w:val="28"/>
          <w14:ligatures w14:val="none"/>
        </w:rPr>
        <w:lastRenderedPageBreak/>
        <w:t>TABLE OF AUTHORITIES</w:t>
      </w:r>
    </w:p>
    <w:p w14:paraId="126B8022" w14:textId="77777777" w:rsidR="00FC0187" w:rsidRPr="00D47C5C" w:rsidRDefault="00885D64">
      <w:pPr>
        <w:pStyle w:val="TOAHeading"/>
        <w:tabs>
          <w:tab w:val="right" w:leader="dot" w:pos="9350"/>
        </w:tabs>
        <w:rPr>
          <w:rFonts w:ascii="Times New Roman" w:eastAsiaTheme="minorEastAsia" w:hAnsi="Times New Roman" w:cs="Times New Roman"/>
          <w:b w:val="0"/>
          <w:bCs w:val="0"/>
          <w:noProof/>
        </w:rPr>
      </w:pPr>
      <w:r w:rsidRPr="00885D64">
        <w:rPr>
          <w:rFonts w:ascii="Times New Roman" w:eastAsia="Times New Roman" w:hAnsi="Times New Roman" w:cs="Times New Roman"/>
          <w:kern w:val="0"/>
          <w14:ligatures w14:val="none"/>
        </w:rPr>
        <w:br/>
      </w:r>
      <w:r w:rsidRPr="00885D64">
        <w:rPr>
          <w:rFonts w:ascii="Times New Roman" w:eastAsia="Times New Roman" w:hAnsi="Times New Roman" w:cs="Times New Roman"/>
          <w:kern w:val="0"/>
          <w14:ligatures w14:val="none"/>
        </w:rPr>
        <w:br/>
      </w:r>
      <w:r w:rsidR="00EC344B" w:rsidRPr="00D47C5C">
        <w:rPr>
          <w:rFonts w:ascii="Times New Roman" w:eastAsia="Times New Roman" w:hAnsi="Times New Roman" w:cs="Times New Roman"/>
          <w:sz w:val="28"/>
          <w:szCs w:val="28"/>
        </w:rPr>
        <w:fldChar w:fldCharType="begin"/>
      </w:r>
      <w:r w:rsidR="00EC344B" w:rsidRPr="00D47C5C">
        <w:rPr>
          <w:rFonts w:ascii="Times New Roman" w:eastAsia="Times New Roman" w:hAnsi="Times New Roman" w:cs="Times New Roman"/>
          <w:sz w:val="28"/>
          <w:szCs w:val="28"/>
        </w:rPr>
        <w:instrText xml:space="preserve"> TOA \h \c "1" \p </w:instrText>
      </w:r>
      <w:r w:rsidR="00EC344B" w:rsidRPr="00D47C5C">
        <w:rPr>
          <w:rFonts w:ascii="Times New Roman" w:eastAsia="Times New Roman" w:hAnsi="Times New Roman" w:cs="Times New Roman"/>
          <w:sz w:val="28"/>
          <w:szCs w:val="28"/>
        </w:rPr>
        <w:fldChar w:fldCharType="separate"/>
      </w:r>
      <w:r w:rsidR="00FC0187" w:rsidRPr="00D47C5C">
        <w:rPr>
          <w:rFonts w:ascii="Times New Roman" w:hAnsi="Times New Roman" w:cs="Times New Roman"/>
          <w:noProof/>
        </w:rPr>
        <w:t>Cases</w:t>
      </w:r>
    </w:p>
    <w:p w14:paraId="6956A6B7"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Hickman v. Taylor</w:t>
      </w:r>
      <w:r w:rsidRPr="00D47C5C">
        <w:rPr>
          <w:rFonts w:ascii="Times New Roman" w:eastAsia="Times New Roman" w:hAnsi="Times New Roman" w:cs="Times New Roman"/>
          <w:noProof/>
          <w:color w:val="000000"/>
          <w:kern w:val="0"/>
          <w14:ligatures w14:val="none"/>
        </w:rPr>
        <w:t>, 329 U.S. 495, 510–11 (1947)</w:t>
      </w:r>
      <w:r w:rsidRPr="00D47C5C">
        <w:rPr>
          <w:rFonts w:ascii="Times New Roman" w:hAnsi="Times New Roman" w:cs="Times New Roman"/>
          <w:noProof/>
        </w:rPr>
        <w:tab/>
        <w:t>19, 20, 21, 23</w:t>
      </w:r>
    </w:p>
    <w:p w14:paraId="3C46979E"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In re Green Grand Jury Proceedings</w:t>
      </w:r>
      <w:r w:rsidRPr="00D47C5C">
        <w:rPr>
          <w:rFonts w:ascii="Times New Roman" w:eastAsia="Times New Roman" w:hAnsi="Times New Roman" w:cs="Times New Roman"/>
          <w:noProof/>
          <w:color w:val="000000"/>
          <w:kern w:val="0"/>
          <w14:ligatures w14:val="none"/>
        </w:rPr>
        <w:t>, 492 F.3d 976, 979-980 (8th Cir. 2007)</w:t>
      </w:r>
      <w:r w:rsidRPr="00D47C5C">
        <w:rPr>
          <w:rFonts w:ascii="Times New Roman" w:hAnsi="Times New Roman" w:cs="Times New Roman"/>
          <w:noProof/>
        </w:rPr>
        <w:tab/>
        <w:t>24</w:t>
      </w:r>
    </w:p>
    <w:p w14:paraId="1AD374CC"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In re John Doe Corp.</w:t>
      </w:r>
      <w:r w:rsidRPr="00D47C5C">
        <w:rPr>
          <w:rFonts w:ascii="Times New Roman" w:eastAsia="Times New Roman" w:hAnsi="Times New Roman" w:cs="Times New Roman"/>
          <w:noProof/>
          <w:color w:val="000000"/>
          <w:kern w:val="0"/>
          <w14:ligatures w14:val="none"/>
        </w:rPr>
        <w:t>, 675 F.2d 482, 493 (2nd. Cir. 1982)</w:t>
      </w:r>
      <w:r w:rsidRPr="00D47C5C">
        <w:rPr>
          <w:rFonts w:ascii="Times New Roman" w:hAnsi="Times New Roman" w:cs="Times New Roman"/>
          <w:noProof/>
        </w:rPr>
        <w:tab/>
        <w:t>25</w:t>
      </w:r>
    </w:p>
    <w:p w14:paraId="3D347D5E" w14:textId="724CF7BA"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In re Murphy</w:t>
      </w:r>
      <w:r w:rsidRPr="00D47C5C">
        <w:rPr>
          <w:rFonts w:ascii="Times New Roman" w:eastAsia="Times New Roman" w:hAnsi="Times New Roman" w:cs="Times New Roman"/>
          <w:noProof/>
          <w:color w:val="000000"/>
          <w:kern w:val="0"/>
          <w14:ligatures w14:val="none"/>
        </w:rPr>
        <w:t>, 560 F.2d 326, 336 (8th Cir. 1977)</w:t>
      </w:r>
      <w:r w:rsidRPr="00D47C5C">
        <w:rPr>
          <w:rFonts w:ascii="Times New Roman" w:hAnsi="Times New Roman" w:cs="Times New Roman"/>
          <w:noProof/>
        </w:rPr>
        <w:tab/>
        <w:t>24</w:t>
      </w:r>
    </w:p>
    <w:p w14:paraId="21BA4F06" w14:textId="673964E2"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In re Sealed Case</w:t>
      </w:r>
      <w:r w:rsidRPr="00D47C5C">
        <w:rPr>
          <w:rFonts w:ascii="Times New Roman" w:eastAsia="Times New Roman" w:hAnsi="Times New Roman" w:cs="Times New Roman"/>
          <w:noProof/>
          <w:color w:val="000000"/>
          <w:kern w:val="0"/>
          <w14:ligatures w14:val="none"/>
        </w:rPr>
        <w:t>, 146 F.3d 881, 884 (D.C. Cir. 1998)</w:t>
      </w:r>
      <w:r w:rsidRPr="00D47C5C">
        <w:rPr>
          <w:rFonts w:ascii="Times New Roman" w:hAnsi="Times New Roman" w:cs="Times New Roman"/>
          <w:noProof/>
        </w:rPr>
        <w:tab/>
        <w:t>22</w:t>
      </w:r>
    </w:p>
    <w:p w14:paraId="428847D3"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In re Sealed Case</w:t>
      </w:r>
      <w:r w:rsidRPr="00D47C5C">
        <w:rPr>
          <w:rFonts w:ascii="Times New Roman" w:eastAsia="Times New Roman" w:hAnsi="Times New Roman" w:cs="Times New Roman"/>
          <w:noProof/>
          <w:color w:val="000000"/>
          <w:kern w:val="0"/>
          <w14:ligatures w14:val="none"/>
        </w:rPr>
        <w:t>, 676 F.2d 793, 811 (D.C. Cir. 1982)</w:t>
      </w:r>
      <w:r w:rsidRPr="00D47C5C">
        <w:rPr>
          <w:rFonts w:ascii="Times New Roman" w:hAnsi="Times New Roman" w:cs="Times New Roman"/>
          <w:noProof/>
        </w:rPr>
        <w:tab/>
        <w:t>23</w:t>
      </w:r>
    </w:p>
    <w:p w14:paraId="01384691"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Kastigar v. United States</w:t>
      </w:r>
      <w:r w:rsidRPr="00D47C5C">
        <w:rPr>
          <w:rFonts w:ascii="Times New Roman" w:eastAsia="Times New Roman" w:hAnsi="Times New Roman" w:cs="Times New Roman"/>
          <w:noProof/>
          <w:color w:val="000000"/>
          <w:kern w:val="0"/>
          <w14:ligatures w14:val="none"/>
        </w:rPr>
        <w:t>, 406 U.S. 411, 460 (1972)</w:t>
      </w:r>
      <w:r w:rsidRPr="00D47C5C">
        <w:rPr>
          <w:rFonts w:ascii="Times New Roman" w:hAnsi="Times New Roman" w:cs="Times New Roman"/>
          <w:noProof/>
        </w:rPr>
        <w:tab/>
        <w:t>9</w:t>
      </w:r>
    </w:p>
    <w:p w14:paraId="66F7E524"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Martin v. Bally's Park Place Hotel &amp; Casino</w:t>
      </w:r>
      <w:r w:rsidRPr="00D47C5C">
        <w:rPr>
          <w:rFonts w:ascii="Times New Roman" w:eastAsia="Times New Roman" w:hAnsi="Times New Roman" w:cs="Times New Roman"/>
          <w:noProof/>
          <w:color w:val="000000"/>
          <w:kern w:val="0"/>
          <w14:ligatures w14:val="none"/>
        </w:rPr>
        <w:t>, 983 F.2d 1252, 1260 (3d Cir. 1993)</w:t>
      </w:r>
      <w:r w:rsidRPr="00D47C5C">
        <w:rPr>
          <w:rFonts w:ascii="Times New Roman" w:hAnsi="Times New Roman" w:cs="Times New Roman"/>
          <w:noProof/>
        </w:rPr>
        <w:tab/>
        <w:t>22</w:t>
      </w:r>
    </w:p>
    <w:p w14:paraId="4F1E8652"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National Union Fire Ins. Co. v. Murray Sheet Metal Co.</w:t>
      </w:r>
      <w:r w:rsidRPr="00D47C5C">
        <w:rPr>
          <w:rFonts w:ascii="Times New Roman" w:eastAsia="Times New Roman" w:hAnsi="Times New Roman" w:cs="Times New Roman"/>
          <w:noProof/>
          <w:color w:val="000000"/>
          <w:kern w:val="0"/>
          <w14:ligatures w14:val="none"/>
        </w:rPr>
        <w:t>, 967 F.2d 980, 984 (4th. Cir. 1992)</w:t>
      </w:r>
      <w:r w:rsidRPr="00D47C5C">
        <w:rPr>
          <w:rFonts w:ascii="Times New Roman" w:hAnsi="Times New Roman" w:cs="Times New Roman"/>
          <w:noProof/>
        </w:rPr>
        <w:tab/>
        <w:t>22, 25</w:t>
      </w:r>
    </w:p>
    <w:p w14:paraId="6113E0D6"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Towne Place Condo. Ass’n v. Phila. Indem. Ins. Co.</w:t>
      </w:r>
      <w:r w:rsidRPr="00D47C5C">
        <w:rPr>
          <w:rFonts w:ascii="Times New Roman" w:eastAsia="Times New Roman" w:hAnsi="Times New Roman" w:cs="Times New Roman"/>
          <w:noProof/>
          <w:color w:val="000000"/>
          <w:kern w:val="0"/>
          <w14:ligatures w14:val="none"/>
        </w:rPr>
        <w:t>, 284 F. Supp. 3d 889, 898 (N.D. Ill. 2018)</w:t>
      </w:r>
      <w:r w:rsidRPr="00D47C5C">
        <w:rPr>
          <w:rFonts w:ascii="Times New Roman" w:hAnsi="Times New Roman" w:cs="Times New Roman"/>
          <w:noProof/>
        </w:rPr>
        <w:tab/>
        <w:t>22</w:t>
      </w:r>
    </w:p>
    <w:p w14:paraId="52A564E8"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United States v. Deloitte LLP</w:t>
      </w:r>
      <w:r w:rsidRPr="00D47C5C">
        <w:rPr>
          <w:rFonts w:ascii="Times New Roman" w:eastAsia="Times New Roman" w:hAnsi="Times New Roman" w:cs="Times New Roman"/>
          <w:noProof/>
          <w:color w:val="000000"/>
          <w:kern w:val="0"/>
          <w14:ligatures w14:val="none"/>
        </w:rPr>
        <w:t>, 610 F.3d 129, 136 (D.C. Cir. 2010)</w:t>
      </w:r>
      <w:r w:rsidRPr="00D47C5C">
        <w:rPr>
          <w:rFonts w:ascii="Times New Roman" w:hAnsi="Times New Roman" w:cs="Times New Roman"/>
          <w:noProof/>
        </w:rPr>
        <w:tab/>
        <w:t>20</w:t>
      </w:r>
    </w:p>
    <w:p w14:paraId="68CF5422" w14:textId="30A2D034"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themeColor="text1"/>
        </w:rPr>
        <w:t>United States v. Hampton</w:t>
      </w:r>
      <w:r w:rsidRPr="00D47C5C">
        <w:rPr>
          <w:rFonts w:ascii="Times New Roman" w:eastAsia="Times New Roman" w:hAnsi="Times New Roman" w:cs="Times New Roman"/>
          <w:noProof/>
          <w:color w:val="000000" w:themeColor="text1"/>
        </w:rPr>
        <w:t>, 775 F.2d 1479, 1489 (11th Cir. 1985)</w:t>
      </w:r>
      <w:r w:rsidRPr="00D47C5C">
        <w:rPr>
          <w:rFonts w:ascii="Times New Roman" w:hAnsi="Times New Roman" w:cs="Times New Roman"/>
          <w:noProof/>
        </w:rPr>
        <w:tab/>
        <w:t>10</w:t>
      </w:r>
    </w:p>
    <w:p w14:paraId="4E082F7C" w14:textId="1FE012D6"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United States v. Hubbell</w:t>
      </w:r>
      <w:r w:rsidRPr="00D47C5C">
        <w:rPr>
          <w:rFonts w:ascii="Times New Roman" w:eastAsia="Times New Roman" w:hAnsi="Times New Roman" w:cs="Times New Roman"/>
          <w:noProof/>
          <w:color w:val="000000"/>
          <w:kern w:val="0"/>
          <w14:ligatures w14:val="none"/>
        </w:rPr>
        <w:t>, 530 U.S. 27, 40 (2000)</w:t>
      </w:r>
      <w:r w:rsidRPr="00D47C5C">
        <w:rPr>
          <w:rFonts w:ascii="Times New Roman" w:hAnsi="Times New Roman" w:cs="Times New Roman"/>
          <w:noProof/>
        </w:rPr>
        <w:tab/>
        <w:t>9, 13, 18</w:t>
      </w:r>
    </w:p>
    <w:p w14:paraId="3905020C"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themeColor="text1"/>
        </w:rPr>
        <w:t>United States v. Montoya</w:t>
      </w:r>
      <w:r w:rsidRPr="00D47C5C">
        <w:rPr>
          <w:rFonts w:ascii="Times New Roman" w:eastAsia="Times New Roman" w:hAnsi="Times New Roman" w:cs="Times New Roman"/>
          <w:noProof/>
          <w:color w:val="000000" w:themeColor="text1"/>
        </w:rPr>
        <w:t>, 45 F.3d 1286, 1292-93 (9th Cir. 1995)</w:t>
      </w:r>
      <w:r w:rsidRPr="00D47C5C">
        <w:rPr>
          <w:rFonts w:ascii="Times New Roman" w:hAnsi="Times New Roman" w:cs="Times New Roman"/>
          <w:noProof/>
        </w:rPr>
        <w:tab/>
        <w:t>10, 13</w:t>
      </w:r>
    </w:p>
    <w:p w14:paraId="632973F1" w14:textId="3FEF6AB4"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United States v. Nemes</w:t>
      </w:r>
      <w:r w:rsidRPr="00D47C5C">
        <w:rPr>
          <w:rFonts w:ascii="Times New Roman" w:eastAsia="Times New Roman" w:hAnsi="Times New Roman" w:cs="Times New Roman"/>
          <w:noProof/>
          <w:color w:val="000000"/>
          <w:kern w:val="0"/>
          <w14:ligatures w14:val="none"/>
        </w:rPr>
        <w:t>, 555 F.2d 51, 55 (2d Cir. 1977)</w:t>
      </w:r>
      <w:r w:rsidRPr="00D47C5C">
        <w:rPr>
          <w:rFonts w:ascii="Times New Roman" w:hAnsi="Times New Roman" w:cs="Times New Roman"/>
          <w:noProof/>
        </w:rPr>
        <w:tab/>
        <w:t>17</w:t>
      </w:r>
    </w:p>
    <w:p w14:paraId="4851D4A5" w14:textId="723F6252"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United States v. Nobles</w:t>
      </w:r>
      <w:r w:rsidRPr="00D47C5C">
        <w:rPr>
          <w:rFonts w:ascii="Times New Roman" w:eastAsia="Times New Roman" w:hAnsi="Times New Roman" w:cs="Times New Roman"/>
          <w:noProof/>
          <w:color w:val="000000"/>
          <w:kern w:val="0"/>
          <w14:ligatures w14:val="none"/>
        </w:rPr>
        <w:t>, 422 U.S. 225, 235 (1975)</w:t>
      </w:r>
      <w:r w:rsidRPr="00D47C5C">
        <w:rPr>
          <w:rFonts w:ascii="Times New Roman" w:hAnsi="Times New Roman" w:cs="Times New Roman"/>
          <w:noProof/>
        </w:rPr>
        <w:tab/>
        <w:t>19, 21</w:t>
      </w:r>
    </w:p>
    <w:p w14:paraId="0D2F2E02"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themeColor="text1"/>
        </w:rPr>
        <w:t>United States v. North</w:t>
      </w:r>
      <w:r w:rsidRPr="00D47C5C">
        <w:rPr>
          <w:rFonts w:ascii="Times New Roman" w:eastAsia="Times New Roman" w:hAnsi="Times New Roman" w:cs="Times New Roman"/>
          <w:noProof/>
          <w:color w:val="000000" w:themeColor="text1"/>
        </w:rPr>
        <w:t>, 910 F.2d 843, 872, 855 (D.C. Cir. 1990) (</w:t>
      </w:r>
      <w:r w:rsidRPr="00D47C5C">
        <w:rPr>
          <w:rFonts w:ascii="Times New Roman" w:eastAsia="Times New Roman" w:hAnsi="Times New Roman" w:cs="Times New Roman"/>
          <w:i/>
          <w:iCs/>
          <w:noProof/>
          <w:color w:val="000000" w:themeColor="text1"/>
        </w:rPr>
        <w:t>North I</w:t>
      </w:r>
      <w:r w:rsidRPr="00D47C5C">
        <w:rPr>
          <w:rFonts w:ascii="Times New Roman" w:eastAsia="Times New Roman" w:hAnsi="Times New Roman" w:cs="Times New Roman"/>
          <w:noProof/>
          <w:color w:val="000000" w:themeColor="text1"/>
        </w:rPr>
        <w:t>)</w:t>
      </w:r>
      <w:r w:rsidRPr="00D47C5C">
        <w:rPr>
          <w:rFonts w:ascii="Times New Roman" w:hAnsi="Times New Roman" w:cs="Times New Roman"/>
          <w:noProof/>
        </w:rPr>
        <w:tab/>
        <w:t>10, 12, 14</w:t>
      </w:r>
    </w:p>
    <w:p w14:paraId="7FD5494A"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themeColor="text1"/>
        </w:rPr>
        <w:t>United States v. Pelletier</w:t>
      </w:r>
      <w:r w:rsidRPr="00D47C5C">
        <w:rPr>
          <w:rFonts w:ascii="Times New Roman" w:eastAsia="Times New Roman" w:hAnsi="Times New Roman" w:cs="Times New Roman"/>
          <w:noProof/>
          <w:color w:val="000000" w:themeColor="text1"/>
        </w:rPr>
        <w:t>, 898 F.2d 297, 303 (2d Cir. 1990)</w:t>
      </w:r>
      <w:r w:rsidRPr="00D47C5C">
        <w:rPr>
          <w:rFonts w:ascii="Times New Roman" w:hAnsi="Times New Roman" w:cs="Times New Roman"/>
          <w:noProof/>
        </w:rPr>
        <w:tab/>
        <w:t>13</w:t>
      </w:r>
    </w:p>
    <w:p w14:paraId="0C791FC7" w14:textId="04ABE80B"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themeColor="text1"/>
        </w:rPr>
        <w:t>United States v. Poindexter</w:t>
      </w:r>
      <w:r w:rsidRPr="00D47C5C">
        <w:rPr>
          <w:rFonts w:ascii="Times New Roman" w:eastAsia="Times New Roman" w:hAnsi="Times New Roman" w:cs="Times New Roman"/>
          <w:noProof/>
          <w:color w:val="000000" w:themeColor="text1"/>
        </w:rPr>
        <w:t>, 951 F.2d 369, 396 (D.C. Cir. 1991)</w:t>
      </w:r>
      <w:r w:rsidRPr="00D47C5C">
        <w:rPr>
          <w:rFonts w:ascii="Times New Roman" w:hAnsi="Times New Roman" w:cs="Times New Roman"/>
          <w:noProof/>
        </w:rPr>
        <w:tab/>
        <w:t>12</w:t>
      </w:r>
    </w:p>
    <w:p w14:paraId="220FAD1F"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themeColor="text1"/>
        </w:rPr>
        <w:t>United States v. Schmidgall</w:t>
      </w:r>
      <w:r w:rsidRPr="00D47C5C">
        <w:rPr>
          <w:rFonts w:ascii="Times New Roman" w:eastAsia="Times New Roman" w:hAnsi="Times New Roman" w:cs="Times New Roman"/>
          <w:noProof/>
          <w:color w:val="000000" w:themeColor="text1"/>
        </w:rPr>
        <w:t>, 25 F.3d 1523, 1530-31 (11</w:t>
      </w:r>
      <w:r w:rsidRPr="00D47C5C">
        <w:rPr>
          <w:rFonts w:ascii="Times New Roman" w:eastAsia="Times New Roman" w:hAnsi="Times New Roman" w:cs="Times New Roman"/>
          <w:noProof/>
          <w:color w:val="000000" w:themeColor="text1"/>
          <w:vertAlign w:val="superscript"/>
        </w:rPr>
        <w:t>th</w:t>
      </w:r>
      <w:r w:rsidRPr="00D47C5C">
        <w:rPr>
          <w:rFonts w:ascii="Times New Roman" w:eastAsia="Times New Roman" w:hAnsi="Times New Roman" w:cs="Times New Roman"/>
          <w:noProof/>
          <w:color w:val="000000" w:themeColor="text1"/>
        </w:rPr>
        <w:t xml:space="preserve"> Cir. 1994)</w:t>
      </w:r>
      <w:r w:rsidRPr="00D47C5C">
        <w:rPr>
          <w:rFonts w:ascii="Times New Roman" w:hAnsi="Times New Roman" w:cs="Times New Roman"/>
          <w:noProof/>
        </w:rPr>
        <w:tab/>
        <w:t>10, 14, 15, 18</w:t>
      </w:r>
    </w:p>
    <w:p w14:paraId="4E713E06"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United States v. Under Seal (In re Grand Jury Proceedings)</w:t>
      </w:r>
      <w:r w:rsidRPr="00D47C5C">
        <w:rPr>
          <w:rFonts w:ascii="Times New Roman" w:eastAsia="Times New Roman" w:hAnsi="Times New Roman" w:cs="Times New Roman"/>
          <w:noProof/>
          <w:color w:val="000000"/>
          <w:kern w:val="0"/>
          <w14:ligatures w14:val="none"/>
        </w:rPr>
        <w:t>, 102 F.3d 748, 750-751 (4th Cir. 1996)</w:t>
      </w:r>
      <w:r w:rsidRPr="00D47C5C">
        <w:rPr>
          <w:rFonts w:ascii="Times New Roman" w:hAnsi="Times New Roman" w:cs="Times New Roman"/>
          <w:noProof/>
        </w:rPr>
        <w:tab/>
        <w:t>24</w:t>
      </w:r>
    </w:p>
    <w:p w14:paraId="69655C1F"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kern w:val="0"/>
          <w14:ligatures w14:val="none"/>
        </w:rPr>
        <w:t>United States v. Zolin</w:t>
      </w:r>
      <w:r w:rsidRPr="00D47C5C">
        <w:rPr>
          <w:rFonts w:ascii="Times New Roman" w:eastAsia="Times New Roman" w:hAnsi="Times New Roman" w:cs="Times New Roman"/>
          <w:noProof/>
          <w:kern w:val="0"/>
          <w14:ligatures w14:val="none"/>
        </w:rPr>
        <w:t>, 491 U.S. 554, 563 (1989)</w:t>
      </w:r>
      <w:r w:rsidRPr="00D47C5C">
        <w:rPr>
          <w:rFonts w:ascii="Times New Roman" w:hAnsi="Times New Roman" w:cs="Times New Roman"/>
          <w:noProof/>
        </w:rPr>
        <w:tab/>
        <w:t>24</w:t>
      </w:r>
    </w:p>
    <w:p w14:paraId="708BF956" w14:textId="77777777" w:rsidR="00FC0187" w:rsidRPr="00D47C5C" w:rsidRDefault="00FC0187">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i/>
          <w:iCs/>
          <w:noProof/>
          <w:color w:val="000000"/>
          <w:kern w:val="0"/>
          <w14:ligatures w14:val="none"/>
        </w:rPr>
        <w:t>Upjohn Co. v. United States</w:t>
      </w:r>
      <w:r w:rsidRPr="00D47C5C">
        <w:rPr>
          <w:rFonts w:ascii="Times New Roman" w:eastAsia="Times New Roman" w:hAnsi="Times New Roman" w:cs="Times New Roman"/>
          <w:noProof/>
          <w:color w:val="000000"/>
          <w:kern w:val="0"/>
          <w14:ligatures w14:val="none"/>
        </w:rPr>
        <w:t>, 449 U.S. 383, 389 (1981)</w:t>
      </w:r>
      <w:r w:rsidRPr="00D47C5C">
        <w:rPr>
          <w:rFonts w:ascii="Times New Roman" w:hAnsi="Times New Roman" w:cs="Times New Roman"/>
          <w:noProof/>
        </w:rPr>
        <w:tab/>
        <w:t>19, 21</w:t>
      </w:r>
    </w:p>
    <w:p w14:paraId="3DBA6BDF" w14:textId="77777777" w:rsidR="0070649E" w:rsidRPr="00D47C5C" w:rsidRDefault="00EC344B">
      <w:pPr>
        <w:pStyle w:val="TOAHeading"/>
        <w:tabs>
          <w:tab w:val="right" w:leader="dot" w:pos="9350"/>
        </w:tabs>
        <w:rPr>
          <w:rFonts w:ascii="Times New Roman" w:eastAsiaTheme="minorEastAsia" w:hAnsi="Times New Roman" w:cs="Times New Roman"/>
          <w:b w:val="0"/>
          <w:bCs w:val="0"/>
          <w:noProof/>
        </w:rPr>
      </w:pPr>
      <w:r w:rsidRPr="00D47C5C">
        <w:rPr>
          <w:rFonts w:ascii="Times New Roman" w:eastAsia="Times New Roman" w:hAnsi="Times New Roman" w:cs="Times New Roman"/>
          <w:sz w:val="28"/>
          <w:szCs w:val="28"/>
        </w:rPr>
        <w:fldChar w:fldCharType="end"/>
      </w:r>
      <w:r w:rsidR="0070649E" w:rsidRPr="00D47C5C">
        <w:rPr>
          <w:rFonts w:ascii="Times New Roman" w:eastAsia="Times New Roman" w:hAnsi="Times New Roman" w:cs="Times New Roman"/>
          <w:sz w:val="28"/>
          <w:szCs w:val="28"/>
        </w:rPr>
        <w:fldChar w:fldCharType="begin"/>
      </w:r>
      <w:r w:rsidR="0070649E" w:rsidRPr="00D47C5C">
        <w:rPr>
          <w:rFonts w:ascii="Times New Roman" w:eastAsia="Times New Roman" w:hAnsi="Times New Roman" w:cs="Times New Roman"/>
          <w:sz w:val="28"/>
          <w:szCs w:val="28"/>
        </w:rPr>
        <w:instrText xml:space="preserve"> TOA \h \c "2" \p </w:instrText>
      </w:r>
      <w:r w:rsidR="0070649E" w:rsidRPr="00D47C5C">
        <w:rPr>
          <w:rFonts w:ascii="Times New Roman" w:eastAsia="Times New Roman" w:hAnsi="Times New Roman" w:cs="Times New Roman"/>
          <w:sz w:val="28"/>
          <w:szCs w:val="28"/>
        </w:rPr>
        <w:fldChar w:fldCharType="separate"/>
      </w:r>
      <w:r w:rsidR="0070649E" w:rsidRPr="00D47C5C">
        <w:rPr>
          <w:rFonts w:ascii="Times New Roman" w:hAnsi="Times New Roman" w:cs="Times New Roman"/>
          <w:noProof/>
        </w:rPr>
        <w:t>Statutes</w:t>
      </w:r>
    </w:p>
    <w:p w14:paraId="33C92128" w14:textId="77777777" w:rsidR="0070649E" w:rsidRPr="00D47C5C" w:rsidRDefault="0070649E">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noProof/>
          <w:color w:val="000000"/>
          <w:kern w:val="0"/>
          <w14:ligatures w14:val="none"/>
        </w:rPr>
        <w:t>18 U.S.C. §6002</w:t>
      </w:r>
      <w:r w:rsidRPr="00D47C5C">
        <w:rPr>
          <w:rFonts w:ascii="Times New Roman" w:hAnsi="Times New Roman" w:cs="Times New Roman"/>
          <w:noProof/>
        </w:rPr>
        <w:tab/>
        <w:t>10</w:t>
      </w:r>
    </w:p>
    <w:p w14:paraId="4609B886" w14:textId="77777777" w:rsidR="0070649E" w:rsidRPr="00D47C5C" w:rsidRDefault="0070649E">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noProof/>
          <w:color w:val="000000"/>
          <w:kern w:val="0"/>
          <w14:ligatures w14:val="none"/>
        </w:rPr>
        <w:t>Fed. R. Civ. P. 26(b)(3)</w:t>
      </w:r>
      <w:r w:rsidRPr="00D47C5C">
        <w:rPr>
          <w:rFonts w:ascii="Times New Roman" w:hAnsi="Times New Roman" w:cs="Times New Roman"/>
          <w:noProof/>
        </w:rPr>
        <w:tab/>
        <w:t>21, 23, 24, 25</w:t>
      </w:r>
    </w:p>
    <w:p w14:paraId="7DF8C0F8" w14:textId="77777777" w:rsidR="0070649E" w:rsidRPr="00D47C5C" w:rsidRDefault="0070649E">
      <w:pPr>
        <w:pStyle w:val="TableofAuthorities"/>
        <w:tabs>
          <w:tab w:val="right" w:leader="dot" w:pos="9350"/>
        </w:tabs>
        <w:rPr>
          <w:rFonts w:ascii="Times New Roman" w:hAnsi="Times New Roman" w:cs="Times New Roman"/>
          <w:noProof/>
        </w:rPr>
      </w:pPr>
      <w:r w:rsidRPr="00D47C5C">
        <w:rPr>
          <w:rFonts w:ascii="Times New Roman" w:eastAsia="Times New Roman" w:hAnsi="Times New Roman" w:cs="Times New Roman"/>
          <w:noProof/>
          <w:color w:val="000000"/>
          <w:kern w:val="0"/>
          <w14:ligatures w14:val="none"/>
        </w:rPr>
        <w:t>Fed. R. Evid. 502(g)(2)</w:t>
      </w:r>
      <w:r w:rsidRPr="00D47C5C">
        <w:rPr>
          <w:rFonts w:ascii="Times New Roman" w:hAnsi="Times New Roman" w:cs="Times New Roman"/>
          <w:noProof/>
        </w:rPr>
        <w:tab/>
        <w:t>21</w:t>
      </w:r>
    </w:p>
    <w:p w14:paraId="5FB63972" w14:textId="18E808B6" w:rsidR="0036300E" w:rsidRPr="0036300E" w:rsidRDefault="0070649E" w:rsidP="0036300E">
      <w:pPr>
        <w:pStyle w:val="TOAHeading"/>
        <w:tabs>
          <w:tab w:val="right" w:leader="dot" w:pos="9350"/>
        </w:tabs>
        <w:rPr>
          <w:rFonts w:ascii="Times New Roman" w:eastAsia="Times New Roman" w:hAnsi="Times New Roman" w:cs="Times New Roman"/>
          <w:kern w:val="0"/>
          <w14:ligatures w14:val="none"/>
        </w:rPr>
        <w:sectPr w:rsidR="0036300E" w:rsidRPr="0036300E" w:rsidSect="00810768">
          <w:pgSz w:w="12240" w:h="15840"/>
          <w:pgMar w:top="1440" w:right="1440" w:bottom="1440" w:left="1440" w:header="720" w:footer="720" w:gutter="0"/>
          <w:pgNumType w:fmt="lowerRoman" w:start="1"/>
          <w:cols w:space="720"/>
          <w:docGrid w:linePitch="360"/>
        </w:sectPr>
      </w:pPr>
      <w:r w:rsidRPr="00D47C5C">
        <w:rPr>
          <w:rFonts w:ascii="Times New Roman" w:eastAsia="Times New Roman" w:hAnsi="Times New Roman" w:cs="Times New Roman"/>
          <w:sz w:val="28"/>
          <w:szCs w:val="28"/>
        </w:rPr>
        <w:fldChar w:fldCharType="end"/>
      </w:r>
      <w:r w:rsidR="00885D64" w:rsidRPr="00885D64">
        <w:rPr>
          <w:rFonts w:ascii="Times New Roman" w:eastAsia="Times New Roman" w:hAnsi="Times New Roman" w:cs="Times New Roman"/>
          <w:kern w:val="0"/>
          <w14:ligatures w14:val="none"/>
        </w:rPr>
        <w:br/>
      </w:r>
      <w:r w:rsidR="00885D64" w:rsidRPr="00885D64">
        <w:rPr>
          <w:rFonts w:ascii="Times New Roman" w:eastAsia="Times New Roman" w:hAnsi="Times New Roman" w:cs="Times New Roman"/>
          <w:kern w:val="0"/>
          <w14:ligatures w14:val="none"/>
        </w:rPr>
        <w:br/>
      </w:r>
      <w:r w:rsidR="00885D64" w:rsidRPr="00885D64">
        <w:rPr>
          <w:rFonts w:ascii="Times New Roman" w:eastAsia="Times New Roman" w:hAnsi="Times New Roman" w:cs="Times New Roman"/>
          <w:kern w:val="0"/>
          <w14:ligatures w14:val="none"/>
        </w:rPr>
        <w:br/>
      </w:r>
      <w:r w:rsidR="00885D64" w:rsidRPr="00885D64">
        <w:rPr>
          <w:rFonts w:ascii="Times New Roman" w:eastAsia="Times New Roman" w:hAnsi="Times New Roman" w:cs="Times New Roman"/>
          <w:kern w:val="0"/>
          <w14:ligatures w14:val="none"/>
        </w:rPr>
        <w:br/>
      </w:r>
      <w:r w:rsidR="00885D64" w:rsidRPr="00885D64">
        <w:rPr>
          <w:rFonts w:ascii="Times New Roman" w:eastAsia="Times New Roman" w:hAnsi="Times New Roman" w:cs="Times New Roman"/>
          <w:kern w:val="0"/>
          <w14:ligatures w14:val="none"/>
        </w:rPr>
        <w:br/>
      </w:r>
      <w:r w:rsidR="00885D64" w:rsidRPr="00885D64">
        <w:rPr>
          <w:rFonts w:ascii="Times New Roman" w:eastAsia="Times New Roman" w:hAnsi="Times New Roman" w:cs="Times New Roman"/>
          <w:kern w:val="0"/>
          <w14:ligatures w14:val="none"/>
        </w:rPr>
        <w:br/>
      </w:r>
    </w:p>
    <w:p w14:paraId="0830F25F" w14:textId="77777777" w:rsidR="00885D64" w:rsidRPr="00885D64" w:rsidRDefault="00885D64" w:rsidP="00885D64">
      <w:pPr>
        <w:spacing w:before="400" w:after="120" w:line="240" w:lineRule="auto"/>
        <w:jc w:val="center"/>
        <w:outlineLvl w:val="0"/>
        <w:rPr>
          <w:rFonts w:ascii="Times New Roman" w:eastAsia="Times New Roman" w:hAnsi="Times New Roman" w:cs="Times New Roman"/>
          <w:b/>
          <w:bCs/>
          <w:kern w:val="36"/>
          <w:sz w:val="48"/>
          <w:szCs w:val="48"/>
          <w14:ligatures w14:val="none"/>
        </w:rPr>
      </w:pPr>
      <w:r w:rsidRPr="00885D64">
        <w:rPr>
          <w:rFonts w:ascii="Times New Roman" w:eastAsia="Times New Roman" w:hAnsi="Times New Roman" w:cs="Times New Roman"/>
          <w:b/>
          <w:bCs/>
          <w:color w:val="000000"/>
          <w:kern w:val="36"/>
          <w:sz w:val="28"/>
          <w:szCs w:val="28"/>
          <w14:ligatures w14:val="none"/>
        </w:rPr>
        <w:lastRenderedPageBreak/>
        <w:t>INTRODUCTION </w:t>
      </w:r>
    </w:p>
    <w:p w14:paraId="58CEDE2F"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132E8958" w14:textId="45192A00" w:rsidR="00885D64" w:rsidRPr="00885D64" w:rsidRDefault="00885D64" w:rsidP="00885D64">
      <w:pPr>
        <w:spacing w:after="0" w:line="480" w:lineRule="auto"/>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ab/>
        <w:t>This Court must suppress the testimony of Kennedy Parker and Exhibit 19</w:t>
      </w:r>
      <w:r w:rsidR="00263283">
        <w:rPr>
          <w:rFonts w:ascii="Times New Roman" w:eastAsia="Times New Roman" w:hAnsi="Times New Roman" w:cs="Times New Roman"/>
          <w:color w:val="000000"/>
          <w:kern w:val="0"/>
          <w:sz w:val="28"/>
          <w:szCs w:val="28"/>
          <w14:ligatures w14:val="none"/>
        </w:rPr>
        <w:t xml:space="preserve"> </w:t>
      </w:r>
      <w:r w:rsidRPr="00885D64">
        <w:rPr>
          <w:rFonts w:ascii="Times New Roman" w:eastAsia="Times New Roman" w:hAnsi="Times New Roman" w:cs="Times New Roman"/>
          <w:color w:val="000000"/>
          <w:kern w:val="0"/>
          <w:sz w:val="28"/>
          <w:szCs w:val="28"/>
          <w14:ligatures w14:val="none"/>
        </w:rPr>
        <w:t>because this evidence was obtained in violation of the court order granting Emily Calloway</w:t>
      </w:r>
      <w:r>
        <w:rPr>
          <w:rFonts w:ascii="Times New Roman" w:eastAsia="Times New Roman" w:hAnsi="Times New Roman" w:cs="Times New Roman"/>
          <w:color w:val="000000"/>
          <w:kern w:val="0"/>
          <w:sz w:val="28"/>
          <w:szCs w:val="28"/>
          <w14:ligatures w14:val="none"/>
        </w:rPr>
        <w:t xml:space="preserve"> “</w:t>
      </w:r>
      <w:r w:rsidRPr="00885D64">
        <w:rPr>
          <w:rFonts w:ascii="Times New Roman" w:eastAsia="Times New Roman" w:hAnsi="Times New Roman" w:cs="Times New Roman"/>
          <w:color w:val="000000"/>
          <w:kern w:val="0"/>
          <w:sz w:val="28"/>
          <w:szCs w:val="28"/>
          <w14:ligatures w14:val="none"/>
        </w:rPr>
        <w:t xml:space="preserve">use and derivative use immunity” in exchange for her testimony in </w:t>
      </w:r>
      <w:r w:rsidRPr="00885D64">
        <w:rPr>
          <w:rFonts w:ascii="Times New Roman" w:eastAsia="Times New Roman" w:hAnsi="Times New Roman" w:cs="Times New Roman"/>
          <w:i/>
          <w:iCs/>
          <w:color w:val="000000"/>
          <w:kern w:val="0"/>
          <w:sz w:val="28"/>
          <w:szCs w:val="28"/>
          <w14:ligatures w14:val="none"/>
        </w:rPr>
        <w:t>United States v. Saint Donovan</w:t>
      </w:r>
      <w:r w:rsidRPr="00885D64">
        <w:rPr>
          <w:rFonts w:ascii="Times New Roman" w:eastAsia="Times New Roman" w:hAnsi="Times New Roman" w:cs="Times New Roman"/>
          <w:color w:val="000000"/>
          <w:kern w:val="0"/>
          <w:sz w:val="28"/>
          <w:szCs w:val="28"/>
          <w14:ligatures w14:val="none"/>
        </w:rPr>
        <w:t>, No. 2025-00416. The government cannot meet its burden of proving that it would have obtained Ms. Parker’s testimony in the absence of Ms. Calloway’s testimony, nor can it prove that Exhibit 19 would have been obtained in the absence of Ms. Parker’s testimony, making both pieces of evidence derivative use of Ms. Calloway’s immunized testimony. </w:t>
      </w:r>
    </w:p>
    <w:p w14:paraId="7B57A764" w14:textId="77777777"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Additionally, this Court must quash the government’s Subpoena Duces Tecum served upon Maddox Armana. This Subpoena seeks Ms. Armana’s notes from an interview with potential witness Sierra Seton conducted during the investigative work-up of this case in February 2024. These notes are protected under the work-product doctrine and the government cannot meet its burden of establishing one of the “rare” exceptions to work product protection. </w:t>
      </w:r>
    </w:p>
    <w:p w14:paraId="6CBDB0E5" w14:textId="77777777" w:rsidR="00885D64" w:rsidRPr="00885D64" w:rsidRDefault="00885D64" w:rsidP="00885D64">
      <w:pPr>
        <w:spacing w:before="400" w:after="120" w:line="240" w:lineRule="auto"/>
        <w:jc w:val="center"/>
        <w:outlineLvl w:val="0"/>
        <w:rPr>
          <w:rFonts w:ascii="Times New Roman" w:eastAsia="Times New Roman" w:hAnsi="Times New Roman" w:cs="Times New Roman"/>
          <w:b/>
          <w:bCs/>
          <w:kern w:val="36"/>
          <w:sz w:val="48"/>
          <w:szCs w:val="48"/>
          <w14:ligatures w14:val="none"/>
        </w:rPr>
      </w:pPr>
      <w:r w:rsidRPr="00885D64">
        <w:rPr>
          <w:rFonts w:ascii="Times New Roman" w:eastAsia="Times New Roman" w:hAnsi="Times New Roman" w:cs="Times New Roman"/>
          <w:b/>
          <w:bCs/>
          <w:color w:val="000000"/>
          <w:kern w:val="36"/>
          <w:sz w:val="28"/>
          <w:szCs w:val="28"/>
          <w14:ligatures w14:val="none"/>
        </w:rPr>
        <w:t>STATEMENT OF FACTS </w:t>
      </w:r>
    </w:p>
    <w:p w14:paraId="44382DEA"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3A463310" w14:textId="26A77F8B"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264A300B">
        <w:rPr>
          <w:rFonts w:ascii="Times New Roman" w:eastAsia="Times New Roman" w:hAnsi="Times New Roman" w:cs="Times New Roman"/>
          <w:color w:val="000000" w:themeColor="text1"/>
          <w:sz w:val="28"/>
          <w:szCs w:val="28"/>
        </w:rPr>
        <w:t xml:space="preserve">The </w:t>
      </w:r>
      <w:r w:rsidR="00192FDD" w:rsidRPr="264A300B">
        <w:rPr>
          <w:rFonts w:ascii="Times New Roman" w:eastAsia="Times New Roman" w:hAnsi="Times New Roman" w:cs="Times New Roman"/>
          <w:color w:val="000000" w:themeColor="text1"/>
          <w:sz w:val="28"/>
          <w:szCs w:val="28"/>
        </w:rPr>
        <w:t xml:space="preserve">Calloway family opened the </w:t>
      </w:r>
      <w:r w:rsidRPr="264A300B">
        <w:rPr>
          <w:rFonts w:ascii="Times New Roman" w:eastAsia="Times New Roman" w:hAnsi="Times New Roman" w:cs="Times New Roman"/>
          <w:color w:val="000000" w:themeColor="text1"/>
          <w:sz w:val="28"/>
          <w:szCs w:val="28"/>
        </w:rPr>
        <w:t xml:space="preserve">Silver Palms </w:t>
      </w:r>
      <w:r w:rsidR="00683FD7" w:rsidRPr="264A300B">
        <w:rPr>
          <w:rFonts w:ascii="Times New Roman" w:eastAsia="Times New Roman" w:hAnsi="Times New Roman" w:cs="Times New Roman"/>
          <w:color w:val="000000" w:themeColor="text1"/>
          <w:sz w:val="28"/>
          <w:szCs w:val="28"/>
        </w:rPr>
        <w:t xml:space="preserve">resort </w:t>
      </w:r>
      <w:r w:rsidRPr="264A300B">
        <w:rPr>
          <w:rFonts w:ascii="Times New Roman" w:eastAsia="Times New Roman" w:hAnsi="Times New Roman" w:cs="Times New Roman"/>
          <w:color w:val="000000" w:themeColor="text1"/>
          <w:sz w:val="28"/>
          <w:szCs w:val="28"/>
        </w:rPr>
        <w:t xml:space="preserve">1926 by the Calloway family. Sinclair Dep. 32-37. </w:t>
      </w:r>
      <w:r w:rsidR="00253A83" w:rsidRPr="264A300B">
        <w:rPr>
          <w:rFonts w:ascii="Times New Roman" w:eastAsia="Times New Roman" w:hAnsi="Times New Roman" w:cs="Times New Roman"/>
          <w:color w:val="000000" w:themeColor="text1"/>
          <w:sz w:val="28"/>
          <w:szCs w:val="28"/>
        </w:rPr>
        <w:t xml:space="preserve">Many </w:t>
      </w:r>
      <w:r w:rsidRPr="264A300B">
        <w:rPr>
          <w:rFonts w:ascii="Times New Roman" w:eastAsia="Times New Roman" w:hAnsi="Times New Roman" w:cs="Times New Roman"/>
          <w:color w:val="000000" w:themeColor="text1"/>
          <w:sz w:val="28"/>
          <w:szCs w:val="28"/>
        </w:rPr>
        <w:t>in  Gulf Haven ha</w:t>
      </w:r>
      <w:r w:rsidR="00253A83" w:rsidRPr="264A300B">
        <w:rPr>
          <w:rFonts w:ascii="Times New Roman" w:eastAsia="Times New Roman" w:hAnsi="Times New Roman" w:cs="Times New Roman"/>
          <w:color w:val="000000" w:themeColor="text1"/>
          <w:sz w:val="28"/>
          <w:szCs w:val="28"/>
        </w:rPr>
        <w:t>ve</w:t>
      </w:r>
      <w:r w:rsidRPr="264A300B">
        <w:rPr>
          <w:rFonts w:ascii="Times New Roman" w:eastAsia="Times New Roman" w:hAnsi="Times New Roman" w:cs="Times New Roman"/>
          <w:color w:val="000000" w:themeColor="text1"/>
          <w:sz w:val="28"/>
          <w:szCs w:val="28"/>
        </w:rPr>
        <w:t xml:space="preserve"> </w:t>
      </w:r>
      <w:r w:rsidR="001C1B40" w:rsidRPr="264A300B">
        <w:rPr>
          <w:rFonts w:ascii="Times New Roman" w:eastAsia="Times New Roman" w:hAnsi="Times New Roman" w:cs="Times New Roman"/>
          <w:color w:val="000000" w:themeColor="text1"/>
          <w:sz w:val="28"/>
          <w:szCs w:val="28"/>
        </w:rPr>
        <w:t>attended or worked an</w:t>
      </w:r>
      <w:r w:rsidR="002B0061" w:rsidRPr="264A300B">
        <w:rPr>
          <w:rFonts w:ascii="Times New Roman" w:eastAsia="Times New Roman" w:hAnsi="Times New Roman" w:cs="Times New Roman"/>
          <w:color w:val="000000" w:themeColor="text1"/>
          <w:sz w:val="28"/>
          <w:szCs w:val="28"/>
        </w:rPr>
        <w:t xml:space="preserve"> event at the resort</w:t>
      </w:r>
      <w:r w:rsidRPr="264A300B">
        <w:rPr>
          <w:rFonts w:ascii="Times New Roman" w:eastAsia="Times New Roman" w:hAnsi="Times New Roman" w:cs="Times New Roman"/>
          <w:color w:val="000000" w:themeColor="text1"/>
          <w:sz w:val="28"/>
          <w:szCs w:val="28"/>
        </w:rPr>
        <w:t xml:space="preserve">.” </w:t>
      </w:r>
      <w:r w:rsidRPr="264A300B">
        <w:rPr>
          <w:rFonts w:ascii="Times New Roman" w:eastAsia="Times New Roman" w:hAnsi="Times New Roman" w:cs="Times New Roman"/>
          <w:i/>
          <w:iCs/>
          <w:color w:val="000000" w:themeColor="text1"/>
          <w:sz w:val="28"/>
          <w:szCs w:val="28"/>
        </w:rPr>
        <w:t>Id</w:t>
      </w:r>
      <w:r w:rsidRPr="264A300B">
        <w:rPr>
          <w:rFonts w:ascii="Times New Roman" w:eastAsia="Times New Roman" w:hAnsi="Times New Roman" w:cs="Times New Roman"/>
          <w:color w:val="000000" w:themeColor="text1"/>
          <w:sz w:val="28"/>
          <w:szCs w:val="28"/>
        </w:rPr>
        <w:t xml:space="preserve">. at 38-40. Emily Calloway, inherited the hotel in 2013. </w:t>
      </w:r>
      <w:r w:rsidRPr="264A300B">
        <w:rPr>
          <w:rFonts w:ascii="Times New Roman" w:eastAsia="Times New Roman" w:hAnsi="Times New Roman" w:cs="Times New Roman"/>
          <w:i/>
          <w:iCs/>
          <w:color w:val="000000" w:themeColor="text1"/>
          <w:sz w:val="28"/>
          <w:szCs w:val="28"/>
        </w:rPr>
        <w:t>Id</w:t>
      </w:r>
      <w:r w:rsidRPr="264A300B">
        <w:rPr>
          <w:rFonts w:ascii="Times New Roman" w:eastAsia="Times New Roman" w:hAnsi="Times New Roman" w:cs="Times New Roman"/>
          <w:color w:val="000000" w:themeColor="text1"/>
          <w:sz w:val="28"/>
          <w:szCs w:val="28"/>
        </w:rPr>
        <w:t xml:space="preserve">. at </w:t>
      </w:r>
      <w:r w:rsidRPr="264A300B">
        <w:rPr>
          <w:rFonts w:ascii="Times New Roman" w:eastAsia="Times New Roman" w:hAnsi="Times New Roman" w:cs="Times New Roman"/>
          <w:color w:val="000000" w:themeColor="text1"/>
          <w:sz w:val="28"/>
          <w:szCs w:val="28"/>
        </w:rPr>
        <w:lastRenderedPageBreak/>
        <w:t xml:space="preserve">53-54. In 2018, Ms. Calloway entered into a </w:t>
      </w:r>
      <w:r w:rsidR="002B0061" w:rsidRPr="264A300B">
        <w:rPr>
          <w:rFonts w:ascii="Times New Roman" w:eastAsia="Times New Roman" w:hAnsi="Times New Roman" w:cs="Times New Roman"/>
          <w:color w:val="000000" w:themeColor="text1"/>
          <w:sz w:val="28"/>
          <w:szCs w:val="28"/>
        </w:rPr>
        <w:t>business</w:t>
      </w:r>
      <w:r w:rsidR="00D65A25">
        <w:rPr>
          <w:rFonts w:ascii="Times New Roman" w:eastAsia="Times New Roman" w:hAnsi="Times New Roman" w:cs="Times New Roman"/>
          <w:color w:val="000000" w:themeColor="text1"/>
          <w:sz w:val="28"/>
          <w:szCs w:val="28"/>
        </w:rPr>
        <w:t xml:space="preserve"> </w:t>
      </w:r>
      <w:r w:rsidRPr="264A300B">
        <w:rPr>
          <w:rFonts w:ascii="Times New Roman" w:eastAsia="Times New Roman" w:hAnsi="Times New Roman" w:cs="Times New Roman"/>
          <w:color w:val="000000" w:themeColor="text1"/>
          <w:sz w:val="28"/>
          <w:szCs w:val="28"/>
        </w:rPr>
        <w:t xml:space="preserve">partnership with Saint Donovan. </w:t>
      </w:r>
      <w:r w:rsidRPr="264A300B">
        <w:rPr>
          <w:rFonts w:ascii="Times New Roman" w:eastAsia="Times New Roman" w:hAnsi="Times New Roman" w:cs="Times New Roman"/>
          <w:i/>
          <w:iCs/>
          <w:color w:val="000000" w:themeColor="text1"/>
          <w:sz w:val="28"/>
          <w:szCs w:val="28"/>
        </w:rPr>
        <w:t>Id</w:t>
      </w:r>
      <w:r w:rsidRPr="264A300B">
        <w:rPr>
          <w:rFonts w:ascii="Times New Roman" w:eastAsia="Times New Roman" w:hAnsi="Times New Roman" w:cs="Times New Roman"/>
          <w:color w:val="000000" w:themeColor="text1"/>
          <w:sz w:val="28"/>
          <w:szCs w:val="28"/>
        </w:rPr>
        <w:t xml:space="preserve">. at 64-78. Ms. Calloway </w:t>
      </w:r>
      <w:r w:rsidR="002B0061" w:rsidRPr="264A300B">
        <w:rPr>
          <w:rFonts w:ascii="Times New Roman" w:eastAsia="Times New Roman" w:hAnsi="Times New Roman" w:cs="Times New Roman"/>
          <w:color w:val="000000" w:themeColor="text1"/>
          <w:sz w:val="28"/>
          <w:szCs w:val="28"/>
        </w:rPr>
        <w:t>handled</w:t>
      </w:r>
      <w:r w:rsidRPr="264A300B">
        <w:rPr>
          <w:rFonts w:ascii="Times New Roman" w:eastAsia="Times New Roman" w:hAnsi="Times New Roman" w:cs="Times New Roman"/>
          <w:color w:val="000000" w:themeColor="text1"/>
          <w:sz w:val="28"/>
          <w:szCs w:val="28"/>
        </w:rPr>
        <w:t xml:space="preserve"> day-to-day operations while Mr. Donovan </w:t>
      </w:r>
      <w:r w:rsidR="002B0061" w:rsidRPr="264A300B">
        <w:rPr>
          <w:rFonts w:ascii="Times New Roman" w:eastAsia="Times New Roman" w:hAnsi="Times New Roman" w:cs="Times New Roman"/>
          <w:color w:val="000000" w:themeColor="text1"/>
          <w:sz w:val="28"/>
          <w:szCs w:val="28"/>
        </w:rPr>
        <w:t>handled</w:t>
      </w:r>
      <w:r w:rsidRPr="264A300B">
        <w:rPr>
          <w:rFonts w:ascii="Times New Roman" w:eastAsia="Times New Roman" w:hAnsi="Times New Roman" w:cs="Times New Roman"/>
          <w:color w:val="000000" w:themeColor="text1"/>
          <w:sz w:val="28"/>
          <w:szCs w:val="28"/>
        </w:rPr>
        <w:t xml:space="preserve"> finances. </w:t>
      </w:r>
      <w:r w:rsidRPr="264A300B">
        <w:rPr>
          <w:rFonts w:ascii="Times New Roman" w:eastAsia="Times New Roman" w:hAnsi="Times New Roman" w:cs="Times New Roman"/>
          <w:i/>
          <w:iCs/>
          <w:color w:val="000000" w:themeColor="text1"/>
          <w:sz w:val="28"/>
          <w:szCs w:val="28"/>
        </w:rPr>
        <w:t>Id</w:t>
      </w:r>
      <w:r w:rsidRPr="264A300B">
        <w:rPr>
          <w:rFonts w:ascii="Times New Roman" w:eastAsia="Times New Roman" w:hAnsi="Times New Roman" w:cs="Times New Roman"/>
          <w:color w:val="000000" w:themeColor="text1"/>
          <w:sz w:val="28"/>
          <w:szCs w:val="28"/>
        </w:rPr>
        <w:t>. at 86-90. </w:t>
      </w:r>
    </w:p>
    <w:p w14:paraId="3221CA79" w14:textId="4BFEAB96"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264A300B">
        <w:rPr>
          <w:rFonts w:ascii="Times New Roman" w:eastAsia="Times New Roman" w:hAnsi="Times New Roman" w:cs="Times New Roman"/>
          <w:color w:val="000000" w:themeColor="text1"/>
          <w:sz w:val="28"/>
          <w:szCs w:val="28"/>
        </w:rPr>
        <w:t xml:space="preserve">On October 9, 2023, Daniel Blake, an accountant for the Silver Palms, met with Tatum Sinclair, Assistant U.S. Attorney (“AUSA”). </w:t>
      </w:r>
      <w:r w:rsidRPr="264A300B">
        <w:rPr>
          <w:rFonts w:ascii="Times New Roman" w:eastAsia="Times New Roman" w:hAnsi="Times New Roman" w:cs="Times New Roman"/>
          <w:i/>
          <w:iCs/>
          <w:color w:val="000000" w:themeColor="text1"/>
          <w:sz w:val="28"/>
          <w:szCs w:val="28"/>
        </w:rPr>
        <w:t>Id</w:t>
      </w:r>
      <w:r w:rsidRPr="264A300B">
        <w:rPr>
          <w:rFonts w:ascii="Times New Roman" w:eastAsia="Times New Roman" w:hAnsi="Times New Roman" w:cs="Times New Roman"/>
          <w:color w:val="000000" w:themeColor="text1"/>
          <w:sz w:val="28"/>
          <w:szCs w:val="28"/>
        </w:rPr>
        <w:t>. at 95-103. Mr. Blake told AUSA Sinclair that he had found “irregularities in the Silver Palms’ expense patterns</w:t>
      </w:r>
      <w:r w:rsidR="002B0061" w:rsidRPr="264A300B">
        <w:rPr>
          <w:rFonts w:ascii="Times New Roman" w:eastAsia="Times New Roman" w:hAnsi="Times New Roman" w:cs="Times New Roman"/>
          <w:color w:val="000000" w:themeColor="text1"/>
          <w:sz w:val="28"/>
          <w:szCs w:val="28"/>
        </w:rPr>
        <w:t>”</w:t>
      </w:r>
      <w:r w:rsidRPr="264A300B">
        <w:rPr>
          <w:rFonts w:ascii="Times New Roman" w:eastAsia="Times New Roman" w:hAnsi="Times New Roman" w:cs="Times New Roman"/>
          <w:color w:val="000000" w:themeColor="text1"/>
          <w:sz w:val="28"/>
          <w:szCs w:val="28"/>
        </w:rPr>
        <w:t xml:space="preserve">. </w:t>
      </w:r>
      <w:r w:rsidRPr="264A300B">
        <w:rPr>
          <w:rFonts w:ascii="Times New Roman" w:eastAsia="Times New Roman" w:hAnsi="Times New Roman" w:cs="Times New Roman"/>
          <w:i/>
          <w:iCs/>
          <w:color w:val="000000" w:themeColor="text1"/>
          <w:sz w:val="28"/>
          <w:szCs w:val="28"/>
        </w:rPr>
        <w:t>Id</w:t>
      </w:r>
      <w:r w:rsidRPr="264A300B">
        <w:rPr>
          <w:rFonts w:ascii="Times New Roman" w:eastAsia="Times New Roman" w:hAnsi="Times New Roman" w:cs="Times New Roman"/>
          <w:color w:val="000000" w:themeColor="text1"/>
          <w:sz w:val="28"/>
          <w:szCs w:val="28"/>
        </w:rPr>
        <w:t xml:space="preserve">. According to Mr. Blake, a company called Emerald Coast Consulting </w:t>
      </w:r>
      <w:r w:rsidR="006B63B3" w:rsidRPr="264A300B">
        <w:rPr>
          <w:rFonts w:ascii="Times New Roman" w:eastAsia="Times New Roman" w:hAnsi="Times New Roman" w:cs="Times New Roman"/>
          <w:color w:val="000000" w:themeColor="text1"/>
          <w:sz w:val="28"/>
          <w:szCs w:val="28"/>
        </w:rPr>
        <w:t>partnered with Silver Palms</w:t>
      </w:r>
      <w:r w:rsidR="00C21F25" w:rsidRPr="264A300B">
        <w:rPr>
          <w:rFonts w:ascii="Times New Roman" w:eastAsia="Times New Roman" w:hAnsi="Times New Roman" w:cs="Times New Roman"/>
          <w:color w:val="000000" w:themeColor="text1"/>
          <w:sz w:val="28"/>
          <w:szCs w:val="28"/>
        </w:rPr>
        <w:t xml:space="preserve">, hiring vendors </w:t>
      </w:r>
      <w:r w:rsidR="00BE0DDE" w:rsidRPr="264A300B">
        <w:rPr>
          <w:rFonts w:ascii="Times New Roman" w:eastAsia="Times New Roman" w:hAnsi="Times New Roman" w:cs="Times New Roman"/>
          <w:color w:val="000000" w:themeColor="text1"/>
          <w:sz w:val="28"/>
          <w:szCs w:val="28"/>
        </w:rPr>
        <w:t>to work events</w:t>
      </w:r>
      <w:r w:rsidR="002A61CE" w:rsidRPr="264A300B">
        <w:rPr>
          <w:rFonts w:ascii="Times New Roman" w:eastAsia="Times New Roman" w:hAnsi="Times New Roman" w:cs="Times New Roman"/>
          <w:color w:val="000000" w:themeColor="text1"/>
          <w:sz w:val="28"/>
          <w:szCs w:val="28"/>
        </w:rPr>
        <w:t xml:space="preserve"> and sending </w:t>
      </w:r>
      <w:r w:rsidR="00C06D41" w:rsidRPr="264A300B">
        <w:rPr>
          <w:rFonts w:ascii="Times New Roman" w:eastAsia="Times New Roman" w:hAnsi="Times New Roman" w:cs="Times New Roman"/>
          <w:color w:val="000000" w:themeColor="text1"/>
          <w:sz w:val="28"/>
          <w:szCs w:val="28"/>
        </w:rPr>
        <w:t>monthly invoices for those services</w:t>
      </w:r>
      <w:r w:rsidRPr="264A300B">
        <w:rPr>
          <w:rFonts w:ascii="Times New Roman" w:eastAsia="Times New Roman" w:hAnsi="Times New Roman" w:cs="Times New Roman"/>
          <w:color w:val="000000" w:themeColor="text1"/>
          <w:sz w:val="28"/>
          <w:szCs w:val="28"/>
        </w:rPr>
        <w:t xml:space="preserve">. </w:t>
      </w:r>
      <w:r w:rsidRPr="264A300B">
        <w:rPr>
          <w:rFonts w:ascii="Times New Roman" w:eastAsia="Times New Roman" w:hAnsi="Times New Roman" w:cs="Times New Roman"/>
          <w:i/>
          <w:iCs/>
          <w:color w:val="000000" w:themeColor="text1"/>
          <w:sz w:val="28"/>
          <w:szCs w:val="28"/>
        </w:rPr>
        <w:t>Id</w:t>
      </w:r>
      <w:r w:rsidRPr="264A300B">
        <w:rPr>
          <w:rFonts w:ascii="Times New Roman" w:eastAsia="Times New Roman" w:hAnsi="Times New Roman" w:cs="Times New Roman"/>
          <w:color w:val="000000" w:themeColor="text1"/>
          <w:sz w:val="28"/>
          <w:szCs w:val="28"/>
        </w:rPr>
        <w:t xml:space="preserve">. at 103-115. Mr. Blake believed that “Silver Palms was making payments to vendors that weren’t performing actual work.” </w:t>
      </w:r>
      <w:r w:rsidRPr="264A300B">
        <w:rPr>
          <w:rFonts w:ascii="Times New Roman" w:eastAsia="Times New Roman" w:hAnsi="Times New Roman" w:cs="Times New Roman"/>
          <w:i/>
          <w:iCs/>
          <w:color w:val="000000" w:themeColor="text1"/>
          <w:sz w:val="28"/>
          <w:szCs w:val="28"/>
        </w:rPr>
        <w:t>Id</w:t>
      </w:r>
      <w:r w:rsidRPr="264A300B">
        <w:rPr>
          <w:rFonts w:ascii="Times New Roman" w:eastAsia="Times New Roman" w:hAnsi="Times New Roman" w:cs="Times New Roman"/>
          <w:color w:val="000000" w:themeColor="text1"/>
          <w:sz w:val="28"/>
          <w:szCs w:val="28"/>
        </w:rPr>
        <w:t>. at 103-105. </w:t>
      </w:r>
    </w:p>
    <w:p w14:paraId="55615FBE" w14:textId="15B6F4D0"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264A300B">
        <w:rPr>
          <w:rFonts w:ascii="Times New Roman" w:eastAsia="Times New Roman" w:hAnsi="Times New Roman" w:cs="Times New Roman"/>
          <w:color w:val="000000" w:themeColor="text1"/>
          <w:sz w:val="28"/>
          <w:szCs w:val="28"/>
        </w:rPr>
        <w:t xml:space="preserve">Between October and December 2023, AUSA Sinclair informally investigated Emerald Coast Consulting and its four principal vendor payees: Coastal Event Solutions, Tidewater Hospitality Partners, Seagrove Staffing Group, and Dune &amp; Palm Logistics (hereinafter collectively the “principal payees.”) </w:t>
      </w:r>
      <w:r w:rsidRPr="264A300B">
        <w:rPr>
          <w:rFonts w:ascii="Times New Roman" w:eastAsia="Times New Roman" w:hAnsi="Times New Roman" w:cs="Times New Roman"/>
          <w:i/>
          <w:iCs/>
          <w:color w:val="000000" w:themeColor="text1"/>
          <w:sz w:val="28"/>
          <w:szCs w:val="28"/>
        </w:rPr>
        <w:t>Id</w:t>
      </w:r>
      <w:r w:rsidRPr="264A300B">
        <w:rPr>
          <w:rFonts w:ascii="Times New Roman" w:eastAsia="Times New Roman" w:hAnsi="Times New Roman" w:cs="Times New Roman"/>
          <w:color w:val="000000" w:themeColor="text1"/>
          <w:sz w:val="28"/>
          <w:szCs w:val="28"/>
        </w:rPr>
        <w:t>. at 155-160. AUSA Sinclair found that the registered agent for Emerald Coast Consulting was Saint Donovan</w:t>
      </w:r>
      <w:r w:rsidR="00C06D41" w:rsidRPr="264A300B">
        <w:rPr>
          <w:rFonts w:ascii="Times New Roman" w:eastAsia="Times New Roman" w:hAnsi="Times New Roman" w:cs="Times New Roman"/>
          <w:color w:val="000000" w:themeColor="text1"/>
          <w:sz w:val="28"/>
          <w:szCs w:val="28"/>
        </w:rPr>
        <w:t>.</w:t>
      </w:r>
      <w:r w:rsidRPr="264A300B">
        <w:rPr>
          <w:rFonts w:ascii="Times New Roman" w:eastAsia="Times New Roman" w:hAnsi="Times New Roman" w:cs="Times New Roman"/>
          <w:color w:val="000000" w:themeColor="text1"/>
          <w:sz w:val="28"/>
          <w:szCs w:val="28"/>
        </w:rPr>
        <w:t xml:space="preserve">  Ky Chandler was the registered agent for the principal payees. </w:t>
      </w:r>
      <w:r w:rsidRPr="264A300B">
        <w:rPr>
          <w:rFonts w:ascii="Times New Roman" w:eastAsia="Times New Roman" w:hAnsi="Times New Roman" w:cs="Times New Roman"/>
          <w:i/>
          <w:iCs/>
          <w:color w:val="000000" w:themeColor="text1"/>
          <w:sz w:val="28"/>
          <w:szCs w:val="28"/>
        </w:rPr>
        <w:t>Id</w:t>
      </w:r>
      <w:r w:rsidRPr="264A300B">
        <w:rPr>
          <w:rFonts w:ascii="Times New Roman" w:eastAsia="Times New Roman" w:hAnsi="Times New Roman" w:cs="Times New Roman"/>
          <w:color w:val="000000" w:themeColor="text1"/>
          <w:sz w:val="28"/>
          <w:szCs w:val="28"/>
        </w:rPr>
        <w:t xml:space="preserve">. at 162-165. AUSA Sinclair was unable to find Ky Chandler “working from public records alone” and did not have enough evidence to subpoena the principal payees. </w:t>
      </w:r>
      <w:r w:rsidRPr="264A300B">
        <w:rPr>
          <w:rFonts w:ascii="Times New Roman" w:eastAsia="Times New Roman" w:hAnsi="Times New Roman" w:cs="Times New Roman"/>
          <w:i/>
          <w:iCs/>
          <w:color w:val="000000" w:themeColor="text1"/>
          <w:sz w:val="28"/>
          <w:szCs w:val="28"/>
        </w:rPr>
        <w:t>Id</w:t>
      </w:r>
      <w:r w:rsidRPr="264A300B">
        <w:rPr>
          <w:rFonts w:ascii="Times New Roman" w:eastAsia="Times New Roman" w:hAnsi="Times New Roman" w:cs="Times New Roman"/>
          <w:color w:val="000000" w:themeColor="text1"/>
          <w:sz w:val="28"/>
          <w:szCs w:val="28"/>
        </w:rPr>
        <w:t>. at 175-183. </w:t>
      </w:r>
    </w:p>
    <w:p w14:paraId="13A2E96C" w14:textId="540CB747"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lastRenderedPageBreak/>
        <w:t xml:space="preserve">On </w:t>
      </w:r>
      <w:r w:rsidR="001459B0">
        <w:rPr>
          <w:rFonts w:ascii="Times New Roman" w:eastAsia="Times New Roman" w:hAnsi="Times New Roman" w:cs="Times New Roman"/>
          <w:color w:val="000000"/>
          <w:kern w:val="0"/>
          <w:sz w:val="28"/>
          <w:szCs w:val="28"/>
          <w14:ligatures w14:val="none"/>
        </w:rPr>
        <w:t xml:space="preserve">Saturday, </w:t>
      </w:r>
      <w:r w:rsidRPr="00885D64">
        <w:rPr>
          <w:rFonts w:ascii="Times New Roman" w:eastAsia="Times New Roman" w:hAnsi="Times New Roman" w:cs="Times New Roman"/>
          <w:color w:val="000000"/>
          <w:kern w:val="0"/>
          <w:sz w:val="28"/>
          <w:szCs w:val="28"/>
          <w14:ligatures w14:val="none"/>
        </w:rPr>
        <w:t xml:space="preserve">December 9, 2023, Mr. Blake </w:t>
      </w:r>
      <w:r w:rsidR="00BC3397">
        <w:rPr>
          <w:rFonts w:ascii="Times New Roman" w:eastAsia="Times New Roman" w:hAnsi="Times New Roman" w:cs="Times New Roman"/>
          <w:color w:val="000000"/>
          <w:kern w:val="0"/>
          <w:sz w:val="28"/>
          <w:szCs w:val="28"/>
          <w14:ligatures w14:val="none"/>
        </w:rPr>
        <w:t>and</w:t>
      </w:r>
      <w:r w:rsidRPr="00885D64">
        <w:rPr>
          <w:rFonts w:ascii="Times New Roman" w:eastAsia="Times New Roman" w:hAnsi="Times New Roman" w:cs="Times New Roman"/>
          <w:color w:val="000000"/>
          <w:kern w:val="0"/>
          <w:sz w:val="28"/>
          <w:szCs w:val="28"/>
          <w14:ligatures w14:val="none"/>
        </w:rPr>
        <w:t xml:space="preserve"> AUSA Sinclair</w:t>
      </w:r>
      <w:r w:rsidR="00BC3397">
        <w:rPr>
          <w:rFonts w:ascii="Times New Roman" w:eastAsia="Times New Roman" w:hAnsi="Times New Roman" w:cs="Times New Roman"/>
          <w:color w:val="000000"/>
          <w:kern w:val="0"/>
          <w:sz w:val="28"/>
          <w:szCs w:val="28"/>
          <w14:ligatures w14:val="none"/>
        </w:rPr>
        <w:t xml:space="preserve"> spoke on the phone.</w:t>
      </w:r>
      <w:r w:rsidRPr="00885D64">
        <w:rPr>
          <w:rFonts w:ascii="Times New Roman" w:eastAsia="Times New Roman" w:hAnsi="Times New Roman" w:cs="Times New Roman"/>
          <w:color w:val="000000"/>
          <w:kern w:val="0"/>
          <w:sz w:val="28"/>
          <w:szCs w:val="28"/>
          <w14:ligatures w14:val="none"/>
        </w:rPr>
        <w:t xml:space="preserve"> According to AUSA Sinclair, Mr. Blake “believed he found the connection to the true owner of the Coastal account.”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at 200-206. AUSA Sinclair and Mr. Blake agreed that they would meet to discuss in person “first thing next week,” but that meeting never occurred.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at 208-214. </w:t>
      </w:r>
    </w:p>
    <w:p w14:paraId="6BE18F33" w14:textId="0E731999"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On December 12, 2023, Mr. Blake was killed in his office.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at 216-217. AUSA Sinclair became involved in the homicide investigation because Mr. Blake had been operating as her source in an "active federal felony investigation.”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at 218-225. At this point, AUSA Sinclair brought FBI Special Agent Bryce Nolan in to assist.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at 226-232. Agent Nolan is a financial fraud expert who grew up in Gulf Coast and is old friends with AUSA Sinclair.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w:t>
      </w:r>
    </w:p>
    <w:p w14:paraId="6D64D5FC" w14:textId="657D7868" w:rsidR="00885D64" w:rsidRPr="00885D64" w:rsidRDefault="00885D64" w:rsidP="00263283">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By January 20, 2024, </w:t>
      </w:r>
      <w:r w:rsidR="002C389C">
        <w:rPr>
          <w:rFonts w:ascii="Times New Roman" w:eastAsia="Times New Roman" w:hAnsi="Times New Roman" w:cs="Times New Roman"/>
          <w:color w:val="000000"/>
          <w:kern w:val="0"/>
          <w:sz w:val="28"/>
          <w:szCs w:val="28"/>
          <w14:ligatures w14:val="none"/>
        </w:rPr>
        <w:t xml:space="preserve">Mr. Blake’s </w:t>
      </w:r>
      <w:r w:rsidRPr="00885D64">
        <w:rPr>
          <w:rFonts w:ascii="Times New Roman" w:eastAsia="Times New Roman" w:hAnsi="Times New Roman" w:cs="Times New Roman"/>
          <w:color w:val="000000"/>
          <w:kern w:val="0"/>
          <w:sz w:val="28"/>
          <w:szCs w:val="28"/>
          <w14:ligatures w14:val="none"/>
        </w:rPr>
        <w:t>shooter</w:t>
      </w:r>
      <w:r w:rsidR="002C389C">
        <w:rPr>
          <w:rFonts w:ascii="Times New Roman" w:eastAsia="Times New Roman" w:hAnsi="Times New Roman" w:cs="Times New Roman"/>
          <w:color w:val="000000"/>
          <w:kern w:val="0"/>
          <w:sz w:val="28"/>
          <w:szCs w:val="28"/>
          <w14:ligatures w14:val="none"/>
        </w:rPr>
        <w:t xml:space="preserve"> was identified</w:t>
      </w:r>
      <w:r w:rsidRPr="00885D64">
        <w:rPr>
          <w:rFonts w:ascii="Times New Roman" w:eastAsia="Times New Roman" w:hAnsi="Times New Roman" w:cs="Times New Roman"/>
          <w:color w:val="000000"/>
          <w:kern w:val="0"/>
          <w:sz w:val="28"/>
          <w:szCs w:val="28"/>
          <w14:ligatures w14:val="none"/>
        </w:rPr>
        <w:t xml:space="preserve"> </w:t>
      </w:r>
      <w:r w:rsidR="002C389C">
        <w:rPr>
          <w:rFonts w:ascii="Times New Roman" w:eastAsia="Times New Roman" w:hAnsi="Times New Roman" w:cs="Times New Roman"/>
          <w:color w:val="000000"/>
          <w:kern w:val="0"/>
          <w:sz w:val="28"/>
          <w:szCs w:val="28"/>
          <w14:ligatures w14:val="none"/>
        </w:rPr>
        <w:t>and arrested</w:t>
      </w:r>
      <w:r w:rsidRPr="00885D64">
        <w:rPr>
          <w:rFonts w:ascii="Times New Roman" w:eastAsia="Times New Roman" w:hAnsi="Times New Roman" w:cs="Times New Roman"/>
          <w:color w:val="000000"/>
          <w:kern w:val="0"/>
          <w:sz w:val="28"/>
          <w:szCs w:val="28"/>
          <w14:ligatures w14:val="none"/>
        </w:rPr>
        <w:t xml:space="preserve">. Id. at 258-268. A warrant for the shooter’s bank records revealed a check drawn from Emerald Coast Consulting’s business account and signed by Saint Donovan.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The shooter </w:t>
      </w:r>
      <w:r w:rsidR="000F0426">
        <w:rPr>
          <w:rFonts w:ascii="Times New Roman" w:eastAsia="Times New Roman" w:hAnsi="Times New Roman" w:cs="Times New Roman"/>
          <w:color w:val="000000"/>
          <w:kern w:val="0"/>
          <w:sz w:val="28"/>
          <w:szCs w:val="28"/>
          <w14:ligatures w14:val="none"/>
        </w:rPr>
        <w:t xml:space="preserve">claimed </w:t>
      </w:r>
      <w:r w:rsidRPr="00885D64">
        <w:rPr>
          <w:rFonts w:ascii="Times New Roman" w:eastAsia="Times New Roman" w:hAnsi="Times New Roman" w:cs="Times New Roman"/>
          <w:color w:val="000000"/>
          <w:kern w:val="0"/>
          <w:sz w:val="28"/>
          <w:szCs w:val="28"/>
          <w14:ligatures w14:val="none"/>
        </w:rPr>
        <w:t xml:space="preserve">that Saint Donovan had hired him to kill Daniel Blake.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at 273-277. On January 26, 2024, Saint Donovan was arrested for homicide.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A warrant for Mr. Donovan’s bank records revealed large monthly sums paid from Emerald Coast Consulting to its principal payees.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at 310-314. </w:t>
      </w:r>
    </w:p>
    <w:p w14:paraId="5072262C" w14:textId="7B629FE0"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The investigative team traced </w:t>
      </w:r>
      <w:r w:rsidR="000F0426">
        <w:rPr>
          <w:rFonts w:ascii="Times New Roman" w:eastAsia="Times New Roman" w:hAnsi="Times New Roman" w:cs="Times New Roman"/>
          <w:color w:val="000000"/>
          <w:kern w:val="0"/>
          <w:sz w:val="28"/>
          <w:szCs w:val="28"/>
          <w14:ligatures w14:val="none"/>
        </w:rPr>
        <w:t>three</w:t>
      </w:r>
      <w:r w:rsidRPr="00885D64">
        <w:rPr>
          <w:rFonts w:ascii="Times New Roman" w:eastAsia="Times New Roman" w:hAnsi="Times New Roman" w:cs="Times New Roman"/>
          <w:color w:val="000000"/>
          <w:kern w:val="0"/>
          <w:sz w:val="28"/>
          <w:szCs w:val="28"/>
          <w14:ligatures w14:val="none"/>
        </w:rPr>
        <w:t xml:space="preserve"> of the principal payees back to their true owners. </w:t>
      </w:r>
      <w:r w:rsidR="00697306">
        <w:rPr>
          <w:rFonts w:ascii="Times New Roman" w:eastAsia="Times New Roman" w:hAnsi="Times New Roman" w:cs="Times New Roman"/>
          <w:color w:val="000000"/>
          <w:kern w:val="0"/>
          <w:sz w:val="28"/>
          <w:szCs w:val="28"/>
          <w14:ligatures w14:val="none"/>
        </w:rPr>
        <w:t>The team was unable to identify t</w:t>
      </w:r>
      <w:r w:rsidRPr="00885D64">
        <w:rPr>
          <w:rFonts w:ascii="Times New Roman" w:eastAsia="Times New Roman" w:hAnsi="Times New Roman" w:cs="Times New Roman"/>
          <w:color w:val="000000"/>
          <w:kern w:val="0"/>
          <w:sz w:val="28"/>
          <w:szCs w:val="28"/>
          <w14:ligatures w14:val="none"/>
        </w:rPr>
        <w:t xml:space="preserve">he owner of the remaining principal </w:t>
      </w:r>
      <w:r w:rsidRPr="00885D64">
        <w:rPr>
          <w:rFonts w:ascii="Times New Roman" w:eastAsia="Times New Roman" w:hAnsi="Times New Roman" w:cs="Times New Roman"/>
          <w:color w:val="000000"/>
          <w:kern w:val="0"/>
          <w:sz w:val="28"/>
          <w:szCs w:val="28"/>
          <w14:ligatures w14:val="none"/>
        </w:rPr>
        <w:lastRenderedPageBreak/>
        <w:t xml:space="preserve">payee - Coastal Event Solutions (hereinafter, “Coastal”), though </w:t>
      </w:r>
      <w:r w:rsidR="00697306">
        <w:rPr>
          <w:rFonts w:ascii="Times New Roman" w:eastAsia="Times New Roman" w:hAnsi="Times New Roman" w:cs="Times New Roman"/>
          <w:color w:val="000000"/>
          <w:kern w:val="0"/>
          <w:sz w:val="28"/>
          <w:szCs w:val="28"/>
          <w14:ligatures w14:val="none"/>
        </w:rPr>
        <w:t xml:space="preserve">they found that </w:t>
      </w:r>
      <w:r w:rsidRPr="00885D64">
        <w:rPr>
          <w:rFonts w:ascii="Times New Roman" w:eastAsia="Times New Roman" w:hAnsi="Times New Roman" w:cs="Times New Roman"/>
          <w:color w:val="000000"/>
          <w:kern w:val="0"/>
          <w:sz w:val="28"/>
          <w:szCs w:val="28"/>
          <w14:ligatures w14:val="none"/>
        </w:rPr>
        <w:t xml:space="preserve">Coastal was linked to an account in the Cayman Islands.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at 347-351. The investigative team identified some “legitimate” money coming in and out of the Coastal account, but believed there were some fraudulent </w:t>
      </w:r>
      <w:r w:rsidR="00263283">
        <w:rPr>
          <w:rFonts w:ascii="Times New Roman" w:eastAsia="Times New Roman" w:hAnsi="Times New Roman" w:cs="Times New Roman"/>
          <w:color w:val="000000"/>
          <w:kern w:val="0"/>
          <w:sz w:val="28"/>
          <w:szCs w:val="28"/>
          <w14:ligatures w14:val="none"/>
        </w:rPr>
        <w:t>money</w:t>
      </w:r>
      <w:r w:rsidRPr="00885D64">
        <w:rPr>
          <w:rFonts w:ascii="Times New Roman" w:eastAsia="Times New Roman" w:hAnsi="Times New Roman" w:cs="Times New Roman"/>
          <w:color w:val="000000"/>
          <w:kern w:val="0"/>
          <w:sz w:val="28"/>
          <w:szCs w:val="28"/>
          <w14:ligatures w14:val="none"/>
        </w:rPr>
        <w:t xml:space="preserve"> as well.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w:t>
      </w:r>
    </w:p>
    <w:p w14:paraId="462F491D" w14:textId="52F27C35"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By the summer of 2024, the investigative team</w:t>
      </w:r>
      <w:r w:rsidR="007D1AF8">
        <w:rPr>
          <w:rFonts w:ascii="Times New Roman" w:eastAsia="Times New Roman" w:hAnsi="Times New Roman" w:cs="Times New Roman"/>
          <w:color w:val="000000"/>
          <w:kern w:val="0"/>
          <w:sz w:val="28"/>
          <w:szCs w:val="28"/>
          <w14:ligatures w14:val="none"/>
        </w:rPr>
        <w:t xml:space="preserve"> </w:t>
      </w:r>
      <w:r w:rsidR="00E67EBD">
        <w:rPr>
          <w:rFonts w:ascii="Times New Roman" w:eastAsia="Times New Roman" w:hAnsi="Times New Roman" w:cs="Times New Roman"/>
          <w:color w:val="000000"/>
          <w:kern w:val="0"/>
          <w:sz w:val="28"/>
          <w:szCs w:val="28"/>
          <w14:ligatures w14:val="none"/>
        </w:rPr>
        <w:t xml:space="preserve">sought to charge Mr. Donovan </w:t>
      </w:r>
      <w:r w:rsidR="00AB73A5">
        <w:rPr>
          <w:rFonts w:ascii="Times New Roman" w:eastAsia="Times New Roman" w:hAnsi="Times New Roman" w:cs="Times New Roman"/>
          <w:color w:val="000000"/>
          <w:kern w:val="0"/>
          <w:sz w:val="28"/>
          <w:szCs w:val="28"/>
          <w14:ligatures w14:val="none"/>
        </w:rPr>
        <w:t xml:space="preserve">for money laundering, but </w:t>
      </w:r>
      <w:r w:rsidR="00505446">
        <w:rPr>
          <w:rFonts w:ascii="Times New Roman" w:eastAsia="Times New Roman" w:hAnsi="Times New Roman" w:cs="Times New Roman"/>
          <w:color w:val="000000"/>
          <w:kern w:val="0"/>
          <w:sz w:val="28"/>
          <w:szCs w:val="28"/>
          <w14:ligatures w14:val="none"/>
        </w:rPr>
        <w:t xml:space="preserve">needed additional </w:t>
      </w:r>
      <w:r w:rsidR="00BA0F25">
        <w:rPr>
          <w:rFonts w:ascii="Times New Roman" w:eastAsia="Times New Roman" w:hAnsi="Times New Roman" w:cs="Times New Roman"/>
          <w:color w:val="000000"/>
          <w:kern w:val="0"/>
          <w:sz w:val="28"/>
          <w:szCs w:val="28"/>
          <w14:ligatures w14:val="none"/>
        </w:rPr>
        <w:t>evidence to bring the charge to trial</w:t>
      </w:r>
      <w:r w:rsidRPr="00885D64">
        <w:rPr>
          <w:rFonts w:ascii="Times New Roman" w:eastAsia="Times New Roman" w:hAnsi="Times New Roman" w:cs="Times New Roman"/>
          <w:color w:val="000000"/>
          <w:kern w:val="0"/>
          <w:sz w:val="28"/>
          <w:szCs w:val="28"/>
          <w14:ligatures w14:val="none"/>
        </w:rPr>
        <w:t xml:space="preserve">.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at 513-526. The investigative team</w:t>
      </w:r>
      <w:r w:rsidR="00BA0F25">
        <w:rPr>
          <w:rFonts w:ascii="Times New Roman" w:eastAsia="Times New Roman" w:hAnsi="Times New Roman" w:cs="Times New Roman"/>
          <w:color w:val="000000"/>
          <w:kern w:val="0"/>
          <w:sz w:val="28"/>
          <w:szCs w:val="28"/>
          <w14:ligatures w14:val="none"/>
        </w:rPr>
        <w:t xml:space="preserve"> </w:t>
      </w:r>
      <w:r w:rsidRPr="00885D64">
        <w:rPr>
          <w:rFonts w:ascii="Times New Roman" w:eastAsia="Times New Roman" w:hAnsi="Times New Roman" w:cs="Times New Roman"/>
          <w:color w:val="000000"/>
          <w:kern w:val="0"/>
          <w:sz w:val="28"/>
          <w:szCs w:val="28"/>
          <w14:ligatures w14:val="none"/>
        </w:rPr>
        <w:t xml:space="preserve">decided to compel Ms. Calloway’s testimony in Mr. Donovan’s case.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at 528-546. </w:t>
      </w:r>
      <w:r w:rsidR="00BA0F25">
        <w:rPr>
          <w:rFonts w:ascii="Times New Roman" w:eastAsia="Times New Roman" w:hAnsi="Times New Roman" w:cs="Times New Roman"/>
          <w:color w:val="000000"/>
          <w:kern w:val="0"/>
          <w:sz w:val="28"/>
          <w:szCs w:val="28"/>
          <w14:ligatures w14:val="none"/>
        </w:rPr>
        <w:t>The t</w:t>
      </w:r>
      <w:r w:rsidR="00FA2C04">
        <w:rPr>
          <w:rFonts w:ascii="Times New Roman" w:eastAsia="Times New Roman" w:hAnsi="Times New Roman" w:cs="Times New Roman"/>
          <w:color w:val="000000"/>
          <w:kern w:val="0"/>
          <w:sz w:val="28"/>
          <w:szCs w:val="28"/>
          <w14:ligatures w14:val="none"/>
        </w:rPr>
        <w:t xml:space="preserve">eam sought to elicit </w:t>
      </w:r>
      <w:r w:rsidR="006A6544">
        <w:rPr>
          <w:rFonts w:ascii="Times New Roman" w:eastAsia="Times New Roman" w:hAnsi="Times New Roman" w:cs="Times New Roman"/>
          <w:color w:val="000000"/>
          <w:kern w:val="0"/>
          <w:sz w:val="28"/>
          <w:szCs w:val="28"/>
          <w14:ligatures w14:val="none"/>
        </w:rPr>
        <w:t xml:space="preserve">key information </w:t>
      </w:r>
      <w:r w:rsidR="00856A3E">
        <w:rPr>
          <w:rFonts w:ascii="Times New Roman" w:eastAsia="Times New Roman" w:hAnsi="Times New Roman" w:cs="Times New Roman"/>
          <w:color w:val="000000"/>
          <w:kern w:val="0"/>
          <w:sz w:val="28"/>
          <w:szCs w:val="28"/>
          <w14:ligatures w14:val="none"/>
        </w:rPr>
        <w:t xml:space="preserve">pertaining to </w:t>
      </w:r>
      <w:r w:rsidR="007C5FBF">
        <w:rPr>
          <w:rFonts w:ascii="Times New Roman" w:eastAsia="Times New Roman" w:hAnsi="Times New Roman" w:cs="Times New Roman"/>
          <w:color w:val="000000"/>
          <w:kern w:val="0"/>
          <w:sz w:val="28"/>
          <w:szCs w:val="28"/>
          <w14:ligatures w14:val="none"/>
        </w:rPr>
        <w:t xml:space="preserve">Mr. Donovan’s financial crimes, which the team could not </w:t>
      </w:r>
      <w:r w:rsidR="00D75429">
        <w:rPr>
          <w:rFonts w:ascii="Times New Roman" w:eastAsia="Times New Roman" w:hAnsi="Times New Roman" w:cs="Times New Roman"/>
          <w:color w:val="000000"/>
          <w:kern w:val="0"/>
          <w:sz w:val="28"/>
          <w:szCs w:val="28"/>
          <w14:ligatures w14:val="none"/>
        </w:rPr>
        <w:t>get from any witness other than Ms. Calloway</w:t>
      </w:r>
      <w:r w:rsidRPr="00885D64">
        <w:rPr>
          <w:rFonts w:ascii="Times New Roman" w:eastAsia="Times New Roman" w:hAnsi="Times New Roman" w:cs="Times New Roman"/>
          <w:color w:val="000000"/>
          <w:kern w:val="0"/>
          <w:sz w:val="28"/>
          <w:szCs w:val="28"/>
          <w14:ligatures w14:val="none"/>
        </w:rPr>
        <w:t xml:space="preserve">.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The government </w:t>
      </w:r>
      <w:r w:rsidR="00EB6443">
        <w:rPr>
          <w:rFonts w:ascii="Times New Roman" w:eastAsia="Times New Roman" w:hAnsi="Times New Roman" w:cs="Times New Roman"/>
          <w:color w:val="000000"/>
          <w:kern w:val="0"/>
          <w:sz w:val="28"/>
          <w:szCs w:val="28"/>
          <w14:ligatures w14:val="none"/>
        </w:rPr>
        <w:t xml:space="preserve">understood that </w:t>
      </w:r>
      <w:proofErr w:type="spellStart"/>
      <w:r w:rsidRPr="00885D64">
        <w:rPr>
          <w:rFonts w:ascii="Times New Roman" w:eastAsia="Times New Roman" w:hAnsi="Times New Roman" w:cs="Times New Roman"/>
          <w:color w:val="000000"/>
          <w:kern w:val="0"/>
          <w:sz w:val="28"/>
          <w:szCs w:val="28"/>
          <w14:ligatures w14:val="none"/>
        </w:rPr>
        <w:t>hey</w:t>
      </w:r>
      <w:proofErr w:type="spellEnd"/>
      <w:r w:rsidRPr="00885D64">
        <w:rPr>
          <w:rFonts w:ascii="Times New Roman" w:eastAsia="Times New Roman" w:hAnsi="Times New Roman" w:cs="Times New Roman"/>
          <w:color w:val="000000"/>
          <w:kern w:val="0"/>
          <w:sz w:val="28"/>
          <w:szCs w:val="28"/>
          <w14:ligatures w14:val="none"/>
        </w:rPr>
        <w:t xml:space="preserve"> had to </w:t>
      </w:r>
      <w:r w:rsidR="00AA3128">
        <w:rPr>
          <w:rFonts w:ascii="Times New Roman" w:eastAsia="Times New Roman" w:hAnsi="Times New Roman" w:cs="Times New Roman"/>
          <w:color w:val="000000"/>
          <w:kern w:val="0"/>
          <w:sz w:val="28"/>
          <w:szCs w:val="28"/>
          <w14:ligatures w14:val="none"/>
        </w:rPr>
        <w:t>grant</w:t>
      </w:r>
      <w:r w:rsidRPr="00885D64">
        <w:rPr>
          <w:rFonts w:ascii="Times New Roman" w:eastAsia="Times New Roman" w:hAnsi="Times New Roman" w:cs="Times New Roman"/>
          <w:color w:val="000000"/>
          <w:kern w:val="0"/>
          <w:sz w:val="28"/>
          <w:szCs w:val="28"/>
          <w14:ligatures w14:val="none"/>
        </w:rPr>
        <w:t xml:space="preserve"> Ms. Calloway “use and derivative use” immunity under 18 USC Sections 6002 and 6003.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w:t>
      </w:r>
    </w:p>
    <w:p w14:paraId="1F14C34A" w14:textId="78D3B818"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On August 23, 2024, the investigative team split.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at 547-552. Team Donovan handled Ms. Calloway’s immunized testimony and the prosecution of Saint Donovan.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Team Calloway was walled off from the immunized testimony but proceeded to investigate Ms. Calloway.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Ms. Calloway testified in </w:t>
      </w:r>
      <w:r w:rsidRPr="00925799">
        <w:rPr>
          <w:rFonts w:ascii="Times New Roman" w:eastAsia="Times New Roman" w:hAnsi="Times New Roman" w:cs="Times New Roman"/>
          <w:i/>
          <w:iCs/>
          <w:color w:val="000000"/>
          <w:kern w:val="0"/>
          <w:sz w:val="28"/>
          <w:szCs w:val="28"/>
          <w14:ligatures w14:val="none"/>
        </w:rPr>
        <w:t>United States v. Saint Donovan</w:t>
      </w:r>
      <w:r w:rsidRPr="00885D64">
        <w:rPr>
          <w:rFonts w:ascii="Times New Roman" w:eastAsia="Times New Roman" w:hAnsi="Times New Roman" w:cs="Times New Roman"/>
          <w:color w:val="000000"/>
          <w:kern w:val="0"/>
          <w:sz w:val="28"/>
          <w:szCs w:val="28"/>
          <w14:ligatures w14:val="none"/>
        </w:rPr>
        <w:t xml:space="preserve"> on October 10, 2024. </w:t>
      </w:r>
    </w:p>
    <w:p w14:paraId="29E1A0C5" w14:textId="66B84995" w:rsidR="00885D64" w:rsidRPr="00885D64" w:rsidRDefault="00885D64" w:rsidP="264A300B">
      <w:pPr>
        <w:spacing w:after="0" w:line="480" w:lineRule="auto"/>
        <w:ind w:firstLine="720"/>
        <w:rPr>
          <w:rFonts w:ascii="Times New Roman" w:eastAsia="Times New Roman" w:hAnsi="Times New Roman" w:cs="Times New Roman"/>
          <w:color w:val="000000" w:themeColor="text1"/>
          <w:kern w:val="0"/>
          <w:sz w:val="28"/>
          <w:szCs w:val="28"/>
          <w14:ligatures w14:val="none"/>
        </w:rPr>
      </w:pPr>
      <w:r w:rsidRPr="264A300B">
        <w:rPr>
          <w:rFonts w:ascii="Times New Roman" w:eastAsia="Times New Roman" w:hAnsi="Times New Roman" w:cs="Times New Roman"/>
          <w:color w:val="000000" w:themeColor="text1"/>
          <w:sz w:val="28"/>
          <w:szCs w:val="28"/>
        </w:rPr>
        <w:t xml:space="preserve">On October 31, 2024, Team Calloway spoke with Silver Palms employee Kennedy Parker. Prior to that date, the government had been aware of Ms. Parker, and had identified her as a potential witness, but had never spoken to her. </w:t>
      </w:r>
      <w:r w:rsidRPr="264A300B">
        <w:rPr>
          <w:rFonts w:ascii="Times New Roman" w:eastAsia="Times New Roman" w:hAnsi="Times New Roman" w:cs="Times New Roman"/>
          <w:i/>
          <w:iCs/>
          <w:color w:val="000000" w:themeColor="text1"/>
          <w:sz w:val="28"/>
          <w:szCs w:val="28"/>
        </w:rPr>
        <w:t xml:space="preserve">See </w:t>
      </w:r>
      <w:r w:rsidRPr="264A300B">
        <w:rPr>
          <w:rFonts w:ascii="Times New Roman" w:eastAsia="Times New Roman" w:hAnsi="Times New Roman" w:cs="Times New Roman"/>
          <w:color w:val="000000" w:themeColor="text1"/>
          <w:sz w:val="28"/>
          <w:szCs w:val="28"/>
        </w:rPr>
        <w:lastRenderedPageBreak/>
        <w:t xml:space="preserve">Exhibit 17; </w:t>
      </w:r>
      <w:r w:rsidRPr="264A300B">
        <w:rPr>
          <w:rFonts w:ascii="Times New Roman" w:eastAsia="Times New Roman" w:hAnsi="Times New Roman" w:cs="Times New Roman"/>
          <w:i/>
          <w:iCs/>
          <w:color w:val="000000" w:themeColor="text1"/>
          <w:sz w:val="28"/>
          <w:szCs w:val="28"/>
        </w:rPr>
        <w:t>Case File</w:t>
      </w:r>
      <w:r w:rsidRPr="264A300B">
        <w:rPr>
          <w:rFonts w:ascii="Times New Roman" w:eastAsia="Times New Roman" w:hAnsi="Times New Roman" w:cs="Times New Roman"/>
          <w:color w:val="000000" w:themeColor="text1"/>
          <w:sz w:val="28"/>
          <w:szCs w:val="28"/>
        </w:rPr>
        <w:t xml:space="preserve"> 4. Information provided by Ms. Parker led Team Calloway to discovering a storage unit with a box full of papers, and specifically to one of those papers which identified Ms. Calloway as the Ultimate Beneficial Owner of the Cayman Islands account the government had previously linked to Coastal. </w:t>
      </w:r>
      <w:r w:rsidRPr="264A300B">
        <w:rPr>
          <w:rFonts w:ascii="Times New Roman" w:eastAsia="Times New Roman" w:hAnsi="Times New Roman" w:cs="Times New Roman"/>
          <w:i/>
          <w:iCs/>
          <w:color w:val="000000" w:themeColor="text1"/>
          <w:sz w:val="28"/>
          <w:szCs w:val="28"/>
        </w:rPr>
        <w:t xml:space="preserve">See </w:t>
      </w:r>
      <w:r w:rsidRPr="264A300B">
        <w:rPr>
          <w:rFonts w:ascii="Times New Roman" w:eastAsia="Times New Roman" w:hAnsi="Times New Roman" w:cs="Times New Roman"/>
          <w:color w:val="000000" w:themeColor="text1"/>
          <w:sz w:val="28"/>
          <w:szCs w:val="28"/>
        </w:rPr>
        <w:t>Exhibit 19. </w:t>
      </w:r>
    </w:p>
    <w:p w14:paraId="36D62BDD" w14:textId="77777777" w:rsidR="00885D64" w:rsidRPr="00885D64" w:rsidRDefault="00885D64" w:rsidP="00885D64">
      <w:pPr>
        <w:spacing w:after="0" w:line="480" w:lineRule="auto"/>
        <w:ind w:left="2880"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b/>
          <w:bCs/>
          <w:color w:val="000000"/>
          <w:kern w:val="0"/>
          <w:sz w:val="28"/>
          <w:szCs w:val="28"/>
          <w14:ligatures w14:val="none"/>
        </w:rPr>
        <w:t>ARGUMENT</w:t>
      </w:r>
      <w:r w:rsidRPr="00885D64">
        <w:rPr>
          <w:rFonts w:ascii="Arial" w:eastAsia="Times New Roman" w:hAnsi="Arial" w:cs="Arial"/>
          <w:color w:val="000000"/>
          <w:kern w:val="0"/>
          <w:sz w:val="22"/>
          <w:szCs w:val="22"/>
          <w14:ligatures w14:val="none"/>
        </w:rPr>
        <w:t> </w:t>
      </w:r>
    </w:p>
    <w:p w14:paraId="5BFCF063" w14:textId="3AAA295D" w:rsidR="00885D64" w:rsidRPr="00D65A25" w:rsidRDefault="00FE16FB" w:rsidP="264A300B">
      <w:pPr>
        <w:pStyle w:val="ListParagraph"/>
        <w:numPr>
          <w:ilvl w:val="0"/>
          <w:numId w:val="1"/>
        </w:numPr>
        <w:spacing w:before="360" w:after="120" w:line="240" w:lineRule="auto"/>
        <w:textAlignment w:val="baseline"/>
        <w:outlineLvl w:val="1"/>
        <w:rPr>
          <w:rFonts w:ascii="Times New Roman" w:eastAsia="Times New Roman" w:hAnsi="Times New Roman" w:cs="Times New Roman"/>
          <w:b/>
          <w:bCs/>
          <w:color w:val="000000"/>
          <w:kern w:val="0"/>
          <w:sz w:val="27"/>
          <w:szCs w:val="27"/>
          <w14:ligatures w14:val="none"/>
        </w:rPr>
      </w:pPr>
      <w:r>
        <w:rPr>
          <w:rFonts w:ascii="Times New Roman" w:eastAsia="Times New Roman" w:hAnsi="Times New Roman" w:cs="Times New Roman"/>
          <w:b/>
          <w:bCs/>
          <w:color w:val="000000"/>
          <w:kern w:val="0"/>
          <w:sz w:val="28"/>
          <w:szCs w:val="28"/>
          <w:u w:val="single"/>
          <w14:ligatures w14:val="none"/>
        </w:rPr>
        <w:t xml:space="preserve"> </w:t>
      </w:r>
      <w:r w:rsidR="00885D64" w:rsidRPr="264A300B">
        <w:rPr>
          <w:rFonts w:ascii="Times New Roman" w:eastAsia="Times New Roman" w:hAnsi="Times New Roman" w:cs="Times New Roman"/>
          <w:b/>
          <w:bCs/>
          <w:color w:val="000000" w:themeColor="text1"/>
          <w:sz w:val="28"/>
          <w:szCs w:val="28"/>
          <w:u w:val="single"/>
        </w:rPr>
        <w:t>The court must grant Defendant’s Motion to Suppress Evidence Obtained in Violation of a Court Order </w:t>
      </w:r>
    </w:p>
    <w:p w14:paraId="2A5284AA" w14:textId="3301565C" w:rsidR="00885D64" w:rsidRPr="00D65A25" w:rsidRDefault="00885D64" w:rsidP="264A300B">
      <w:pPr>
        <w:pStyle w:val="ListParagraph"/>
        <w:spacing w:before="360" w:after="120" w:line="240" w:lineRule="auto"/>
        <w:textAlignment w:val="baseline"/>
        <w:outlineLvl w:val="1"/>
        <w:rPr>
          <w:rFonts w:ascii="Times New Roman" w:eastAsia="Times New Roman" w:hAnsi="Times New Roman" w:cs="Times New Roman"/>
          <w:b/>
          <w:bCs/>
          <w:color w:val="000000"/>
          <w:kern w:val="0"/>
          <w:sz w:val="27"/>
          <w:szCs w:val="27"/>
          <w14:ligatures w14:val="none"/>
        </w:rPr>
      </w:pPr>
    </w:p>
    <w:p w14:paraId="54F7C701" w14:textId="6C1923DA" w:rsidR="00885D64" w:rsidRPr="00D65A25" w:rsidRDefault="00885D64" w:rsidP="264A300B">
      <w:pPr>
        <w:pStyle w:val="ListParagraph"/>
        <w:numPr>
          <w:ilvl w:val="1"/>
          <w:numId w:val="1"/>
        </w:numPr>
        <w:spacing w:before="360" w:after="120" w:line="240" w:lineRule="auto"/>
        <w:textAlignment w:val="baseline"/>
        <w:outlineLvl w:val="1"/>
        <w:rPr>
          <w:rFonts w:ascii="Times New Roman" w:eastAsia="Times New Roman" w:hAnsi="Times New Roman" w:cs="Times New Roman"/>
          <w:b/>
          <w:bCs/>
          <w:color w:val="000000"/>
          <w:kern w:val="0"/>
          <w:sz w:val="27"/>
          <w:szCs w:val="27"/>
          <w14:ligatures w14:val="none"/>
        </w:rPr>
      </w:pPr>
      <w:r w:rsidRPr="264A300B">
        <w:rPr>
          <w:rFonts w:ascii="Times New Roman" w:eastAsia="Times New Roman" w:hAnsi="Times New Roman" w:cs="Times New Roman"/>
          <w:b/>
          <w:bCs/>
          <w:color w:val="000000" w:themeColor="text1"/>
          <w:sz w:val="28"/>
          <w:szCs w:val="28"/>
        </w:rPr>
        <w:t>The Government must affirmatively prove a wholly independent source for each challenged item, and it must account for every step of the chain that produced it.</w:t>
      </w:r>
    </w:p>
    <w:p w14:paraId="409A492E"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79F63F0D" w14:textId="02DDDF6B"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Ms. Calloway testified under a grant of </w:t>
      </w:r>
      <w:r>
        <w:rPr>
          <w:rFonts w:ascii="Times New Roman" w:eastAsia="Times New Roman" w:hAnsi="Times New Roman" w:cs="Times New Roman"/>
          <w:color w:val="000000"/>
          <w:kern w:val="0"/>
          <w:sz w:val="28"/>
          <w:szCs w:val="28"/>
          <w14:ligatures w14:val="none"/>
        </w:rPr>
        <w:t>“</w:t>
      </w:r>
      <w:r w:rsidRPr="00885D64">
        <w:rPr>
          <w:rFonts w:ascii="Times New Roman" w:eastAsia="Times New Roman" w:hAnsi="Times New Roman" w:cs="Times New Roman"/>
          <w:color w:val="000000"/>
          <w:kern w:val="0"/>
          <w:sz w:val="28"/>
          <w:szCs w:val="28"/>
          <w14:ligatures w14:val="none"/>
        </w:rPr>
        <w:t>use and derivative-use immunity</w:t>
      </w:r>
      <w:r w:rsidR="00D95D60">
        <w:rPr>
          <w:rFonts w:ascii="Times New Roman" w:eastAsia="Times New Roman" w:hAnsi="Times New Roman" w:cs="Times New Roman"/>
          <w:color w:val="000000"/>
          <w:kern w:val="0"/>
          <w:sz w:val="28"/>
          <w:szCs w:val="28"/>
          <w14:ligatures w14:val="none"/>
        </w:rPr>
        <w:t>,</w:t>
      </w:r>
      <w:r>
        <w:rPr>
          <w:rFonts w:ascii="Times New Roman" w:eastAsia="Times New Roman" w:hAnsi="Times New Roman" w:cs="Times New Roman"/>
          <w:color w:val="000000"/>
          <w:kern w:val="0"/>
          <w:sz w:val="28"/>
          <w:szCs w:val="28"/>
          <w14:ligatures w14:val="none"/>
        </w:rPr>
        <w:t>”</w:t>
      </w:r>
      <w:r w:rsidRPr="00885D64" w:rsidDel="00885D64">
        <w:rPr>
          <w:rFonts w:ascii="Times New Roman" w:eastAsia="Times New Roman" w:hAnsi="Times New Roman" w:cs="Times New Roman"/>
          <w:color w:val="000000"/>
          <w:kern w:val="0"/>
          <w:sz w:val="28"/>
          <w:szCs w:val="28"/>
          <w14:ligatures w14:val="none"/>
        </w:rPr>
        <w:t xml:space="preserve"> which </w:t>
      </w:r>
      <w:r w:rsidRPr="264A300B">
        <w:rPr>
          <w:rFonts w:ascii="Times New Roman" w:eastAsia="Times New Roman" w:hAnsi="Times New Roman" w:cs="Times New Roman"/>
          <w:color w:val="000000" w:themeColor="text1"/>
          <w:sz w:val="28"/>
          <w:szCs w:val="28"/>
        </w:rPr>
        <w:t xml:space="preserve">does not completely bar later criminal prosecution of the immunized individual, but “imposes an affirmative duty on the prosecution, not merely to show that its evidence is not tainted by the prior testimony, but ‘to prove that the evidence it proposes to use is derived from a legitimate source wholly independent of the compelled testimony.’” </w:t>
      </w:r>
      <w:r w:rsidRPr="264A300B">
        <w:rPr>
          <w:rFonts w:ascii="Times New Roman" w:eastAsia="Times New Roman" w:hAnsi="Times New Roman" w:cs="Times New Roman"/>
          <w:i/>
          <w:iCs/>
          <w:color w:val="000000" w:themeColor="text1"/>
          <w:sz w:val="28"/>
          <w:szCs w:val="28"/>
        </w:rPr>
        <w:t>United States v. Hubbell</w:t>
      </w:r>
      <w:r w:rsidRPr="264A300B">
        <w:rPr>
          <w:rFonts w:ascii="Times New Roman" w:eastAsia="Times New Roman" w:hAnsi="Times New Roman" w:cs="Times New Roman"/>
          <w:color w:val="000000" w:themeColor="text1"/>
          <w:sz w:val="28"/>
          <w:szCs w:val="28"/>
        </w:rPr>
        <w:t>, 530 U.S. 27, 40 (2000)</w:t>
      </w:r>
      <w:r w:rsidRPr="264A300B">
        <w:rPr>
          <w:rFonts w:ascii="Times New Roman" w:eastAsia="Times New Roman" w:hAnsi="Times New Roman" w:cs="Times New Roman"/>
          <w:color w:val="000000" w:themeColor="text1"/>
          <w:sz w:val="28"/>
          <w:szCs w:val="28"/>
        </w:rPr>
        <w:fldChar w:fldCharType="begin"/>
      </w:r>
      <w:r>
        <w:instrText xml:space="preserve"> TA \l "</w:instrText>
      </w:r>
      <w:r w:rsidR="008F716A" w:rsidRPr="264A300B">
        <w:rPr>
          <w:rFonts w:ascii="Times New Roman" w:eastAsia="Times New Roman" w:hAnsi="Times New Roman" w:cs="Times New Roman"/>
          <w:i/>
          <w:iCs/>
          <w:color w:val="000000"/>
          <w:kern w:val="0"/>
          <w:sz w:val="28"/>
          <w:szCs w:val="28"/>
          <w14:ligatures w14:val="none"/>
        </w:rPr>
        <w:instrText>United States v. Hubbell</w:instrText>
      </w:r>
      <w:r w:rsidR="008F716A" w:rsidRPr="005B4FF6">
        <w:rPr>
          <w:rFonts w:ascii="Times New Roman" w:eastAsia="Times New Roman" w:hAnsi="Times New Roman" w:cs="Times New Roman"/>
          <w:color w:val="000000"/>
          <w:kern w:val="0"/>
          <w:sz w:val="28"/>
          <w:szCs w:val="28"/>
          <w14:ligatures w14:val="none"/>
        </w:rPr>
        <w:instrText>, 530 U.S. 27, 40 (2000)</w:instrText>
      </w:r>
      <w:r>
        <w:instrText xml:space="preserve">" \s "United States v. Hubbell, 530 U.S. 27 (2000)" \c 1 </w:instrText>
      </w:r>
      <w:r w:rsidRPr="264A300B">
        <w:rPr>
          <w:rFonts w:ascii="Times New Roman" w:eastAsia="Times New Roman" w:hAnsi="Times New Roman" w:cs="Times New Roman"/>
          <w:color w:val="000000" w:themeColor="text1"/>
          <w:sz w:val="28"/>
          <w:szCs w:val="28"/>
        </w:rPr>
        <w:fldChar w:fldCharType="end"/>
      </w:r>
      <w:r w:rsidRPr="264A300B">
        <w:rPr>
          <w:rFonts w:ascii="Times New Roman" w:eastAsia="Times New Roman" w:hAnsi="Times New Roman" w:cs="Times New Roman"/>
          <w:color w:val="000000" w:themeColor="text1"/>
          <w:sz w:val="28"/>
          <w:szCs w:val="28"/>
        </w:rPr>
        <w:t xml:space="preserve"> (quoting </w:t>
      </w:r>
      <w:r w:rsidRPr="264A300B">
        <w:rPr>
          <w:rFonts w:ascii="Times New Roman" w:eastAsia="Times New Roman" w:hAnsi="Times New Roman" w:cs="Times New Roman"/>
          <w:i/>
          <w:iCs/>
          <w:color w:val="000000" w:themeColor="text1"/>
          <w:sz w:val="28"/>
          <w:szCs w:val="28"/>
        </w:rPr>
        <w:t>Kastigar v. United States</w:t>
      </w:r>
      <w:r w:rsidRPr="264A300B">
        <w:rPr>
          <w:rFonts w:ascii="Times New Roman" w:eastAsia="Times New Roman" w:hAnsi="Times New Roman" w:cs="Times New Roman"/>
          <w:color w:val="000000" w:themeColor="text1"/>
          <w:sz w:val="28"/>
          <w:szCs w:val="28"/>
        </w:rPr>
        <w:t>, 406 U.S. 411, 460 (1972)</w:t>
      </w:r>
      <w:r w:rsidR="008F716A">
        <w:rPr>
          <w:rFonts w:ascii="Times New Roman" w:eastAsia="Times New Roman" w:hAnsi="Times New Roman" w:cs="Times New Roman"/>
          <w:color w:val="000000"/>
          <w:kern w:val="0"/>
          <w:sz w:val="28"/>
          <w:szCs w:val="28"/>
          <w14:ligatures w14:val="none"/>
        </w:rPr>
        <w:fldChar w:fldCharType="begin"/>
      </w:r>
      <w:r w:rsidR="008F716A">
        <w:instrText xml:space="preserve"> TA \l "</w:instrText>
      </w:r>
      <w:r w:rsidR="008F716A" w:rsidRPr="264A300B">
        <w:rPr>
          <w:rFonts w:ascii="Times New Roman" w:eastAsia="Times New Roman" w:hAnsi="Times New Roman" w:cs="Times New Roman"/>
          <w:i/>
          <w:iCs/>
          <w:color w:val="000000"/>
          <w:kern w:val="0"/>
          <w:sz w:val="28"/>
          <w:szCs w:val="28"/>
          <w14:ligatures w14:val="none"/>
        </w:rPr>
        <w:instrText>Kastigar v. United States</w:instrText>
      </w:r>
      <w:r w:rsidR="008F716A" w:rsidRPr="007D4FA7">
        <w:rPr>
          <w:rFonts w:ascii="Times New Roman" w:eastAsia="Times New Roman" w:hAnsi="Times New Roman" w:cs="Times New Roman"/>
          <w:color w:val="000000"/>
          <w:kern w:val="0"/>
          <w:sz w:val="28"/>
          <w:szCs w:val="28"/>
          <w14:ligatures w14:val="none"/>
        </w:rPr>
        <w:instrText>, 406 U.S. 411, 460 (1972)</w:instrText>
      </w:r>
      <w:r w:rsidR="008F716A">
        <w:instrText xml:space="preserve">" \s "Kastigar v. United States, 406 U.S. 411 (1972)" \c 1 </w:instrText>
      </w:r>
      <w:r w:rsidR="008F716A">
        <w:rPr>
          <w:rFonts w:ascii="Times New Roman" w:eastAsia="Times New Roman" w:hAnsi="Times New Roman" w:cs="Times New Roman"/>
          <w:color w:val="000000"/>
          <w:kern w:val="0"/>
          <w:sz w:val="28"/>
          <w:szCs w:val="28"/>
          <w14:ligatures w14:val="none"/>
        </w:rPr>
        <w:fldChar w:fldCharType="end"/>
      </w:r>
      <w:r w:rsidRPr="264A300B">
        <w:rPr>
          <w:rFonts w:ascii="Times New Roman" w:eastAsia="Times New Roman" w:hAnsi="Times New Roman" w:cs="Times New Roman"/>
          <w:color w:val="000000" w:themeColor="text1"/>
          <w:sz w:val="28"/>
          <w:szCs w:val="28"/>
        </w:rPr>
        <w:t>); 18 U.S.C. §6002</w:t>
      </w:r>
      <w:r w:rsidR="008F716A">
        <w:rPr>
          <w:rFonts w:ascii="Times New Roman" w:eastAsia="Times New Roman" w:hAnsi="Times New Roman" w:cs="Times New Roman"/>
          <w:color w:val="000000"/>
          <w:kern w:val="0"/>
          <w:sz w:val="28"/>
          <w:szCs w:val="28"/>
          <w14:ligatures w14:val="none"/>
        </w:rPr>
        <w:fldChar w:fldCharType="begin"/>
      </w:r>
      <w:r w:rsidR="008F716A">
        <w:instrText xml:space="preserve"> TA \l "</w:instrText>
      </w:r>
      <w:r w:rsidR="008F716A" w:rsidRPr="009777B0">
        <w:rPr>
          <w:rFonts w:ascii="Times New Roman" w:eastAsia="Times New Roman" w:hAnsi="Times New Roman" w:cs="Times New Roman"/>
          <w:color w:val="000000"/>
          <w:kern w:val="0"/>
          <w:sz w:val="28"/>
          <w:szCs w:val="28"/>
          <w14:ligatures w14:val="none"/>
        </w:rPr>
        <w:instrText>18 U.S.C. §6002</w:instrText>
      </w:r>
      <w:r w:rsidR="008F716A">
        <w:instrText xml:space="preserve">" \s "18 U.S.C. §6002" \c 2 </w:instrText>
      </w:r>
      <w:r w:rsidR="008F716A">
        <w:rPr>
          <w:rFonts w:ascii="Times New Roman" w:eastAsia="Times New Roman" w:hAnsi="Times New Roman" w:cs="Times New Roman"/>
          <w:color w:val="000000"/>
          <w:kern w:val="0"/>
          <w:sz w:val="28"/>
          <w:szCs w:val="28"/>
          <w14:ligatures w14:val="none"/>
        </w:rPr>
        <w:fldChar w:fldCharType="end"/>
      </w:r>
      <w:r w:rsidRPr="264A300B">
        <w:rPr>
          <w:rFonts w:ascii="Times New Roman" w:eastAsia="Times New Roman" w:hAnsi="Times New Roman" w:cs="Times New Roman"/>
          <w:color w:val="000000" w:themeColor="text1"/>
          <w:sz w:val="28"/>
          <w:szCs w:val="28"/>
        </w:rPr>
        <w:t xml:space="preserve">. Under </w:t>
      </w:r>
      <w:r w:rsidRPr="264A300B">
        <w:rPr>
          <w:rFonts w:ascii="Times New Roman" w:eastAsia="Times New Roman" w:hAnsi="Times New Roman" w:cs="Times New Roman"/>
          <w:i/>
          <w:iCs/>
          <w:color w:val="000000" w:themeColor="text1"/>
          <w:sz w:val="28"/>
          <w:szCs w:val="28"/>
        </w:rPr>
        <w:t>Kastigar</w:t>
      </w:r>
      <w:r w:rsidRPr="264A300B">
        <w:rPr>
          <w:rFonts w:ascii="Times New Roman" w:eastAsia="Times New Roman" w:hAnsi="Times New Roman" w:cs="Times New Roman"/>
          <w:color w:val="000000" w:themeColor="text1"/>
          <w:sz w:val="28"/>
          <w:szCs w:val="28"/>
        </w:rPr>
        <w:t>, prohibited derivative use includes using compelled testimony “as an investigatory lead” or “focusing investigation on a witness as a result of [the] compelled disclosures.” 406 U.S. at 460</w:t>
      </w:r>
      <w:r w:rsidRPr="264A300B">
        <w:rPr>
          <w:rFonts w:ascii="Times New Roman" w:eastAsia="Times New Roman" w:hAnsi="Times New Roman" w:cs="Times New Roman"/>
          <w:color w:val="000000" w:themeColor="text1"/>
          <w:sz w:val="28"/>
          <w:szCs w:val="28"/>
        </w:rPr>
        <w:fldChar w:fldCharType="begin"/>
      </w:r>
      <w:r>
        <w:instrText xml:space="preserve"> TA \s "Kastigar v. United States, 406 U.S. 411 (1972)" </w:instrText>
      </w:r>
      <w:r w:rsidRPr="264A300B">
        <w:rPr>
          <w:rFonts w:ascii="Times New Roman" w:eastAsia="Times New Roman" w:hAnsi="Times New Roman" w:cs="Times New Roman"/>
          <w:color w:val="000000" w:themeColor="text1"/>
          <w:sz w:val="28"/>
          <w:szCs w:val="28"/>
        </w:rPr>
        <w:fldChar w:fldCharType="end"/>
      </w:r>
      <w:r w:rsidRPr="264A300B">
        <w:rPr>
          <w:rFonts w:ascii="Times New Roman" w:eastAsia="Times New Roman" w:hAnsi="Times New Roman" w:cs="Times New Roman"/>
          <w:color w:val="000000" w:themeColor="text1"/>
          <w:sz w:val="28"/>
          <w:szCs w:val="28"/>
        </w:rPr>
        <w:t>.</w:t>
      </w:r>
    </w:p>
    <w:p w14:paraId="76DDD1A7" w14:textId="639DF577" w:rsidR="00885D64" w:rsidRPr="00D65A25" w:rsidRDefault="00885D64" w:rsidP="007D546C">
      <w:pPr>
        <w:spacing w:after="0" w:line="480" w:lineRule="auto"/>
        <w:ind w:firstLine="720"/>
        <w:rPr>
          <w:rFonts w:ascii="Times New Roman" w:eastAsia="Times New Roman" w:hAnsi="Times New Roman" w:cs="Times New Roman"/>
          <w:color w:val="000000"/>
          <w:kern w:val="0"/>
          <w:sz w:val="28"/>
          <w:szCs w:val="28"/>
          <w14:ligatures w14:val="none"/>
        </w:rPr>
      </w:pPr>
      <w:r w:rsidRPr="264A300B">
        <w:rPr>
          <w:rFonts w:ascii="Times New Roman" w:eastAsia="Times New Roman" w:hAnsi="Times New Roman" w:cs="Times New Roman"/>
          <w:color w:val="000000" w:themeColor="text1"/>
          <w:sz w:val="28"/>
          <w:szCs w:val="28"/>
        </w:rPr>
        <w:lastRenderedPageBreak/>
        <w:t xml:space="preserve">To establish a wholly independent source, the Government “must demonstrate that each step of the investigative chain through which the evidence was obtained is untainted.” </w:t>
      </w:r>
      <w:r w:rsidRPr="264A300B">
        <w:rPr>
          <w:rFonts w:ascii="Times New Roman" w:eastAsia="Times New Roman" w:hAnsi="Times New Roman" w:cs="Times New Roman"/>
          <w:i/>
          <w:iCs/>
          <w:color w:val="000000" w:themeColor="text1"/>
          <w:sz w:val="28"/>
          <w:szCs w:val="28"/>
        </w:rPr>
        <w:t>United States v. Hampton</w:t>
      </w:r>
      <w:r w:rsidRPr="264A300B">
        <w:rPr>
          <w:rFonts w:ascii="Times New Roman" w:eastAsia="Times New Roman" w:hAnsi="Times New Roman" w:cs="Times New Roman"/>
          <w:color w:val="000000" w:themeColor="text1"/>
          <w:sz w:val="28"/>
          <w:szCs w:val="28"/>
        </w:rPr>
        <w:t>, 775 F.2d 1479, 1489 (11th Cir. 1985)</w:t>
      </w:r>
      <w:r w:rsidR="001619E4">
        <w:rPr>
          <w:rFonts w:ascii="Times New Roman" w:eastAsia="Times New Roman" w:hAnsi="Times New Roman" w:cs="Times New Roman"/>
          <w:color w:val="000000" w:themeColor="text1"/>
          <w:sz w:val="28"/>
          <w:szCs w:val="28"/>
        </w:rPr>
        <w:fldChar w:fldCharType="begin"/>
      </w:r>
      <w:r w:rsidR="001619E4">
        <w:instrText xml:space="preserve"> TA \l "</w:instrText>
      </w:r>
      <w:r w:rsidR="001619E4" w:rsidRPr="00FE1158">
        <w:rPr>
          <w:rFonts w:ascii="Times New Roman" w:eastAsia="Times New Roman" w:hAnsi="Times New Roman" w:cs="Times New Roman"/>
          <w:i/>
          <w:iCs/>
          <w:color w:val="000000" w:themeColor="text1"/>
          <w:sz w:val="28"/>
          <w:szCs w:val="28"/>
        </w:rPr>
        <w:instrText>United States v. Hampton</w:instrText>
      </w:r>
      <w:r w:rsidR="001619E4" w:rsidRPr="00FE1158">
        <w:rPr>
          <w:rFonts w:ascii="Times New Roman" w:eastAsia="Times New Roman" w:hAnsi="Times New Roman" w:cs="Times New Roman"/>
          <w:color w:val="000000" w:themeColor="text1"/>
          <w:sz w:val="28"/>
          <w:szCs w:val="28"/>
        </w:rPr>
        <w:instrText>, 775 F.2d 1479, 1489 (11th Cir. 1985)</w:instrText>
      </w:r>
      <w:r w:rsidR="001619E4">
        <w:instrText xml:space="preserve">" \s "United States v. Hampton, 775 F.2d 1479 (11th Cir. 1985)" \c 1 </w:instrText>
      </w:r>
      <w:r w:rsidR="001619E4">
        <w:rPr>
          <w:rFonts w:ascii="Times New Roman" w:eastAsia="Times New Roman" w:hAnsi="Times New Roman" w:cs="Times New Roman"/>
          <w:color w:val="000000" w:themeColor="text1"/>
          <w:sz w:val="28"/>
          <w:szCs w:val="28"/>
        </w:rPr>
        <w:fldChar w:fldCharType="end"/>
      </w:r>
      <w:r w:rsidR="009E7DFB">
        <w:rPr>
          <w:rFonts w:ascii="Times New Roman" w:eastAsia="Times New Roman" w:hAnsi="Times New Roman" w:cs="Times New Roman"/>
          <w:color w:val="000000" w:themeColor="text1"/>
          <w:sz w:val="28"/>
          <w:szCs w:val="28"/>
        </w:rPr>
        <w:t>.</w:t>
      </w:r>
      <w:r w:rsidR="00801236" w:rsidRPr="264A300B">
        <w:rPr>
          <w:rFonts w:ascii="Times New Roman" w:eastAsia="Times New Roman" w:hAnsi="Times New Roman" w:cs="Times New Roman"/>
          <w:color w:val="000000" w:themeColor="text1"/>
          <w:sz w:val="28"/>
          <w:szCs w:val="28"/>
        </w:rPr>
        <w:t xml:space="preserve"> </w:t>
      </w:r>
      <w:r w:rsidRPr="264A300B">
        <w:rPr>
          <w:rFonts w:ascii="Times New Roman" w:eastAsia="Times New Roman" w:hAnsi="Times New Roman" w:cs="Times New Roman"/>
          <w:color w:val="000000" w:themeColor="text1"/>
          <w:sz w:val="28"/>
          <w:szCs w:val="28"/>
        </w:rPr>
        <w:t xml:space="preserve">The inquiry proceeds “witness-by-witness; if necessary, it will proceed line-by-line and item-by-item,” and it demands express findings, because a reviewing court “may not infer findings favorable to” the Government. </w:t>
      </w:r>
      <w:r w:rsidRPr="264A300B">
        <w:rPr>
          <w:rFonts w:ascii="Times New Roman" w:eastAsia="Times New Roman" w:hAnsi="Times New Roman" w:cs="Times New Roman"/>
          <w:i/>
          <w:iCs/>
          <w:color w:val="000000" w:themeColor="text1"/>
          <w:sz w:val="28"/>
          <w:szCs w:val="28"/>
        </w:rPr>
        <w:t>United States v. North</w:t>
      </w:r>
      <w:r w:rsidRPr="264A300B">
        <w:rPr>
          <w:rFonts w:ascii="Times New Roman" w:eastAsia="Times New Roman" w:hAnsi="Times New Roman" w:cs="Times New Roman"/>
          <w:color w:val="000000" w:themeColor="text1"/>
          <w:sz w:val="28"/>
          <w:szCs w:val="28"/>
        </w:rPr>
        <w:t>, 910 F.2d 843, 872, 855 (D.C. Cir. 1990) (</w:t>
      </w:r>
      <w:r w:rsidRPr="264A300B">
        <w:rPr>
          <w:rFonts w:ascii="Times New Roman" w:eastAsia="Times New Roman" w:hAnsi="Times New Roman" w:cs="Times New Roman"/>
          <w:i/>
          <w:iCs/>
          <w:color w:val="000000" w:themeColor="text1"/>
          <w:sz w:val="28"/>
          <w:szCs w:val="28"/>
        </w:rPr>
        <w:t>North I</w:t>
      </w:r>
      <w:r w:rsidRPr="264A300B">
        <w:rPr>
          <w:rFonts w:ascii="Times New Roman" w:eastAsia="Times New Roman" w:hAnsi="Times New Roman" w:cs="Times New Roman"/>
          <w:color w:val="000000" w:themeColor="text1"/>
          <w:sz w:val="28"/>
          <w:szCs w:val="28"/>
        </w:rPr>
        <w:t>)</w:t>
      </w:r>
      <w:r w:rsidR="00322E27">
        <w:rPr>
          <w:rFonts w:ascii="Times New Roman" w:eastAsia="Times New Roman" w:hAnsi="Times New Roman" w:cs="Times New Roman"/>
          <w:color w:val="000000" w:themeColor="text1"/>
          <w:sz w:val="28"/>
          <w:szCs w:val="28"/>
        </w:rPr>
        <w:fldChar w:fldCharType="begin"/>
      </w:r>
      <w:r w:rsidR="00322E27">
        <w:instrText xml:space="preserve"> TA \l "</w:instrText>
      </w:r>
      <w:r w:rsidR="00322E27" w:rsidRPr="006F3EBB">
        <w:rPr>
          <w:rFonts w:ascii="Times New Roman" w:eastAsia="Times New Roman" w:hAnsi="Times New Roman" w:cs="Times New Roman"/>
          <w:i/>
          <w:iCs/>
          <w:color w:val="000000" w:themeColor="text1"/>
          <w:sz w:val="28"/>
          <w:szCs w:val="28"/>
        </w:rPr>
        <w:instrText>United States v. North</w:instrText>
      </w:r>
      <w:r w:rsidR="00322E27" w:rsidRPr="006F3EBB">
        <w:rPr>
          <w:rFonts w:ascii="Times New Roman" w:eastAsia="Times New Roman" w:hAnsi="Times New Roman" w:cs="Times New Roman"/>
          <w:color w:val="000000" w:themeColor="text1"/>
          <w:sz w:val="28"/>
          <w:szCs w:val="28"/>
        </w:rPr>
        <w:instrText>, 910 F.2d 843, 872, 855 (D.C. Cir. 1990) (</w:instrText>
      </w:r>
      <w:r w:rsidR="00322E27" w:rsidRPr="006F3EBB">
        <w:rPr>
          <w:rFonts w:ascii="Times New Roman" w:eastAsia="Times New Roman" w:hAnsi="Times New Roman" w:cs="Times New Roman"/>
          <w:i/>
          <w:iCs/>
          <w:color w:val="000000" w:themeColor="text1"/>
          <w:sz w:val="28"/>
          <w:szCs w:val="28"/>
        </w:rPr>
        <w:instrText>North I</w:instrText>
      </w:r>
      <w:r w:rsidR="00322E27" w:rsidRPr="006F3EBB">
        <w:rPr>
          <w:rFonts w:ascii="Times New Roman" w:eastAsia="Times New Roman" w:hAnsi="Times New Roman" w:cs="Times New Roman"/>
          <w:color w:val="000000" w:themeColor="text1"/>
          <w:sz w:val="28"/>
          <w:szCs w:val="28"/>
        </w:rPr>
        <w:instrText>)</w:instrText>
      </w:r>
      <w:r w:rsidR="00322E27">
        <w:instrText xml:space="preserve">" \s "United States v. North, 910 F.2d 843, 872 (D.C. Cir. 1990) (North I)" \c 1 </w:instrText>
      </w:r>
      <w:r w:rsidR="00322E27">
        <w:rPr>
          <w:rFonts w:ascii="Times New Roman" w:eastAsia="Times New Roman" w:hAnsi="Times New Roman" w:cs="Times New Roman"/>
          <w:color w:val="000000" w:themeColor="text1"/>
          <w:sz w:val="28"/>
          <w:szCs w:val="28"/>
        </w:rPr>
        <w:fldChar w:fldCharType="end"/>
      </w:r>
      <w:r w:rsidR="009E7DFB">
        <w:rPr>
          <w:rFonts w:ascii="Times New Roman" w:eastAsia="Times New Roman" w:hAnsi="Times New Roman" w:cs="Times New Roman"/>
          <w:color w:val="000000" w:themeColor="text1"/>
          <w:sz w:val="28"/>
          <w:szCs w:val="28"/>
        </w:rPr>
        <w:t>.</w:t>
      </w:r>
      <w:r w:rsidRPr="264A300B">
        <w:rPr>
          <w:rFonts w:ascii="Times New Roman" w:eastAsia="Times New Roman" w:hAnsi="Times New Roman" w:cs="Times New Roman"/>
          <w:color w:val="000000" w:themeColor="text1"/>
          <w:sz w:val="28"/>
          <w:szCs w:val="28"/>
        </w:rPr>
        <w:t xml:space="preserve"> “The burden of proof remains with the government; the defendant is not required to present evidence that the grand jury testimony was in fact tainted.” </w:t>
      </w:r>
      <w:r w:rsidR="00426136" w:rsidRPr="264A300B">
        <w:rPr>
          <w:rFonts w:ascii="Times New Roman" w:eastAsia="Times New Roman" w:hAnsi="Times New Roman" w:cs="Times New Roman"/>
          <w:i/>
          <w:iCs/>
          <w:color w:val="000000" w:themeColor="text1"/>
          <w:sz w:val="28"/>
          <w:szCs w:val="28"/>
        </w:rPr>
        <w:t xml:space="preserve">United States v. </w:t>
      </w:r>
      <w:r w:rsidRPr="264A300B">
        <w:rPr>
          <w:rFonts w:ascii="Times New Roman" w:eastAsia="Times New Roman" w:hAnsi="Times New Roman" w:cs="Times New Roman"/>
          <w:i/>
          <w:iCs/>
          <w:color w:val="000000" w:themeColor="text1"/>
          <w:sz w:val="28"/>
          <w:szCs w:val="28"/>
        </w:rPr>
        <w:t>Schmidgall</w:t>
      </w:r>
      <w:r w:rsidRPr="264A300B">
        <w:rPr>
          <w:rFonts w:ascii="Times New Roman" w:eastAsia="Times New Roman" w:hAnsi="Times New Roman" w:cs="Times New Roman"/>
          <w:color w:val="000000" w:themeColor="text1"/>
          <w:sz w:val="28"/>
          <w:szCs w:val="28"/>
        </w:rPr>
        <w:t xml:space="preserve">, 25 F.3d </w:t>
      </w:r>
      <w:r w:rsidR="00426136" w:rsidRPr="264A300B">
        <w:rPr>
          <w:rFonts w:ascii="Times New Roman" w:eastAsia="Times New Roman" w:hAnsi="Times New Roman" w:cs="Times New Roman"/>
          <w:color w:val="000000" w:themeColor="text1"/>
          <w:sz w:val="28"/>
          <w:szCs w:val="28"/>
        </w:rPr>
        <w:t>15</w:t>
      </w:r>
      <w:r w:rsidR="007D546C" w:rsidRPr="264A300B">
        <w:rPr>
          <w:rFonts w:ascii="Times New Roman" w:eastAsia="Times New Roman" w:hAnsi="Times New Roman" w:cs="Times New Roman"/>
          <w:color w:val="000000" w:themeColor="text1"/>
          <w:sz w:val="28"/>
          <w:szCs w:val="28"/>
        </w:rPr>
        <w:t>23</w:t>
      </w:r>
      <w:r w:rsidR="00426136" w:rsidRPr="264A300B">
        <w:rPr>
          <w:rFonts w:ascii="Times New Roman" w:eastAsia="Times New Roman" w:hAnsi="Times New Roman" w:cs="Times New Roman"/>
          <w:color w:val="000000" w:themeColor="text1"/>
          <w:sz w:val="28"/>
          <w:szCs w:val="28"/>
        </w:rPr>
        <w:t xml:space="preserve">, </w:t>
      </w:r>
      <w:r w:rsidRPr="264A300B">
        <w:rPr>
          <w:rFonts w:ascii="Times New Roman" w:eastAsia="Times New Roman" w:hAnsi="Times New Roman" w:cs="Times New Roman"/>
          <w:color w:val="000000" w:themeColor="text1"/>
          <w:sz w:val="28"/>
          <w:szCs w:val="28"/>
        </w:rPr>
        <w:t>1530-31</w:t>
      </w:r>
      <w:r w:rsidR="007D546C" w:rsidRPr="264A300B">
        <w:rPr>
          <w:rFonts w:ascii="Times New Roman" w:eastAsia="Times New Roman" w:hAnsi="Times New Roman" w:cs="Times New Roman"/>
          <w:color w:val="000000" w:themeColor="text1"/>
          <w:sz w:val="28"/>
          <w:szCs w:val="28"/>
        </w:rPr>
        <w:t xml:space="preserve"> (11</w:t>
      </w:r>
      <w:r w:rsidR="007D546C" w:rsidRPr="264A300B">
        <w:rPr>
          <w:rFonts w:ascii="Times New Roman" w:eastAsia="Times New Roman" w:hAnsi="Times New Roman" w:cs="Times New Roman"/>
          <w:color w:val="000000" w:themeColor="text1"/>
          <w:sz w:val="28"/>
          <w:szCs w:val="28"/>
          <w:vertAlign w:val="superscript"/>
        </w:rPr>
        <w:t>th</w:t>
      </w:r>
      <w:r w:rsidR="007D546C" w:rsidRPr="264A300B">
        <w:rPr>
          <w:rFonts w:ascii="Times New Roman" w:eastAsia="Times New Roman" w:hAnsi="Times New Roman" w:cs="Times New Roman"/>
          <w:color w:val="000000" w:themeColor="text1"/>
          <w:sz w:val="28"/>
          <w:szCs w:val="28"/>
        </w:rPr>
        <w:t xml:space="preserve"> Cir. 1994)</w:t>
      </w:r>
      <w:r w:rsidR="00322E27">
        <w:rPr>
          <w:rFonts w:ascii="Times New Roman" w:eastAsia="Times New Roman" w:hAnsi="Times New Roman" w:cs="Times New Roman"/>
          <w:color w:val="000000" w:themeColor="text1"/>
          <w:sz w:val="28"/>
          <w:szCs w:val="28"/>
        </w:rPr>
        <w:fldChar w:fldCharType="begin"/>
      </w:r>
      <w:r w:rsidR="00322E27">
        <w:instrText xml:space="preserve"> TA \l "</w:instrText>
      </w:r>
      <w:r w:rsidR="00322E27" w:rsidRPr="0010094A">
        <w:rPr>
          <w:rFonts w:ascii="Times New Roman" w:eastAsia="Times New Roman" w:hAnsi="Times New Roman" w:cs="Times New Roman"/>
          <w:i/>
          <w:iCs/>
          <w:color w:val="000000" w:themeColor="text1"/>
          <w:sz w:val="28"/>
          <w:szCs w:val="28"/>
        </w:rPr>
        <w:instrText>United States v. Schmidgall</w:instrText>
      </w:r>
      <w:r w:rsidR="00322E27" w:rsidRPr="0010094A">
        <w:rPr>
          <w:rFonts w:ascii="Times New Roman" w:eastAsia="Times New Roman" w:hAnsi="Times New Roman" w:cs="Times New Roman"/>
          <w:color w:val="000000" w:themeColor="text1"/>
          <w:sz w:val="28"/>
          <w:szCs w:val="28"/>
        </w:rPr>
        <w:instrText>, 25 F.3d 1523, 1530-31 (11</w:instrText>
      </w:r>
      <w:r w:rsidR="00322E27" w:rsidRPr="0010094A">
        <w:rPr>
          <w:rFonts w:ascii="Times New Roman" w:eastAsia="Times New Roman" w:hAnsi="Times New Roman" w:cs="Times New Roman"/>
          <w:color w:val="000000" w:themeColor="text1"/>
          <w:sz w:val="28"/>
          <w:szCs w:val="28"/>
          <w:vertAlign w:val="superscript"/>
        </w:rPr>
        <w:instrText>th</w:instrText>
      </w:r>
      <w:r w:rsidR="00322E27" w:rsidRPr="0010094A">
        <w:rPr>
          <w:rFonts w:ascii="Times New Roman" w:eastAsia="Times New Roman" w:hAnsi="Times New Roman" w:cs="Times New Roman"/>
          <w:color w:val="000000" w:themeColor="text1"/>
          <w:sz w:val="28"/>
          <w:szCs w:val="28"/>
        </w:rPr>
        <w:instrText xml:space="preserve"> Cir. 1994)</w:instrText>
      </w:r>
      <w:r w:rsidR="00322E27">
        <w:instrText xml:space="preserve">" \s "United States v. Schmidgall, 25 F.3d 1523 (11th Cir. 1994)" \c 1 </w:instrText>
      </w:r>
      <w:r w:rsidR="00322E27">
        <w:rPr>
          <w:rFonts w:ascii="Times New Roman" w:eastAsia="Times New Roman" w:hAnsi="Times New Roman" w:cs="Times New Roman"/>
          <w:color w:val="000000" w:themeColor="text1"/>
          <w:sz w:val="28"/>
          <w:szCs w:val="28"/>
        </w:rPr>
        <w:fldChar w:fldCharType="end"/>
      </w:r>
      <w:r w:rsidR="007D546C" w:rsidRPr="264A300B">
        <w:rPr>
          <w:rFonts w:ascii="Times New Roman" w:eastAsia="Times New Roman" w:hAnsi="Times New Roman" w:cs="Times New Roman"/>
          <w:color w:val="000000" w:themeColor="text1"/>
          <w:sz w:val="28"/>
          <w:szCs w:val="28"/>
        </w:rPr>
        <w:t xml:space="preserve">. </w:t>
      </w:r>
    </w:p>
    <w:p w14:paraId="36C0DE4B" w14:textId="29B386EF"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264A300B">
        <w:rPr>
          <w:rFonts w:ascii="Times New Roman" w:eastAsia="Times New Roman" w:hAnsi="Times New Roman" w:cs="Times New Roman"/>
          <w:color w:val="000000" w:themeColor="text1"/>
          <w:sz w:val="28"/>
          <w:szCs w:val="28"/>
        </w:rPr>
        <w:t>Four links must be shown untainted here: the decision to return to the 2023 employee roster, the decision to contact Parker on October 31</w:t>
      </w:r>
      <w:r w:rsidR="00FC7BC7" w:rsidRPr="264A300B">
        <w:rPr>
          <w:rFonts w:ascii="Times New Roman" w:eastAsia="Times New Roman" w:hAnsi="Times New Roman" w:cs="Times New Roman"/>
          <w:color w:val="000000" w:themeColor="text1"/>
          <w:sz w:val="28"/>
          <w:szCs w:val="28"/>
        </w:rPr>
        <w:t xml:space="preserve">, </w:t>
      </w:r>
      <w:r w:rsidR="0080369E" w:rsidRPr="264A300B">
        <w:rPr>
          <w:rFonts w:ascii="Times New Roman" w:eastAsia="Times New Roman" w:hAnsi="Times New Roman" w:cs="Times New Roman"/>
          <w:color w:val="000000" w:themeColor="text1"/>
          <w:sz w:val="28"/>
          <w:szCs w:val="28"/>
        </w:rPr>
        <w:t>2024,</w:t>
      </w:r>
      <w:r w:rsidRPr="264A300B">
        <w:rPr>
          <w:rFonts w:ascii="Times New Roman" w:eastAsia="Times New Roman" w:hAnsi="Times New Roman" w:cs="Times New Roman"/>
          <w:color w:val="000000" w:themeColor="text1"/>
          <w:sz w:val="28"/>
          <w:szCs w:val="28"/>
        </w:rPr>
        <w:t xml:space="preserve"> and out of order, the direction of that interview, and the storage-unit lead that produced Exhibit 19. It is not enough for the Government to show that independent evidence existed somewhere in its file. The question is the derivation of the evidence actually used. The Government “is not required to show that there was no overlap, but that all of the evidence it proposes to use was derived from legitimate independent sources.” </w:t>
      </w:r>
      <w:r w:rsidRPr="264A300B">
        <w:rPr>
          <w:rFonts w:ascii="Times New Roman" w:eastAsia="Times New Roman" w:hAnsi="Times New Roman" w:cs="Times New Roman"/>
          <w:i/>
          <w:iCs/>
          <w:color w:val="000000" w:themeColor="text1"/>
          <w:sz w:val="28"/>
          <w:szCs w:val="28"/>
        </w:rPr>
        <w:t>United States v. Montoya</w:t>
      </w:r>
      <w:r w:rsidRPr="264A300B">
        <w:rPr>
          <w:rFonts w:ascii="Times New Roman" w:eastAsia="Times New Roman" w:hAnsi="Times New Roman" w:cs="Times New Roman"/>
          <w:color w:val="000000" w:themeColor="text1"/>
          <w:sz w:val="28"/>
          <w:szCs w:val="28"/>
        </w:rPr>
        <w:t>, 45 F.3d 1286, 1292-93 (9th Cir. 1995)</w:t>
      </w:r>
      <w:r w:rsidR="00322E27">
        <w:rPr>
          <w:rFonts w:ascii="Times New Roman" w:eastAsia="Times New Roman" w:hAnsi="Times New Roman" w:cs="Times New Roman"/>
          <w:color w:val="000000" w:themeColor="text1"/>
          <w:sz w:val="28"/>
          <w:szCs w:val="28"/>
        </w:rPr>
        <w:fldChar w:fldCharType="begin"/>
      </w:r>
      <w:r w:rsidR="00322E27">
        <w:instrText xml:space="preserve"> TA \l "</w:instrText>
      </w:r>
      <w:r w:rsidR="00322E27" w:rsidRPr="00797289">
        <w:rPr>
          <w:rFonts w:ascii="Times New Roman" w:eastAsia="Times New Roman" w:hAnsi="Times New Roman" w:cs="Times New Roman"/>
          <w:i/>
          <w:iCs/>
          <w:color w:val="000000" w:themeColor="text1"/>
          <w:sz w:val="28"/>
          <w:szCs w:val="28"/>
        </w:rPr>
        <w:instrText>United States v. Montoya</w:instrText>
      </w:r>
      <w:r w:rsidR="00322E27" w:rsidRPr="00797289">
        <w:rPr>
          <w:rFonts w:ascii="Times New Roman" w:eastAsia="Times New Roman" w:hAnsi="Times New Roman" w:cs="Times New Roman"/>
          <w:color w:val="000000" w:themeColor="text1"/>
          <w:sz w:val="28"/>
          <w:szCs w:val="28"/>
        </w:rPr>
        <w:instrText>, 45 F.3d 1286, 1292-93 (9th Cir. 1995)</w:instrText>
      </w:r>
      <w:r w:rsidR="00322E27">
        <w:instrText xml:space="preserve">" \s "United States v. Montoya, 45 F.3d 1286 (9th Cir. 1995)" \c 1 </w:instrText>
      </w:r>
      <w:r w:rsidR="00322E27">
        <w:rPr>
          <w:rFonts w:ascii="Times New Roman" w:eastAsia="Times New Roman" w:hAnsi="Times New Roman" w:cs="Times New Roman"/>
          <w:color w:val="000000" w:themeColor="text1"/>
          <w:sz w:val="28"/>
          <w:szCs w:val="28"/>
        </w:rPr>
        <w:fldChar w:fldCharType="end"/>
      </w:r>
      <w:r w:rsidRPr="264A300B">
        <w:rPr>
          <w:rFonts w:ascii="Times New Roman" w:eastAsia="Times New Roman" w:hAnsi="Times New Roman" w:cs="Times New Roman"/>
          <w:color w:val="000000" w:themeColor="text1"/>
          <w:sz w:val="28"/>
          <w:szCs w:val="28"/>
        </w:rPr>
        <w:t>.</w:t>
      </w:r>
    </w:p>
    <w:p w14:paraId="068C6954" w14:textId="77777777" w:rsidR="00885D64" w:rsidRPr="00885D64" w:rsidRDefault="00885D64" w:rsidP="264A300B">
      <w:pPr>
        <w:numPr>
          <w:ilvl w:val="0"/>
          <w:numId w:val="4"/>
        </w:numPr>
        <w:spacing w:before="320" w:after="80" w:line="240" w:lineRule="auto"/>
        <w:ind w:left="1440"/>
        <w:textAlignment w:val="baseline"/>
        <w:outlineLvl w:val="2"/>
        <w:rPr>
          <w:rFonts w:ascii="Times New Roman" w:eastAsia="Times New Roman" w:hAnsi="Times New Roman" w:cs="Times New Roman"/>
          <w:b/>
          <w:bCs/>
          <w:color w:val="000000" w:themeColor="text1"/>
          <w:kern w:val="0"/>
          <w:sz w:val="27"/>
          <w:szCs w:val="27"/>
          <w14:ligatures w14:val="none"/>
        </w:rPr>
      </w:pPr>
      <w:r w:rsidRPr="00885D64">
        <w:rPr>
          <w:rFonts w:ascii="Times New Roman" w:eastAsia="Times New Roman" w:hAnsi="Times New Roman" w:cs="Times New Roman"/>
          <w:b/>
          <w:bCs/>
          <w:color w:val="000000"/>
          <w:kern w:val="0"/>
          <w:sz w:val="28"/>
          <w:szCs w:val="28"/>
          <w14:ligatures w14:val="none"/>
        </w:rPr>
        <w:lastRenderedPageBreak/>
        <w:t>The Government cannot prove that its interest in Kennedy Parker arose from any source other than the compelled testimony.</w:t>
      </w:r>
    </w:p>
    <w:p w14:paraId="53B16673" w14:textId="77777777" w:rsidR="00885D64" w:rsidRPr="00885D64" w:rsidRDefault="00885D64" w:rsidP="264A300B">
      <w:pPr>
        <w:numPr>
          <w:ilvl w:val="0"/>
          <w:numId w:val="5"/>
        </w:numPr>
        <w:spacing w:before="280" w:after="80" w:line="240" w:lineRule="auto"/>
        <w:ind w:left="2160"/>
        <w:textAlignment w:val="baseline"/>
        <w:outlineLvl w:val="3"/>
        <w:rPr>
          <w:rFonts w:ascii="Times New Roman" w:eastAsia="Times New Roman" w:hAnsi="Times New Roman" w:cs="Times New Roman"/>
          <w:b/>
          <w:bCs/>
          <w:i/>
          <w:iCs/>
          <w:color w:val="000000"/>
          <w:kern w:val="0"/>
          <w14:ligatures w14:val="none"/>
        </w:rPr>
      </w:pPr>
      <w:r w:rsidRPr="264A300B">
        <w:rPr>
          <w:rFonts w:ascii="Times New Roman" w:eastAsia="Times New Roman" w:hAnsi="Times New Roman" w:cs="Times New Roman"/>
          <w:b/>
          <w:bCs/>
          <w:i/>
          <w:iCs/>
          <w:color w:val="000000"/>
          <w:kern w:val="0"/>
          <w:sz w:val="28"/>
          <w:szCs w:val="28"/>
          <w14:ligatures w14:val="none"/>
        </w:rPr>
        <w:t>The compelled testimony supplied both the witness and the subject matter of the interview.</w:t>
      </w:r>
    </w:p>
    <w:p w14:paraId="57B426B0"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353D10C5" w14:textId="23431500" w:rsidR="00885D64" w:rsidRPr="00885D64" w:rsidRDefault="00FC7BC7" w:rsidP="00885D64">
      <w:pPr>
        <w:spacing w:after="0" w:line="480" w:lineRule="auto"/>
        <w:ind w:firstLine="720"/>
        <w:rPr>
          <w:rFonts w:ascii="Times New Roman" w:eastAsia="Times New Roman" w:hAnsi="Times New Roman" w:cs="Times New Roman"/>
          <w:kern w:val="0"/>
          <w14:ligatures w14:val="none"/>
        </w:rPr>
      </w:pPr>
      <w:r w:rsidRPr="264A300B">
        <w:rPr>
          <w:rFonts w:ascii="Times New Roman" w:eastAsia="Times New Roman" w:hAnsi="Times New Roman" w:cs="Times New Roman"/>
          <w:color w:val="000000" w:themeColor="text1"/>
          <w:sz w:val="28"/>
          <w:szCs w:val="28"/>
        </w:rPr>
        <w:t>Ms. Calloway’s immunized testimony</w:t>
      </w:r>
      <w:r w:rsidR="00885D64" w:rsidRPr="264A300B">
        <w:rPr>
          <w:rFonts w:ascii="Times New Roman" w:eastAsia="Times New Roman" w:hAnsi="Times New Roman" w:cs="Times New Roman"/>
          <w:color w:val="000000" w:themeColor="text1"/>
          <w:sz w:val="28"/>
          <w:szCs w:val="28"/>
        </w:rPr>
        <w:t xml:space="preserve"> placed Parker at the December 10, 2023 argument </w:t>
      </w:r>
      <w:r w:rsidRPr="264A300B">
        <w:rPr>
          <w:rFonts w:ascii="Times New Roman" w:eastAsia="Times New Roman" w:hAnsi="Times New Roman" w:cs="Times New Roman"/>
          <w:color w:val="000000" w:themeColor="text1"/>
          <w:sz w:val="28"/>
          <w:szCs w:val="28"/>
        </w:rPr>
        <w:t>at the Silver Palms Staff Christmas Party</w:t>
      </w:r>
      <w:r w:rsidR="00885D64" w:rsidRPr="264A300B">
        <w:rPr>
          <w:rFonts w:ascii="Times New Roman" w:eastAsia="Times New Roman" w:hAnsi="Times New Roman" w:cs="Times New Roman"/>
          <w:color w:val="000000" w:themeColor="text1"/>
          <w:sz w:val="28"/>
          <w:szCs w:val="28"/>
        </w:rPr>
        <w:t xml:space="preserve">, and described Parker approaching Ms. Calloway immediately after. </w:t>
      </w:r>
      <w:r w:rsidRPr="264A300B">
        <w:rPr>
          <w:rFonts w:ascii="Times New Roman" w:eastAsia="Times New Roman" w:hAnsi="Times New Roman" w:cs="Times New Roman"/>
          <w:i/>
          <w:iCs/>
          <w:color w:val="000000" w:themeColor="text1"/>
          <w:sz w:val="28"/>
          <w:szCs w:val="28"/>
        </w:rPr>
        <w:t>See</w:t>
      </w:r>
      <w:r w:rsidRPr="264A300B">
        <w:rPr>
          <w:rFonts w:ascii="Times New Roman" w:eastAsia="Times New Roman" w:hAnsi="Times New Roman" w:cs="Times New Roman"/>
          <w:color w:val="000000" w:themeColor="text1"/>
          <w:sz w:val="28"/>
          <w:szCs w:val="28"/>
        </w:rPr>
        <w:t xml:space="preserve"> Exhibit 13. Ms. Calloway </w:t>
      </w:r>
      <w:r w:rsidR="00885D64" w:rsidRPr="264A300B">
        <w:rPr>
          <w:rFonts w:ascii="Times New Roman" w:eastAsia="Times New Roman" w:hAnsi="Times New Roman" w:cs="Times New Roman"/>
          <w:color w:val="000000" w:themeColor="text1"/>
          <w:sz w:val="28"/>
          <w:szCs w:val="28"/>
        </w:rPr>
        <w:t xml:space="preserve">indicated that </w:t>
      </w:r>
      <w:r w:rsidRPr="264A300B">
        <w:rPr>
          <w:rFonts w:ascii="Times New Roman" w:eastAsia="Times New Roman" w:hAnsi="Times New Roman" w:cs="Times New Roman"/>
          <w:color w:val="000000" w:themeColor="text1"/>
          <w:sz w:val="28"/>
          <w:szCs w:val="28"/>
        </w:rPr>
        <w:t xml:space="preserve">she </w:t>
      </w:r>
      <w:r w:rsidR="00885D64" w:rsidRPr="264A300B">
        <w:rPr>
          <w:rFonts w:ascii="Times New Roman" w:eastAsia="Times New Roman" w:hAnsi="Times New Roman" w:cs="Times New Roman"/>
          <w:color w:val="000000" w:themeColor="text1"/>
          <w:sz w:val="28"/>
          <w:szCs w:val="28"/>
        </w:rPr>
        <w:t xml:space="preserve">would have Parker “help </w:t>
      </w:r>
      <w:r w:rsidRPr="264A300B">
        <w:rPr>
          <w:rFonts w:ascii="Times New Roman" w:eastAsia="Times New Roman" w:hAnsi="Times New Roman" w:cs="Times New Roman"/>
          <w:color w:val="000000" w:themeColor="text1"/>
          <w:sz w:val="28"/>
          <w:szCs w:val="28"/>
        </w:rPr>
        <w:t xml:space="preserve">[her] </w:t>
      </w:r>
      <w:r w:rsidR="00885D64" w:rsidRPr="264A300B">
        <w:rPr>
          <w:rFonts w:ascii="Times New Roman" w:eastAsia="Times New Roman" w:hAnsi="Times New Roman" w:cs="Times New Roman"/>
          <w:color w:val="000000" w:themeColor="text1"/>
          <w:sz w:val="28"/>
          <w:szCs w:val="28"/>
        </w:rPr>
        <w:t>with things all the time,” including “run</w:t>
      </w:r>
      <w:r w:rsidRPr="264A300B">
        <w:rPr>
          <w:rFonts w:ascii="Times New Roman" w:eastAsia="Times New Roman" w:hAnsi="Times New Roman" w:cs="Times New Roman"/>
          <w:color w:val="000000" w:themeColor="text1"/>
          <w:sz w:val="28"/>
          <w:szCs w:val="28"/>
        </w:rPr>
        <w:t>[</w:t>
      </w:r>
      <w:proofErr w:type="spellStart"/>
      <w:r w:rsidRPr="264A300B">
        <w:rPr>
          <w:rFonts w:ascii="Times New Roman" w:eastAsia="Times New Roman" w:hAnsi="Times New Roman" w:cs="Times New Roman"/>
          <w:color w:val="000000" w:themeColor="text1"/>
          <w:sz w:val="28"/>
          <w:szCs w:val="28"/>
        </w:rPr>
        <w:t>ing</w:t>
      </w:r>
      <w:proofErr w:type="spellEnd"/>
      <w:r w:rsidRPr="264A300B">
        <w:rPr>
          <w:rFonts w:ascii="Times New Roman" w:eastAsia="Times New Roman" w:hAnsi="Times New Roman" w:cs="Times New Roman"/>
          <w:color w:val="000000" w:themeColor="text1"/>
          <w:sz w:val="28"/>
          <w:szCs w:val="28"/>
        </w:rPr>
        <w:t>]</w:t>
      </w:r>
      <w:r w:rsidR="00885D64" w:rsidRPr="264A300B">
        <w:rPr>
          <w:rFonts w:ascii="Times New Roman" w:eastAsia="Times New Roman" w:hAnsi="Times New Roman" w:cs="Times New Roman"/>
          <w:color w:val="000000" w:themeColor="text1"/>
          <w:sz w:val="28"/>
          <w:szCs w:val="28"/>
        </w:rPr>
        <w:t xml:space="preserve"> an errand” </w:t>
      </w:r>
      <w:r w:rsidRPr="264A300B">
        <w:rPr>
          <w:rFonts w:ascii="Times New Roman" w:eastAsia="Times New Roman" w:hAnsi="Times New Roman" w:cs="Times New Roman"/>
          <w:color w:val="000000" w:themeColor="text1"/>
          <w:sz w:val="28"/>
          <w:szCs w:val="28"/>
        </w:rPr>
        <w:t xml:space="preserve">or </w:t>
      </w:r>
      <w:r w:rsidR="00885D64" w:rsidRPr="264A300B">
        <w:rPr>
          <w:rFonts w:ascii="Times New Roman" w:eastAsia="Times New Roman" w:hAnsi="Times New Roman" w:cs="Times New Roman"/>
          <w:color w:val="000000" w:themeColor="text1"/>
          <w:sz w:val="28"/>
          <w:szCs w:val="28"/>
        </w:rPr>
        <w:t>“drop</w:t>
      </w:r>
      <w:r w:rsidRPr="264A300B">
        <w:rPr>
          <w:rFonts w:ascii="Times New Roman" w:eastAsia="Times New Roman" w:hAnsi="Times New Roman" w:cs="Times New Roman"/>
          <w:color w:val="000000" w:themeColor="text1"/>
          <w:sz w:val="28"/>
          <w:szCs w:val="28"/>
        </w:rPr>
        <w:t>[</w:t>
      </w:r>
      <w:proofErr w:type="spellStart"/>
      <w:r w:rsidRPr="264A300B">
        <w:rPr>
          <w:rFonts w:ascii="Times New Roman" w:eastAsia="Times New Roman" w:hAnsi="Times New Roman" w:cs="Times New Roman"/>
          <w:color w:val="000000" w:themeColor="text1"/>
          <w:sz w:val="28"/>
          <w:szCs w:val="28"/>
        </w:rPr>
        <w:t>ing</w:t>
      </w:r>
      <w:proofErr w:type="spellEnd"/>
      <w:r w:rsidRPr="264A300B">
        <w:rPr>
          <w:rFonts w:ascii="Times New Roman" w:eastAsia="Times New Roman" w:hAnsi="Times New Roman" w:cs="Times New Roman"/>
          <w:color w:val="000000" w:themeColor="text1"/>
          <w:sz w:val="28"/>
          <w:szCs w:val="28"/>
        </w:rPr>
        <w:t xml:space="preserve">] </w:t>
      </w:r>
      <w:r w:rsidR="00885D64" w:rsidRPr="264A300B">
        <w:rPr>
          <w:rFonts w:ascii="Times New Roman" w:eastAsia="Times New Roman" w:hAnsi="Times New Roman" w:cs="Times New Roman"/>
          <w:color w:val="000000" w:themeColor="text1"/>
          <w:sz w:val="28"/>
          <w:szCs w:val="28"/>
        </w:rPr>
        <w:t>something off.” Th</w:t>
      </w:r>
      <w:r w:rsidRPr="264A300B">
        <w:rPr>
          <w:rFonts w:ascii="Times New Roman" w:eastAsia="Times New Roman" w:hAnsi="Times New Roman" w:cs="Times New Roman"/>
          <w:color w:val="000000" w:themeColor="text1"/>
          <w:sz w:val="28"/>
          <w:szCs w:val="28"/>
        </w:rPr>
        <w:t xml:space="preserve">e </w:t>
      </w:r>
      <w:r w:rsidR="00885D64" w:rsidRPr="264A300B">
        <w:rPr>
          <w:rFonts w:ascii="Times New Roman" w:eastAsia="Times New Roman" w:hAnsi="Times New Roman" w:cs="Times New Roman"/>
          <w:color w:val="000000" w:themeColor="text1"/>
          <w:sz w:val="28"/>
          <w:szCs w:val="28"/>
        </w:rPr>
        <w:t>detail</w:t>
      </w:r>
      <w:r w:rsidRPr="264A300B">
        <w:rPr>
          <w:rFonts w:ascii="Times New Roman" w:eastAsia="Times New Roman" w:hAnsi="Times New Roman" w:cs="Times New Roman"/>
          <w:color w:val="000000" w:themeColor="text1"/>
          <w:sz w:val="28"/>
          <w:szCs w:val="28"/>
        </w:rPr>
        <w:t xml:space="preserve"> about the errands later led to the discovery of </w:t>
      </w:r>
      <w:r w:rsidR="00885D64" w:rsidRPr="264A300B">
        <w:rPr>
          <w:rFonts w:ascii="Times New Roman" w:eastAsia="Times New Roman" w:hAnsi="Times New Roman" w:cs="Times New Roman"/>
          <w:color w:val="000000" w:themeColor="text1"/>
          <w:sz w:val="28"/>
          <w:szCs w:val="28"/>
        </w:rPr>
        <w:t>the box, the storage unit, and Exhibit 19. The compelled testimony did not merely identify a witness; it identified the category of conduct the October 31 interview went on to exploit.</w:t>
      </w:r>
    </w:p>
    <w:p w14:paraId="2E6CC71B" w14:textId="0E5D8291" w:rsidR="00885D64" w:rsidRPr="00885D64" w:rsidRDefault="00885D64" w:rsidP="00885D64">
      <w:pPr>
        <w:spacing w:after="0" w:line="480" w:lineRule="auto"/>
        <w:ind w:firstLine="720"/>
      </w:pPr>
      <w:r w:rsidRPr="00885D64">
        <w:rPr>
          <w:rFonts w:ascii="Times New Roman" w:eastAsia="Times New Roman" w:hAnsi="Times New Roman" w:cs="Times New Roman"/>
          <w:color w:val="000000"/>
          <w:kern w:val="0"/>
          <w:sz w:val="28"/>
          <w:szCs w:val="28"/>
          <w14:ligatures w14:val="none"/>
        </w:rPr>
        <w:t xml:space="preserve">Before </w:t>
      </w:r>
      <w:r w:rsidR="00FC7BC7">
        <w:rPr>
          <w:rFonts w:ascii="Times New Roman" w:eastAsia="Times New Roman" w:hAnsi="Times New Roman" w:cs="Times New Roman"/>
          <w:color w:val="000000"/>
          <w:kern w:val="0"/>
          <w:sz w:val="28"/>
          <w:szCs w:val="28"/>
          <w14:ligatures w14:val="none"/>
        </w:rPr>
        <w:t>Ms. Calloway’s testimony, no government</w:t>
      </w:r>
      <w:r w:rsidRPr="00885D64">
        <w:rPr>
          <w:rFonts w:ascii="Times New Roman" w:eastAsia="Times New Roman" w:hAnsi="Times New Roman" w:cs="Times New Roman"/>
          <w:color w:val="000000"/>
          <w:kern w:val="0"/>
          <w:sz w:val="28"/>
          <w:szCs w:val="28"/>
          <w14:ligatures w14:val="none"/>
        </w:rPr>
        <w:t xml:space="preserve"> agent had spoken to Kennedy Parker. Nolan Dep. 373-75. </w:t>
      </w:r>
      <w:r w:rsidR="00FC7BC7">
        <w:rPr>
          <w:rFonts w:ascii="Times New Roman" w:eastAsia="Times New Roman" w:hAnsi="Times New Roman" w:cs="Times New Roman"/>
          <w:color w:val="000000"/>
          <w:kern w:val="0"/>
          <w:sz w:val="28"/>
          <w:szCs w:val="28"/>
          <w14:ligatures w14:val="none"/>
        </w:rPr>
        <w:t xml:space="preserve">Ms. </w:t>
      </w:r>
      <w:r w:rsidRPr="00885D64">
        <w:rPr>
          <w:rFonts w:ascii="Times New Roman" w:eastAsia="Times New Roman" w:hAnsi="Times New Roman" w:cs="Times New Roman"/>
          <w:color w:val="000000"/>
          <w:kern w:val="0"/>
          <w:sz w:val="28"/>
          <w:szCs w:val="28"/>
          <w14:ligatures w14:val="none"/>
        </w:rPr>
        <w:t xml:space="preserve">Parker was not interviewed during the Donovan investigation because, in Agent Nolan’s words, “nothing at that point indicated Parker had information relevant” to </w:t>
      </w:r>
      <w:r w:rsidR="00FC7BC7">
        <w:rPr>
          <w:rFonts w:ascii="Times New Roman" w:eastAsia="Times New Roman" w:hAnsi="Times New Roman" w:cs="Times New Roman"/>
          <w:color w:val="000000"/>
          <w:kern w:val="0"/>
          <w:sz w:val="28"/>
          <w:szCs w:val="28"/>
          <w14:ligatures w14:val="none"/>
        </w:rPr>
        <w:t>the investigation</w:t>
      </w:r>
      <w:r w:rsidRPr="00885D64">
        <w:rPr>
          <w:rFonts w:ascii="Times New Roman" w:eastAsia="Times New Roman" w:hAnsi="Times New Roman" w:cs="Times New Roman"/>
          <w:color w:val="000000"/>
          <w:kern w:val="0"/>
          <w:sz w:val="28"/>
          <w:szCs w:val="28"/>
          <w14:ligatures w14:val="none"/>
        </w:rPr>
        <w:t xml:space="preserve">. </w:t>
      </w:r>
      <w:r w:rsidR="00EF1744">
        <w:rPr>
          <w:rFonts w:ascii="Times New Roman" w:eastAsia="Times New Roman" w:hAnsi="Times New Roman" w:cs="Times New Roman"/>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293-97. AUSA Sinclair had “no independent memory of thinking Kennedy Parker mattered one way or the other” before August 2024. Sinclair Dep. 570-76. As late as August 28, 2024, the </w:t>
      </w:r>
      <w:r w:rsidR="00FC7BC7">
        <w:rPr>
          <w:rFonts w:ascii="Times New Roman" w:eastAsia="Times New Roman" w:hAnsi="Times New Roman" w:cs="Times New Roman"/>
          <w:color w:val="000000"/>
          <w:kern w:val="0"/>
          <w:sz w:val="28"/>
          <w:szCs w:val="28"/>
          <w14:ligatures w14:val="none"/>
        </w:rPr>
        <w:t>g</w:t>
      </w:r>
      <w:r w:rsidRPr="00885D64">
        <w:rPr>
          <w:rFonts w:ascii="Times New Roman" w:eastAsia="Times New Roman" w:hAnsi="Times New Roman" w:cs="Times New Roman"/>
          <w:color w:val="000000"/>
          <w:kern w:val="0"/>
          <w:sz w:val="28"/>
          <w:szCs w:val="28"/>
          <w14:ligatures w14:val="none"/>
        </w:rPr>
        <w:t xml:space="preserve">overnment still did not know what the Christmas </w:t>
      </w:r>
      <w:r w:rsidR="0080369E">
        <w:rPr>
          <w:rFonts w:ascii="Times New Roman" w:eastAsia="Times New Roman" w:hAnsi="Times New Roman" w:cs="Times New Roman"/>
          <w:color w:val="000000"/>
          <w:kern w:val="0"/>
          <w:sz w:val="28"/>
          <w:szCs w:val="28"/>
          <w14:ligatures w14:val="none"/>
        </w:rPr>
        <w:t>p</w:t>
      </w:r>
      <w:r w:rsidDel="0080369E">
        <w:rPr>
          <w:rFonts w:ascii="Times New Roman" w:eastAsia="Times New Roman" w:hAnsi="Times New Roman" w:cs="Times New Roman"/>
          <w:color w:val="000000"/>
          <w:kern w:val="0"/>
          <w:sz w:val="28"/>
          <w:szCs w:val="28"/>
          <w14:ligatures w14:val="none"/>
        </w:rPr>
        <w:t xml:space="preserve">arty argument was about “from any source.” </w:t>
      </w:r>
      <w:r w:rsidR="00EF1744">
        <w:rPr>
          <w:rFonts w:ascii="Times New Roman" w:eastAsia="Times New Roman" w:hAnsi="Times New Roman" w:cs="Times New Roman"/>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w:t>
      </w:r>
      <w:r w:rsidDel="0080369E">
        <w:rPr>
          <w:rFonts w:ascii="Times New Roman" w:eastAsia="Times New Roman" w:hAnsi="Times New Roman" w:cs="Times New Roman"/>
          <w:color w:val="000000"/>
          <w:kern w:val="0"/>
          <w:sz w:val="28"/>
          <w:szCs w:val="28"/>
          <w14:ligatures w14:val="none"/>
        </w:rPr>
        <w:t xml:space="preserve"> 561-65. </w:t>
      </w:r>
      <w:r w:rsidR="00FC7BC7" w:rsidRPr="264A300B">
        <w:rPr>
          <w:rFonts w:ascii="Times New Roman" w:eastAsia="Times New Roman" w:hAnsi="Times New Roman" w:cs="Times New Roman"/>
          <w:color w:val="000000" w:themeColor="text1"/>
          <w:sz w:val="28"/>
          <w:szCs w:val="28"/>
        </w:rPr>
        <w:t xml:space="preserve">Ms. </w:t>
      </w:r>
      <w:r w:rsidRPr="264A300B">
        <w:rPr>
          <w:rFonts w:ascii="Times New Roman" w:eastAsia="Times New Roman" w:hAnsi="Times New Roman" w:cs="Times New Roman"/>
          <w:color w:val="000000" w:themeColor="text1"/>
          <w:sz w:val="28"/>
          <w:szCs w:val="28"/>
        </w:rPr>
        <w:t xml:space="preserve">Parker herself did not believe she </w:t>
      </w:r>
      <w:r w:rsidR="00FC7BC7" w:rsidRPr="264A300B">
        <w:rPr>
          <w:rFonts w:ascii="Times New Roman" w:eastAsia="Times New Roman" w:hAnsi="Times New Roman" w:cs="Times New Roman"/>
          <w:color w:val="000000" w:themeColor="text1"/>
          <w:sz w:val="28"/>
          <w:szCs w:val="28"/>
        </w:rPr>
        <w:t>had any relevant information</w:t>
      </w:r>
      <w:r w:rsidRPr="264A300B">
        <w:rPr>
          <w:rFonts w:ascii="Times New Roman" w:eastAsia="Times New Roman" w:hAnsi="Times New Roman" w:cs="Times New Roman"/>
          <w:color w:val="000000" w:themeColor="text1"/>
          <w:sz w:val="28"/>
          <w:szCs w:val="28"/>
        </w:rPr>
        <w:t>. Parker Dep. 227-30, 305-06.</w:t>
      </w:r>
    </w:p>
    <w:p w14:paraId="12F83601" w14:textId="04828E6A" w:rsidR="00885D64" w:rsidRPr="00885D64" w:rsidRDefault="00885D64" w:rsidP="264A300B">
      <w:pPr>
        <w:pStyle w:val="ListParagraph"/>
        <w:numPr>
          <w:ilvl w:val="0"/>
          <w:numId w:val="5"/>
        </w:numPr>
        <w:spacing w:after="0" w:line="480" w:lineRule="auto"/>
        <w:rPr>
          <w:rFonts w:ascii="Times New Roman" w:eastAsia="Times New Roman" w:hAnsi="Times New Roman" w:cs="Times New Roman"/>
          <w:b/>
          <w:bCs/>
          <w:i/>
          <w:iCs/>
          <w:color w:val="000000"/>
          <w:kern w:val="0"/>
          <w14:ligatures w14:val="none"/>
        </w:rPr>
      </w:pPr>
      <w:r w:rsidRPr="264A300B">
        <w:rPr>
          <w:rFonts w:ascii="Times New Roman" w:eastAsia="Times New Roman" w:hAnsi="Times New Roman" w:cs="Times New Roman"/>
          <w:b/>
          <w:bCs/>
          <w:i/>
          <w:iCs/>
          <w:color w:val="000000" w:themeColor="text1"/>
          <w:sz w:val="28"/>
          <w:szCs w:val="28"/>
        </w:rPr>
        <w:lastRenderedPageBreak/>
        <w:t>Knowing Parker’s name is not knowing her account, and Exhibits 16 and 17 establish only the former.</w:t>
      </w:r>
    </w:p>
    <w:p w14:paraId="573C72D2"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450DC472" w14:textId="6957A96F"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A finding that witness names were independently derived “does not dispose of the ‘content-of-testimony’ </w:t>
      </w:r>
      <w:r w:rsidRPr="00885D64">
        <w:rPr>
          <w:rFonts w:ascii="Times New Roman" w:eastAsia="Times New Roman" w:hAnsi="Times New Roman" w:cs="Times New Roman"/>
          <w:i/>
          <w:iCs/>
          <w:color w:val="000000"/>
          <w:kern w:val="0"/>
          <w:sz w:val="28"/>
          <w:szCs w:val="28"/>
          <w14:ligatures w14:val="none"/>
        </w:rPr>
        <w:t>Kastigar</w:t>
      </w:r>
      <w:r w:rsidRPr="00885D64">
        <w:rPr>
          <w:rFonts w:ascii="Times New Roman" w:eastAsia="Times New Roman" w:hAnsi="Times New Roman" w:cs="Times New Roman"/>
          <w:color w:val="000000"/>
          <w:kern w:val="0"/>
          <w:sz w:val="28"/>
          <w:szCs w:val="28"/>
          <w14:ligatures w14:val="none"/>
        </w:rPr>
        <w:t xml:space="preserve"> problem,” because it says nothing about “the extent to which the substantive content of the witnesses’ testimony may have been shaped, altered, or affected by the immunized testimony.” </w:t>
      </w:r>
      <w:r w:rsidRPr="00885D64">
        <w:rPr>
          <w:rFonts w:ascii="Times New Roman" w:eastAsia="Times New Roman" w:hAnsi="Times New Roman" w:cs="Times New Roman"/>
          <w:i/>
          <w:iCs/>
          <w:color w:val="000000"/>
          <w:kern w:val="0"/>
          <w:sz w:val="28"/>
          <w:szCs w:val="28"/>
          <w14:ligatures w14:val="none"/>
        </w:rPr>
        <w:t>North I</w:t>
      </w:r>
      <w:r w:rsidRPr="00885D64">
        <w:rPr>
          <w:rFonts w:ascii="Times New Roman" w:eastAsia="Times New Roman" w:hAnsi="Times New Roman" w:cs="Times New Roman"/>
          <w:color w:val="000000"/>
          <w:kern w:val="0"/>
          <w:sz w:val="28"/>
          <w:szCs w:val="28"/>
          <w14:ligatures w14:val="none"/>
        </w:rPr>
        <w:t>, 910 F.2d at 860, 863</w:t>
      </w:r>
      <w:r w:rsidR="00E47390">
        <w:rPr>
          <w:rFonts w:ascii="Times New Roman" w:eastAsia="Times New Roman" w:hAnsi="Times New Roman" w:cs="Times New Roman"/>
          <w:color w:val="000000"/>
          <w:kern w:val="0"/>
          <w:sz w:val="28"/>
          <w:szCs w:val="28"/>
          <w14:ligatures w14:val="none"/>
        </w:rPr>
        <w:fldChar w:fldCharType="begin"/>
      </w:r>
      <w:r w:rsidR="00E47390">
        <w:instrText xml:space="preserve"> TA \s "United States v. North, 910 F.2d 843, 872 (D.C. Cir. 1990) (North I)" </w:instrText>
      </w:r>
      <w:r w:rsidR="00E47390">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To cure, the Government may show that the witness was never exposed to the compelled testimony, or that her account “contains no evidence not ‘canned’ by the prosecution before such exposure occurred.”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at 872</w:t>
      </w:r>
      <w:r w:rsidR="00E47390">
        <w:rPr>
          <w:rFonts w:ascii="Times New Roman" w:eastAsia="Times New Roman" w:hAnsi="Times New Roman" w:cs="Times New Roman"/>
          <w:color w:val="000000"/>
          <w:kern w:val="0"/>
          <w:sz w:val="28"/>
          <w:szCs w:val="28"/>
          <w14:ligatures w14:val="none"/>
        </w:rPr>
        <w:fldChar w:fldCharType="begin"/>
      </w:r>
      <w:r w:rsidR="00E47390">
        <w:instrText xml:space="preserve"> TA \s "United States v. North, 910 F.2d 843, 872 (D.C. Cir. 1990) (North I)" </w:instrText>
      </w:r>
      <w:r w:rsidR="00E47390">
        <w:rPr>
          <w:rFonts w:ascii="Times New Roman" w:eastAsia="Times New Roman" w:hAnsi="Times New Roman" w:cs="Times New Roman"/>
          <w:color w:val="000000"/>
          <w:kern w:val="0"/>
          <w:sz w:val="28"/>
          <w:szCs w:val="28"/>
          <w14:ligatures w14:val="none"/>
        </w:rPr>
        <w:fldChar w:fldCharType="end"/>
      </w:r>
      <w:r w:rsidR="00570D33">
        <w:rPr>
          <w:rFonts w:ascii="Times New Roman" w:eastAsia="Times New Roman" w:hAnsi="Times New Roman" w:cs="Times New Roman"/>
          <w:color w:val="000000"/>
          <w:kern w:val="0"/>
          <w:sz w:val="28"/>
          <w:szCs w:val="28"/>
          <w14:ligatures w14:val="none"/>
        </w:rPr>
        <w:t>.</w:t>
      </w:r>
    </w:p>
    <w:p w14:paraId="3C36214E" w14:textId="6FA4F8DE" w:rsidR="00885D64" w:rsidRPr="00885D64" w:rsidRDefault="00885D64" w:rsidP="264A300B">
      <w:pPr>
        <w:spacing w:after="0" w:line="480" w:lineRule="auto"/>
        <w:ind w:firstLine="720"/>
        <w:rPr>
          <w:rFonts w:ascii="Times New Roman" w:eastAsia="Times New Roman" w:hAnsi="Times New Roman" w:cs="Times New Roman"/>
          <w:kern w:val="0"/>
          <w14:ligatures w14:val="none"/>
        </w:rPr>
      </w:pPr>
      <w:r w:rsidRPr="264A300B">
        <w:rPr>
          <w:rFonts w:ascii="Times New Roman" w:eastAsia="Times New Roman" w:hAnsi="Times New Roman" w:cs="Times New Roman"/>
          <w:color w:val="000000" w:themeColor="text1"/>
          <w:sz w:val="28"/>
          <w:szCs w:val="28"/>
        </w:rPr>
        <w:t xml:space="preserve">The government can do neither here. Exhibit 16 identifies a category rather than a person: it directs the team to return to the Silver Palms employees who worked during Blake’s investigation throughout 2023. Nolan Dep. 255-67. Exhibit 17 records a name, a department, a one-line note, and a 2023 shift count. A witness first interviewed three weeks after the compelled testimony has, by definition, nothing canned. Where the prosecution has failed to can a witness’s account, “it may well be extremely difficult for the prosecutor to sustain its burden of proof that a witness exposed to immunized testimony has not shaped his or her testimony in light of the exposure.” </w:t>
      </w:r>
      <w:r w:rsidRPr="264A300B">
        <w:rPr>
          <w:rFonts w:ascii="Times New Roman" w:eastAsia="Times New Roman" w:hAnsi="Times New Roman" w:cs="Times New Roman"/>
          <w:i/>
          <w:iCs/>
          <w:color w:val="000000" w:themeColor="text1"/>
          <w:sz w:val="28"/>
          <w:szCs w:val="28"/>
        </w:rPr>
        <w:t>United States v. Poindexter</w:t>
      </w:r>
      <w:r w:rsidRPr="264A300B">
        <w:rPr>
          <w:rFonts w:ascii="Times New Roman" w:eastAsia="Times New Roman" w:hAnsi="Times New Roman" w:cs="Times New Roman"/>
          <w:color w:val="000000" w:themeColor="text1"/>
          <w:sz w:val="28"/>
          <w:szCs w:val="28"/>
        </w:rPr>
        <w:t>, 951 F.2d 369, 396 (D.C. Cir. 1991)</w:t>
      </w:r>
      <w:r w:rsidR="00E47390">
        <w:rPr>
          <w:rFonts w:ascii="Times New Roman" w:eastAsia="Times New Roman" w:hAnsi="Times New Roman" w:cs="Times New Roman"/>
          <w:color w:val="000000" w:themeColor="text1"/>
          <w:sz w:val="28"/>
          <w:szCs w:val="28"/>
        </w:rPr>
        <w:fldChar w:fldCharType="begin"/>
      </w:r>
      <w:r w:rsidR="00E47390">
        <w:instrText xml:space="preserve"> TA \l "</w:instrText>
      </w:r>
      <w:r w:rsidR="00E47390" w:rsidRPr="00FD3F35">
        <w:rPr>
          <w:rFonts w:ascii="Times New Roman" w:eastAsia="Times New Roman" w:hAnsi="Times New Roman" w:cs="Times New Roman"/>
          <w:i/>
          <w:iCs/>
          <w:color w:val="000000" w:themeColor="text1"/>
          <w:sz w:val="28"/>
          <w:szCs w:val="28"/>
        </w:rPr>
        <w:instrText>United States v. Poindexter</w:instrText>
      </w:r>
      <w:r w:rsidR="00E47390" w:rsidRPr="00FD3F35">
        <w:rPr>
          <w:rFonts w:ascii="Times New Roman" w:eastAsia="Times New Roman" w:hAnsi="Times New Roman" w:cs="Times New Roman"/>
          <w:color w:val="000000" w:themeColor="text1"/>
          <w:sz w:val="28"/>
          <w:szCs w:val="28"/>
        </w:rPr>
        <w:instrText>, 951 F.2d 369, 396 (D.C. Cir. 1991)</w:instrText>
      </w:r>
      <w:r w:rsidR="00E47390">
        <w:instrText xml:space="preserve">" \s "United States v. Poindexter, 951 F.2d 369 (D.C. Cir. 1991)" \c 1 </w:instrText>
      </w:r>
      <w:r w:rsidR="00E47390">
        <w:rPr>
          <w:rFonts w:ascii="Times New Roman" w:eastAsia="Times New Roman" w:hAnsi="Times New Roman" w:cs="Times New Roman"/>
          <w:color w:val="000000" w:themeColor="text1"/>
          <w:sz w:val="28"/>
          <w:szCs w:val="28"/>
        </w:rPr>
        <w:fldChar w:fldCharType="end"/>
      </w:r>
      <w:r w:rsidRPr="264A300B">
        <w:rPr>
          <w:rFonts w:ascii="Times New Roman" w:eastAsia="Times New Roman" w:hAnsi="Times New Roman" w:cs="Times New Roman"/>
          <w:color w:val="000000" w:themeColor="text1"/>
          <w:sz w:val="28"/>
          <w:szCs w:val="28"/>
        </w:rPr>
        <w:t>.</w:t>
      </w:r>
    </w:p>
    <w:p w14:paraId="03A889A7" w14:textId="77777777" w:rsidR="00885D64" w:rsidRPr="00885D64" w:rsidRDefault="00885D64" w:rsidP="264A300B">
      <w:pPr>
        <w:pStyle w:val="ListParagraph"/>
        <w:numPr>
          <w:ilvl w:val="0"/>
          <w:numId w:val="5"/>
        </w:numPr>
        <w:spacing w:before="280" w:after="80" w:line="240" w:lineRule="auto"/>
        <w:textAlignment w:val="baseline"/>
        <w:outlineLvl w:val="3"/>
        <w:rPr>
          <w:rFonts w:ascii="Times New Roman" w:eastAsia="Times New Roman" w:hAnsi="Times New Roman" w:cs="Times New Roman"/>
          <w:b/>
          <w:bCs/>
          <w:i/>
          <w:iCs/>
          <w:color w:val="000000"/>
          <w:kern w:val="0"/>
          <w14:ligatures w14:val="none"/>
        </w:rPr>
      </w:pPr>
      <w:r w:rsidRPr="264A300B">
        <w:rPr>
          <w:rFonts w:ascii="Times New Roman" w:eastAsia="Times New Roman" w:hAnsi="Times New Roman" w:cs="Times New Roman"/>
          <w:b/>
          <w:bCs/>
          <w:i/>
          <w:iCs/>
          <w:color w:val="000000"/>
          <w:kern w:val="0"/>
          <w:sz w:val="28"/>
          <w:szCs w:val="28"/>
          <w14:ligatures w14:val="none"/>
        </w:rPr>
        <w:lastRenderedPageBreak/>
        <w:t>An assertion that the agent would have found the evidence anyway is not proof of an independent source.</w:t>
      </w:r>
    </w:p>
    <w:p w14:paraId="73B576C0"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13998E9A" w14:textId="6D9137DB"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264A300B">
        <w:rPr>
          <w:rFonts w:ascii="Times New Roman" w:eastAsia="Times New Roman" w:hAnsi="Times New Roman" w:cs="Times New Roman"/>
          <w:color w:val="000000" w:themeColor="text1"/>
          <w:sz w:val="28"/>
          <w:szCs w:val="28"/>
        </w:rPr>
        <w:t xml:space="preserve">Agent Nolan testified that Parker “was on the list of employees </w:t>
      </w:r>
      <w:r w:rsidR="00FC7BC7" w:rsidRPr="264A300B">
        <w:rPr>
          <w:rFonts w:ascii="Times New Roman" w:eastAsia="Times New Roman" w:hAnsi="Times New Roman" w:cs="Times New Roman"/>
          <w:color w:val="000000" w:themeColor="text1"/>
          <w:sz w:val="28"/>
          <w:szCs w:val="28"/>
        </w:rPr>
        <w:t>[he]</w:t>
      </w:r>
      <w:r w:rsidRPr="264A300B">
        <w:rPr>
          <w:rFonts w:ascii="Times New Roman" w:eastAsia="Times New Roman" w:hAnsi="Times New Roman" w:cs="Times New Roman"/>
          <w:color w:val="000000" w:themeColor="text1"/>
          <w:sz w:val="28"/>
          <w:szCs w:val="28"/>
        </w:rPr>
        <w:t xml:space="preserve"> had already planned to come back to since August 2024. So, </w:t>
      </w:r>
      <w:r w:rsidR="00FC7BC7" w:rsidRPr="264A300B">
        <w:rPr>
          <w:rFonts w:ascii="Times New Roman" w:eastAsia="Times New Roman" w:hAnsi="Times New Roman" w:cs="Times New Roman"/>
          <w:color w:val="000000" w:themeColor="text1"/>
          <w:sz w:val="28"/>
          <w:szCs w:val="28"/>
        </w:rPr>
        <w:t>[he]</w:t>
      </w:r>
      <w:r w:rsidRPr="264A300B">
        <w:rPr>
          <w:rFonts w:ascii="Times New Roman" w:eastAsia="Times New Roman" w:hAnsi="Times New Roman" w:cs="Times New Roman"/>
          <w:color w:val="000000" w:themeColor="text1"/>
          <w:sz w:val="28"/>
          <w:szCs w:val="28"/>
        </w:rPr>
        <w:t xml:space="preserve"> would’ve found it one way or another.” Nolan Dep. 346-50. A prosecution “cannot escape its error simply by showing the availability of ‘wholly independent’ evidence from which it might have procured indictment or conviction had it not used the immunized testimony.” </w:t>
      </w:r>
      <w:r w:rsidRPr="264A300B">
        <w:rPr>
          <w:rFonts w:ascii="Times New Roman" w:eastAsia="Times New Roman" w:hAnsi="Times New Roman" w:cs="Times New Roman"/>
          <w:i/>
          <w:iCs/>
          <w:color w:val="000000" w:themeColor="text1"/>
          <w:sz w:val="28"/>
          <w:szCs w:val="28"/>
        </w:rPr>
        <w:t>United States v. Pelletier</w:t>
      </w:r>
      <w:r w:rsidRPr="264A300B">
        <w:rPr>
          <w:rFonts w:ascii="Times New Roman" w:eastAsia="Times New Roman" w:hAnsi="Times New Roman" w:cs="Times New Roman"/>
          <w:color w:val="000000" w:themeColor="text1"/>
          <w:sz w:val="28"/>
          <w:szCs w:val="28"/>
        </w:rPr>
        <w:t>, 898 F.2d 297, 303 (2d Cir. 1990)</w:t>
      </w:r>
      <w:r w:rsidR="00E47390">
        <w:rPr>
          <w:rFonts w:ascii="Times New Roman" w:eastAsia="Times New Roman" w:hAnsi="Times New Roman" w:cs="Times New Roman"/>
          <w:color w:val="000000" w:themeColor="text1"/>
          <w:sz w:val="28"/>
          <w:szCs w:val="28"/>
        </w:rPr>
        <w:fldChar w:fldCharType="begin"/>
      </w:r>
      <w:r w:rsidR="00E47390">
        <w:instrText xml:space="preserve"> TA \l "</w:instrText>
      </w:r>
      <w:r w:rsidR="00E47390" w:rsidRPr="007C751E">
        <w:rPr>
          <w:rFonts w:ascii="Times New Roman" w:eastAsia="Times New Roman" w:hAnsi="Times New Roman" w:cs="Times New Roman"/>
          <w:i/>
          <w:iCs/>
          <w:color w:val="000000" w:themeColor="text1"/>
          <w:sz w:val="28"/>
          <w:szCs w:val="28"/>
        </w:rPr>
        <w:instrText>United States v. Pelletier</w:instrText>
      </w:r>
      <w:r w:rsidR="00E47390" w:rsidRPr="007C751E">
        <w:rPr>
          <w:rFonts w:ascii="Times New Roman" w:eastAsia="Times New Roman" w:hAnsi="Times New Roman" w:cs="Times New Roman"/>
          <w:color w:val="000000" w:themeColor="text1"/>
          <w:sz w:val="28"/>
          <w:szCs w:val="28"/>
        </w:rPr>
        <w:instrText>, 898 F.2d 297, 303 (2d Cir. 1990)</w:instrText>
      </w:r>
      <w:r w:rsidR="00E47390">
        <w:instrText xml:space="preserve">" \s "United States v. Pelletier, 898 F.2d 297 (2d Cir. 1990)" \c 1 </w:instrText>
      </w:r>
      <w:r w:rsidR="00E47390">
        <w:rPr>
          <w:rFonts w:ascii="Times New Roman" w:eastAsia="Times New Roman" w:hAnsi="Times New Roman" w:cs="Times New Roman"/>
          <w:color w:val="000000" w:themeColor="text1"/>
          <w:sz w:val="28"/>
          <w:szCs w:val="28"/>
        </w:rPr>
        <w:fldChar w:fldCharType="end"/>
      </w:r>
      <w:r w:rsidRPr="264A300B">
        <w:rPr>
          <w:rFonts w:ascii="Times New Roman" w:eastAsia="Times New Roman" w:hAnsi="Times New Roman" w:cs="Times New Roman"/>
          <w:color w:val="000000" w:themeColor="text1"/>
          <w:sz w:val="28"/>
          <w:szCs w:val="28"/>
        </w:rPr>
        <w:t>. </w:t>
      </w:r>
    </w:p>
    <w:p w14:paraId="05005E53" w14:textId="56E5396D"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In </w:t>
      </w:r>
      <w:r w:rsidRPr="00885D64">
        <w:rPr>
          <w:rFonts w:ascii="Times New Roman" w:eastAsia="Times New Roman" w:hAnsi="Times New Roman" w:cs="Times New Roman"/>
          <w:i/>
          <w:iCs/>
          <w:color w:val="000000"/>
          <w:kern w:val="0"/>
          <w:sz w:val="28"/>
          <w:szCs w:val="28"/>
          <w14:ligatures w14:val="none"/>
        </w:rPr>
        <w:t>Hubbell</w:t>
      </w:r>
      <w:r w:rsidRPr="00885D64">
        <w:rPr>
          <w:rFonts w:ascii="Times New Roman" w:eastAsia="Times New Roman" w:hAnsi="Times New Roman" w:cs="Times New Roman"/>
          <w:color w:val="000000"/>
          <w:kern w:val="0"/>
          <w:sz w:val="28"/>
          <w:szCs w:val="28"/>
          <w14:ligatures w14:val="none"/>
        </w:rPr>
        <w:t xml:space="preserve">, the Government </w:t>
      </w:r>
      <w:r w:rsidR="00737872">
        <w:rPr>
          <w:rFonts w:ascii="Times New Roman" w:eastAsia="Times New Roman" w:hAnsi="Times New Roman" w:cs="Times New Roman"/>
          <w:color w:val="000000"/>
          <w:kern w:val="0"/>
          <w:sz w:val="28"/>
          <w:szCs w:val="28"/>
          <w14:ligatures w14:val="none"/>
        </w:rPr>
        <w:t>argued</w:t>
      </w:r>
      <w:r w:rsidRPr="00885D64">
        <w:rPr>
          <w:rFonts w:ascii="Times New Roman" w:eastAsia="Times New Roman" w:hAnsi="Times New Roman" w:cs="Times New Roman"/>
          <w:color w:val="000000"/>
          <w:kern w:val="0"/>
          <w:sz w:val="28"/>
          <w:szCs w:val="28"/>
          <w14:ligatures w14:val="none"/>
        </w:rPr>
        <w:t xml:space="preserve"> that a businessman “will always possess general business and tax records” of the kind subpoenaed. The Court held that it “cannot cure this deficiency through the overbroad argument.” 530 U.S. at 45</w:t>
      </w:r>
      <w:r w:rsidR="00E47390">
        <w:rPr>
          <w:rFonts w:ascii="Times New Roman" w:eastAsia="Times New Roman" w:hAnsi="Times New Roman" w:cs="Times New Roman"/>
          <w:color w:val="000000"/>
          <w:kern w:val="0"/>
          <w:sz w:val="28"/>
          <w:szCs w:val="28"/>
          <w14:ligatures w14:val="none"/>
        </w:rPr>
        <w:fldChar w:fldCharType="begin"/>
      </w:r>
      <w:r w:rsidR="00E47390">
        <w:instrText xml:space="preserve"> TA \s "United States v. Hubbell, 530 U.S. 27 (2000)" </w:instrText>
      </w:r>
      <w:r w:rsidR="00E47390">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It also rejected the Government’s attempt to place on the defendant the burden of showing a substantial relation between the compelled testimony and the evidence used.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at 46. The </w:t>
      </w:r>
      <w:r w:rsidR="00737872">
        <w:rPr>
          <w:rFonts w:ascii="Times New Roman" w:eastAsia="Times New Roman" w:hAnsi="Times New Roman" w:cs="Times New Roman"/>
          <w:color w:val="000000"/>
          <w:kern w:val="0"/>
          <w:sz w:val="28"/>
          <w:szCs w:val="28"/>
          <w14:ligatures w14:val="none"/>
        </w:rPr>
        <w:t>contention</w:t>
      </w:r>
      <w:r w:rsidRPr="00885D64">
        <w:rPr>
          <w:rFonts w:ascii="Times New Roman" w:eastAsia="Times New Roman" w:hAnsi="Times New Roman" w:cs="Times New Roman"/>
          <w:color w:val="000000"/>
          <w:kern w:val="0"/>
          <w:sz w:val="28"/>
          <w:szCs w:val="28"/>
          <w14:ligatures w14:val="none"/>
        </w:rPr>
        <w:t xml:space="preserve"> that </w:t>
      </w:r>
      <w:r w:rsidR="00737872">
        <w:rPr>
          <w:rFonts w:ascii="Times New Roman" w:eastAsia="Times New Roman" w:hAnsi="Times New Roman" w:cs="Times New Roman"/>
          <w:color w:val="000000"/>
          <w:kern w:val="0"/>
          <w:sz w:val="28"/>
          <w:szCs w:val="28"/>
          <w14:ligatures w14:val="none"/>
        </w:rPr>
        <w:t>an</w:t>
      </w:r>
      <w:r w:rsidRPr="00885D64">
        <w:rPr>
          <w:rFonts w:ascii="Times New Roman" w:eastAsia="Times New Roman" w:hAnsi="Times New Roman" w:cs="Times New Roman"/>
          <w:color w:val="000000"/>
          <w:kern w:val="0"/>
          <w:sz w:val="28"/>
          <w:szCs w:val="28"/>
          <w14:ligatures w14:val="none"/>
        </w:rPr>
        <w:t xml:space="preserve"> employee would eventually have been interviewed is the same move, particularly one barely distinct from a list of dozens.</w:t>
      </w:r>
    </w:p>
    <w:p w14:paraId="7A2F485A" w14:textId="6C1D2DBD"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In contrast, in </w:t>
      </w:r>
      <w:r w:rsidRPr="00885D64">
        <w:rPr>
          <w:rFonts w:ascii="Times New Roman" w:eastAsia="Times New Roman" w:hAnsi="Times New Roman" w:cs="Times New Roman"/>
          <w:i/>
          <w:iCs/>
          <w:color w:val="000000"/>
          <w:kern w:val="0"/>
          <w:sz w:val="28"/>
          <w:szCs w:val="28"/>
          <w14:ligatures w14:val="none"/>
        </w:rPr>
        <w:t>Montoya,</w:t>
      </w:r>
      <w:r w:rsidRPr="00885D64">
        <w:rPr>
          <w:rFonts w:ascii="Times New Roman" w:eastAsia="Times New Roman" w:hAnsi="Times New Roman" w:cs="Times New Roman"/>
          <w:color w:val="000000"/>
          <w:kern w:val="0"/>
          <w:sz w:val="28"/>
          <w:szCs w:val="28"/>
          <w14:ligatures w14:val="none"/>
        </w:rPr>
        <w:t xml:space="preserve"> the case agent listed each investigatory action taken after the immunized interview and “tie[d] each one to a lead obtained well before that date.” 45 F.3d at 1292-93</w:t>
      </w:r>
      <w:r w:rsidR="00E47390">
        <w:rPr>
          <w:rFonts w:ascii="Times New Roman" w:eastAsia="Times New Roman" w:hAnsi="Times New Roman" w:cs="Times New Roman"/>
          <w:color w:val="000000"/>
          <w:kern w:val="0"/>
          <w:sz w:val="28"/>
          <w:szCs w:val="28"/>
          <w14:ligatures w14:val="none"/>
        </w:rPr>
        <w:fldChar w:fldCharType="begin"/>
      </w:r>
      <w:r w:rsidR="00E47390">
        <w:instrText xml:space="preserve"> TA \s "United States v. Montoya, 45 F.3d 1286 (9th Cir. 1995)" </w:instrText>
      </w:r>
      <w:r w:rsidR="00E47390">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Agent Nolan has tied nothing. He points to a category of employees and to a ranking he then departed from, reaching Parker seventh while skipping the fourth and sixth names, seven days after the Donovan conviction and twenty-one days after the compelled testimony. Nolan Dep. 303-06. </w:t>
      </w:r>
      <w:r w:rsidRPr="00885D64">
        <w:rPr>
          <w:rFonts w:ascii="Times New Roman" w:eastAsia="Times New Roman" w:hAnsi="Times New Roman" w:cs="Times New Roman"/>
          <w:color w:val="000000"/>
          <w:kern w:val="0"/>
          <w:sz w:val="28"/>
          <w:szCs w:val="28"/>
          <w14:ligatures w14:val="none"/>
        </w:rPr>
        <w:lastRenderedPageBreak/>
        <w:t xml:space="preserve">The roster ran to roughly one hundred people and he estimated that working through it would take months. </w:t>
      </w:r>
      <w:r w:rsidR="002F3EE7">
        <w:rPr>
          <w:rFonts w:ascii="Times New Roman" w:eastAsia="Times New Roman" w:hAnsi="Times New Roman" w:cs="Times New Roman"/>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277-88. </w:t>
      </w:r>
    </w:p>
    <w:p w14:paraId="6FC33137" w14:textId="0EE2B1F5" w:rsidR="00885D64" w:rsidRPr="00885D64" w:rsidRDefault="00885D64" w:rsidP="00885D64">
      <w:pPr>
        <w:numPr>
          <w:ilvl w:val="0"/>
          <w:numId w:val="8"/>
        </w:numPr>
        <w:spacing w:before="320" w:after="80" w:line="240" w:lineRule="auto"/>
        <w:ind w:left="1440"/>
        <w:textAlignment w:val="baseline"/>
        <w:outlineLvl w:val="2"/>
        <w:rPr>
          <w:rFonts w:ascii="Times New Roman" w:eastAsia="Times New Roman" w:hAnsi="Times New Roman" w:cs="Times New Roman"/>
          <w:kern w:val="0"/>
          <w14:ligatures w14:val="none"/>
        </w:rPr>
      </w:pPr>
      <w:r w:rsidRPr="00885D64">
        <w:rPr>
          <w:rFonts w:ascii="Times New Roman" w:eastAsia="Times New Roman" w:hAnsi="Times New Roman" w:cs="Times New Roman"/>
          <w:b/>
          <w:bCs/>
          <w:color w:val="000000"/>
          <w:kern w:val="0"/>
          <w:sz w:val="28"/>
          <w:szCs w:val="28"/>
          <w14:ligatures w14:val="none"/>
        </w:rPr>
        <w:t>The Government cannot prove that the October 31 interview, or Parker’s account of it, was unaffected by the compelled testimony.</w:t>
      </w:r>
      <w:r>
        <w:br/>
      </w:r>
    </w:p>
    <w:p w14:paraId="2E44002C" w14:textId="77777777" w:rsidR="00885D64" w:rsidRPr="00885D64" w:rsidRDefault="00885D64" w:rsidP="00885D64">
      <w:pPr>
        <w:numPr>
          <w:ilvl w:val="0"/>
          <w:numId w:val="9"/>
        </w:numPr>
        <w:spacing w:before="280" w:after="80" w:line="240" w:lineRule="auto"/>
        <w:ind w:left="2160"/>
        <w:textAlignment w:val="baseline"/>
        <w:outlineLvl w:val="3"/>
        <w:rPr>
          <w:rFonts w:ascii="Times New Roman" w:eastAsia="Times New Roman" w:hAnsi="Times New Roman" w:cs="Times New Roman"/>
          <w:b/>
          <w:bCs/>
          <w:i/>
          <w:iCs/>
          <w:color w:val="000000"/>
          <w:kern w:val="0"/>
          <w14:ligatures w14:val="none"/>
        </w:rPr>
      </w:pPr>
      <w:r w:rsidRPr="00885D64">
        <w:rPr>
          <w:rFonts w:ascii="Times New Roman" w:eastAsia="Times New Roman" w:hAnsi="Times New Roman" w:cs="Times New Roman"/>
          <w:b/>
          <w:bCs/>
          <w:i/>
          <w:iCs/>
          <w:color w:val="000000"/>
          <w:kern w:val="0"/>
          <w:sz w:val="28"/>
          <w:szCs w:val="28"/>
          <w14:ligatures w14:val="none"/>
        </w:rPr>
        <w:t>The Government created no record of the interview it must now defend.</w:t>
      </w:r>
    </w:p>
    <w:p w14:paraId="01C765D7"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599A9204" w14:textId="44CF6B9A"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i/>
          <w:iCs/>
          <w:color w:val="000000"/>
          <w:kern w:val="0"/>
          <w:sz w:val="28"/>
          <w:szCs w:val="28"/>
          <w14:ligatures w14:val="none"/>
        </w:rPr>
        <w:t>Kastigar</w:t>
      </w:r>
      <w:r w:rsidRPr="00885D64">
        <w:rPr>
          <w:rFonts w:ascii="Times New Roman" w:eastAsia="Times New Roman" w:hAnsi="Times New Roman" w:cs="Times New Roman"/>
          <w:color w:val="000000"/>
          <w:kern w:val="0"/>
          <w:sz w:val="28"/>
          <w:szCs w:val="28"/>
          <w14:ligatures w14:val="none"/>
        </w:rPr>
        <w:t xml:space="preserve"> is violated whenever the prosecution presents a witness whose testimony is “shaped, directly or indirectly, by immunized testimony, regardless of how or by whom the witness was exposed to that testimony,” and prohibited indirect derivation “includes using immunized testimony to help shape the questioning of another witness.” </w:t>
      </w:r>
      <w:r w:rsidRPr="00885D64">
        <w:rPr>
          <w:rFonts w:ascii="Times New Roman" w:eastAsia="Times New Roman" w:hAnsi="Times New Roman" w:cs="Times New Roman"/>
          <w:i/>
          <w:iCs/>
          <w:color w:val="000000"/>
          <w:kern w:val="0"/>
          <w:sz w:val="28"/>
          <w:szCs w:val="28"/>
          <w14:ligatures w14:val="none"/>
        </w:rPr>
        <w:t>Schmidgall</w:t>
      </w:r>
      <w:r w:rsidRPr="00885D64">
        <w:rPr>
          <w:rFonts w:ascii="Times New Roman" w:eastAsia="Times New Roman" w:hAnsi="Times New Roman" w:cs="Times New Roman"/>
          <w:color w:val="000000"/>
          <w:kern w:val="0"/>
          <w:sz w:val="28"/>
          <w:szCs w:val="28"/>
          <w14:ligatures w14:val="none"/>
        </w:rPr>
        <w:t>, 25 F.3d at 1528</w:t>
      </w:r>
      <w:r w:rsidR="00E47390">
        <w:rPr>
          <w:rFonts w:ascii="Times New Roman" w:eastAsia="Times New Roman" w:hAnsi="Times New Roman" w:cs="Times New Roman"/>
          <w:color w:val="000000"/>
          <w:kern w:val="0"/>
          <w:sz w:val="28"/>
          <w:szCs w:val="28"/>
          <w14:ligatures w14:val="none"/>
        </w:rPr>
        <w:fldChar w:fldCharType="begin"/>
      </w:r>
      <w:r w:rsidR="00E47390">
        <w:instrText xml:space="preserve"> TA \s "United States v. Schmidgall, 25 F.3d 1523 (11th Cir. 1994)" </w:instrText>
      </w:r>
      <w:r w:rsidR="00E47390">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The bar likewise reaches “the use of immunized testimony by witnesses to refresh their memories, or otherwise to focus their thoughts, organize their testimony, or alter their prior or contemporaneous statements.” </w:t>
      </w:r>
      <w:r w:rsidRPr="00885D64">
        <w:rPr>
          <w:rFonts w:ascii="Times New Roman" w:eastAsia="Times New Roman" w:hAnsi="Times New Roman" w:cs="Times New Roman"/>
          <w:i/>
          <w:iCs/>
          <w:color w:val="000000"/>
          <w:kern w:val="0"/>
          <w:sz w:val="28"/>
          <w:szCs w:val="28"/>
          <w14:ligatures w14:val="none"/>
        </w:rPr>
        <w:t>North I</w:t>
      </w:r>
      <w:r w:rsidRPr="00885D64">
        <w:rPr>
          <w:rFonts w:ascii="Times New Roman" w:eastAsia="Times New Roman" w:hAnsi="Times New Roman" w:cs="Times New Roman"/>
          <w:color w:val="000000"/>
          <w:kern w:val="0"/>
          <w:sz w:val="28"/>
          <w:szCs w:val="28"/>
          <w14:ligatures w14:val="none"/>
        </w:rPr>
        <w:t>, 910 F.2d at 860</w:t>
      </w:r>
      <w:r w:rsidR="00E47390">
        <w:rPr>
          <w:rFonts w:ascii="Times New Roman" w:eastAsia="Times New Roman" w:hAnsi="Times New Roman" w:cs="Times New Roman"/>
          <w:color w:val="000000"/>
          <w:kern w:val="0"/>
          <w:sz w:val="28"/>
          <w:szCs w:val="28"/>
          <w14:ligatures w14:val="none"/>
        </w:rPr>
        <w:fldChar w:fldCharType="begin"/>
      </w:r>
      <w:r w:rsidR="00E47390">
        <w:instrText xml:space="preserve"> TA \s "United States v. North, 910 F.2d 843, 872 (D.C. Cir. 1990) (North I)" </w:instrText>
      </w:r>
      <w:r w:rsidR="00E47390">
        <w:rPr>
          <w:rFonts w:ascii="Times New Roman" w:eastAsia="Times New Roman" w:hAnsi="Times New Roman" w:cs="Times New Roman"/>
          <w:color w:val="000000"/>
          <w:kern w:val="0"/>
          <w:sz w:val="28"/>
          <w:szCs w:val="28"/>
          <w14:ligatures w14:val="none"/>
        </w:rPr>
        <w:fldChar w:fldCharType="end"/>
      </w:r>
      <w:r w:rsidR="00CB46FB">
        <w:rPr>
          <w:rFonts w:ascii="Times New Roman" w:eastAsia="Times New Roman" w:hAnsi="Times New Roman" w:cs="Times New Roman"/>
          <w:color w:val="000000"/>
          <w:kern w:val="0"/>
          <w:sz w:val="28"/>
          <w:szCs w:val="28"/>
          <w14:ligatures w14:val="none"/>
        </w:rPr>
        <w:fldChar w:fldCharType="begin"/>
      </w:r>
      <w:r w:rsidR="00CB46FB">
        <w:instrText xml:space="preserve"> TA \s "United States v. North, 910 F.2d 843, 872 (D.C. Cir. 1990) (North I)" </w:instrText>
      </w:r>
      <w:r w:rsidR="00CB46FB">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w:t>
      </w:r>
    </w:p>
    <w:p w14:paraId="19E0840A" w14:textId="750772E1"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In </w:t>
      </w:r>
      <w:r w:rsidRPr="00885D64">
        <w:rPr>
          <w:rFonts w:ascii="Times New Roman" w:eastAsia="Times New Roman" w:hAnsi="Times New Roman" w:cs="Times New Roman"/>
          <w:i/>
          <w:iCs/>
          <w:color w:val="000000"/>
          <w:kern w:val="0"/>
          <w:sz w:val="28"/>
          <w:szCs w:val="28"/>
          <w14:ligatures w14:val="none"/>
        </w:rPr>
        <w:t>Schmidgall</w:t>
      </w:r>
      <w:r w:rsidR="00CB46FB">
        <w:rPr>
          <w:rFonts w:ascii="Times New Roman" w:eastAsia="Times New Roman" w:hAnsi="Times New Roman" w:cs="Times New Roman"/>
          <w:i/>
          <w:iCs/>
          <w:color w:val="000000"/>
          <w:kern w:val="0"/>
          <w:sz w:val="28"/>
          <w:szCs w:val="28"/>
          <w14:ligatures w14:val="none"/>
        </w:rPr>
        <w:fldChar w:fldCharType="begin"/>
      </w:r>
      <w:r w:rsidR="00CB46FB">
        <w:instrText xml:space="preserve"> TA \s "United States v. Schmidgall, 25 F.3d 1523 (11th Cir. 1994)" </w:instrText>
      </w:r>
      <w:r w:rsidR="00CB46FB">
        <w:rPr>
          <w:rFonts w:ascii="Times New Roman" w:eastAsia="Times New Roman" w:hAnsi="Times New Roman" w:cs="Times New Roman"/>
          <w:i/>
          <w:iCs/>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an agent who had received notes of the defendant’s immunized statement re-interviewed a witness months later, and the witness supplied detail matching what the defendant had newly revealed under immunity. The Eleventh Circuit held that “the government must demonstrate that its questioning of [the witness] during the April 1988 interviews was not derived from immunized testimony, and the uncorroborated testimony of [the agent] would not </w:t>
      </w:r>
      <w:r w:rsidRPr="00885D64">
        <w:rPr>
          <w:rFonts w:ascii="Times New Roman" w:eastAsia="Times New Roman" w:hAnsi="Times New Roman" w:cs="Times New Roman"/>
          <w:color w:val="000000"/>
          <w:kern w:val="0"/>
          <w:sz w:val="28"/>
          <w:szCs w:val="28"/>
          <w14:ligatures w14:val="none"/>
        </w:rPr>
        <w:lastRenderedPageBreak/>
        <w:t>generally be sufficient to carry the burden. Thus, the government must point to some other evidence to corroborate [the agent’s] position.” 25 F.3d at 1529-30</w:t>
      </w:r>
      <w:r w:rsidR="00CB46FB">
        <w:rPr>
          <w:rFonts w:ascii="Times New Roman" w:eastAsia="Times New Roman" w:hAnsi="Times New Roman" w:cs="Times New Roman"/>
          <w:color w:val="000000"/>
          <w:kern w:val="0"/>
          <w:sz w:val="28"/>
          <w:szCs w:val="28"/>
          <w14:ligatures w14:val="none"/>
        </w:rPr>
        <w:fldChar w:fldCharType="begin"/>
      </w:r>
      <w:r w:rsidR="00CB46FB">
        <w:instrText xml:space="preserve"> TA \s "United States v. Schmidgall, 25 F.3d 1523 (11th Cir. 1994)" </w:instrText>
      </w:r>
      <w:r w:rsidR="00CB46FB">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The dispositive gap was the absence of a record of the questions asked: “the government did not attempt to demonstrate that its questions to [the witness] . . . </w:t>
      </w:r>
      <w:proofErr w:type="spellStart"/>
      <w:r w:rsidRPr="00885D64">
        <w:rPr>
          <w:rFonts w:ascii="Times New Roman" w:eastAsia="Times New Roman" w:hAnsi="Times New Roman" w:cs="Times New Roman"/>
          <w:color w:val="000000"/>
          <w:kern w:val="0"/>
          <w:sz w:val="28"/>
          <w:szCs w:val="28"/>
          <w14:ligatures w14:val="none"/>
        </w:rPr>
        <w:t>were</w:t>
      </w:r>
      <w:proofErr w:type="spellEnd"/>
      <w:r w:rsidRPr="00885D64">
        <w:rPr>
          <w:rFonts w:ascii="Times New Roman" w:eastAsia="Times New Roman" w:hAnsi="Times New Roman" w:cs="Times New Roman"/>
          <w:color w:val="000000"/>
          <w:kern w:val="0"/>
          <w:sz w:val="28"/>
          <w:szCs w:val="28"/>
          <w14:ligatures w14:val="none"/>
        </w:rPr>
        <w:t xml:space="preserve"> not derived from the prior immunized testimony. The record on appeal contains only summaries of the interviews.”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at 1530 n.7</w:t>
      </w:r>
      <w:r w:rsidR="00CB46FB">
        <w:rPr>
          <w:rFonts w:ascii="Times New Roman" w:eastAsia="Times New Roman" w:hAnsi="Times New Roman" w:cs="Times New Roman"/>
          <w:color w:val="000000"/>
          <w:kern w:val="0"/>
          <w:sz w:val="28"/>
          <w:szCs w:val="28"/>
          <w14:ligatures w14:val="none"/>
        </w:rPr>
        <w:fldChar w:fldCharType="begin"/>
      </w:r>
      <w:r w:rsidR="00CB46FB">
        <w:instrText xml:space="preserve"> TA \s "United States v. Schmidgall, 25 F.3d 1523 (11th Cir. 1994)" </w:instrText>
      </w:r>
      <w:r w:rsidR="00CB46FB">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w:t>
      </w:r>
    </w:p>
    <w:p w14:paraId="55364348" w14:textId="355139A4" w:rsidR="00885D64" w:rsidRPr="00885D64" w:rsidRDefault="00737872" w:rsidP="00885D64">
      <w:pPr>
        <w:spacing w:after="0" w:line="480" w:lineRule="auto"/>
        <w:ind w:firstLine="720"/>
        <w:rPr>
          <w:rFonts w:ascii="Times New Roman" w:eastAsia="Times New Roman" w:hAnsi="Times New Roman" w:cs="Times New Roman"/>
          <w:kern w:val="0"/>
          <w14:ligatures w14:val="none"/>
        </w:rPr>
      </w:pPr>
      <w:r>
        <w:rPr>
          <w:rFonts w:ascii="Times New Roman" w:eastAsia="Times New Roman" w:hAnsi="Times New Roman" w:cs="Times New Roman"/>
          <w:color w:val="000000"/>
          <w:kern w:val="0"/>
          <w:sz w:val="28"/>
          <w:szCs w:val="28"/>
          <w14:ligatures w14:val="none"/>
        </w:rPr>
        <w:t>Here, there is</w:t>
      </w:r>
      <w:r w:rsidR="00885D64" w:rsidRPr="00885D64">
        <w:rPr>
          <w:rFonts w:ascii="Times New Roman" w:eastAsia="Times New Roman" w:hAnsi="Times New Roman" w:cs="Times New Roman"/>
          <w:color w:val="000000"/>
          <w:kern w:val="0"/>
          <w:sz w:val="28"/>
          <w:szCs w:val="28"/>
          <w14:ligatures w14:val="none"/>
        </w:rPr>
        <w:t xml:space="preserve"> no recording, outline, or contemporaneous report of the questions asked. What the interview covered maps onto Ms. Calloway’s testimony point for point: the argument, Parker’s approach to Ms. Calloway afterward, and the errands. The Government offers Agent Nolan’s denial in place of the corroboration </w:t>
      </w:r>
      <w:r w:rsidR="00885D64" w:rsidRPr="00885D64">
        <w:rPr>
          <w:rFonts w:ascii="Times New Roman" w:eastAsia="Times New Roman" w:hAnsi="Times New Roman" w:cs="Times New Roman"/>
          <w:i/>
          <w:iCs/>
          <w:color w:val="000000"/>
          <w:kern w:val="0"/>
          <w:sz w:val="28"/>
          <w:szCs w:val="28"/>
          <w14:ligatures w14:val="none"/>
        </w:rPr>
        <w:t>Schmidgall</w:t>
      </w:r>
      <w:r w:rsidR="00885D64" w:rsidRPr="00885D64">
        <w:rPr>
          <w:rFonts w:ascii="Times New Roman" w:eastAsia="Times New Roman" w:hAnsi="Times New Roman" w:cs="Times New Roman"/>
          <w:color w:val="000000"/>
          <w:kern w:val="0"/>
          <w:sz w:val="28"/>
          <w:szCs w:val="28"/>
          <w14:ligatures w14:val="none"/>
        </w:rPr>
        <w:t xml:space="preserve"> requires, and “[a] government agent’s denials that he made use of the immunized testimony, standing alone, are generally insufficient to meet the government’s burden, even if made in good faith.” 25 F.3d at 1528</w:t>
      </w:r>
      <w:r w:rsidR="00CB46FB">
        <w:rPr>
          <w:rFonts w:ascii="Times New Roman" w:eastAsia="Times New Roman" w:hAnsi="Times New Roman" w:cs="Times New Roman"/>
          <w:color w:val="000000"/>
          <w:kern w:val="0"/>
          <w:sz w:val="28"/>
          <w:szCs w:val="28"/>
          <w14:ligatures w14:val="none"/>
        </w:rPr>
        <w:fldChar w:fldCharType="begin"/>
      </w:r>
      <w:r w:rsidR="00CB46FB">
        <w:instrText xml:space="preserve"> TA \s "United States v. Schmidgall, 25 F.3d 1523 (11th Cir. 1994)" </w:instrText>
      </w:r>
      <w:r w:rsidR="00CB46FB">
        <w:rPr>
          <w:rFonts w:ascii="Times New Roman" w:eastAsia="Times New Roman" w:hAnsi="Times New Roman" w:cs="Times New Roman"/>
          <w:color w:val="000000"/>
          <w:kern w:val="0"/>
          <w:sz w:val="28"/>
          <w:szCs w:val="28"/>
          <w14:ligatures w14:val="none"/>
        </w:rPr>
        <w:fldChar w:fldCharType="end"/>
      </w:r>
      <w:r w:rsidR="00885D64" w:rsidRPr="00885D64">
        <w:rPr>
          <w:rFonts w:ascii="Times New Roman" w:eastAsia="Times New Roman" w:hAnsi="Times New Roman" w:cs="Times New Roman"/>
          <w:color w:val="000000"/>
          <w:kern w:val="0"/>
          <w:sz w:val="28"/>
          <w:szCs w:val="28"/>
          <w14:ligatures w14:val="none"/>
        </w:rPr>
        <w:t>.</w:t>
      </w:r>
    </w:p>
    <w:p w14:paraId="1DBFFE38" w14:textId="77777777" w:rsidR="00885D64" w:rsidRPr="00885D64" w:rsidRDefault="00885D64" w:rsidP="264A300B">
      <w:pPr>
        <w:pStyle w:val="ListParagraph"/>
        <w:numPr>
          <w:ilvl w:val="0"/>
          <w:numId w:val="9"/>
        </w:numPr>
        <w:spacing w:before="280" w:after="80" w:line="240" w:lineRule="auto"/>
        <w:textAlignment w:val="baseline"/>
        <w:outlineLvl w:val="3"/>
        <w:rPr>
          <w:rFonts w:ascii="Times New Roman" w:eastAsia="Times New Roman" w:hAnsi="Times New Roman" w:cs="Times New Roman"/>
          <w:b/>
          <w:bCs/>
          <w:i/>
          <w:iCs/>
          <w:color w:val="000000"/>
          <w:kern w:val="0"/>
          <w14:ligatures w14:val="none"/>
        </w:rPr>
      </w:pPr>
      <w:r w:rsidRPr="264A300B">
        <w:rPr>
          <w:rFonts w:ascii="Times New Roman" w:eastAsia="Times New Roman" w:hAnsi="Times New Roman" w:cs="Times New Roman"/>
          <w:b/>
          <w:bCs/>
          <w:i/>
          <w:iCs/>
          <w:color w:val="000000"/>
          <w:kern w:val="0"/>
          <w:sz w:val="28"/>
          <w:szCs w:val="28"/>
          <w14:ligatures w14:val="none"/>
        </w:rPr>
        <w:t>Parker’s exposure through the public trial is the Government’s burden to disprove.</w:t>
      </w:r>
    </w:p>
    <w:p w14:paraId="698874BF"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32F3AB63" w14:textId="46DD15F3"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Ms. Calloway’s testimony was given in an open courtroom and broadcast in full on local channels in a small, tight knight community where the case was front-page news for weeks. Sinclair Dep. 592-99. The press reported that Ms. Calloway had testified only one other person saw the argument, Kennedy Parker. Witness exposure taints “irrespective of the prosecution’s role in the exposure,” and the </w:t>
      </w:r>
      <w:r w:rsidRPr="00885D64">
        <w:rPr>
          <w:rFonts w:ascii="Times New Roman" w:eastAsia="Times New Roman" w:hAnsi="Times New Roman" w:cs="Times New Roman"/>
          <w:color w:val="000000"/>
          <w:kern w:val="0"/>
          <w:sz w:val="28"/>
          <w:szCs w:val="28"/>
          <w14:ligatures w14:val="none"/>
        </w:rPr>
        <w:lastRenderedPageBreak/>
        <w:t xml:space="preserve">required inquiry is “what the witness knew prior to exposure to immunized testimony and what information he or she gleaned from that exposure.” </w:t>
      </w:r>
      <w:r w:rsidRPr="00885D64">
        <w:rPr>
          <w:rFonts w:ascii="Times New Roman" w:eastAsia="Times New Roman" w:hAnsi="Times New Roman" w:cs="Times New Roman"/>
          <w:i/>
          <w:iCs/>
          <w:color w:val="000000"/>
          <w:kern w:val="0"/>
          <w:sz w:val="28"/>
          <w:szCs w:val="28"/>
          <w14:ligatures w14:val="none"/>
        </w:rPr>
        <w:t>North II</w:t>
      </w:r>
      <w:r w:rsidRPr="00885D64">
        <w:rPr>
          <w:rFonts w:ascii="Times New Roman" w:eastAsia="Times New Roman" w:hAnsi="Times New Roman" w:cs="Times New Roman"/>
          <w:color w:val="000000"/>
          <w:kern w:val="0"/>
          <w:sz w:val="28"/>
          <w:szCs w:val="28"/>
          <w14:ligatures w14:val="none"/>
        </w:rPr>
        <w:t xml:space="preserve">, 920 F.2d at 942; accord </w:t>
      </w:r>
      <w:r w:rsidRPr="00885D64">
        <w:rPr>
          <w:rFonts w:ascii="Times New Roman" w:eastAsia="Times New Roman" w:hAnsi="Times New Roman" w:cs="Times New Roman"/>
          <w:i/>
          <w:iCs/>
          <w:color w:val="000000"/>
          <w:kern w:val="0"/>
          <w:sz w:val="28"/>
          <w:szCs w:val="28"/>
          <w14:ligatures w14:val="none"/>
        </w:rPr>
        <w:t>Harris</w:t>
      </w:r>
      <w:r w:rsidRPr="00885D64">
        <w:rPr>
          <w:rFonts w:ascii="Times New Roman" w:eastAsia="Times New Roman" w:hAnsi="Times New Roman" w:cs="Times New Roman"/>
          <w:color w:val="000000"/>
          <w:kern w:val="0"/>
          <w:sz w:val="28"/>
          <w:szCs w:val="28"/>
          <w14:ligatures w14:val="none"/>
        </w:rPr>
        <w:t xml:space="preserve">, 973 F.2d at 336. Once exposure is in issue, the Government must prove that the witness would have testified in the absence of it; a finding that the coverage was merely a cause is not enough. </w:t>
      </w:r>
      <w:r w:rsidRPr="00885D64">
        <w:rPr>
          <w:rFonts w:ascii="Times New Roman" w:eastAsia="Times New Roman" w:hAnsi="Times New Roman" w:cs="Times New Roman"/>
          <w:i/>
          <w:iCs/>
          <w:color w:val="000000"/>
          <w:kern w:val="0"/>
          <w:sz w:val="28"/>
          <w:szCs w:val="28"/>
          <w14:ligatures w14:val="none"/>
        </w:rPr>
        <w:t>Slough</w:t>
      </w:r>
      <w:r w:rsidRPr="00885D64">
        <w:rPr>
          <w:rFonts w:ascii="Times New Roman" w:eastAsia="Times New Roman" w:hAnsi="Times New Roman" w:cs="Times New Roman"/>
          <w:color w:val="000000"/>
          <w:kern w:val="0"/>
          <w:sz w:val="28"/>
          <w:szCs w:val="28"/>
          <w14:ligatures w14:val="none"/>
        </w:rPr>
        <w:t>, 641 F.3d at 552-54</w:t>
      </w:r>
      <w:r w:rsidR="00856A67">
        <w:rPr>
          <w:rFonts w:ascii="Times New Roman" w:eastAsia="Times New Roman" w:hAnsi="Times New Roman" w:cs="Times New Roman"/>
          <w:color w:val="000000"/>
          <w:kern w:val="0"/>
          <w:sz w:val="28"/>
          <w:szCs w:val="28"/>
          <w14:ligatures w14:val="none"/>
        </w:rPr>
        <w:fldChar w:fldCharType="begin"/>
      </w:r>
      <w:r w:rsidR="00856A67">
        <w:instrText xml:space="preserve"> TA \s "United States v. Slough, 641 F.3d 544 (D.C. Cir. 2011)" </w:instrText>
      </w:r>
      <w:r w:rsidR="00856A67">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w:t>
      </w:r>
    </w:p>
    <w:p w14:paraId="4902D34D" w14:textId="13CA97FD"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The Government relies on Parker’s denial that she followed the trial. Parker Dep. 307-13. The Second Circuit has held that “a bare, generalized denial of taint from a witness who has materially altered his testimony after being substantially exposed to a defendant’s compelled testimony is insufficient as a matter of law to sustain the prosecution’s burden of proof under </w:t>
      </w:r>
      <w:r w:rsidRPr="00885D64">
        <w:rPr>
          <w:rFonts w:ascii="Times New Roman" w:eastAsia="Times New Roman" w:hAnsi="Times New Roman" w:cs="Times New Roman"/>
          <w:i/>
          <w:iCs/>
          <w:color w:val="000000"/>
          <w:kern w:val="0"/>
          <w:sz w:val="28"/>
          <w:szCs w:val="28"/>
          <w14:ligatures w14:val="none"/>
        </w:rPr>
        <w:t>Kastigar</w:t>
      </w:r>
      <w:r w:rsidRPr="00885D64">
        <w:rPr>
          <w:rFonts w:ascii="Times New Roman" w:eastAsia="Times New Roman" w:hAnsi="Times New Roman" w:cs="Times New Roman"/>
          <w:color w:val="000000"/>
          <w:kern w:val="0"/>
          <w:sz w:val="28"/>
          <w:szCs w:val="28"/>
          <w14:ligatures w14:val="none"/>
        </w:rPr>
        <w:t xml:space="preserve"> that that witness’s testimony was derived from a wholly independent source.” </w:t>
      </w:r>
      <w:r w:rsidRPr="00885D64">
        <w:rPr>
          <w:rFonts w:ascii="Times New Roman" w:eastAsia="Times New Roman" w:hAnsi="Times New Roman" w:cs="Times New Roman"/>
          <w:i/>
          <w:iCs/>
          <w:color w:val="000000"/>
          <w:kern w:val="0"/>
          <w:sz w:val="28"/>
          <w:szCs w:val="28"/>
          <w14:ligatures w14:val="none"/>
        </w:rPr>
        <w:t>United States v. Allen</w:t>
      </w:r>
      <w:r w:rsidRPr="00885D64">
        <w:rPr>
          <w:rFonts w:ascii="Times New Roman" w:eastAsia="Times New Roman" w:hAnsi="Times New Roman" w:cs="Times New Roman"/>
          <w:color w:val="000000"/>
          <w:kern w:val="0"/>
          <w:sz w:val="28"/>
          <w:szCs w:val="28"/>
          <w14:ligatures w14:val="none"/>
        </w:rPr>
        <w:t xml:space="preserve">, 864 F.3d 63, (2d Cir. 2017). Because no agent spoke to Parker before October 31, 2024, her denial or testimony </w:t>
      </w:r>
      <w:r w:rsidR="00A8636E">
        <w:rPr>
          <w:rFonts w:ascii="Times New Roman" w:eastAsia="Times New Roman" w:hAnsi="Times New Roman" w:cs="Times New Roman"/>
          <w:color w:val="000000"/>
          <w:kern w:val="0"/>
          <w:sz w:val="28"/>
          <w:szCs w:val="28"/>
          <w14:ligatures w14:val="none"/>
        </w:rPr>
        <w:t>cannot</w:t>
      </w:r>
      <w:r w:rsidRPr="00885D64">
        <w:rPr>
          <w:rFonts w:ascii="Times New Roman" w:eastAsia="Times New Roman" w:hAnsi="Times New Roman" w:cs="Times New Roman"/>
          <w:color w:val="000000"/>
          <w:kern w:val="0"/>
          <w:sz w:val="28"/>
          <w:szCs w:val="28"/>
          <w14:ligatures w14:val="none"/>
        </w:rPr>
        <w:t xml:space="preserve"> be measured.</w:t>
      </w:r>
    </w:p>
    <w:p w14:paraId="0C70FEC0" w14:textId="77777777" w:rsidR="00885D64" w:rsidRPr="00885D64" w:rsidRDefault="00885D64" w:rsidP="264A300B">
      <w:pPr>
        <w:pStyle w:val="ListParagraph"/>
        <w:numPr>
          <w:ilvl w:val="0"/>
          <w:numId w:val="9"/>
        </w:numPr>
        <w:spacing w:before="280" w:after="80" w:line="480" w:lineRule="auto"/>
        <w:textAlignment w:val="baseline"/>
        <w:outlineLvl w:val="3"/>
        <w:rPr>
          <w:rFonts w:ascii="Times New Roman" w:eastAsia="Times New Roman" w:hAnsi="Times New Roman" w:cs="Times New Roman"/>
          <w:b/>
          <w:bCs/>
          <w:i/>
          <w:iCs/>
          <w:color w:val="000000"/>
          <w:kern w:val="0"/>
          <w14:ligatures w14:val="none"/>
        </w:rPr>
      </w:pPr>
      <w:r w:rsidRPr="264A300B">
        <w:rPr>
          <w:rFonts w:ascii="Times New Roman" w:eastAsia="Times New Roman" w:hAnsi="Times New Roman" w:cs="Times New Roman"/>
          <w:b/>
          <w:bCs/>
          <w:i/>
          <w:iCs/>
          <w:color w:val="000000"/>
          <w:kern w:val="0"/>
          <w:sz w:val="28"/>
          <w:szCs w:val="28"/>
          <w14:ligatures w14:val="none"/>
        </w:rPr>
        <w:t>The wall does not supply the proof the statute requires.</w:t>
      </w:r>
    </w:p>
    <w:p w14:paraId="65E9D40E" w14:textId="3E68B3C3"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A wall is a procedure for negating taint, and </w:t>
      </w:r>
      <w:r w:rsidRPr="00885D64">
        <w:rPr>
          <w:rFonts w:ascii="Times New Roman" w:eastAsia="Times New Roman" w:hAnsi="Times New Roman" w:cs="Times New Roman"/>
          <w:i/>
          <w:iCs/>
          <w:color w:val="000000"/>
          <w:kern w:val="0"/>
          <w:sz w:val="28"/>
          <w:szCs w:val="28"/>
          <w14:ligatures w14:val="none"/>
        </w:rPr>
        <w:t>Kastigar</w:t>
      </w:r>
      <w:r w:rsidRPr="00885D64">
        <w:rPr>
          <w:rFonts w:ascii="Times New Roman" w:eastAsia="Times New Roman" w:hAnsi="Times New Roman" w:cs="Times New Roman"/>
          <w:color w:val="000000"/>
          <w:kern w:val="0"/>
          <w:sz w:val="28"/>
          <w:szCs w:val="28"/>
          <w14:ligatures w14:val="none"/>
        </w:rPr>
        <w:t xml:space="preserve"> holds that negating taint is not the test. The burden “is not limited to a negation of taint; rather, it imposes on the prosecution the affirmative duty to prove that the evidence it proposes to use is derived from a legitimate source wholly independent of the compelled testimony.” 406 U.S. at 460; accord </w:t>
      </w:r>
      <w:r w:rsidRPr="00885D64">
        <w:rPr>
          <w:rFonts w:ascii="Times New Roman" w:eastAsia="Times New Roman" w:hAnsi="Times New Roman" w:cs="Times New Roman"/>
          <w:i/>
          <w:iCs/>
          <w:color w:val="000000"/>
          <w:kern w:val="0"/>
          <w:sz w:val="28"/>
          <w:szCs w:val="28"/>
          <w14:ligatures w14:val="none"/>
        </w:rPr>
        <w:t>Hubbell</w:t>
      </w:r>
      <w:r w:rsidRPr="00885D64">
        <w:rPr>
          <w:rFonts w:ascii="Times New Roman" w:eastAsia="Times New Roman" w:hAnsi="Times New Roman" w:cs="Times New Roman"/>
          <w:color w:val="000000"/>
          <w:kern w:val="0"/>
          <w:sz w:val="28"/>
          <w:szCs w:val="28"/>
          <w14:ligatures w14:val="none"/>
        </w:rPr>
        <w:t xml:space="preserve">, 530 U.S. at 40. A </w:t>
      </w:r>
      <w:r w:rsidRPr="00885D64">
        <w:rPr>
          <w:rFonts w:ascii="Times New Roman" w:eastAsia="Times New Roman" w:hAnsi="Times New Roman" w:cs="Times New Roman"/>
          <w:color w:val="000000"/>
          <w:kern w:val="0"/>
          <w:sz w:val="28"/>
          <w:szCs w:val="28"/>
          <w14:ligatures w14:val="none"/>
        </w:rPr>
        <w:lastRenderedPageBreak/>
        <w:t xml:space="preserve">prosecutor “may have never seen the witness’s testimony and may believe in good faith that no one associated with the federal prosecution has seen it, but such a disclaimer does not preclude the possibility that someone who has seen the compelled testimony was thereby led to evidence that was furnished to federal investigators.” </w:t>
      </w:r>
      <w:r w:rsidRPr="00885D64">
        <w:rPr>
          <w:rFonts w:ascii="Times New Roman" w:eastAsia="Times New Roman" w:hAnsi="Times New Roman" w:cs="Times New Roman"/>
          <w:i/>
          <w:iCs/>
          <w:color w:val="000000"/>
          <w:kern w:val="0"/>
          <w:sz w:val="28"/>
          <w:szCs w:val="28"/>
          <w14:ligatures w14:val="none"/>
        </w:rPr>
        <w:t>United States v. Nemes</w:t>
      </w:r>
      <w:r w:rsidRPr="00885D64">
        <w:rPr>
          <w:rFonts w:ascii="Times New Roman" w:eastAsia="Times New Roman" w:hAnsi="Times New Roman" w:cs="Times New Roman"/>
          <w:color w:val="000000"/>
          <w:kern w:val="0"/>
          <w:sz w:val="28"/>
          <w:szCs w:val="28"/>
          <w14:ligatures w14:val="none"/>
        </w:rPr>
        <w:t>, 555 F.2d 51, 55 (2d Cir. 1977)</w:t>
      </w:r>
      <w:r w:rsidR="00E33D1E">
        <w:rPr>
          <w:rFonts w:ascii="Times New Roman" w:eastAsia="Times New Roman" w:hAnsi="Times New Roman" w:cs="Times New Roman"/>
          <w:color w:val="000000"/>
          <w:kern w:val="0"/>
          <w:sz w:val="28"/>
          <w:szCs w:val="28"/>
          <w14:ligatures w14:val="none"/>
        </w:rPr>
        <w:fldChar w:fldCharType="begin"/>
      </w:r>
      <w:r w:rsidR="00E33D1E">
        <w:instrText xml:space="preserve"> TA \l "</w:instrText>
      </w:r>
      <w:r w:rsidR="00E33D1E" w:rsidRPr="00C26D73">
        <w:rPr>
          <w:rFonts w:ascii="Times New Roman" w:eastAsia="Times New Roman" w:hAnsi="Times New Roman" w:cs="Times New Roman"/>
          <w:i/>
          <w:iCs/>
          <w:color w:val="000000"/>
          <w:kern w:val="0"/>
          <w:sz w:val="28"/>
          <w:szCs w:val="28"/>
          <w14:ligatures w14:val="none"/>
        </w:rPr>
        <w:instrText>United States v. Nemes</w:instrText>
      </w:r>
      <w:r w:rsidR="00E33D1E" w:rsidRPr="00C26D73">
        <w:rPr>
          <w:rFonts w:ascii="Times New Roman" w:eastAsia="Times New Roman" w:hAnsi="Times New Roman" w:cs="Times New Roman"/>
          <w:color w:val="000000"/>
          <w:kern w:val="0"/>
          <w:sz w:val="28"/>
          <w:szCs w:val="28"/>
          <w14:ligatures w14:val="none"/>
        </w:rPr>
        <w:instrText>, 555 F.2d 51, 55 (2d Cir. 1977)</w:instrText>
      </w:r>
      <w:r w:rsidR="00E33D1E">
        <w:instrText xml:space="preserve">" \s "United States v. Nemes, 555 F.2d 51 (2d Cir. 1977)" \c 1 </w:instrText>
      </w:r>
      <w:r w:rsidR="00E33D1E">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“Only by affirmatively proving that his evidence comes from sources independent of the immunized testimony” can the Government satisfy the statute. </w:t>
      </w:r>
      <w:r w:rsidRPr="00885D64">
        <w:rPr>
          <w:rFonts w:ascii="Times New Roman" w:eastAsia="Times New Roman" w:hAnsi="Times New Roman" w:cs="Times New Roman"/>
          <w:i/>
          <w:iCs/>
          <w:color w:val="000000"/>
          <w:kern w:val="0"/>
          <w:sz w:val="28"/>
          <w:szCs w:val="28"/>
          <w14:ligatures w14:val="none"/>
        </w:rPr>
        <w:t>Id.</w:t>
      </w:r>
    </w:p>
    <w:p w14:paraId="567901CA" w14:textId="52326D21"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This wall carries none of the indicia necessary to prove efficacy. Agent Nolan drafted it himself, on August 22, 2024, the day before the order issued; no written protocol existed </w:t>
      </w:r>
      <w:r w:rsidR="0087004A">
        <w:rPr>
          <w:rFonts w:ascii="Times New Roman" w:eastAsia="Times New Roman" w:hAnsi="Times New Roman" w:cs="Times New Roman"/>
          <w:color w:val="000000"/>
          <w:kern w:val="0"/>
          <w:sz w:val="28"/>
          <w:szCs w:val="28"/>
          <w14:ligatures w14:val="none"/>
        </w:rPr>
        <w:t>prior</w:t>
      </w:r>
      <w:r w:rsidRPr="00885D64">
        <w:rPr>
          <w:rFonts w:ascii="Times New Roman" w:eastAsia="Times New Roman" w:hAnsi="Times New Roman" w:cs="Times New Roman"/>
          <w:color w:val="000000"/>
          <w:kern w:val="0"/>
          <w:sz w:val="28"/>
          <w:szCs w:val="28"/>
          <w14:ligatures w14:val="none"/>
        </w:rPr>
        <w:t xml:space="preserve">; he declined to bring in an agent without prior knowledge of the case on the ground that he and AUSA Sinclair had worked it longest; and he devised the marking convention </w:t>
      </w:r>
      <w:r w:rsidR="005C0A40">
        <w:rPr>
          <w:rFonts w:ascii="Times New Roman" w:eastAsia="Times New Roman" w:hAnsi="Times New Roman" w:cs="Times New Roman"/>
          <w:color w:val="000000"/>
          <w:kern w:val="0"/>
          <w:sz w:val="28"/>
          <w:szCs w:val="28"/>
          <w14:ligatures w14:val="none"/>
        </w:rPr>
        <w:t>now presented as</w:t>
      </w:r>
      <w:r w:rsidRPr="00885D64">
        <w:rPr>
          <w:rFonts w:ascii="Times New Roman" w:eastAsia="Times New Roman" w:hAnsi="Times New Roman" w:cs="Times New Roman"/>
          <w:color w:val="000000"/>
          <w:kern w:val="0"/>
          <w:sz w:val="28"/>
          <w:szCs w:val="28"/>
          <w14:ligatures w14:val="none"/>
        </w:rPr>
        <w:t xml:space="preserve"> evidence of when </w:t>
      </w:r>
      <w:r w:rsidR="00231B41">
        <w:rPr>
          <w:rFonts w:ascii="Times New Roman" w:eastAsia="Times New Roman" w:hAnsi="Times New Roman" w:cs="Times New Roman"/>
          <w:color w:val="000000"/>
          <w:kern w:val="0"/>
          <w:sz w:val="28"/>
          <w:szCs w:val="28"/>
          <w14:ligatures w14:val="none"/>
        </w:rPr>
        <w:t>the</w:t>
      </w:r>
      <w:r w:rsidRPr="00885D64">
        <w:rPr>
          <w:rFonts w:ascii="Times New Roman" w:eastAsia="Times New Roman" w:hAnsi="Times New Roman" w:cs="Times New Roman"/>
          <w:color w:val="000000"/>
          <w:kern w:val="0"/>
          <w:sz w:val="28"/>
          <w:szCs w:val="28"/>
          <w14:ligatures w14:val="none"/>
        </w:rPr>
        <w:t xml:space="preserve"> documents were created. Nolan Dep. 195-201, 202-15, 216-20, 235-41. The two team leads are lifelong friends who continued to meet socially throughout the walled period. </w:t>
      </w:r>
      <w:r w:rsidR="009B59EB">
        <w:rPr>
          <w:rFonts w:ascii="Times New Roman" w:eastAsia="Times New Roman" w:hAnsi="Times New Roman" w:cs="Times New Roman"/>
          <w:color w:val="000000"/>
          <w:kern w:val="0"/>
          <w:sz w:val="28"/>
          <w:szCs w:val="28"/>
          <w14:ligatures w14:val="none"/>
        </w:rPr>
        <w:t>Id</w:t>
      </w:r>
      <w:r w:rsidR="009B59EB" w:rsidRPr="00885D64">
        <w:rPr>
          <w:rFonts w:ascii="Times New Roman" w:eastAsia="Times New Roman" w:hAnsi="Times New Roman" w:cs="Times New Roman"/>
          <w:color w:val="000000"/>
          <w:kern w:val="0"/>
          <w:sz w:val="28"/>
          <w:szCs w:val="28"/>
          <w14:ligatures w14:val="none"/>
        </w:rPr>
        <w:t>. 329-33</w:t>
      </w:r>
      <w:r w:rsidR="009B59EB">
        <w:rPr>
          <w:rFonts w:ascii="Times New Roman" w:eastAsia="Times New Roman" w:hAnsi="Times New Roman" w:cs="Times New Roman"/>
          <w:color w:val="000000"/>
          <w:kern w:val="0"/>
          <w:sz w:val="28"/>
          <w:szCs w:val="28"/>
          <w14:ligatures w14:val="none"/>
        </w:rPr>
        <w:t xml:space="preserve">, </w:t>
      </w:r>
      <w:r w:rsidRPr="00885D64">
        <w:rPr>
          <w:rFonts w:ascii="Times New Roman" w:eastAsia="Times New Roman" w:hAnsi="Times New Roman" w:cs="Times New Roman"/>
          <w:color w:val="000000"/>
          <w:kern w:val="0"/>
          <w:sz w:val="28"/>
          <w:szCs w:val="28"/>
          <w14:ligatures w14:val="none"/>
        </w:rPr>
        <w:t>Sinclair Dep. 580-88. </w:t>
      </w:r>
    </w:p>
    <w:p w14:paraId="7B468104" w14:textId="77777777" w:rsidR="00885D64" w:rsidRPr="00885D64" w:rsidRDefault="00885D64" w:rsidP="00885D64">
      <w:pPr>
        <w:numPr>
          <w:ilvl w:val="0"/>
          <w:numId w:val="12"/>
        </w:numPr>
        <w:spacing w:before="320" w:after="80" w:line="480" w:lineRule="auto"/>
        <w:ind w:left="1440"/>
        <w:textAlignment w:val="baseline"/>
        <w:outlineLvl w:val="2"/>
        <w:rPr>
          <w:rFonts w:ascii="Times New Roman" w:eastAsia="Times New Roman" w:hAnsi="Times New Roman" w:cs="Times New Roman"/>
          <w:b/>
          <w:bCs/>
          <w:color w:val="000000"/>
          <w:kern w:val="0"/>
          <w:sz w:val="27"/>
          <w:szCs w:val="27"/>
          <w14:ligatures w14:val="none"/>
        </w:rPr>
      </w:pPr>
      <w:r w:rsidRPr="00885D64">
        <w:rPr>
          <w:rFonts w:ascii="Times New Roman" w:eastAsia="Times New Roman" w:hAnsi="Times New Roman" w:cs="Times New Roman"/>
          <w:b/>
          <w:bCs/>
          <w:color w:val="000000"/>
          <w:kern w:val="0"/>
          <w:sz w:val="28"/>
          <w:szCs w:val="28"/>
          <w14:ligatures w14:val="none"/>
        </w:rPr>
        <w:t>Exhibit 19 must be suppressed as the fruit of the Parker interview.</w:t>
      </w:r>
    </w:p>
    <w:p w14:paraId="5AD0601A" w14:textId="294FF9AE"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Exhibit 19 is the direct product of the October 31 interview. The Government had never heard of the storage unit before Parker described it; it then confirmed the unit, obtained a warrant, and executed it on November 5, 2024. </w:t>
      </w:r>
      <w:r w:rsidRPr="00885D64">
        <w:rPr>
          <w:rFonts w:ascii="Times New Roman" w:eastAsia="Times New Roman" w:hAnsi="Times New Roman" w:cs="Times New Roman"/>
          <w:color w:val="000000"/>
          <w:kern w:val="0"/>
          <w:sz w:val="28"/>
          <w:szCs w:val="28"/>
          <w14:ligatures w14:val="none"/>
        </w:rPr>
        <w:lastRenderedPageBreak/>
        <w:t>Nolan Dep. 346-54. Exhibit 19 is the offshore banking record identifying Emily Calloway by name as owner of the Cayman account</w:t>
      </w:r>
      <w:r w:rsidR="00A4304F">
        <w:rPr>
          <w:rFonts w:ascii="Times New Roman" w:eastAsia="Times New Roman" w:hAnsi="Times New Roman" w:cs="Times New Roman"/>
          <w:color w:val="000000"/>
          <w:kern w:val="0"/>
          <w:sz w:val="28"/>
          <w:szCs w:val="28"/>
          <w14:ligatures w14:val="none"/>
        </w:rPr>
        <w:t xml:space="preserve">. </w:t>
      </w:r>
      <w:r w:rsidR="007717CD">
        <w:rPr>
          <w:rFonts w:ascii="Times New Roman" w:eastAsia="Times New Roman" w:hAnsi="Times New Roman" w:cs="Times New Roman"/>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xml:space="preserve">. 355-65. The immunized testimony was, as in </w:t>
      </w:r>
      <w:r w:rsidRPr="00885D64">
        <w:rPr>
          <w:rFonts w:ascii="Times New Roman" w:eastAsia="Times New Roman" w:hAnsi="Times New Roman" w:cs="Times New Roman"/>
          <w:i/>
          <w:iCs/>
          <w:color w:val="000000"/>
          <w:kern w:val="0"/>
          <w:sz w:val="28"/>
          <w:szCs w:val="28"/>
          <w14:ligatures w14:val="none"/>
        </w:rPr>
        <w:t>Hubbell</w:t>
      </w:r>
      <w:r w:rsidRPr="00885D64">
        <w:rPr>
          <w:rFonts w:ascii="Times New Roman" w:eastAsia="Times New Roman" w:hAnsi="Times New Roman" w:cs="Times New Roman"/>
          <w:color w:val="000000"/>
          <w:kern w:val="0"/>
          <w:sz w:val="28"/>
          <w:szCs w:val="28"/>
          <w14:ligatures w14:val="none"/>
        </w:rPr>
        <w:t>, “the first step in a chain of evidence that led to this prosecution,” 530 U.S. at 42</w:t>
      </w:r>
      <w:r w:rsidR="001640A2">
        <w:rPr>
          <w:rFonts w:ascii="Times New Roman" w:eastAsia="Times New Roman" w:hAnsi="Times New Roman" w:cs="Times New Roman"/>
          <w:color w:val="000000"/>
          <w:kern w:val="0"/>
          <w:sz w:val="28"/>
          <w:szCs w:val="28"/>
          <w14:ligatures w14:val="none"/>
        </w:rPr>
        <w:fldChar w:fldCharType="begin"/>
      </w:r>
      <w:r w:rsidR="001640A2">
        <w:instrText xml:space="preserve"> TA \s "United States v. Hubbell, 530 U.S. 27 (2000)" </w:instrText>
      </w:r>
      <w:r w:rsidR="001640A2">
        <w:rPr>
          <w:rFonts w:ascii="Times New Roman" w:eastAsia="Times New Roman" w:hAnsi="Times New Roman" w:cs="Times New Roman"/>
          <w:color w:val="000000"/>
          <w:kern w:val="0"/>
          <w:sz w:val="28"/>
          <w:szCs w:val="28"/>
          <w14:ligatures w14:val="none"/>
        </w:rPr>
        <w:fldChar w:fldCharType="end"/>
      </w:r>
      <w:r w:rsidR="001640A2">
        <w:rPr>
          <w:rFonts w:ascii="Times New Roman" w:eastAsia="Times New Roman" w:hAnsi="Times New Roman" w:cs="Times New Roman"/>
          <w:color w:val="000000"/>
          <w:kern w:val="0"/>
          <w:sz w:val="28"/>
          <w:szCs w:val="28"/>
          <w14:ligatures w14:val="none"/>
        </w:rPr>
        <w:fldChar w:fldCharType="begin"/>
      </w:r>
      <w:r w:rsidR="001640A2">
        <w:instrText xml:space="preserve"> TA \s "United States v. Hubbell, 530 U.S. 27 (2000)" </w:instrText>
      </w:r>
      <w:r w:rsidR="001640A2">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and the Government must show every step of that chain untainted, </w:t>
      </w:r>
      <w:r w:rsidRPr="00885D64">
        <w:rPr>
          <w:rFonts w:ascii="Times New Roman" w:eastAsia="Times New Roman" w:hAnsi="Times New Roman" w:cs="Times New Roman"/>
          <w:i/>
          <w:iCs/>
          <w:color w:val="000000"/>
          <w:kern w:val="0"/>
          <w:sz w:val="28"/>
          <w:szCs w:val="28"/>
          <w14:ligatures w14:val="none"/>
        </w:rPr>
        <w:t>Schmidgall</w:t>
      </w:r>
      <w:r w:rsidRPr="00885D64">
        <w:rPr>
          <w:rFonts w:ascii="Times New Roman" w:eastAsia="Times New Roman" w:hAnsi="Times New Roman" w:cs="Times New Roman"/>
          <w:color w:val="000000"/>
          <w:kern w:val="0"/>
          <w:sz w:val="28"/>
          <w:szCs w:val="28"/>
          <w14:ligatures w14:val="none"/>
        </w:rPr>
        <w:t>, 25 F.3d at 1528</w:t>
      </w:r>
      <w:r w:rsidR="001640A2">
        <w:rPr>
          <w:rFonts w:ascii="Times New Roman" w:eastAsia="Times New Roman" w:hAnsi="Times New Roman" w:cs="Times New Roman"/>
          <w:color w:val="000000"/>
          <w:kern w:val="0"/>
          <w:sz w:val="28"/>
          <w:szCs w:val="28"/>
          <w14:ligatures w14:val="none"/>
        </w:rPr>
        <w:fldChar w:fldCharType="begin"/>
      </w:r>
      <w:r w:rsidR="001640A2">
        <w:instrText xml:space="preserve"> TA \s "United States v. Schmidgall, 25 F.3d 1523 (11th Cir. 1994)" </w:instrText>
      </w:r>
      <w:r w:rsidR="001640A2">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The warrant was issued as a result of the taint, and is fruit of that poisonous tree.</w:t>
      </w:r>
    </w:p>
    <w:p w14:paraId="0703A3C9" w14:textId="18859F47"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Nor can the Government show an independent source. The beneficial ownership of the Cayman account was the one gap it could not close through legitimate channels. Blake’s index entry pointing to that very document referred to a folder never recovered. Nolan Dep. 63-68. Blake was dead, and Chandler and Seton had left the country. </w:t>
      </w:r>
      <w:r w:rsidR="007717CD">
        <w:rPr>
          <w:rFonts w:ascii="Times New Roman" w:eastAsia="Times New Roman" w:hAnsi="Times New Roman" w:cs="Times New Roman"/>
          <w:color w:val="000000"/>
          <w:kern w:val="0"/>
          <w:sz w:val="28"/>
          <w:szCs w:val="28"/>
          <w14:ligatures w14:val="none"/>
        </w:rPr>
        <w:t>Id</w:t>
      </w:r>
      <w:r w:rsidR="007717CD" w:rsidRPr="00885D64">
        <w:rPr>
          <w:rFonts w:ascii="Times New Roman" w:eastAsia="Times New Roman" w:hAnsi="Times New Roman" w:cs="Times New Roman"/>
          <w:color w:val="000000"/>
          <w:kern w:val="0"/>
          <w:sz w:val="28"/>
          <w:szCs w:val="28"/>
          <w14:ligatures w14:val="none"/>
        </w:rPr>
        <w:t>. 100-04</w:t>
      </w:r>
      <w:r w:rsidR="007717CD">
        <w:rPr>
          <w:rFonts w:ascii="Times New Roman" w:eastAsia="Times New Roman" w:hAnsi="Times New Roman" w:cs="Times New Roman"/>
          <w:color w:val="000000"/>
          <w:kern w:val="0"/>
          <w:sz w:val="28"/>
          <w:szCs w:val="28"/>
          <w14:ligatures w14:val="none"/>
        </w:rPr>
        <w:t xml:space="preserve">; </w:t>
      </w:r>
      <w:r w:rsidRPr="00885D64">
        <w:rPr>
          <w:rFonts w:ascii="Times New Roman" w:eastAsia="Times New Roman" w:hAnsi="Times New Roman" w:cs="Times New Roman"/>
          <w:color w:val="000000"/>
          <w:kern w:val="0"/>
          <w:sz w:val="28"/>
          <w:szCs w:val="28"/>
          <w14:ligatures w14:val="none"/>
        </w:rPr>
        <w:t>Sinclair Dep. 389-96. The treaty request came back in October 2024 as a dead end, and the Government “never independently unmasked the owner through the treaty process.” Nolan Dep. 116-25. Parker never reported the box, did not know whose name the unit was under, and did not think about it again for roughly ten months. Parker Dep. 286-92. There was no other route to that unit.</w:t>
      </w:r>
    </w:p>
    <w:p w14:paraId="31AEFD6F" w14:textId="77777777" w:rsidR="00885D64" w:rsidRPr="00885D64" w:rsidRDefault="00885D64" w:rsidP="00885D64">
      <w:pPr>
        <w:numPr>
          <w:ilvl w:val="0"/>
          <w:numId w:val="13"/>
        </w:numPr>
        <w:spacing w:before="360" w:after="120" w:line="240" w:lineRule="auto"/>
        <w:textAlignment w:val="baseline"/>
        <w:outlineLvl w:val="1"/>
        <w:rPr>
          <w:rFonts w:ascii="Times New Roman" w:eastAsia="Times New Roman" w:hAnsi="Times New Roman" w:cs="Times New Roman"/>
          <w:b/>
          <w:bCs/>
          <w:color w:val="000000"/>
          <w:kern w:val="0"/>
          <w:sz w:val="36"/>
          <w:szCs w:val="36"/>
          <w14:ligatures w14:val="none"/>
        </w:rPr>
      </w:pPr>
      <w:r w:rsidRPr="00885D64">
        <w:rPr>
          <w:rFonts w:ascii="Times New Roman" w:eastAsia="Times New Roman" w:hAnsi="Times New Roman" w:cs="Times New Roman"/>
          <w:b/>
          <w:bCs/>
          <w:color w:val="000000"/>
          <w:kern w:val="0"/>
          <w:sz w:val="30"/>
          <w:szCs w:val="30"/>
          <w:u w:val="single"/>
          <w14:ligatures w14:val="none"/>
        </w:rPr>
        <w:t>The court must grant Defendant’s Motion to Quash the Government’s Subpoena for Maddox Armana’s Notes from Interview with Sierra Seton on February 15, 2023. </w:t>
      </w:r>
    </w:p>
    <w:p w14:paraId="213D53A2" w14:textId="77777777" w:rsidR="00885D64" w:rsidRPr="00885D64" w:rsidRDefault="00885D64" w:rsidP="00885D64">
      <w:pPr>
        <w:spacing w:after="240" w:line="240" w:lineRule="auto"/>
        <w:rPr>
          <w:rFonts w:ascii="Times New Roman" w:eastAsia="Times New Roman" w:hAnsi="Times New Roman" w:cs="Times New Roman"/>
          <w:kern w:val="0"/>
          <w14:ligatures w14:val="none"/>
        </w:rPr>
      </w:pPr>
    </w:p>
    <w:p w14:paraId="48BE2C31" w14:textId="6E959307"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lastRenderedPageBreak/>
        <w:t xml:space="preserve">The attorney-client privilege is the oldest privilege known to the common law. </w:t>
      </w:r>
      <w:r w:rsidRPr="00885D64">
        <w:rPr>
          <w:rFonts w:ascii="Times New Roman" w:eastAsia="Times New Roman" w:hAnsi="Times New Roman" w:cs="Times New Roman"/>
          <w:i/>
          <w:iCs/>
          <w:color w:val="000000"/>
          <w:kern w:val="0"/>
          <w:sz w:val="28"/>
          <w:szCs w:val="28"/>
          <w14:ligatures w14:val="none"/>
        </w:rPr>
        <w:t>Upjohn Co. v. United States</w:t>
      </w:r>
      <w:r w:rsidRPr="00885D64">
        <w:rPr>
          <w:rFonts w:ascii="Times New Roman" w:eastAsia="Times New Roman" w:hAnsi="Times New Roman" w:cs="Times New Roman"/>
          <w:color w:val="000000"/>
          <w:kern w:val="0"/>
          <w:sz w:val="28"/>
          <w:szCs w:val="28"/>
          <w14:ligatures w14:val="none"/>
        </w:rPr>
        <w:t>, 449 U.S. 383, 389 (1981)</w:t>
      </w:r>
      <w:r w:rsidR="001640A2">
        <w:rPr>
          <w:rFonts w:ascii="Times New Roman" w:eastAsia="Times New Roman" w:hAnsi="Times New Roman" w:cs="Times New Roman"/>
          <w:color w:val="000000"/>
          <w:kern w:val="0"/>
          <w:sz w:val="28"/>
          <w:szCs w:val="28"/>
          <w14:ligatures w14:val="none"/>
        </w:rPr>
        <w:fldChar w:fldCharType="begin"/>
      </w:r>
      <w:r w:rsidR="001640A2">
        <w:instrText xml:space="preserve"> TA \l "</w:instrText>
      </w:r>
      <w:r w:rsidR="001640A2" w:rsidRPr="00155630">
        <w:rPr>
          <w:rFonts w:ascii="Times New Roman" w:eastAsia="Times New Roman" w:hAnsi="Times New Roman" w:cs="Times New Roman"/>
          <w:i/>
          <w:iCs/>
          <w:color w:val="000000"/>
          <w:kern w:val="0"/>
          <w:sz w:val="28"/>
          <w:szCs w:val="28"/>
          <w14:ligatures w14:val="none"/>
        </w:rPr>
        <w:instrText>Upjohn Co. v. United States</w:instrText>
      </w:r>
      <w:r w:rsidR="001640A2" w:rsidRPr="00155630">
        <w:rPr>
          <w:rFonts w:ascii="Times New Roman" w:eastAsia="Times New Roman" w:hAnsi="Times New Roman" w:cs="Times New Roman"/>
          <w:color w:val="000000"/>
          <w:kern w:val="0"/>
          <w:sz w:val="28"/>
          <w:szCs w:val="28"/>
          <w14:ligatures w14:val="none"/>
        </w:rPr>
        <w:instrText>, 449 U.S. 383, 389 (1981)</w:instrText>
      </w:r>
      <w:r w:rsidR="001640A2">
        <w:instrText xml:space="preserve">" \s "Upjohn Co. v. United States, 449 U.S. 383 (1981)" \c 1 </w:instrText>
      </w:r>
      <w:r w:rsidR="001640A2">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This important privilege would be meaningless without the work-product doctrine, which “shelters the mental processes of the attorney, providing a privileged area within which he can analyze and prepare his client’s case.” </w:t>
      </w:r>
      <w:r w:rsidRPr="00885D64">
        <w:rPr>
          <w:rFonts w:ascii="Times New Roman" w:eastAsia="Times New Roman" w:hAnsi="Times New Roman" w:cs="Times New Roman"/>
          <w:i/>
          <w:iCs/>
          <w:color w:val="000000"/>
          <w:kern w:val="0"/>
          <w:sz w:val="28"/>
          <w:szCs w:val="28"/>
          <w14:ligatures w14:val="none"/>
        </w:rPr>
        <w:t>United States v. Nobles</w:t>
      </w:r>
      <w:r w:rsidRPr="00885D64">
        <w:rPr>
          <w:rFonts w:ascii="Times New Roman" w:eastAsia="Times New Roman" w:hAnsi="Times New Roman" w:cs="Times New Roman"/>
          <w:color w:val="000000"/>
          <w:kern w:val="0"/>
          <w:sz w:val="28"/>
          <w:szCs w:val="28"/>
          <w14:ligatures w14:val="none"/>
        </w:rPr>
        <w:t>, 422 U.S. 225, 235 (1975)</w:t>
      </w:r>
      <w:r w:rsidR="001640A2">
        <w:rPr>
          <w:rFonts w:ascii="Times New Roman" w:eastAsia="Times New Roman" w:hAnsi="Times New Roman" w:cs="Times New Roman"/>
          <w:color w:val="000000"/>
          <w:kern w:val="0"/>
          <w:sz w:val="28"/>
          <w:szCs w:val="28"/>
          <w14:ligatures w14:val="none"/>
        </w:rPr>
        <w:fldChar w:fldCharType="begin"/>
      </w:r>
      <w:r w:rsidR="001640A2">
        <w:instrText xml:space="preserve"> TA \l "</w:instrText>
      </w:r>
      <w:r w:rsidR="001640A2" w:rsidRPr="00BD25A7">
        <w:rPr>
          <w:rFonts w:ascii="Times New Roman" w:eastAsia="Times New Roman" w:hAnsi="Times New Roman" w:cs="Times New Roman"/>
          <w:i/>
          <w:iCs/>
          <w:color w:val="000000"/>
          <w:kern w:val="0"/>
          <w:sz w:val="28"/>
          <w:szCs w:val="28"/>
          <w14:ligatures w14:val="none"/>
        </w:rPr>
        <w:instrText>United States v. Nobles</w:instrText>
      </w:r>
      <w:r w:rsidR="001640A2" w:rsidRPr="00BD25A7">
        <w:rPr>
          <w:rFonts w:ascii="Times New Roman" w:eastAsia="Times New Roman" w:hAnsi="Times New Roman" w:cs="Times New Roman"/>
          <w:color w:val="000000"/>
          <w:kern w:val="0"/>
          <w:sz w:val="28"/>
          <w:szCs w:val="28"/>
          <w14:ligatures w14:val="none"/>
        </w:rPr>
        <w:instrText>, 422 U.S. 225, 235 (1975)</w:instrText>
      </w:r>
      <w:r w:rsidR="001640A2">
        <w:instrText xml:space="preserve">" \s "United States v. Nobles, 422 U.S. 225 (1975)" \c 1 </w:instrText>
      </w:r>
      <w:r w:rsidR="001640A2">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There is a “strong public policy” interest underlying the work product doctrine. </w:t>
      </w:r>
      <w:r w:rsidRPr="00885D64">
        <w:rPr>
          <w:rFonts w:ascii="Times New Roman" w:eastAsia="Times New Roman" w:hAnsi="Times New Roman" w:cs="Times New Roman"/>
          <w:i/>
          <w:iCs/>
          <w:color w:val="000000"/>
          <w:kern w:val="0"/>
          <w:sz w:val="28"/>
          <w:szCs w:val="28"/>
          <w14:ligatures w14:val="none"/>
        </w:rPr>
        <w:t>Id</w:t>
      </w:r>
      <w:r w:rsidRPr="00885D64">
        <w:rPr>
          <w:rFonts w:ascii="Times New Roman" w:eastAsia="Times New Roman" w:hAnsi="Times New Roman" w:cs="Times New Roman"/>
          <w:color w:val="000000"/>
          <w:kern w:val="0"/>
          <w:sz w:val="28"/>
          <w:szCs w:val="28"/>
          <w14:ligatures w14:val="none"/>
        </w:rPr>
        <w:t>. at 236-240</w:t>
      </w:r>
      <w:r w:rsidR="001640A2">
        <w:rPr>
          <w:rFonts w:ascii="Times New Roman" w:eastAsia="Times New Roman" w:hAnsi="Times New Roman" w:cs="Times New Roman"/>
          <w:color w:val="000000"/>
          <w:kern w:val="0"/>
          <w:sz w:val="28"/>
          <w:szCs w:val="28"/>
          <w14:ligatures w14:val="none"/>
        </w:rPr>
        <w:fldChar w:fldCharType="begin"/>
      </w:r>
      <w:r w:rsidR="001640A2">
        <w:instrText xml:space="preserve"> TA \s "United States v. Nobles, 422 U.S. 225 (1975)" </w:instrText>
      </w:r>
      <w:r w:rsidR="001640A2">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To properly serve clients and prepare their cases, lawyers must “work with a certain degree of privacy, free from unnecessary intrusion by opposing parties and their counsel.” </w:t>
      </w:r>
      <w:r w:rsidRPr="00885D64">
        <w:rPr>
          <w:rFonts w:ascii="Times New Roman" w:eastAsia="Times New Roman" w:hAnsi="Times New Roman" w:cs="Times New Roman"/>
          <w:i/>
          <w:iCs/>
          <w:color w:val="000000"/>
          <w:kern w:val="0"/>
          <w:sz w:val="28"/>
          <w:szCs w:val="28"/>
          <w14:ligatures w14:val="none"/>
        </w:rPr>
        <w:t>Hickman v. Taylor</w:t>
      </w:r>
      <w:r w:rsidRPr="00885D64">
        <w:rPr>
          <w:rFonts w:ascii="Times New Roman" w:eastAsia="Times New Roman" w:hAnsi="Times New Roman" w:cs="Times New Roman"/>
          <w:color w:val="000000"/>
          <w:kern w:val="0"/>
          <w:sz w:val="28"/>
          <w:szCs w:val="28"/>
          <w14:ligatures w14:val="none"/>
        </w:rPr>
        <w:t>, 329 U.S. 495, 510–11 (1947)</w:t>
      </w:r>
      <w:r w:rsidR="001640A2">
        <w:rPr>
          <w:rFonts w:ascii="Times New Roman" w:eastAsia="Times New Roman" w:hAnsi="Times New Roman" w:cs="Times New Roman"/>
          <w:color w:val="000000"/>
          <w:kern w:val="0"/>
          <w:sz w:val="28"/>
          <w:szCs w:val="28"/>
          <w14:ligatures w14:val="none"/>
        </w:rPr>
        <w:fldChar w:fldCharType="begin"/>
      </w:r>
      <w:r w:rsidR="001640A2">
        <w:instrText xml:space="preserve"> TA \l "</w:instrText>
      </w:r>
      <w:r w:rsidR="001640A2" w:rsidRPr="0031518B">
        <w:rPr>
          <w:rFonts w:ascii="Times New Roman" w:eastAsia="Times New Roman" w:hAnsi="Times New Roman" w:cs="Times New Roman"/>
          <w:i/>
          <w:iCs/>
          <w:color w:val="000000"/>
          <w:kern w:val="0"/>
          <w:sz w:val="28"/>
          <w:szCs w:val="28"/>
          <w14:ligatures w14:val="none"/>
        </w:rPr>
        <w:instrText>Hickman v. Taylor</w:instrText>
      </w:r>
      <w:r w:rsidR="001640A2" w:rsidRPr="0031518B">
        <w:rPr>
          <w:rFonts w:ascii="Times New Roman" w:eastAsia="Times New Roman" w:hAnsi="Times New Roman" w:cs="Times New Roman"/>
          <w:color w:val="000000"/>
          <w:kern w:val="0"/>
          <w:sz w:val="28"/>
          <w:szCs w:val="28"/>
          <w14:ligatures w14:val="none"/>
        </w:rPr>
        <w:instrText>, 329 U.S. 495, 510–11 (1947)</w:instrText>
      </w:r>
      <w:r w:rsidR="001640A2">
        <w:instrText xml:space="preserve">" \s "Hickman v. Taylor, 329 U.S. 495 (1947)" \c 1 </w:instrText>
      </w:r>
      <w:r w:rsidR="001640A2">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w:t>
      </w:r>
    </w:p>
    <w:p w14:paraId="42B2326F" w14:textId="77777777"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The standards of the work-product doctrine as articulated in Federal Rule of Civil Procedure 26 and the related cases are applicable in this criminal case as well. The United States Supreme Court wrote in </w:t>
      </w:r>
      <w:r w:rsidRPr="00885D64">
        <w:rPr>
          <w:rFonts w:ascii="Times New Roman" w:eastAsia="Times New Roman" w:hAnsi="Times New Roman" w:cs="Times New Roman"/>
          <w:i/>
          <w:iCs/>
          <w:color w:val="000000"/>
          <w:kern w:val="0"/>
          <w:sz w:val="28"/>
          <w:szCs w:val="28"/>
          <w14:ligatures w14:val="none"/>
        </w:rPr>
        <w:t xml:space="preserve">Nobles </w:t>
      </w:r>
      <w:r w:rsidRPr="00885D64">
        <w:rPr>
          <w:rFonts w:ascii="Times New Roman" w:eastAsia="Times New Roman" w:hAnsi="Times New Roman" w:cs="Times New Roman"/>
          <w:color w:val="000000"/>
          <w:kern w:val="0"/>
          <w:sz w:val="28"/>
          <w:szCs w:val="28"/>
          <w14:ligatures w14:val="none"/>
        </w:rPr>
        <w:t>that: </w:t>
      </w:r>
    </w:p>
    <w:p w14:paraId="4945B5F9" w14:textId="1B7EC0F3"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“Although the work-product doctrine most frequently is asserted as a bar to discovery in civil litigation, its role in assuring the proper functioning of the criminal justice system is even more vital. The interests of society and the accused in obtaining a fair and accurate resolution of the question of guilt or innocence demand that adequate safeguards assure the thorough preparation and presentation of each side of the case.” 422 U.S. at 238</w:t>
      </w:r>
      <w:r w:rsidR="001640A2">
        <w:rPr>
          <w:rFonts w:ascii="Times New Roman" w:eastAsia="Times New Roman" w:hAnsi="Times New Roman" w:cs="Times New Roman"/>
          <w:color w:val="000000"/>
          <w:kern w:val="0"/>
          <w:sz w:val="28"/>
          <w:szCs w:val="28"/>
          <w14:ligatures w14:val="none"/>
        </w:rPr>
        <w:fldChar w:fldCharType="begin"/>
      </w:r>
      <w:r w:rsidR="001640A2">
        <w:instrText xml:space="preserve"> TA \s "United States v. Nobles, 422 U.S. 225 (1975)" </w:instrText>
      </w:r>
      <w:r w:rsidR="001640A2">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w:t>
      </w:r>
    </w:p>
    <w:p w14:paraId="1262EFA5" w14:textId="77777777"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lastRenderedPageBreak/>
        <w:t>The defense is moving to quash the government’s Subpoena Duces Tecum to Maddox Armana on the grounds that the materials sought are protected under the work product doctrine. It is the position of defense counsel that (1) the materials sought by this subpoena are protected under the work-product doctrine because they were prepared by Maddox Armana as an agent of defense counsel, in anticipation of litigation, and (2) both the opinion work product and the fact work product sought by this subpoena are protected under the work product doctrine because the government cannot meet its burden of proving an exception to the protections as they apply to either type of work product. </w:t>
      </w:r>
    </w:p>
    <w:p w14:paraId="78904CC7" w14:textId="77777777" w:rsidR="00885D64" w:rsidRPr="00885D64" w:rsidRDefault="00885D64" w:rsidP="00885D64">
      <w:pPr>
        <w:numPr>
          <w:ilvl w:val="0"/>
          <w:numId w:val="14"/>
        </w:numPr>
        <w:spacing w:before="320" w:after="80" w:line="240" w:lineRule="auto"/>
        <w:textAlignment w:val="baseline"/>
        <w:outlineLvl w:val="2"/>
        <w:rPr>
          <w:rFonts w:ascii="Times New Roman" w:eastAsia="Times New Roman" w:hAnsi="Times New Roman" w:cs="Times New Roman"/>
          <w:b/>
          <w:bCs/>
          <w:color w:val="000000"/>
          <w:kern w:val="0"/>
          <w:sz w:val="27"/>
          <w:szCs w:val="27"/>
          <w14:ligatures w14:val="none"/>
        </w:rPr>
      </w:pPr>
      <w:r w:rsidRPr="00885D64">
        <w:rPr>
          <w:rFonts w:ascii="Times New Roman" w:eastAsia="Times New Roman" w:hAnsi="Times New Roman" w:cs="Times New Roman"/>
          <w:b/>
          <w:bCs/>
          <w:color w:val="000000"/>
          <w:kern w:val="0"/>
          <w:sz w:val="28"/>
          <w:szCs w:val="28"/>
          <w14:ligatures w14:val="none"/>
        </w:rPr>
        <w:t>The materials sought by this subpoena are protected under the work-product doctrine. </w:t>
      </w:r>
    </w:p>
    <w:p w14:paraId="52DE6534"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38DD5FEC" w14:textId="1F88D8C9"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The work product doctrine protects “documents and tangible things” prepared by or for counsel in anticipation of litigation. Fed. R. Civ. P. 26(b)(3)</w:t>
      </w:r>
      <w:r w:rsidR="00C4723C">
        <w:rPr>
          <w:rFonts w:ascii="Times New Roman" w:eastAsia="Times New Roman" w:hAnsi="Times New Roman" w:cs="Times New Roman"/>
          <w:color w:val="000000"/>
          <w:kern w:val="0"/>
          <w:sz w:val="28"/>
          <w:szCs w:val="28"/>
          <w14:ligatures w14:val="none"/>
        </w:rPr>
        <w:fldChar w:fldCharType="begin"/>
      </w:r>
      <w:r w:rsidR="00C4723C">
        <w:instrText xml:space="preserve"> TA \l "</w:instrText>
      </w:r>
      <w:r w:rsidR="00C4723C" w:rsidRPr="007F0AAC">
        <w:rPr>
          <w:rFonts w:ascii="Times New Roman" w:eastAsia="Times New Roman" w:hAnsi="Times New Roman" w:cs="Times New Roman"/>
          <w:color w:val="000000"/>
          <w:kern w:val="0"/>
          <w:sz w:val="28"/>
          <w:szCs w:val="28"/>
          <w14:ligatures w14:val="none"/>
        </w:rPr>
        <w:instrText>Fed. R. Civ. P. 26(b)(3)</w:instrText>
      </w:r>
      <w:r w:rsidR="00C4723C">
        <w:instrText xml:space="preserve">" \s "Fed. R. Civ. P. 26(b)(3)" \c 2 </w:instrText>
      </w:r>
      <w:r w:rsidR="00C4723C">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The work product doctrine also protects the “intangible equivalent” of such “documents and tangible things.” Fed. R. Evid. 502(g)(2)</w:t>
      </w:r>
      <w:r w:rsidR="00C4723C">
        <w:rPr>
          <w:rFonts w:ascii="Times New Roman" w:eastAsia="Times New Roman" w:hAnsi="Times New Roman" w:cs="Times New Roman"/>
          <w:color w:val="000000"/>
          <w:kern w:val="0"/>
          <w:sz w:val="28"/>
          <w:szCs w:val="28"/>
          <w14:ligatures w14:val="none"/>
        </w:rPr>
        <w:fldChar w:fldCharType="begin"/>
      </w:r>
      <w:r w:rsidR="00C4723C">
        <w:instrText xml:space="preserve"> TA \l "</w:instrText>
      </w:r>
      <w:r w:rsidR="00C4723C" w:rsidRPr="006A0286">
        <w:rPr>
          <w:rFonts w:ascii="Times New Roman" w:eastAsia="Times New Roman" w:hAnsi="Times New Roman" w:cs="Times New Roman"/>
          <w:color w:val="000000"/>
          <w:kern w:val="0"/>
          <w:sz w:val="28"/>
          <w:szCs w:val="28"/>
          <w14:ligatures w14:val="none"/>
        </w:rPr>
        <w:instrText>Fed. R. Evid. 502(g)(2)</w:instrText>
      </w:r>
      <w:r w:rsidR="00C4723C">
        <w:instrText xml:space="preserve">" \s "Fed. R. Evid. 502(g)(2)" \c 2 </w:instrText>
      </w:r>
      <w:r w:rsidR="00C4723C">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w:t>
      </w:r>
      <w:r w:rsidRPr="00885D64">
        <w:rPr>
          <w:rFonts w:ascii="Times New Roman" w:eastAsia="Times New Roman" w:hAnsi="Times New Roman" w:cs="Times New Roman"/>
          <w:i/>
          <w:iCs/>
          <w:color w:val="000000"/>
          <w:kern w:val="0"/>
          <w:sz w:val="28"/>
          <w:szCs w:val="28"/>
          <w14:ligatures w14:val="none"/>
        </w:rPr>
        <w:t>United States v. Deloitte LLP</w:t>
      </w:r>
      <w:r w:rsidRPr="00885D64">
        <w:rPr>
          <w:rFonts w:ascii="Times New Roman" w:eastAsia="Times New Roman" w:hAnsi="Times New Roman" w:cs="Times New Roman"/>
          <w:color w:val="000000"/>
          <w:kern w:val="0"/>
          <w:sz w:val="28"/>
          <w:szCs w:val="28"/>
          <w14:ligatures w14:val="none"/>
        </w:rPr>
        <w:t>, 610 F.3d 129, 136 (D.C. Cir. 2010)</w:t>
      </w:r>
      <w:r w:rsidR="00C4723C">
        <w:rPr>
          <w:rFonts w:ascii="Times New Roman" w:eastAsia="Times New Roman" w:hAnsi="Times New Roman" w:cs="Times New Roman"/>
          <w:color w:val="000000"/>
          <w:kern w:val="0"/>
          <w:sz w:val="28"/>
          <w:szCs w:val="28"/>
          <w14:ligatures w14:val="none"/>
        </w:rPr>
        <w:fldChar w:fldCharType="begin"/>
      </w:r>
      <w:r w:rsidR="00C4723C">
        <w:instrText xml:space="preserve"> TA \l "</w:instrText>
      </w:r>
      <w:r w:rsidR="00C4723C" w:rsidRPr="004D498C">
        <w:rPr>
          <w:rFonts w:ascii="Times New Roman" w:eastAsia="Times New Roman" w:hAnsi="Times New Roman" w:cs="Times New Roman"/>
          <w:i/>
          <w:iCs/>
          <w:color w:val="000000"/>
          <w:kern w:val="0"/>
          <w:sz w:val="28"/>
          <w:szCs w:val="28"/>
          <w14:ligatures w14:val="none"/>
        </w:rPr>
        <w:instrText>United States v. Deloitte LLP</w:instrText>
      </w:r>
      <w:r w:rsidR="00C4723C" w:rsidRPr="004D498C">
        <w:rPr>
          <w:rFonts w:ascii="Times New Roman" w:eastAsia="Times New Roman" w:hAnsi="Times New Roman" w:cs="Times New Roman"/>
          <w:color w:val="000000"/>
          <w:kern w:val="0"/>
          <w:sz w:val="28"/>
          <w:szCs w:val="28"/>
          <w14:ligatures w14:val="none"/>
        </w:rPr>
        <w:instrText>, 610 F.3d 129, 136 (D.C. Cir. 2010)</w:instrText>
      </w:r>
      <w:r w:rsidR="00C4723C">
        <w:instrText xml:space="preserve">" \s "United States v. Deloitte LLP, 610 F.3d 129, 136 (D.C. Cir. 2010)" \c 1 </w:instrText>
      </w:r>
      <w:r w:rsidR="00C4723C">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(citing </w:t>
      </w:r>
      <w:r w:rsidRPr="00885D64">
        <w:rPr>
          <w:rFonts w:ascii="Times New Roman" w:eastAsia="Times New Roman" w:hAnsi="Times New Roman" w:cs="Times New Roman"/>
          <w:i/>
          <w:iCs/>
          <w:color w:val="000000"/>
          <w:kern w:val="0"/>
          <w:sz w:val="28"/>
          <w:szCs w:val="28"/>
          <w14:ligatures w14:val="none"/>
        </w:rPr>
        <w:t>Hickman</w:t>
      </w:r>
      <w:r w:rsidRPr="00885D64">
        <w:rPr>
          <w:rFonts w:ascii="Times New Roman" w:eastAsia="Times New Roman" w:hAnsi="Times New Roman" w:cs="Times New Roman"/>
          <w:color w:val="000000"/>
          <w:kern w:val="0"/>
          <w:sz w:val="28"/>
          <w:szCs w:val="28"/>
          <w14:ligatures w14:val="none"/>
        </w:rPr>
        <w:t>, 329 U.S. at 511</w:t>
      </w:r>
      <w:r w:rsidR="00C4723C">
        <w:rPr>
          <w:rFonts w:ascii="Times New Roman" w:eastAsia="Times New Roman" w:hAnsi="Times New Roman" w:cs="Times New Roman"/>
          <w:color w:val="000000"/>
          <w:kern w:val="0"/>
          <w:sz w:val="28"/>
          <w:szCs w:val="28"/>
          <w14:ligatures w14:val="none"/>
        </w:rPr>
        <w:fldChar w:fldCharType="begin"/>
      </w:r>
      <w:r w:rsidR="00C4723C">
        <w:instrText xml:space="preserve"> TA \s "Hickman v. Taylor, 329 U.S. 495 (1947)" </w:instrText>
      </w:r>
      <w:r w:rsidR="00C4723C">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For a tangible and intangible thing to be protected by the work product doctrine, the party asserting the protection must establish that the thing was (1) prepared by or for counsel, and (2) that it was prepared in anticipation of litigation. Here, the party asserting the doctrine, counsel for Emily Calloway, can meet both those prongs </w:t>
      </w:r>
      <w:r w:rsidRPr="00885D64">
        <w:rPr>
          <w:rFonts w:ascii="Times New Roman" w:eastAsia="Times New Roman" w:hAnsi="Times New Roman" w:cs="Times New Roman"/>
          <w:color w:val="000000"/>
          <w:kern w:val="0"/>
          <w:sz w:val="28"/>
          <w:szCs w:val="28"/>
          <w14:ligatures w14:val="none"/>
        </w:rPr>
        <w:lastRenderedPageBreak/>
        <w:t xml:space="preserve">and thus establish that Maddox </w:t>
      </w:r>
      <w:proofErr w:type="spellStart"/>
      <w:r w:rsidRPr="00885D64">
        <w:rPr>
          <w:rFonts w:ascii="Times New Roman" w:eastAsia="Times New Roman" w:hAnsi="Times New Roman" w:cs="Times New Roman"/>
          <w:color w:val="000000"/>
          <w:kern w:val="0"/>
          <w:sz w:val="28"/>
          <w:szCs w:val="28"/>
          <w14:ligatures w14:val="none"/>
        </w:rPr>
        <w:t>Aramana’s</w:t>
      </w:r>
      <w:proofErr w:type="spellEnd"/>
      <w:r w:rsidRPr="00885D64">
        <w:rPr>
          <w:rFonts w:ascii="Times New Roman" w:eastAsia="Times New Roman" w:hAnsi="Times New Roman" w:cs="Times New Roman"/>
          <w:color w:val="000000"/>
          <w:kern w:val="0"/>
          <w:sz w:val="28"/>
          <w:szCs w:val="28"/>
          <w14:ligatures w14:val="none"/>
        </w:rPr>
        <w:t xml:space="preserve"> notes from the Sierra Seton interview are subject to work product protections. </w:t>
      </w:r>
    </w:p>
    <w:p w14:paraId="1FB5A705" w14:textId="77777777" w:rsidR="00885D64" w:rsidRPr="00885D64" w:rsidRDefault="00885D64" w:rsidP="00885D64">
      <w:pPr>
        <w:numPr>
          <w:ilvl w:val="0"/>
          <w:numId w:val="15"/>
        </w:numPr>
        <w:spacing w:before="280" w:after="80" w:line="240" w:lineRule="auto"/>
        <w:ind w:left="2880"/>
        <w:textAlignment w:val="baseline"/>
        <w:outlineLvl w:val="3"/>
        <w:rPr>
          <w:rFonts w:ascii="Times New Roman" w:eastAsia="Times New Roman" w:hAnsi="Times New Roman" w:cs="Times New Roman"/>
          <w:b/>
          <w:bCs/>
          <w:i/>
          <w:iCs/>
          <w:color w:val="000000"/>
          <w:kern w:val="0"/>
          <w14:ligatures w14:val="none"/>
        </w:rPr>
      </w:pPr>
      <w:r w:rsidRPr="00885D64">
        <w:rPr>
          <w:rFonts w:ascii="Times New Roman" w:eastAsia="Times New Roman" w:hAnsi="Times New Roman" w:cs="Times New Roman"/>
          <w:b/>
          <w:bCs/>
          <w:i/>
          <w:iCs/>
          <w:color w:val="000000"/>
          <w:kern w:val="0"/>
          <w:sz w:val="28"/>
          <w:szCs w:val="28"/>
          <w14:ligatures w14:val="none"/>
        </w:rPr>
        <w:t>The work-product doctrine applies to work generated by Maddox Armana as an agent of defense counsel. </w:t>
      </w:r>
    </w:p>
    <w:p w14:paraId="16D52CD5"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0B259BD5" w14:textId="28FA7918"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The work-product privilege protects not only the professional analysis and advice of lawyers but also “the giving of information to the lawyer to enable him to give sound and informed advice.” </w:t>
      </w:r>
      <w:r w:rsidRPr="00885D64">
        <w:rPr>
          <w:rFonts w:ascii="Times New Roman" w:eastAsia="Times New Roman" w:hAnsi="Times New Roman" w:cs="Times New Roman"/>
          <w:i/>
          <w:iCs/>
          <w:color w:val="000000"/>
          <w:kern w:val="0"/>
          <w:sz w:val="28"/>
          <w:szCs w:val="28"/>
          <w14:ligatures w14:val="none"/>
        </w:rPr>
        <w:t>Upjohn</w:t>
      </w:r>
      <w:r w:rsidRPr="00885D64">
        <w:rPr>
          <w:rFonts w:ascii="Times New Roman" w:eastAsia="Times New Roman" w:hAnsi="Times New Roman" w:cs="Times New Roman"/>
          <w:color w:val="000000"/>
          <w:kern w:val="0"/>
          <w:sz w:val="28"/>
          <w:szCs w:val="28"/>
          <w14:ligatures w14:val="none"/>
        </w:rPr>
        <w:t>, 449 U.S. at 390-391</w:t>
      </w:r>
      <w:r w:rsidR="00C4723C">
        <w:rPr>
          <w:rFonts w:ascii="Times New Roman" w:eastAsia="Times New Roman" w:hAnsi="Times New Roman" w:cs="Times New Roman"/>
          <w:color w:val="000000"/>
          <w:kern w:val="0"/>
          <w:sz w:val="28"/>
          <w:szCs w:val="28"/>
          <w14:ligatures w14:val="none"/>
        </w:rPr>
        <w:fldChar w:fldCharType="begin"/>
      </w:r>
      <w:r w:rsidR="00C4723C">
        <w:instrText xml:space="preserve"> TA \s "Upjohn Co. v. United States, 449 U.S. 383 (1981)" </w:instrText>
      </w:r>
      <w:r w:rsidR="00C4723C">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The work-product doctrine is "intensely practical” and “grounded in the realities of litigation in our adversary system,” such as the reality that attorneys must often rely on "investigators and other agents in the compilation of materials in preparation for trial.” </w:t>
      </w:r>
      <w:r w:rsidRPr="00885D64">
        <w:rPr>
          <w:rFonts w:ascii="Times New Roman" w:eastAsia="Times New Roman" w:hAnsi="Times New Roman" w:cs="Times New Roman"/>
          <w:i/>
          <w:iCs/>
          <w:color w:val="000000"/>
          <w:kern w:val="0"/>
          <w:sz w:val="28"/>
          <w:szCs w:val="28"/>
          <w14:ligatures w14:val="none"/>
        </w:rPr>
        <w:t>Nobles</w:t>
      </w:r>
      <w:r w:rsidRPr="00885D64">
        <w:rPr>
          <w:rFonts w:ascii="Times New Roman" w:eastAsia="Times New Roman" w:hAnsi="Times New Roman" w:cs="Times New Roman"/>
          <w:color w:val="000000"/>
          <w:kern w:val="0"/>
          <w:sz w:val="28"/>
          <w:szCs w:val="28"/>
          <w14:ligatures w14:val="none"/>
        </w:rPr>
        <w:t>, 422 U.S. at 238</w:t>
      </w:r>
      <w:r w:rsidR="00C4723C">
        <w:rPr>
          <w:rFonts w:ascii="Times New Roman" w:eastAsia="Times New Roman" w:hAnsi="Times New Roman" w:cs="Times New Roman"/>
          <w:color w:val="000000"/>
          <w:kern w:val="0"/>
          <w:sz w:val="28"/>
          <w:szCs w:val="28"/>
          <w14:ligatures w14:val="none"/>
        </w:rPr>
        <w:fldChar w:fldCharType="begin"/>
      </w:r>
      <w:r w:rsidR="00C4723C">
        <w:instrText xml:space="preserve"> TA \s "United States v. Nobles, 422 U.S. 225 (1975)" </w:instrText>
      </w:r>
      <w:r w:rsidR="00C4723C">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w:t>
      </w:r>
      <w:r w:rsidRPr="00885D64">
        <w:rPr>
          <w:rFonts w:ascii="Times New Roman" w:eastAsia="Times New Roman" w:hAnsi="Times New Roman" w:cs="Times New Roman"/>
          <w:i/>
          <w:iCs/>
          <w:color w:val="000000"/>
          <w:kern w:val="0"/>
          <w:sz w:val="28"/>
          <w:szCs w:val="28"/>
          <w14:ligatures w14:val="none"/>
        </w:rPr>
        <w:t>See also, Hickman</w:t>
      </w:r>
      <w:r w:rsidRPr="00885D64">
        <w:rPr>
          <w:rFonts w:ascii="Times New Roman" w:eastAsia="Times New Roman" w:hAnsi="Times New Roman" w:cs="Times New Roman"/>
          <w:color w:val="000000"/>
          <w:kern w:val="0"/>
          <w:sz w:val="28"/>
          <w:szCs w:val="28"/>
          <w14:ligatures w14:val="none"/>
        </w:rPr>
        <w:t>, 329 U.S. at</w:t>
      </w:r>
      <w:r w:rsidR="00637D39">
        <w:rPr>
          <w:rFonts w:ascii="Times New Roman" w:eastAsia="Times New Roman" w:hAnsi="Times New Roman" w:cs="Times New Roman"/>
          <w:color w:val="000000"/>
          <w:kern w:val="0"/>
          <w:sz w:val="28"/>
          <w:szCs w:val="28"/>
          <w14:ligatures w14:val="none"/>
        </w:rPr>
        <w:t xml:space="preserve"> 495</w:t>
      </w:r>
      <w:r w:rsidR="00637D39">
        <w:rPr>
          <w:rFonts w:ascii="Times New Roman" w:eastAsia="Times New Roman" w:hAnsi="Times New Roman" w:cs="Times New Roman"/>
          <w:color w:val="000000"/>
          <w:kern w:val="0"/>
          <w:sz w:val="28"/>
          <w:szCs w:val="28"/>
          <w14:ligatures w14:val="none"/>
        </w:rPr>
        <w:fldChar w:fldCharType="begin"/>
      </w:r>
      <w:r w:rsidR="00637D39">
        <w:instrText xml:space="preserve"> TA \s "Hickman v. Taylor, 329 U.S. 495 (1947)" </w:instrText>
      </w:r>
      <w:r w:rsidR="00637D39">
        <w:rPr>
          <w:rFonts w:ascii="Times New Roman" w:eastAsia="Times New Roman" w:hAnsi="Times New Roman" w:cs="Times New Roman"/>
          <w:color w:val="000000"/>
          <w:kern w:val="0"/>
          <w:sz w:val="28"/>
          <w:szCs w:val="28"/>
          <w14:ligatures w14:val="none"/>
        </w:rPr>
        <w:fldChar w:fldCharType="end"/>
      </w:r>
      <w:r w:rsidR="00637D39">
        <w:rPr>
          <w:rFonts w:ascii="Times New Roman" w:eastAsia="Times New Roman" w:hAnsi="Times New Roman" w:cs="Times New Roman"/>
          <w:color w:val="000000"/>
          <w:kern w:val="0"/>
          <w:sz w:val="28"/>
          <w:szCs w:val="28"/>
          <w14:ligatures w14:val="none"/>
        </w:rPr>
        <w:t xml:space="preserve"> </w:t>
      </w:r>
      <w:r w:rsidRPr="00885D64">
        <w:rPr>
          <w:rFonts w:ascii="Times New Roman" w:eastAsia="Times New Roman" w:hAnsi="Times New Roman" w:cs="Times New Roman"/>
          <w:color w:val="000000"/>
          <w:kern w:val="0"/>
          <w:sz w:val="28"/>
          <w:szCs w:val="28"/>
          <w14:ligatures w14:val="none"/>
        </w:rPr>
        <w:t>(</w:t>
      </w:r>
      <w:r w:rsidR="00115D33">
        <w:rPr>
          <w:rFonts w:ascii="Times New Roman" w:eastAsia="Times New Roman" w:hAnsi="Times New Roman" w:cs="Times New Roman"/>
          <w:color w:val="000000"/>
          <w:kern w:val="0"/>
          <w:sz w:val="28"/>
          <w:szCs w:val="28"/>
          <w14:ligatures w14:val="none"/>
        </w:rPr>
        <w:t>asserting that t</w:t>
      </w:r>
      <w:r w:rsidRPr="00885D64">
        <w:rPr>
          <w:rFonts w:ascii="Times New Roman" w:eastAsia="Times New Roman" w:hAnsi="Times New Roman" w:cs="Times New Roman"/>
          <w:color w:val="000000"/>
          <w:kern w:val="0"/>
          <w:sz w:val="28"/>
          <w:szCs w:val="28"/>
          <w14:ligatures w14:val="none"/>
        </w:rPr>
        <w:t xml:space="preserve">he work product doctrine provides a qualified immunity for materials prepared in anticipation of litigation by a party, her attorney </w:t>
      </w:r>
      <w:r w:rsidRPr="00885D64">
        <w:rPr>
          <w:rFonts w:ascii="Times New Roman" w:eastAsia="Times New Roman" w:hAnsi="Times New Roman" w:cs="Times New Roman"/>
          <w:i/>
          <w:iCs/>
          <w:color w:val="000000"/>
          <w:kern w:val="0"/>
          <w:sz w:val="28"/>
          <w:szCs w:val="28"/>
          <w14:ligatures w14:val="none"/>
        </w:rPr>
        <w:t>or other representative</w:t>
      </w:r>
      <w:r w:rsidRPr="00885D64">
        <w:rPr>
          <w:rFonts w:ascii="Times New Roman" w:eastAsia="Times New Roman" w:hAnsi="Times New Roman" w:cs="Times New Roman"/>
          <w:color w:val="000000"/>
          <w:kern w:val="0"/>
          <w:sz w:val="28"/>
          <w:szCs w:val="28"/>
          <w14:ligatures w14:val="none"/>
        </w:rPr>
        <w:t>.</w:t>
      </w:r>
      <w:r w:rsidR="00B933BB">
        <w:rPr>
          <w:rFonts w:ascii="Times New Roman" w:eastAsia="Times New Roman" w:hAnsi="Times New Roman" w:cs="Times New Roman"/>
          <w:color w:val="000000"/>
          <w:kern w:val="0"/>
          <w:sz w:val="28"/>
          <w:szCs w:val="28"/>
          <w14:ligatures w14:val="none"/>
        </w:rPr>
        <w:t>)</w:t>
      </w:r>
      <w:r w:rsidRPr="00885D64">
        <w:rPr>
          <w:rFonts w:ascii="Times New Roman" w:eastAsia="Times New Roman" w:hAnsi="Times New Roman" w:cs="Times New Roman"/>
          <w:color w:val="000000"/>
          <w:kern w:val="0"/>
          <w:sz w:val="28"/>
          <w:szCs w:val="28"/>
          <w14:ligatures w14:val="none"/>
        </w:rPr>
        <w:t xml:space="preserve"> Thus, it is necessary that the work-product doctrine extend to protect material prepared by those investigators and agents just as it would protect materials prepared by the attorney themselves. </w:t>
      </w:r>
      <w:r w:rsidRPr="00885D64">
        <w:rPr>
          <w:rFonts w:ascii="Times New Roman" w:eastAsia="Times New Roman" w:hAnsi="Times New Roman" w:cs="Times New Roman"/>
          <w:i/>
          <w:iCs/>
          <w:color w:val="000000"/>
          <w:kern w:val="0"/>
          <w:sz w:val="28"/>
          <w:szCs w:val="28"/>
          <w14:ligatures w14:val="none"/>
        </w:rPr>
        <w:t>Nobles</w:t>
      </w:r>
      <w:r w:rsidRPr="00885D64">
        <w:rPr>
          <w:rFonts w:ascii="Times New Roman" w:eastAsia="Times New Roman" w:hAnsi="Times New Roman" w:cs="Times New Roman"/>
          <w:color w:val="000000"/>
          <w:kern w:val="0"/>
          <w:sz w:val="28"/>
          <w:szCs w:val="28"/>
          <w14:ligatures w14:val="none"/>
        </w:rPr>
        <w:t>, 442 U.S. at 238</w:t>
      </w:r>
      <w:r w:rsidR="00637D39">
        <w:rPr>
          <w:rFonts w:ascii="Times New Roman" w:eastAsia="Times New Roman" w:hAnsi="Times New Roman" w:cs="Times New Roman"/>
          <w:color w:val="000000"/>
          <w:kern w:val="0"/>
          <w:sz w:val="28"/>
          <w:szCs w:val="28"/>
          <w14:ligatures w14:val="none"/>
        </w:rPr>
        <w:fldChar w:fldCharType="begin"/>
      </w:r>
      <w:r w:rsidR="00637D39">
        <w:instrText xml:space="preserve"> TA \s "United States v. Nobles, 422 U.S. 225 (1975)" </w:instrText>
      </w:r>
      <w:r w:rsidR="00637D39">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w:t>
      </w:r>
    </w:p>
    <w:p w14:paraId="3CD7F38D" w14:textId="77777777"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Here, Ms. Armanda, a private investigator, was hired by counsel for Ms. Calloway in early 2024. Ms. Armada was hired to “help counsel understand the financial structure the government was building a case around.” Further, Ms. </w:t>
      </w:r>
      <w:proofErr w:type="spellStart"/>
      <w:r w:rsidRPr="00885D64">
        <w:rPr>
          <w:rFonts w:ascii="Times New Roman" w:eastAsia="Times New Roman" w:hAnsi="Times New Roman" w:cs="Times New Roman"/>
          <w:color w:val="000000"/>
          <w:kern w:val="0"/>
          <w:sz w:val="28"/>
          <w:szCs w:val="28"/>
          <w14:ligatures w14:val="none"/>
        </w:rPr>
        <w:t>Aramanda</w:t>
      </w:r>
      <w:proofErr w:type="spellEnd"/>
      <w:r w:rsidRPr="00885D64">
        <w:rPr>
          <w:rFonts w:ascii="Times New Roman" w:eastAsia="Times New Roman" w:hAnsi="Times New Roman" w:cs="Times New Roman"/>
          <w:color w:val="000000"/>
          <w:kern w:val="0"/>
          <w:sz w:val="28"/>
          <w:szCs w:val="28"/>
          <w14:ligatures w14:val="none"/>
        </w:rPr>
        <w:t xml:space="preserve"> explained that as a private investigator generally, she works “at </w:t>
      </w:r>
      <w:r w:rsidRPr="00885D64">
        <w:rPr>
          <w:rFonts w:ascii="Times New Roman" w:eastAsia="Times New Roman" w:hAnsi="Times New Roman" w:cs="Times New Roman"/>
          <w:color w:val="000000"/>
          <w:kern w:val="0"/>
          <w:sz w:val="28"/>
          <w:szCs w:val="28"/>
          <w14:ligatures w14:val="none"/>
        </w:rPr>
        <w:lastRenderedPageBreak/>
        <w:t>[counsel’s] discretion and under their supervision” and that she is “an extension of the legal team.”</w:t>
      </w:r>
    </w:p>
    <w:p w14:paraId="43A73267" w14:textId="77777777" w:rsidR="00885D64" w:rsidRPr="00885D64" w:rsidRDefault="00885D64" w:rsidP="00885D64">
      <w:pPr>
        <w:numPr>
          <w:ilvl w:val="0"/>
          <w:numId w:val="16"/>
        </w:numPr>
        <w:spacing w:before="280" w:after="80" w:line="240" w:lineRule="auto"/>
        <w:textAlignment w:val="baseline"/>
        <w:outlineLvl w:val="3"/>
        <w:rPr>
          <w:rFonts w:ascii="Times New Roman" w:eastAsia="Times New Roman" w:hAnsi="Times New Roman" w:cs="Times New Roman"/>
          <w:b/>
          <w:bCs/>
          <w:i/>
          <w:iCs/>
          <w:color w:val="000000"/>
          <w:kern w:val="0"/>
          <w14:ligatures w14:val="none"/>
        </w:rPr>
      </w:pPr>
      <w:r w:rsidRPr="00885D64">
        <w:rPr>
          <w:rFonts w:ascii="Times New Roman" w:eastAsia="Times New Roman" w:hAnsi="Times New Roman" w:cs="Times New Roman"/>
          <w:b/>
          <w:bCs/>
          <w:i/>
          <w:iCs/>
          <w:color w:val="000000"/>
          <w:kern w:val="0"/>
          <w:sz w:val="28"/>
          <w:szCs w:val="28"/>
          <w14:ligatures w14:val="none"/>
        </w:rPr>
        <w:t>Maddox Armana’s  interview with Sierra Seton was conducted in anticipation of litigation. </w:t>
      </w:r>
    </w:p>
    <w:p w14:paraId="00456C85"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0260C84B" w14:textId="7CDAA269"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The work-product doctrine only applies to materials prepared “in anticipation of litigation or for trial.” Fed. R. Civ. P. 26(b)(3)</w:t>
      </w:r>
      <w:r w:rsidR="00637D39">
        <w:rPr>
          <w:rFonts w:ascii="Times New Roman" w:eastAsia="Times New Roman" w:hAnsi="Times New Roman" w:cs="Times New Roman"/>
          <w:color w:val="000000"/>
          <w:kern w:val="0"/>
          <w:sz w:val="28"/>
          <w:szCs w:val="28"/>
          <w14:ligatures w14:val="none"/>
        </w:rPr>
        <w:fldChar w:fldCharType="begin"/>
      </w:r>
      <w:r w:rsidR="00637D39">
        <w:instrText xml:space="preserve"> TA \s "Fed. R. Civ. P. 26(b)(3)" </w:instrText>
      </w:r>
      <w:r w:rsidR="00637D39">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It is not necessary that litigation has commenced or there be a specific claim at issue, only that a party faces an “actual claim or a potential claim following an actual event or series of events that reasonably could result in litigation.” </w:t>
      </w:r>
      <w:r w:rsidRPr="00885D64">
        <w:rPr>
          <w:rFonts w:ascii="Times New Roman" w:eastAsia="Times New Roman" w:hAnsi="Times New Roman" w:cs="Times New Roman"/>
          <w:i/>
          <w:iCs/>
          <w:color w:val="000000"/>
          <w:kern w:val="0"/>
          <w:sz w:val="28"/>
          <w:szCs w:val="28"/>
          <w14:ligatures w14:val="none"/>
        </w:rPr>
        <w:t xml:space="preserve">Towne Place Condo. </w:t>
      </w:r>
      <w:proofErr w:type="spellStart"/>
      <w:r w:rsidRPr="00885D64">
        <w:rPr>
          <w:rFonts w:ascii="Times New Roman" w:eastAsia="Times New Roman" w:hAnsi="Times New Roman" w:cs="Times New Roman"/>
          <w:i/>
          <w:iCs/>
          <w:color w:val="000000"/>
          <w:kern w:val="0"/>
          <w:sz w:val="28"/>
          <w:szCs w:val="28"/>
          <w14:ligatures w14:val="none"/>
        </w:rPr>
        <w:t>Ass’n</w:t>
      </w:r>
      <w:proofErr w:type="spellEnd"/>
      <w:r w:rsidRPr="00885D64">
        <w:rPr>
          <w:rFonts w:ascii="Times New Roman" w:eastAsia="Times New Roman" w:hAnsi="Times New Roman" w:cs="Times New Roman"/>
          <w:i/>
          <w:iCs/>
          <w:color w:val="000000"/>
          <w:kern w:val="0"/>
          <w:sz w:val="28"/>
          <w:szCs w:val="28"/>
          <w14:ligatures w14:val="none"/>
        </w:rPr>
        <w:t xml:space="preserve"> v. Phila. </w:t>
      </w:r>
      <w:proofErr w:type="spellStart"/>
      <w:r w:rsidRPr="00885D64">
        <w:rPr>
          <w:rFonts w:ascii="Times New Roman" w:eastAsia="Times New Roman" w:hAnsi="Times New Roman" w:cs="Times New Roman"/>
          <w:i/>
          <w:iCs/>
          <w:color w:val="000000"/>
          <w:kern w:val="0"/>
          <w:sz w:val="28"/>
          <w:szCs w:val="28"/>
          <w14:ligatures w14:val="none"/>
        </w:rPr>
        <w:t>Indem</w:t>
      </w:r>
      <w:proofErr w:type="spellEnd"/>
      <w:r w:rsidRPr="00885D64">
        <w:rPr>
          <w:rFonts w:ascii="Times New Roman" w:eastAsia="Times New Roman" w:hAnsi="Times New Roman" w:cs="Times New Roman"/>
          <w:i/>
          <w:iCs/>
          <w:color w:val="000000"/>
          <w:kern w:val="0"/>
          <w:sz w:val="28"/>
          <w:szCs w:val="28"/>
          <w14:ligatures w14:val="none"/>
        </w:rPr>
        <w:t>. Ins. Co.</w:t>
      </w:r>
      <w:r w:rsidRPr="00885D64">
        <w:rPr>
          <w:rFonts w:ascii="Times New Roman" w:eastAsia="Times New Roman" w:hAnsi="Times New Roman" w:cs="Times New Roman"/>
          <w:color w:val="000000"/>
          <w:kern w:val="0"/>
          <w:sz w:val="28"/>
          <w:szCs w:val="28"/>
          <w14:ligatures w14:val="none"/>
        </w:rPr>
        <w:t>, 284 F. Supp. 3d 889, 898 (N.D. Ill. 2018)</w:t>
      </w:r>
      <w:r w:rsidR="00637D39">
        <w:rPr>
          <w:rFonts w:ascii="Times New Roman" w:eastAsia="Times New Roman" w:hAnsi="Times New Roman" w:cs="Times New Roman"/>
          <w:color w:val="000000"/>
          <w:kern w:val="0"/>
          <w:sz w:val="28"/>
          <w:szCs w:val="28"/>
          <w14:ligatures w14:val="none"/>
        </w:rPr>
        <w:fldChar w:fldCharType="begin"/>
      </w:r>
      <w:r w:rsidR="00637D39">
        <w:instrText xml:space="preserve"> TA \l "</w:instrText>
      </w:r>
      <w:r w:rsidR="00637D39" w:rsidRPr="004E3308">
        <w:rPr>
          <w:rFonts w:ascii="Times New Roman" w:eastAsia="Times New Roman" w:hAnsi="Times New Roman" w:cs="Times New Roman"/>
          <w:i/>
          <w:iCs/>
          <w:color w:val="000000"/>
          <w:kern w:val="0"/>
          <w:sz w:val="28"/>
          <w:szCs w:val="28"/>
          <w14:ligatures w14:val="none"/>
        </w:rPr>
        <w:instrText>Towne Place Condo. Ass’n v. Phila. Indem. Ins. Co.</w:instrText>
      </w:r>
      <w:r w:rsidR="00637D39" w:rsidRPr="004E3308">
        <w:rPr>
          <w:rFonts w:ascii="Times New Roman" w:eastAsia="Times New Roman" w:hAnsi="Times New Roman" w:cs="Times New Roman"/>
          <w:color w:val="000000"/>
          <w:kern w:val="0"/>
          <w:sz w:val="28"/>
          <w:szCs w:val="28"/>
          <w14:ligatures w14:val="none"/>
        </w:rPr>
        <w:instrText>, 284 F. Supp. 3d 889, 898 (N.D. Ill. 2018)</w:instrText>
      </w:r>
      <w:r w:rsidR="00637D39">
        <w:instrText xml:space="preserve">" \s "Towne Place Condo. Ass’n v. Phila. Indem. Ins. Co., 284 F. Supp. 3d 889 (N.D. Ill. 2018)" \c 1 </w:instrText>
      </w:r>
      <w:r w:rsidR="00637D39">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(quoting </w:t>
      </w:r>
      <w:r w:rsidRPr="00885D64">
        <w:rPr>
          <w:rFonts w:ascii="Times New Roman" w:eastAsia="Times New Roman" w:hAnsi="Times New Roman" w:cs="Times New Roman"/>
          <w:i/>
          <w:iCs/>
          <w:color w:val="000000"/>
          <w:kern w:val="0"/>
          <w:sz w:val="28"/>
          <w:szCs w:val="28"/>
          <w14:ligatures w14:val="none"/>
        </w:rPr>
        <w:t>National Union Fire Ins. Co. v. Murray Sheet Metal Co.</w:t>
      </w:r>
      <w:r w:rsidRPr="00885D64">
        <w:rPr>
          <w:rFonts w:ascii="Times New Roman" w:eastAsia="Times New Roman" w:hAnsi="Times New Roman" w:cs="Times New Roman"/>
          <w:color w:val="000000"/>
          <w:kern w:val="0"/>
          <w:sz w:val="28"/>
          <w:szCs w:val="28"/>
          <w14:ligatures w14:val="none"/>
        </w:rPr>
        <w:t>, 967 F.2d 980, 984 (4th. Cir. 1992)</w:t>
      </w:r>
      <w:r w:rsidR="00637D39">
        <w:rPr>
          <w:rFonts w:ascii="Times New Roman" w:eastAsia="Times New Roman" w:hAnsi="Times New Roman" w:cs="Times New Roman"/>
          <w:color w:val="000000"/>
          <w:kern w:val="0"/>
          <w:sz w:val="28"/>
          <w:szCs w:val="28"/>
          <w14:ligatures w14:val="none"/>
        </w:rPr>
        <w:fldChar w:fldCharType="begin"/>
      </w:r>
      <w:r w:rsidR="00637D39">
        <w:instrText xml:space="preserve"> TA \l "</w:instrText>
      </w:r>
      <w:r w:rsidR="00637D39" w:rsidRPr="008B39C9">
        <w:rPr>
          <w:rFonts w:ascii="Times New Roman" w:eastAsia="Times New Roman" w:hAnsi="Times New Roman" w:cs="Times New Roman"/>
          <w:i/>
          <w:iCs/>
          <w:color w:val="000000"/>
          <w:kern w:val="0"/>
          <w:sz w:val="28"/>
          <w:szCs w:val="28"/>
          <w14:ligatures w14:val="none"/>
        </w:rPr>
        <w:instrText>National Union Fire Ins. Co. v. Murray Sheet Metal Co.</w:instrText>
      </w:r>
      <w:r w:rsidR="00637D39" w:rsidRPr="008B39C9">
        <w:rPr>
          <w:rFonts w:ascii="Times New Roman" w:eastAsia="Times New Roman" w:hAnsi="Times New Roman" w:cs="Times New Roman"/>
          <w:color w:val="000000"/>
          <w:kern w:val="0"/>
          <w:sz w:val="28"/>
          <w:szCs w:val="28"/>
          <w14:ligatures w14:val="none"/>
        </w:rPr>
        <w:instrText>, 967 F.2d 980, 984 (4th. Cir. 1992)</w:instrText>
      </w:r>
      <w:r w:rsidR="00637D39">
        <w:instrText xml:space="preserve">" \s "National Union Fire Ins. Co. v. Murray Sheet Metal Co., 967 F.2d 980 (4th. Cir. 1992)" \c 1 </w:instrText>
      </w:r>
      <w:r w:rsidR="00637D39">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w:t>
      </w:r>
    </w:p>
    <w:p w14:paraId="55F08B89" w14:textId="01300750"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The “anticipation of litigation” inquiry is both subjective and objective. </w:t>
      </w:r>
      <w:r w:rsidRPr="00885D64">
        <w:rPr>
          <w:rFonts w:ascii="Times New Roman" w:eastAsia="Times New Roman" w:hAnsi="Times New Roman" w:cs="Times New Roman"/>
          <w:i/>
          <w:iCs/>
          <w:color w:val="000000"/>
          <w:kern w:val="0"/>
          <w:sz w:val="28"/>
          <w:szCs w:val="28"/>
          <w14:ligatures w14:val="none"/>
        </w:rPr>
        <w:t>Martin v. Bally's Park Place Hotel &amp; Casino</w:t>
      </w:r>
      <w:r w:rsidRPr="00885D64">
        <w:rPr>
          <w:rFonts w:ascii="Times New Roman" w:eastAsia="Times New Roman" w:hAnsi="Times New Roman" w:cs="Times New Roman"/>
          <w:color w:val="000000"/>
          <w:kern w:val="0"/>
          <w:sz w:val="28"/>
          <w:szCs w:val="28"/>
          <w14:ligatures w14:val="none"/>
        </w:rPr>
        <w:t>, 983 F.2d 1252, 1260 (3d Cir. 1993)</w:t>
      </w:r>
      <w:r w:rsidR="00637D39">
        <w:rPr>
          <w:rFonts w:ascii="Times New Roman" w:eastAsia="Times New Roman" w:hAnsi="Times New Roman" w:cs="Times New Roman"/>
          <w:color w:val="000000"/>
          <w:kern w:val="0"/>
          <w:sz w:val="28"/>
          <w:szCs w:val="28"/>
          <w14:ligatures w14:val="none"/>
        </w:rPr>
        <w:fldChar w:fldCharType="begin"/>
      </w:r>
      <w:r w:rsidR="00637D39">
        <w:instrText xml:space="preserve"> TA \l "</w:instrText>
      </w:r>
      <w:r w:rsidR="00637D39" w:rsidRPr="00973BD2">
        <w:rPr>
          <w:rFonts w:ascii="Times New Roman" w:eastAsia="Times New Roman" w:hAnsi="Times New Roman" w:cs="Times New Roman"/>
          <w:i/>
          <w:iCs/>
          <w:color w:val="000000"/>
          <w:kern w:val="0"/>
          <w:sz w:val="28"/>
          <w:szCs w:val="28"/>
          <w14:ligatures w14:val="none"/>
        </w:rPr>
        <w:instrText>Martin v. Bally's Park Place Hotel &amp; Casino</w:instrText>
      </w:r>
      <w:r w:rsidR="00637D39" w:rsidRPr="00973BD2">
        <w:rPr>
          <w:rFonts w:ascii="Times New Roman" w:eastAsia="Times New Roman" w:hAnsi="Times New Roman" w:cs="Times New Roman"/>
          <w:color w:val="000000"/>
          <w:kern w:val="0"/>
          <w:sz w:val="28"/>
          <w:szCs w:val="28"/>
          <w14:ligatures w14:val="none"/>
        </w:rPr>
        <w:instrText>, 983 F.2d 1252, 1260 (3d Cir. 1993)</w:instrText>
      </w:r>
      <w:r w:rsidR="00637D39">
        <w:instrText xml:space="preserve">" \s "Martin v. Bally's Park Place Hotel &amp; Casino, 983 F.2d 1252 (3d Cir. 1993)" \c 1 </w:instrText>
      </w:r>
      <w:r w:rsidR="00637D39">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see also, </w:t>
      </w:r>
      <w:r w:rsidRPr="00885D64">
        <w:rPr>
          <w:rFonts w:ascii="Times New Roman" w:eastAsia="Times New Roman" w:hAnsi="Times New Roman" w:cs="Times New Roman"/>
          <w:i/>
          <w:iCs/>
          <w:color w:val="000000"/>
          <w:kern w:val="0"/>
          <w:sz w:val="28"/>
          <w:szCs w:val="28"/>
          <w14:ligatures w14:val="none"/>
        </w:rPr>
        <w:t>In re Sealed Case</w:t>
      </w:r>
      <w:r w:rsidRPr="00885D64">
        <w:rPr>
          <w:rFonts w:ascii="Times New Roman" w:eastAsia="Times New Roman" w:hAnsi="Times New Roman" w:cs="Times New Roman"/>
          <w:color w:val="000000"/>
          <w:kern w:val="0"/>
          <w:sz w:val="28"/>
          <w:szCs w:val="28"/>
          <w14:ligatures w14:val="none"/>
        </w:rPr>
        <w:t>, 146 F.3d 881, 884 (D.C. Cir. 1998)</w:t>
      </w:r>
      <w:r w:rsidR="00637D39">
        <w:rPr>
          <w:rFonts w:ascii="Times New Roman" w:eastAsia="Times New Roman" w:hAnsi="Times New Roman" w:cs="Times New Roman"/>
          <w:color w:val="000000"/>
          <w:kern w:val="0"/>
          <w:sz w:val="28"/>
          <w:szCs w:val="28"/>
          <w14:ligatures w14:val="none"/>
        </w:rPr>
        <w:fldChar w:fldCharType="begin"/>
      </w:r>
      <w:r w:rsidR="00637D39">
        <w:instrText xml:space="preserve"> TA \l "</w:instrText>
      </w:r>
      <w:r w:rsidR="00637D39" w:rsidRPr="00FF48CD">
        <w:rPr>
          <w:rFonts w:ascii="Times New Roman" w:eastAsia="Times New Roman" w:hAnsi="Times New Roman" w:cs="Times New Roman"/>
          <w:i/>
          <w:iCs/>
          <w:color w:val="000000"/>
          <w:kern w:val="0"/>
          <w:sz w:val="28"/>
          <w:szCs w:val="28"/>
          <w14:ligatures w14:val="none"/>
        </w:rPr>
        <w:instrText>In re Sealed Case</w:instrText>
      </w:r>
      <w:r w:rsidR="00637D39" w:rsidRPr="00FF48CD">
        <w:rPr>
          <w:rFonts w:ascii="Times New Roman" w:eastAsia="Times New Roman" w:hAnsi="Times New Roman" w:cs="Times New Roman"/>
          <w:color w:val="000000"/>
          <w:kern w:val="0"/>
          <w:sz w:val="28"/>
          <w:szCs w:val="28"/>
          <w14:ligatures w14:val="none"/>
        </w:rPr>
        <w:instrText>, 146 F.3d 881, 884 (D.C. Cir. 1998)</w:instrText>
      </w:r>
      <w:r w:rsidR="00637D39">
        <w:instrText xml:space="preserve">" \s "In re Sealed Case, 146 F.3d 881 (D.C. Cir. 1998)" \c 1 </w:instrText>
      </w:r>
      <w:r w:rsidR="00637D39">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(requiring for the “anticipation of litigation” standard that the “lawyer must at least have had a subjective belief that litigation was a real possibility, and that belief must have been objectively reasonable.”) </w:t>
      </w:r>
    </w:p>
    <w:p w14:paraId="0825E805" w14:textId="77777777"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Here, Ms. Armada has testified that she was retained by counsel for Ms. Calloway after Saint Donovan was arrested in January 2024. Ms. Armanda stated </w:t>
      </w:r>
      <w:r w:rsidRPr="00885D64">
        <w:rPr>
          <w:rFonts w:ascii="Times New Roman" w:eastAsia="Times New Roman" w:hAnsi="Times New Roman" w:cs="Times New Roman"/>
          <w:color w:val="000000"/>
          <w:kern w:val="0"/>
          <w:sz w:val="28"/>
          <w:szCs w:val="28"/>
          <w14:ligatures w14:val="none"/>
        </w:rPr>
        <w:lastRenderedPageBreak/>
        <w:t>clearly: “They [Ms. Calloway’s counsel] suspected the government might come after Ms. Calloway too, and they wanted to be ready.” As Ms. Armanda stated, “Everything [she] did on that engagement, I did because counsel was preparing for that.” </w:t>
      </w:r>
    </w:p>
    <w:p w14:paraId="3142B287" w14:textId="77777777" w:rsidR="00885D64" w:rsidRPr="00885D64" w:rsidRDefault="00885D64" w:rsidP="00885D64">
      <w:pPr>
        <w:numPr>
          <w:ilvl w:val="0"/>
          <w:numId w:val="17"/>
        </w:numPr>
        <w:spacing w:before="320" w:after="80" w:line="240" w:lineRule="auto"/>
        <w:ind w:left="2160"/>
        <w:textAlignment w:val="baseline"/>
        <w:outlineLvl w:val="2"/>
        <w:rPr>
          <w:rFonts w:ascii="Times New Roman" w:eastAsia="Times New Roman" w:hAnsi="Times New Roman" w:cs="Times New Roman"/>
          <w:b/>
          <w:bCs/>
          <w:color w:val="000000"/>
          <w:kern w:val="0"/>
          <w:sz w:val="27"/>
          <w:szCs w:val="27"/>
          <w14:ligatures w14:val="none"/>
        </w:rPr>
      </w:pPr>
      <w:r w:rsidRPr="00885D64">
        <w:rPr>
          <w:rFonts w:ascii="Times New Roman" w:eastAsia="Times New Roman" w:hAnsi="Times New Roman" w:cs="Times New Roman"/>
          <w:b/>
          <w:bCs/>
          <w:color w:val="000000"/>
          <w:kern w:val="0"/>
          <w:sz w:val="28"/>
          <w:szCs w:val="28"/>
          <w14:ligatures w14:val="none"/>
        </w:rPr>
        <w:t>The government cannot overcome its burden of proof to overcome the work-product protections here. </w:t>
      </w:r>
    </w:p>
    <w:p w14:paraId="66C7AD0C"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1546948E" w14:textId="6A23C365"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 xml:space="preserve">There is a “two-tiered structure” to the work-product doctrine, with “qualified protection for ‘fact’ work product and more absolute protection for ‘opinion’ work product.” </w:t>
      </w:r>
      <w:r w:rsidRPr="00885D64">
        <w:rPr>
          <w:rFonts w:ascii="Times New Roman" w:eastAsia="Times New Roman" w:hAnsi="Times New Roman" w:cs="Times New Roman"/>
          <w:i/>
          <w:iCs/>
          <w:color w:val="000000"/>
          <w:kern w:val="0"/>
          <w:sz w:val="28"/>
          <w:szCs w:val="28"/>
          <w14:ligatures w14:val="none"/>
        </w:rPr>
        <w:t>In re Sealed Case</w:t>
      </w:r>
      <w:r w:rsidRPr="00885D64">
        <w:rPr>
          <w:rFonts w:ascii="Times New Roman" w:eastAsia="Times New Roman" w:hAnsi="Times New Roman" w:cs="Times New Roman"/>
          <w:color w:val="000000"/>
          <w:kern w:val="0"/>
          <w:sz w:val="28"/>
          <w:szCs w:val="28"/>
          <w14:ligatures w14:val="none"/>
        </w:rPr>
        <w:t>, 676 F.2d 793, 811 (D.C. Cir. 1982)</w:t>
      </w:r>
      <w:r w:rsidR="000B1402">
        <w:rPr>
          <w:rFonts w:ascii="Times New Roman" w:eastAsia="Times New Roman" w:hAnsi="Times New Roman" w:cs="Times New Roman"/>
          <w:color w:val="000000"/>
          <w:kern w:val="0"/>
          <w:sz w:val="28"/>
          <w:szCs w:val="28"/>
          <w14:ligatures w14:val="none"/>
        </w:rPr>
        <w:fldChar w:fldCharType="begin"/>
      </w:r>
      <w:r w:rsidR="000B1402">
        <w:instrText xml:space="preserve"> TA \l "</w:instrText>
      </w:r>
      <w:r w:rsidR="000B1402" w:rsidRPr="00BC33A5">
        <w:rPr>
          <w:rFonts w:ascii="Times New Roman" w:eastAsia="Times New Roman" w:hAnsi="Times New Roman" w:cs="Times New Roman"/>
          <w:i/>
          <w:iCs/>
          <w:color w:val="000000"/>
          <w:kern w:val="0"/>
          <w:sz w:val="28"/>
          <w:szCs w:val="28"/>
          <w14:ligatures w14:val="none"/>
        </w:rPr>
        <w:instrText>In re Sealed Case</w:instrText>
      </w:r>
      <w:r w:rsidR="000B1402" w:rsidRPr="00BC33A5">
        <w:rPr>
          <w:rFonts w:ascii="Times New Roman" w:eastAsia="Times New Roman" w:hAnsi="Times New Roman" w:cs="Times New Roman"/>
          <w:color w:val="000000"/>
          <w:kern w:val="0"/>
          <w:sz w:val="28"/>
          <w:szCs w:val="28"/>
          <w14:ligatures w14:val="none"/>
        </w:rPr>
        <w:instrText>, 676 F.2d 793, 811 (D.C. Cir. 1982)</w:instrText>
      </w:r>
      <w:r w:rsidR="000B1402">
        <w:instrText xml:space="preserve">" \s "In re Sealed Case, 676 F.2d 793 (D.C. Cir. 1982)" \c 1 </w:instrText>
      </w:r>
      <w:r w:rsidR="000B1402">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w:t>
      </w:r>
      <w:r w:rsidRPr="00885D64">
        <w:rPr>
          <w:rFonts w:ascii="Times New Roman" w:eastAsia="Times New Roman" w:hAnsi="Times New Roman" w:cs="Times New Roman"/>
          <w:i/>
          <w:iCs/>
          <w:color w:val="000000"/>
          <w:kern w:val="0"/>
          <w:sz w:val="28"/>
          <w:szCs w:val="28"/>
          <w14:ligatures w14:val="none"/>
        </w:rPr>
        <w:t>citing</w:t>
      </w:r>
      <w:r w:rsidRPr="00885D64">
        <w:rPr>
          <w:rFonts w:ascii="Times New Roman" w:eastAsia="Times New Roman" w:hAnsi="Times New Roman" w:cs="Times New Roman"/>
          <w:color w:val="000000"/>
          <w:kern w:val="0"/>
          <w:sz w:val="28"/>
          <w:szCs w:val="28"/>
          <w14:ligatures w14:val="none"/>
        </w:rPr>
        <w:t xml:space="preserve"> </w:t>
      </w:r>
      <w:r w:rsidRPr="00885D64">
        <w:rPr>
          <w:rFonts w:ascii="Times New Roman" w:eastAsia="Times New Roman" w:hAnsi="Times New Roman" w:cs="Times New Roman"/>
          <w:i/>
          <w:iCs/>
          <w:color w:val="000000"/>
          <w:kern w:val="0"/>
          <w:sz w:val="28"/>
          <w:szCs w:val="28"/>
          <w14:ligatures w14:val="none"/>
        </w:rPr>
        <w:t>Hickman</w:t>
      </w:r>
      <w:r w:rsidRPr="00885D64">
        <w:rPr>
          <w:rFonts w:ascii="Times New Roman" w:eastAsia="Times New Roman" w:hAnsi="Times New Roman" w:cs="Times New Roman"/>
          <w:color w:val="000000"/>
          <w:kern w:val="0"/>
          <w:sz w:val="28"/>
          <w:szCs w:val="28"/>
          <w14:ligatures w14:val="none"/>
        </w:rPr>
        <w:t>, 329 U.S. at 495</w:t>
      </w:r>
      <w:r w:rsidR="000B1402">
        <w:rPr>
          <w:rFonts w:ascii="Times New Roman" w:eastAsia="Times New Roman" w:hAnsi="Times New Roman" w:cs="Times New Roman"/>
          <w:color w:val="000000"/>
          <w:kern w:val="0"/>
          <w:sz w:val="28"/>
          <w:szCs w:val="28"/>
          <w14:ligatures w14:val="none"/>
        </w:rPr>
        <w:fldChar w:fldCharType="begin"/>
      </w:r>
      <w:r w:rsidR="000B1402">
        <w:instrText xml:space="preserve"> TA \s "Hickman v. Taylor, 329 U.S. 495 (1947)" </w:instrText>
      </w:r>
      <w:r w:rsidR="000B1402">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Here, the subpoena at issue seeks both opinion work product and fact work product. The government cannot meet its burden of overcoming either the qualified protection for fact work product or the almost absolute protection for opinion work product. Thus, the entire document sought by the government’s subpoena is protected from disclosure.</w:t>
      </w:r>
    </w:p>
    <w:p w14:paraId="4FBDD457" w14:textId="77777777" w:rsidR="00885D64" w:rsidRPr="00885D64" w:rsidRDefault="00885D64" w:rsidP="00885D64">
      <w:pPr>
        <w:numPr>
          <w:ilvl w:val="0"/>
          <w:numId w:val="18"/>
        </w:numPr>
        <w:spacing w:before="280" w:after="80" w:line="240" w:lineRule="auto"/>
        <w:ind w:left="2880"/>
        <w:textAlignment w:val="baseline"/>
        <w:outlineLvl w:val="3"/>
        <w:rPr>
          <w:rFonts w:ascii="Times New Roman" w:eastAsia="Times New Roman" w:hAnsi="Times New Roman" w:cs="Times New Roman"/>
          <w:b/>
          <w:bCs/>
          <w:i/>
          <w:iCs/>
          <w:color w:val="000000"/>
          <w:kern w:val="0"/>
          <w14:ligatures w14:val="none"/>
        </w:rPr>
      </w:pPr>
      <w:r w:rsidRPr="00885D64">
        <w:rPr>
          <w:rFonts w:ascii="Times New Roman" w:eastAsia="Times New Roman" w:hAnsi="Times New Roman" w:cs="Times New Roman"/>
          <w:b/>
          <w:bCs/>
          <w:i/>
          <w:iCs/>
          <w:color w:val="000000"/>
          <w:kern w:val="0"/>
          <w:sz w:val="28"/>
          <w:szCs w:val="28"/>
          <w14:ligatures w14:val="none"/>
        </w:rPr>
        <w:t>The red text of Maddox Armana’s testimony is opinion work product and subject to unqualified protection. </w:t>
      </w:r>
    </w:p>
    <w:p w14:paraId="4087F5C2"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3AEBD963" w14:textId="39C25406" w:rsidR="00885D64" w:rsidRPr="00885D64" w:rsidRDefault="00885D64" w:rsidP="00885D64">
      <w:pPr>
        <w:spacing w:after="0" w:line="480" w:lineRule="auto"/>
        <w:ind w:firstLine="720"/>
        <w:rPr>
          <w:rFonts w:ascii="Times New Roman" w:eastAsia="Times New Roman" w:hAnsi="Times New Roman" w:cs="Times New Roman"/>
          <w:kern w:val="0"/>
          <w14:ligatures w14:val="none"/>
        </w:rPr>
      </w:pPr>
      <w:r w:rsidRPr="00885D64">
        <w:rPr>
          <w:rFonts w:ascii="Times New Roman" w:eastAsia="Times New Roman" w:hAnsi="Times New Roman" w:cs="Times New Roman"/>
          <w:color w:val="000000"/>
          <w:kern w:val="0"/>
          <w:sz w:val="28"/>
          <w:szCs w:val="28"/>
          <w14:ligatures w14:val="none"/>
        </w:rPr>
        <w:t>Opinion work product refers to an attorney's “mental impressions, conclusions, opinions, or legal theories concerning the litigation.” Fed. R. Civ. P. 26(b)(3)(B)</w:t>
      </w:r>
      <w:r w:rsidR="002974B0">
        <w:rPr>
          <w:rFonts w:ascii="Times New Roman" w:eastAsia="Times New Roman" w:hAnsi="Times New Roman" w:cs="Times New Roman"/>
          <w:color w:val="000000"/>
          <w:kern w:val="0"/>
          <w:sz w:val="28"/>
          <w:szCs w:val="28"/>
          <w14:ligatures w14:val="none"/>
        </w:rPr>
        <w:fldChar w:fldCharType="begin"/>
      </w:r>
      <w:r w:rsidR="002974B0">
        <w:instrText xml:space="preserve"> TA \s "Fed. R. Civ. P. 26(b)(3)" </w:instrText>
      </w:r>
      <w:r w:rsidR="002974B0">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Opinion work product “enjoys a nearly absolute immunity” which can be overcome only in “very rare and extraordinary circumstances.” </w:t>
      </w:r>
      <w:r w:rsidRPr="002974B0">
        <w:rPr>
          <w:rFonts w:ascii="Times New Roman" w:eastAsia="Times New Roman" w:hAnsi="Times New Roman" w:cs="Times New Roman"/>
          <w:i/>
          <w:iCs/>
          <w:color w:val="000000"/>
          <w:kern w:val="0"/>
          <w:sz w:val="28"/>
          <w:szCs w:val="28"/>
          <w14:ligatures w14:val="none"/>
        </w:rPr>
        <w:t>In re Murphy</w:t>
      </w:r>
      <w:r w:rsidRPr="00885D64">
        <w:rPr>
          <w:rFonts w:ascii="Times New Roman" w:eastAsia="Times New Roman" w:hAnsi="Times New Roman" w:cs="Times New Roman"/>
          <w:color w:val="000000"/>
          <w:kern w:val="0"/>
          <w:sz w:val="28"/>
          <w:szCs w:val="28"/>
          <w14:ligatures w14:val="none"/>
        </w:rPr>
        <w:t xml:space="preserve">, </w:t>
      </w:r>
      <w:r w:rsidRPr="00885D64">
        <w:rPr>
          <w:rFonts w:ascii="Times New Roman" w:eastAsia="Times New Roman" w:hAnsi="Times New Roman" w:cs="Times New Roman"/>
          <w:color w:val="000000"/>
          <w:kern w:val="0"/>
          <w:sz w:val="28"/>
          <w:szCs w:val="28"/>
          <w14:ligatures w14:val="none"/>
        </w:rPr>
        <w:lastRenderedPageBreak/>
        <w:t>560 F.2d 326, 336 (8th Cir. 1977)</w:t>
      </w:r>
      <w:r w:rsidR="002974B0">
        <w:rPr>
          <w:rFonts w:ascii="Times New Roman" w:eastAsia="Times New Roman" w:hAnsi="Times New Roman" w:cs="Times New Roman"/>
          <w:color w:val="000000"/>
          <w:kern w:val="0"/>
          <w:sz w:val="28"/>
          <w:szCs w:val="28"/>
          <w14:ligatures w14:val="none"/>
        </w:rPr>
        <w:fldChar w:fldCharType="begin"/>
      </w:r>
      <w:r w:rsidR="002974B0">
        <w:instrText xml:space="preserve"> TA \l "</w:instrText>
      </w:r>
      <w:r w:rsidR="002974B0" w:rsidRPr="000F4133">
        <w:rPr>
          <w:rFonts w:ascii="Times New Roman" w:eastAsia="Times New Roman" w:hAnsi="Times New Roman" w:cs="Times New Roman"/>
          <w:i/>
          <w:iCs/>
          <w:color w:val="000000"/>
          <w:kern w:val="0"/>
          <w:sz w:val="28"/>
          <w:szCs w:val="28"/>
          <w14:ligatures w14:val="none"/>
        </w:rPr>
        <w:instrText>In re Murphy</w:instrText>
      </w:r>
      <w:r w:rsidR="002974B0" w:rsidRPr="000F4133">
        <w:rPr>
          <w:rFonts w:ascii="Times New Roman" w:eastAsia="Times New Roman" w:hAnsi="Times New Roman" w:cs="Times New Roman"/>
          <w:color w:val="000000"/>
          <w:kern w:val="0"/>
          <w:sz w:val="28"/>
          <w:szCs w:val="28"/>
          <w14:ligatures w14:val="none"/>
        </w:rPr>
        <w:instrText>, 560 F.2d 326, 336 (8th Cir. 1977)</w:instrText>
      </w:r>
      <w:r w:rsidR="002974B0">
        <w:instrText xml:space="preserve">" \s "In re Murphy, 560 F.2d 326 (8th Cir. 1977)" \c 1 </w:instrText>
      </w:r>
      <w:r w:rsidR="002974B0">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The main exception to the protection of opinion work product is the crime fraud exception. </w:t>
      </w:r>
      <w:r w:rsidRPr="00885D64">
        <w:rPr>
          <w:rFonts w:ascii="Times New Roman" w:eastAsia="Times New Roman" w:hAnsi="Times New Roman" w:cs="Times New Roman"/>
          <w:i/>
          <w:iCs/>
          <w:color w:val="000000"/>
          <w:kern w:val="0"/>
          <w:sz w:val="28"/>
          <w:szCs w:val="28"/>
          <w14:ligatures w14:val="none"/>
        </w:rPr>
        <w:t>In re Green Grand Jury Proceedings</w:t>
      </w:r>
      <w:r w:rsidRPr="00885D64">
        <w:rPr>
          <w:rFonts w:ascii="Times New Roman" w:eastAsia="Times New Roman" w:hAnsi="Times New Roman" w:cs="Times New Roman"/>
          <w:color w:val="000000"/>
          <w:kern w:val="0"/>
          <w:sz w:val="28"/>
          <w:szCs w:val="28"/>
          <w14:ligatures w14:val="none"/>
        </w:rPr>
        <w:t>, 492 F.3d 976, 979-980 (8th Cir. 2007)</w:t>
      </w:r>
      <w:r w:rsidR="002974B0">
        <w:rPr>
          <w:rFonts w:ascii="Times New Roman" w:eastAsia="Times New Roman" w:hAnsi="Times New Roman" w:cs="Times New Roman"/>
          <w:color w:val="000000"/>
          <w:kern w:val="0"/>
          <w:sz w:val="28"/>
          <w:szCs w:val="28"/>
          <w14:ligatures w14:val="none"/>
        </w:rPr>
        <w:fldChar w:fldCharType="begin"/>
      </w:r>
      <w:r w:rsidR="002974B0">
        <w:instrText xml:space="preserve"> TA \l "</w:instrText>
      </w:r>
      <w:r w:rsidR="002974B0" w:rsidRPr="00F142DB">
        <w:rPr>
          <w:rFonts w:ascii="Times New Roman" w:eastAsia="Times New Roman" w:hAnsi="Times New Roman" w:cs="Times New Roman"/>
          <w:i/>
          <w:iCs/>
          <w:color w:val="000000"/>
          <w:kern w:val="0"/>
          <w:sz w:val="28"/>
          <w:szCs w:val="28"/>
          <w14:ligatures w14:val="none"/>
        </w:rPr>
        <w:instrText>In re Green Grand Jury Proceedings</w:instrText>
      </w:r>
      <w:r w:rsidR="002974B0" w:rsidRPr="00F142DB">
        <w:rPr>
          <w:rFonts w:ascii="Times New Roman" w:eastAsia="Times New Roman" w:hAnsi="Times New Roman" w:cs="Times New Roman"/>
          <w:color w:val="000000"/>
          <w:kern w:val="0"/>
          <w:sz w:val="28"/>
          <w:szCs w:val="28"/>
          <w14:ligatures w14:val="none"/>
        </w:rPr>
        <w:instrText>, 492 F.3d 976, 979-980 (8th Cir. 2007)</w:instrText>
      </w:r>
      <w:r w:rsidR="002974B0">
        <w:instrText xml:space="preserve">" \s "In re Green Grand Jury Proceedings, 492 F.3d 976 (8th Cir. 2007)" \c 1 </w:instrText>
      </w:r>
      <w:r w:rsidR="002974B0">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w:t>
      </w:r>
    </w:p>
    <w:p w14:paraId="79DBCBBF" w14:textId="2C5B6A94" w:rsidR="00805CD6" w:rsidRPr="00D62EB7" w:rsidRDefault="00714E1F" w:rsidP="00805CD6">
      <w:pPr>
        <w:spacing w:after="0" w:line="480" w:lineRule="auto"/>
        <w:ind w:firstLine="720"/>
        <w:rPr>
          <w:rFonts w:ascii="Times New Roman" w:eastAsia="Times New Roman" w:hAnsi="Times New Roman" w:cs="Times New Roman"/>
          <w:kern w:val="0"/>
          <w:sz w:val="28"/>
          <w:szCs w:val="28"/>
          <w14:ligatures w14:val="none"/>
        </w:rPr>
      </w:pPr>
      <w:r w:rsidRPr="00D62EB7">
        <w:rPr>
          <w:rFonts w:ascii="Times New Roman" w:eastAsia="Times New Roman" w:hAnsi="Times New Roman" w:cs="Times New Roman"/>
          <w:kern w:val="0"/>
          <w:sz w:val="28"/>
          <w:szCs w:val="28"/>
          <w14:ligatures w14:val="none"/>
        </w:rPr>
        <w:t>The crime-fraud ex</w:t>
      </w:r>
      <w:r w:rsidR="00425836" w:rsidRPr="00D62EB7">
        <w:rPr>
          <w:rFonts w:ascii="Times New Roman" w:eastAsia="Times New Roman" w:hAnsi="Times New Roman" w:cs="Times New Roman"/>
          <w:kern w:val="0"/>
          <w:sz w:val="28"/>
          <w:szCs w:val="28"/>
          <w14:ligatures w14:val="none"/>
        </w:rPr>
        <w:t xml:space="preserve">ception allows for the disclosure of otherwise privileged attorney-client communications or work product when the </w:t>
      </w:r>
      <w:r w:rsidR="003212A6" w:rsidRPr="00D62EB7">
        <w:rPr>
          <w:rFonts w:ascii="Times New Roman" w:eastAsia="Times New Roman" w:hAnsi="Times New Roman" w:cs="Times New Roman"/>
          <w:kern w:val="0"/>
          <w:sz w:val="28"/>
          <w:szCs w:val="28"/>
          <w14:ligatures w14:val="none"/>
        </w:rPr>
        <w:t xml:space="preserve">attorney-client relationship was leveraged </w:t>
      </w:r>
      <w:r w:rsidR="00805CD6" w:rsidRPr="00D62EB7">
        <w:rPr>
          <w:rFonts w:ascii="Times New Roman" w:eastAsia="Times New Roman" w:hAnsi="Times New Roman" w:cs="Times New Roman"/>
          <w:kern w:val="0"/>
          <w:sz w:val="28"/>
          <w:szCs w:val="28"/>
          <w14:ligatures w14:val="none"/>
        </w:rPr>
        <w:t xml:space="preserve">“for the purpose of getting advice for the commission of a fraud or a crime." </w:t>
      </w:r>
      <w:r w:rsidR="00805CD6" w:rsidRPr="00D62EB7">
        <w:rPr>
          <w:rFonts w:ascii="Times New Roman" w:eastAsia="Times New Roman" w:hAnsi="Times New Roman" w:cs="Times New Roman"/>
          <w:i/>
          <w:iCs/>
          <w:kern w:val="0"/>
          <w:sz w:val="28"/>
          <w:szCs w:val="28"/>
          <w14:ligatures w14:val="none"/>
        </w:rPr>
        <w:t>United States v. Zolin</w:t>
      </w:r>
      <w:r w:rsidR="00805CD6" w:rsidRPr="00D62EB7">
        <w:rPr>
          <w:rFonts w:ascii="Times New Roman" w:eastAsia="Times New Roman" w:hAnsi="Times New Roman" w:cs="Times New Roman"/>
          <w:kern w:val="0"/>
          <w:sz w:val="28"/>
          <w:szCs w:val="28"/>
          <w14:ligatures w14:val="none"/>
        </w:rPr>
        <w:t>, 491 U.S. 554, 563 (1989)</w:t>
      </w:r>
      <w:r w:rsidR="00655162">
        <w:rPr>
          <w:rFonts w:ascii="Times New Roman" w:eastAsia="Times New Roman" w:hAnsi="Times New Roman" w:cs="Times New Roman"/>
          <w:kern w:val="0"/>
          <w:sz w:val="28"/>
          <w:szCs w:val="28"/>
          <w14:ligatures w14:val="none"/>
        </w:rPr>
        <w:fldChar w:fldCharType="begin"/>
      </w:r>
      <w:r w:rsidR="00655162">
        <w:instrText xml:space="preserve"> TA \l "</w:instrText>
      </w:r>
      <w:r w:rsidR="00655162" w:rsidRPr="00E52C96">
        <w:rPr>
          <w:rFonts w:ascii="Times New Roman" w:eastAsia="Times New Roman" w:hAnsi="Times New Roman" w:cs="Times New Roman"/>
          <w:i/>
          <w:iCs/>
          <w:kern w:val="0"/>
          <w:sz w:val="28"/>
          <w:szCs w:val="28"/>
          <w14:ligatures w14:val="none"/>
        </w:rPr>
        <w:instrText>United States v. Zolin</w:instrText>
      </w:r>
      <w:r w:rsidR="00655162" w:rsidRPr="00E52C96">
        <w:rPr>
          <w:rFonts w:ascii="Times New Roman" w:eastAsia="Times New Roman" w:hAnsi="Times New Roman" w:cs="Times New Roman"/>
          <w:kern w:val="0"/>
          <w:sz w:val="28"/>
          <w:szCs w:val="28"/>
          <w14:ligatures w14:val="none"/>
        </w:rPr>
        <w:instrText>, 491 U.S. 554, 563 (1989)</w:instrText>
      </w:r>
      <w:r w:rsidR="00655162">
        <w:instrText xml:space="preserve">" \s "United States v. Zolin, 491 U.S. 554 (1989)" \c 1 </w:instrText>
      </w:r>
      <w:r w:rsidR="00655162">
        <w:rPr>
          <w:rFonts w:ascii="Times New Roman" w:eastAsia="Times New Roman" w:hAnsi="Times New Roman" w:cs="Times New Roman"/>
          <w:kern w:val="0"/>
          <w:sz w:val="28"/>
          <w:szCs w:val="28"/>
          <w14:ligatures w14:val="none"/>
        </w:rPr>
        <w:fldChar w:fldCharType="end"/>
      </w:r>
      <w:r w:rsidR="00D62EB7">
        <w:rPr>
          <w:rFonts w:ascii="Times New Roman" w:eastAsia="Times New Roman" w:hAnsi="Times New Roman" w:cs="Times New Roman"/>
          <w:kern w:val="0"/>
          <w:sz w:val="28"/>
          <w:szCs w:val="28"/>
          <w14:ligatures w14:val="none"/>
        </w:rPr>
        <w:t xml:space="preserve">; </w:t>
      </w:r>
      <w:r w:rsidR="00231184" w:rsidRPr="00655162">
        <w:rPr>
          <w:rFonts w:ascii="Times New Roman" w:eastAsia="Times New Roman" w:hAnsi="Times New Roman" w:cs="Times New Roman"/>
          <w:i/>
          <w:iCs/>
          <w:kern w:val="0"/>
          <w:sz w:val="28"/>
          <w:szCs w:val="28"/>
          <w14:ligatures w14:val="none"/>
        </w:rPr>
        <w:t>In re Green Grand Jury Proceedings</w:t>
      </w:r>
      <w:r w:rsidR="00231184" w:rsidRPr="00655162">
        <w:rPr>
          <w:rFonts w:ascii="Times New Roman" w:eastAsia="Times New Roman" w:hAnsi="Times New Roman" w:cs="Times New Roman"/>
          <w:kern w:val="0"/>
          <w:sz w:val="28"/>
          <w:szCs w:val="28"/>
          <w14:ligatures w14:val="none"/>
        </w:rPr>
        <w:t>, 492 F.3d 976, 98</w:t>
      </w:r>
      <w:r w:rsidR="00772940">
        <w:rPr>
          <w:rFonts w:ascii="Times New Roman" w:eastAsia="Times New Roman" w:hAnsi="Times New Roman" w:cs="Times New Roman"/>
          <w:kern w:val="0"/>
          <w:sz w:val="28"/>
          <w:szCs w:val="28"/>
          <w14:ligatures w14:val="none"/>
        </w:rPr>
        <w:t xml:space="preserve"> (</w:t>
      </w:r>
      <w:r w:rsidR="00655162">
        <w:rPr>
          <w:rFonts w:ascii="Times New Roman" w:eastAsia="Times New Roman" w:hAnsi="Times New Roman" w:cs="Times New Roman"/>
          <w:kern w:val="0"/>
          <w:sz w:val="28"/>
          <w:szCs w:val="28"/>
          <w14:ligatures w14:val="none"/>
        </w:rPr>
        <w:t>8</w:t>
      </w:r>
      <w:r w:rsidR="00655162" w:rsidRPr="00655162">
        <w:rPr>
          <w:rFonts w:ascii="Times New Roman" w:eastAsia="Times New Roman" w:hAnsi="Times New Roman" w:cs="Times New Roman"/>
          <w:kern w:val="0"/>
          <w:sz w:val="28"/>
          <w:szCs w:val="28"/>
          <w:vertAlign w:val="superscript"/>
          <w14:ligatures w14:val="none"/>
        </w:rPr>
        <w:t>th</w:t>
      </w:r>
      <w:r w:rsidR="00655162">
        <w:rPr>
          <w:rFonts w:ascii="Times New Roman" w:eastAsia="Times New Roman" w:hAnsi="Times New Roman" w:cs="Times New Roman"/>
          <w:kern w:val="0"/>
          <w:sz w:val="28"/>
          <w:szCs w:val="28"/>
          <w14:ligatures w14:val="none"/>
        </w:rPr>
        <w:t xml:space="preserve"> Cir. 2007)</w:t>
      </w:r>
      <w:r w:rsidR="00D7651E">
        <w:rPr>
          <w:rFonts w:ascii="Times New Roman" w:eastAsia="Times New Roman" w:hAnsi="Times New Roman" w:cs="Times New Roman"/>
          <w:kern w:val="0"/>
          <w:sz w:val="28"/>
          <w:szCs w:val="28"/>
          <w14:ligatures w14:val="none"/>
        </w:rPr>
        <w:fldChar w:fldCharType="begin"/>
      </w:r>
      <w:r w:rsidR="00D7651E">
        <w:instrText xml:space="preserve"> TA \s "In re Green Grand Jury Proceedings, 492 F.3d 976 (8th Cir. 2007)" </w:instrText>
      </w:r>
      <w:r w:rsidR="00D7651E">
        <w:rPr>
          <w:rFonts w:ascii="Times New Roman" w:eastAsia="Times New Roman" w:hAnsi="Times New Roman" w:cs="Times New Roman"/>
          <w:kern w:val="0"/>
          <w:sz w:val="28"/>
          <w:szCs w:val="28"/>
          <w14:ligatures w14:val="none"/>
        </w:rPr>
        <w:fldChar w:fldCharType="end"/>
      </w:r>
      <w:r w:rsidR="00805CD6" w:rsidRPr="00D62EB7">
        <w:rPr>
          <w:rFonts w:ascii="Times New Roman" w:eastAsia="Times New Roman" w:hAnsi="Times New Roman" w:cs="Times New Roman"/>
          <w:kern w:val="0"/>
          <w:sz w:val="28"/>
          <w:szCs w:val="28"/>
          <w14:ligatures w14:val="none"/>
        </w:rPr>
        <w:t xml:space="preserve">. Here, that exception does not apply because the government has not proved that Ms. Calloway is guilty of any crime beyond a reasonable doubt, much less that she </w:t>
      </w:r>
      <w:r w:rsidR="00D62EB7" w:rsidRPr="00D62EB7">
        <w:rPr>
          <w:rFonts w:ascii="Times New Roman" w:eastAsia="Times New Roman" w:hAnsi="Times New Roman" w:cs="Times New Roman"/>
          <w:kern w:val="0"/>
          <w:sz w:val="28"/>
          <w:szCs w:val="28"/>
          <w14:ligatures w14:val="none"/>
        </w:rPr>
        <w:t xml:space="preserve">utilized her defense team in the commission of a real or alleged crime. Thus, the opinion work product contained in the Sierra Seton interview notes is protected from disclosure under the work product doctrine. </w:t>
      </w:r>
    </w:p>
    <w:p w14:paraId="568BA78E" w14:textId="77777777" w:rsidR="00885D64" w:rsidRPr="00885D64" w:rsidRDefault="00885D64" w:rsidP="00885D64">
      <w:pPr>
        <w:numPr>
          <w:ilvl w:val="0"/>
          <w:numId w:val="19"/>
        </w:numPr>
        <w:spacing w:before="280" w:after="80" w:line="240" w:lineRule="auto"/>
        <w:textAlignment w:val="baseline"/>
        <w:outlineLvl w:val="3"/>
        <w:rPr>
          <w:rFonts w:ascii="Times New Roman" w:eastAsia="Times New Roman" w:hAnsi="Times New Roman" w:cs="Times New Roman"/>
          <w:b/>
          <w:bCs/>
          <w:i/>
          <w:iCs/>
          <w:color w:val="000000"/>
          <w:kern w:val="0"/>
          <w14:ligatures w14:val="none"/>
        </w:rPr>
      </w:pPr>
      <w:r w:rsidRPr="00885D64">
        <w:rPr>
          <w:rFonts w:ascii="Times New Roman" w:eastAsia="Times New Roman" w:hAnsi="Times New Roman" w:cs="Times New Roman"/>
          <w:b/>
          <w:bCs/>
          <w:i/>
          <w:iCs/>
          <w:color w:val="000000"/>
          <w:kern w:val="0"/>
          <w:sz w:val="28"/>
          <w:szCs w:val="28"/>
          <w14:ligatures w14:val="none"/>
        </w:rPr>
        <w:t>The black text of Maddox Armana’s testimony qualifies as ordinary work product and must be protected because the government cannot meet its burden of showing undue hardship. </w:t>
      </w:r>
    </w:p>
    <w:p w14:paraId="46A7D03F" w14:textId="77777777" w:rsidR="00885D64" w:rsidRPr="00885D64" w:rsidRDefault="00885D64" w:rsidP="00885D64">
      <w:pPr>
        <w:spacing w:after="0" w:line="240" w:lineRule="auto"/>
        <w:rPr>
          <w:rFonts w:ascii="Times New Roman" w:eastAsia="Times New Roman" w:hAnsi="Times New Roman" w:cs="Times New Roman"/>
          <w:kern w:val="0"/>
          <w14:ligatures w14:val="none"/>
        </w:rPr>
      </w:pPr>
    </w:p>
    <w:p w14:paraId="4FDA9FE1" w14:textId="0912ABC4" w:rsidR="00885D64" w:rsidRDefault="00885D64" w:rsidP="004B351E">
      <w:pPr>
        <w:spacing w:after="0" w:line="480" w:lineRule="auto"/>
        <w:ind w:firstLine="720"/>
        <w:rPr>
          <w:rFonts w:ascii="Times New Roman" w:eastAsia="Times New Roman" w:hAnsi="Times New Roman" w:cs="Times New Roman"/>
          <w:color w:val="000000"/>
          <w:kern w:val="0"/>
          <w:sz w:val="28"/>
          <w:szCs w:val="28"/>
          <w14:ligatures w14:val="none"/>
        </w:rPr>
      </w:pPr>
      <w:r w:rsidRPr="00885D64">
        <w:rPr>
          <w:rFonts w:ascii="Times New Roman" w:eastAsia="Times New Roman" w:hAnsi="Times New Roman" w:cs="Times New Roman"/>
          <w:color w:val="000000"/>
          <w:kern w:val="0"/>
          <w:sz w:val="28"/>
          <w:szCs w:val="28"/>
          <w14:ligatures w14:val="none"/>
        </w:rPr>
        <w:t xml:space="preserve">Fact work product does not contain the mental impressions, conclusions, or opinions of an attorney or representative and is instead merely a “transaction of the factual events involved.” </w:t>
      </w:r>
      <w:r w:rsidRPr="00885D64">
        <w:rPr>
          <w:rFonts w:ascii="Times New Roman" w:eastAsia="Times New Roman" w:hAnsi="Times New Roman" w:cs="Times New Roman"/>
          <w:i/>
          <w:iCs/>
          <w:color w:val="000000"/>
          <w:kern w:val="0"/>
          <w:sz w:val="28"/>
          <w:szCs w:val="28"/>
          <w14:ligatures w14:val="none"/>
        </w:rPr>
        <w:t>United States v. Under Seal (In re Grand Jury Proceedings)</w:t>
      </w:r>
      <w:r w:rsidRPr="00885D64">
        <w:rPr>
          <w:rFonts w:ascii="Times New Roman" w:eastAsia="Times New Roman" w:hAnsi="Times New Roman" w:cs="Times New Roman"/>
          <w:color w:val="000000"/>
          <w:kern w:val="0"/>
          <w:sz w:val="28"/>
          <w:szCs w:val="28"/>
          <w14:ligatures w14:val="none"/>
        </w:rPr>
        <w:t>, 102 F.3d 748, 750-751 (4th Cir. 1996)</w:t>
      </w:r>
      <w:r w:rsidR="00887806">
        <w:rPr>
          <w:rFonts w:ascii="Times New Roman" w:eastAsia="Times New Roman" w:hAnsi="Times New Roman" w:cs="Times New Roman"/>
          <w:color w:val="000000"/>
          <w:kern w:val="0"/>
          <w:sz w:val="28"/>
          <w:szCs w:val="28"/>
          <w14:ligatures w14:val="none"/>
        </w:rPr>
        <w:fldChar w:fldCharType="begin"/>
      </w:r>
      <w:r w:rsidR="00887806">
        <w:instrText xml:space="preserve"> TA \l "</w:instrText>
      </w:r>
      <w:r w:rsidR="00887806" w:rsidRPr="00036716">
        <w:rPr>
          <w:rFonts w:ascii="Times New Roman" w:eastAsia="Times New Roman" w:hAnsi="Times New Roman" w:cs="Times New Roman"/>
          <w:i/>
          <w:iCs/>
          <w:color w:val="000000"/>
          <w:kern w:val="0"/>
          <w:sz w:val="28"/>
          <w:szCs w:val="28"/>
          <w14:ligatures w14:val="none"/>
        </w:rPr>
        <w:instrText>United States v. Under Seal (In re Grand Jury Proceedings)</w:instrText>
      </w:r>
      <w:r w:rsidR="00887806" w:rsidRPr="00036716">
        <w:rPr>
          <w:rFonts w:ascii="Times New Roman" w:eastAsia="Times New Roman" w:hAnsi="Times New Roman" w:cs="Times New Roman"/>
          <w:color w:val="000000"/>
          <w:kern w:val="0"/>
          <w:sz w:val="28"/>
          <w:szCs w:val="28"/>
          <w14:ligatures w14:val="none"/>
        </w:rPr>
        <w:instrText>, 102 F.3d 748, 750-751 (4th Cir. 1996)</w:instrText>
      </w:r>
      <w:r w:rsidR="00887806">
        <w:instrText xml:space="preserve">" \s "United States v. Under Seal (In re Grand Jury Proceedings), 102 F.3d 748 (4th Cir. 1996)" \c 1 </w:instrText>
      </w:r>
      <w:r w:rsidR="00887806">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Generally, verbatim or paraphrased statements from an interview with a non-party witness qualify as fact </w:t>
      </w:r>
      <w:r w:rsidRPr="00885D64">
        <w:rPr>
          <w:rFonts w:ascii="Times New Roman" w:eastAsia="Times New Roman" w:hAnsi="Times New Roman" w:cs="Times New Roman"/>
          <w:color w:val="000000"/>
          <w:kern w:val="0"/>
          <w:sz w:val="28"/>
          <w:szCs w:val="28"/>
          <w14:ligatures w14:val="none"/>
        </w:rPr>
        <w:lastRenderedPageBreak/>
        <w:t xml:space="preserve">work-product. </w:t>
      </w:r>
      <w:r w:rsidRPr="00885D64">
        <w:rPr>
          <w:rFonts w:ascii="Times New Roman" w:eastAsia="Times New Roman" w:hAnsi="Times New Roman" w:cs="Times New Roman"/>
          <w:i/>
          <w:iCs/>
          <w:color w:val="000000"/>
          <w:kern w:val="0"/>
          <w:sz w:val="28"/>
          <w:szCs w:val="28"/>
          <w14:ligatures w14:val="none"/>
        </w:rPr>
        <w:t>In re John Doe Corp.</w:t>
      </w:r>
      <w:r w:rsidRPr="00885D64">
        <w:rPr>
          <w:rFonts w:ascii="Times New Roman" w:eastAsia="Times New Roman" w:hAnsi="Times New Roman" w:cs="Times New Roman"/>
          <w:color w:val="000000"/>
          <w:kern w:val="0"/>
          <w:sz w:val="28"/>
          <w:szCs w:val="28"/>
          <w14:ligatures w14:val="none"/>
        </w:rPr>
        <w:t>, 675 F.2d 482, 493 (2nd. Cir. 1982)</w:t>
      </w:r>
      <w:r w:rsidR="00887806">
        <w:rPr>
          <w:rFonts w:ascii="Times New Roman" w:eastAsia="Times New Roman" w:hAnsi="Times New Roman" w:cs="Times New Roman"/>
          <w:color w:val="000000"/>
          <w:kern w:val="0"/>
          <w:sz w:val="28"/>
          <w:szCs w:val="28"/>
          <w14:ligatures w14:val="none"/>
        </w:rPr>
        <w:fldChar w:fldCharType="begin"/>
      </w:r>
      <w:r w:rsidR="00887806">
        <w:instrText xml:space="preserve"> TA \l "</w:instrText>
      </w:r>
      <w:r w:rsidR="00887806" w:rsidRPr="00A72CA9">
        <w:rPr>
          <w:rFonts w:ascii="Times New Roman" w:eastAsia="Times New Roman" w:hAnsi="Times New Roman" w:cs="Times New Roman"/>
          <w:i/>
          <w:iCs/>
          <w:color w:val="000000"/>
          <w:kern w:val="0"/>
          <w:sz w:val="28"/>
          <w:szCs w:val="28"/>
          <w14:ligatures w14:val="none"/>
        </w:rPr>
        <w:instrText>In re John Doe Corp.</w:instrText>
      </w:r>
      <w:r w:rsidR="00887806" w:rsidRPr="00A72CA9">
        <w:rPr>
          <w:rFonts w:ascii="Times New Roman" w:eastAsia="Times New Roman" w:hAnsi="Times New Roman" w:cs="Times New Roman"/>
          <w:color w:val="000000"/>
          <w:kern w:val="0"/>
          <w:sz w:val="28"/>
          <w:szCs w:val="28"/>
          <w14:ligatures w14:val="none"/>
        </w:rPr>
        <w:instrText>, 675 F.2d 482, 493 (2nd. Cir. 1982)</w:instrText>
      </w:r>
      <w:r w:rsidR="00887806">
        <w:instrText xml:space="preserve">" \s "In re John Doe Corp., 675 F.2d 482 (2nd. Cir. 1982)" \c 1 </w:instrText>
      </w:r>
      <w:r w:rsidR="00887806">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Fact work product is discoverable when the party seeking the material “shows that it has substantial need for the materials to prepare its case and cannot, without undue hardship, obtain their substantial equivalent by other means.” Fed. R. Civ. P. 26(b)(3)(A)(ii)</w:t>
      </w:r>
      <w:r w:rsidR="00887806">
        <w:rPr>
          <w:rFonts w:ascii="Times New Roman" w:eastAsia="Times New Roman" w:hAnsi="Times New Roman" w:cs="Times New Roman"/>
          <w:color w:val="000000"/>
          <w:kern w:val="0"/>
          <w:sz w:val="28"/>
          <w:szCs w:val="28"/>
          <w14:ligatures w14:val="none"/>
        </w:rPr>
        <w:fldChar w:fldCharType="begin"/>
      </w:r>
      <w:r w:rsidR="00887806">
        <w:instrText xml:space="preserve"> TA \s "Fed. R. Civ. P. 26(b)(3)" </w:instrText>
      </w:r>
      <w:r w:rsidR="00887806">
        <w:rPr>
          <w:rFonts w:ascii="Times New Roman" w:eastAsia="Times New Roman" w:hAnsi="Times New Roman" w:cs="Times New Roman"/>
          <w:color w:val="000000"/>
          <w:kern w:val="0"/>
          <w:sz w:val="28"/>
          <w:szCs w:val="28"/>
          <w14:ligatures w14:val="none"/>
        </w:rPr>
        <w:fldChar w:fldCharType="end"/>
      </w:r>
      <w:r w:rsidRPr="00885D64">
        <w:rPr>
          <w:rFonts w:ascii="Times New Roman" w:eastAsia="Times New Roman" w:hAnsi="Times New Roman" w:cs="Times New Roman"/>
          <w:color w:val="000000"/>
          <w:kern w:val="0"/>
          <w:sz w:val="28"/>
          <w:szCs w:val="28"/>
          <w14:ligatures w14:val="none"/>
        </w:rPr>
        <w:t xml:space="preserve">. </w:t>
      </w:r>
    </w:p>
    <w:p w14:paraId="533F32BA" w14:textId="7A827731" w:rsidR="00F0289A" w:rsidRPr="00F0289A" w:rsidRDefault="004B351E" w:rsidP="00F0289A">
      <w:pPr>
        <w:spacing w:after="0" w:line="480" w:lineRule="auto"/>
        <w:ind w:firstLine="720"/>
        <w:rPr>
          <w:rFonts w:ascii="Times New Roman" w:eastAsia="Times New Roman" w:hAnsi="Times New Roman" w:cs="Times New Roman"/>
          <w:color w:val="000000" w:themeColor="text1"/>
          <w:kern w:val="0"/>
          <w:sz w:val="28"/>
          <w:szCs w:val="28"/>
          <w14:ligatures w14:val="none"/>
        </w:rPr>
      </w:pPr>
      <w:r>
        <w:rPr>
          <w:rFonts w:ascii="Times New Roman" w:eastAsia="Times New Roman" w:hAnsi="Times New Roman" w:cs="Times New Roman"/>
          <w:color w:val="000000"/>
          <w:kern w:val="0"/>
          <w:sz w:val="28"/>
          <w:szCs w:val="28"/>
          <w14:ligatures w14:val="none"/>
        </w:rPr>
        <w:t>The rule regarding “substantial need” and “undue hardship” has been characterized as an “anti-freeloader</w:t>
      </w:r>
      <w:r w:rsidR="003B6408">
        <w:rPr>
          <w:rFonts w:ascii="Times New Roman" w:eastAsia="Times New Roman" w:hAnsi="Times New Roman" w:cs="Times New Roman"/>
          <w:color w:val="000000"/>
          <w:kern w:val="0"/>
          <w:sz w:val="28"/>
          <w:szCs w:val="28"/>
          <w14:ligatures w14:val="none"/>
        </w:rPr>
        <w:t xml:space="preserve">” rule “designed to prohibit one adverse party from riding to court on the enterprise of the other.” </w:t>
      </w:r>
      <w:r w:rsidR="00E26350" w:rsidRPr="00BD6FAE">
        <w:rPr>
          <w:rFonts w:ascii="Times New Roman" w:eastAsia="Times New Roman" w:hAnsi="Times New Roman" w:cs="Times New Roman"/>
          <w:i/>
          <w:iCs/>
          <w:color w:val="000000" w:themeColor="text1"/>
          <w:kern w:val="0"/>
          <w:sz w:val="28"/>
          <w:szCs w:val="28"/>
          <w14:ligatures w14:val="none"/>
        </w:rPr>
        <w:t>National Union Fire Ins. Co.</w:t>
      </w:r>
      <w:r w:rsidR="005C7E52">
        <w:rPr>
          <w:rFonts w:ascii="Times New Roman" w:eastAsia="Times New Roman" w:hAnsi="Times New Roman" w:cs="Times New Roman"/>
          <w:color w:val="000000" w:themeColor="text1"/>
          <w:kern w:val="0"/>
          <w:sz w:val="28"/>
          <w:szCs w:val="28"/>
          <w14:ligatures w14:val="none"/>
        </w:rPr>
        <w:t xml:space="preserve">, 967 F.2d at </w:t>
      </w:r>
      <w:r w:rsidR="00AE4941">
        <w:rPr>
          <w:rFonts w:ascii="Times New Roman" w:eastAsia="Times New Roman" w:hAnsi="Times New Roman" w:cs="Times New Roman"/>
          <w:color w:val="000000" w:themeColor="text1"/>
          <w:kern w:val="0"/>
          <w:sz w:val="28"/>
          <w:szCs w:val="28"/>
          <w14:ligatures w14:val="none"/>
        </w:rPr>
        <w:t>985</w:t>
      </w:r>
      <w:r w:rsidR="00BD6FAE">
        <w:rPr>
          <w:rFonts w:ascii="Times New Roman" w:eastAsia="Times New Roman" w:hAnsi="Times New Roman" w:cs="Times New Roman"/>
          <w:color w:val="000000" w:themeColor="text1"/>
          <w:kern w:val="0"/>
          <w:sz w:val="28"/>
          <w:szCs w:val="28"/>
          <w14:ligatures w14:val="none"/>
        </w:rPr>
        <w:fldChar w:fldCharType="begin"/>
      </w:r>
      <w:r w:rsidR="00BD6FAE">
        <w:instrText xml:space="preserve"> TA \s "National Union Fire Ins. Co. v. Murray Sheet Metal Co., 967 F.2d 980 (4th. Cir. 1992)" </w:instrText>
      </w:r>
      <w:r w:rsidR="00BD6FAE">
        <w:rPr>
          <w:rFonts w:ascii="Times New Roman" w:eastAsia="Times New Roman" w:hAnsi="Times New Roman" w:cs="Times New Roman"/>
          <w:color w:val="000000" w:themeColor="text1"/>
          <w:kern w:val="0"/>
          <w:sz w:val="28"/>
          <w:szCs w:val="28"/>
          <w14:ligatures w14:val="none"/>
        </w:rPr>
        <w:fldChar w:fldCharType="end"/>
      </w:r>
      <w:r w:rsidR="00AE4941">
        <w:rPr>
          <w:rFonts w:ascii="Times New Roman" w:eastAsia="Times New Roman" w:hAnsi="Times New Roman" w:cs="Times New Roman"/>
          <w:color w:val="000000" w:themeColor="text1"/>
          <w:kern w:val="0"/>
          <w:sz w:val="28"/>
          <w:szCs w:val="28"/>
          <w14:ligatures w14:val="none"/>
        </w:rPr>
        <w:t xml:space="preserve">. </w:t>
      </w:r>
      <w:r w:rsidR="00F0289A">
        <w:rPr>
          <w:rFonts w:ascii="Times New Roman" w:eastAsia="Times New Roman" w:hAnsi="Times New Roman" w:cs="Times New Roman"/>
          <w:color w:val="000000" w:themeColor="text1"/>
          <w:kern w:val="0"/>
          <w:sz w:val="28"/>
          <w:szCs w:val="28"/>
          <w14:ligatures w14:val="none"/>
        </w:rPr>
        <w:t xml:space="preserve">Here, </w:t>
      </w:r>
      <w:r w:rsidR="00977FF8">
        <w:rPr>
          <w:rFonts w:ascii="Times New Roman" w:eastAsia="Times New Roman" w:hAnsi="Times New Roman" w:cs="Times New Roman"/>
          <w:color w:val="000000" w:themeColor="text1"/>
          <w:kern w:val="0"/>
          <w:sz w:val="28"/>
          <w:szCs w:val="28"/>
          <w14:ligatures w14:val="none"/>
        </w:rPr>
        <w:t>while</w:t>
      </w:r>
      <w:r w:rsidR="00D83D08">
        <w:rPr>
          <w:rFonts w:ascii="Times New Roman" w:eastAsia="Times New Roman" w:hAnsi="Times New Roman" w:cs="Times New Roman"/>
          <w:color w:val="000000" w:themeColor="text1"/>
          <w:kern w:val="0"/>
          <w:sz w:val="28"/>
          <w:szCs w:val="28"/>
          <w14:ligatures w14:val="none"/>
        </w:rPr>
        <w:t xml:space="preserve"> the government did not learn the name “Sierra” or “Si-Si” Seton until Ms. Seton had apparently already left the country in Spring 2024, the government had access to all the same Coastal documents that Ms. Armana did</w:t>
      </w:r>
      <w:r w:rsidR="00977FF8">
        <w:rPr>
          <w:rFonts w:ascii="Times New Roman" w:eastAsia="Times New Roman" w:hAnsi="Times New Roman" w:cs="Times New Roman"/>
          <w:color w:val="000000" w:themeColor="text1"/>
          <w:kern w:val="0"/>
          <w:sz w:val="28"/>
          <w:szCs w:val="28"/>
          <w14:ligatures w14:val="none"/>
        </w:rPr>
        <w:t>. The federal government, with its vast resources,</w:t>
      </w:r>
      <w:r w:rsidR="00D83D08">
        <w:rPr>
          <w:rFonts w:ascii="Times New Roman" w:eastAsia="Times New Roman" w:hAnsi="Times New Roman" w:cs="Times New Roman"/>
          <w:color w:val="000000" w:themeColor="text1"/>
          <w:kern w:val="0"/>
          <w:sz w:val="28"/>
          <w:szCs w:val="28"/>
          <w14:ligatures w14:val="none"/>
        </w:rPr>
        <w:t xml:space="preserve"> could have easily tracked Ms. Seton down before she left the country. </w:t>
      </w:r>
      <w:r w:rsidR="00AC70E6">
        <w:rPr>
          <w:rFonts w:ascii="Times New Roman" w:eastAsia="Times New Roman" w:hAnsi="Times New Roman" w:cs="Times New Roman"/>
          <w:color w:val="000000" w:themeColor="text1"/>
          <w:kern w:val="0"/>
          <w:sz w:val="28"/>
          <w:szCs w:val="28"/>
          <w14:ligatures w14:val="none"/>
        </w:rPr>
        <w:t>The fact that the government did not do the necessary work until it was too late</w:t>
      </w:r>
      <w:r w:rsidR="00312763">
        <w:rPr>
          <w:rFonts w:ascii="Times New Roman" w:eastAsia="Times New Roman" w:hAnsi="Times New Roman" w:cs="Times New Roman"/>
          <w:color w:val="000000" w:themeColor="text1"/>
          <w:kern w:val="0"/>
          <w:sz w:val="28"/>
          <w:szCs w:val="28"/>
          <w14:ligatures w14:val="none"/>
        </w:rPr>
        <w:t xml:space="preserve"> is not a true hardship. </w:t>
      </w:r>
      <w:r w:rsidR="002A0C5B">
        <w:rPr>
          <w:rFonts w:ascii="Times New Roman" w:eastAsia="Times New Roman" w:hAnsi="Times New Roman" w:cs="Times New Roman"/>
          <w:color w:val="000000" w:themeColor="text1"/>
          <w:kern w:val="0"/>
          <w:sz w:val="28"/>
          <w:szCs w:val="28"/>
          <w14:ligatures w14:val="none"/>
        </w:rPr>
        <w:t xml:space="preserve">Thus, the government cannot </w:t>
      </w:r>
      <w:r w:rsidR="00903BF1">
        <w:rPr>
          <w:rFonts w:ascii="Times New Roman" w:eastAsia="Times New Roman" w:hAnsi="Times New Roman" w:cs="Times New Roman"/>
          <w:color w:val="000000" w:themeColor="text1"/>
          <w:kern w:val="0"/>
          <w:sz w:val="28"/>
          <w:szCs w:val="28"/>
          <w14:ligatures w14:val="none"/>
        </w:rPr>
        <w:t xml:space="preserve">overcome the work product protections for the fact work product at issue. </w:t>
      </w:r>
    </w:p>
    <w:p w14:paraId="4E26A246" w14:textId="7FB99FEF" w:rsidR="00A40016" w:rsidRPr="00AE4941" w:rsidRDefault="00A40016" w:rsidP="00F0289A">
      <w:pPr>
        <w:spacing w:after="0" w:line="480" w:lineRule="auto"/>
        <w:ind w:firstLine="720"/>
        <w:rPr>
          <w:rFonts w:ascii="Times New Roman" w:eastAsia="Times New Roman" w:hAnsi="Times New Roman" w:cs="Times New Roman"/>
          <w:color w:val="000000"/>
          <w:kern w:val="0"/>
          <w:sz w:val="28"/>
          <w:szCs w:val="28"/>
          <w14:ligatures w14:val="none"/>
        </w:rPr>
      </w:pPr>
      <w:r w:rsidRPr="00A40016">
        <w:rPr>
          <w:rFonts w:ascii="Times New Roman" w:eastAsia="Times New Roman" w:hAnsi="Times New Roman" w:cs="Times New Roman"/>
          <w:color w:val="000000" w:themeColor="text1"/>
          <w:kern w:val="0"/>
          <w:sz w:val="28"/>
          <w:szCs w:val="28"/>
          <w14:ligatures w14:val="none"/>
        </w:rPr>
        <w:br/>
      </w:r>
    </w:p>
    <w:p w14:paraId="48ED52CC" w14:textId="77777777" w:rsidR="0013663F" w:rsidRDefault="0013663F"/>
    <w:sectPr w:rsidR="0013663F" w:rsidSect="0036300E">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74BDD" w14:textId="77777777" w:rsidR="00E12540" w:rsidRDefault="00E12540" w:rsidP="0036300E">
      <w:pPr>
        <w:spacing w:after="0" w:line="240" w:lineRule="auto"/>
      </w:pPr>
      <w:r>
        <w:separator/>
      </w:r>
    </w:p>
  </w:endnote>
  <w:endnote w:type="continuationSeparator" w:id="0">
    <w:p w14:paraId="4228CB2A" w14:textId="77777777" w:rsidR="00E12540" w:rsidRDefault="00E12540" w:rsidP="00363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46DA" w14:textId="11E93688" w:rsidR="0036300E" w:rsidRPr="0036300E" w:rsidRDefault="0036300E">
    <w:pPr>
      <w:pStyle w:val="Footer"/>
      <w:jc w:val="center"/>
      <w:rPr>
        <w:rFonts w:ascii="Times New Roman" w:hAnsi="Times New Roman" w:cs="Times New Roman"/>
        <w:sz w:val="28"/>
        <w:szCs w:val="28"/>
      </w:rPr>
    </w:pPr>
  </w:p>
  <w:p w14:paraId="3DF37009" w14:textId="77777777" w:rsidR="0036300E" w:rsidRDefault="003630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F3E1D" w14:textId="0F37E56C" w:rsidR="0036300E" w:rsidRPr="0036300E" w:rsidRDefault="0036300E">
    <w:pPr>
      <w:pStyle w:val="Footer"/>
      <w:jc w:val="center"/>
      <w:rPr>
        <w:rFonts w:ascii="Times New Roman" w:hAnsi="Times New Roman" w:cs="Times New Roman"/>
        <w:sz w:val="28"/>
        <w:szCs w:val="28"/>
      </w:rPr>
    </w:pPr>
  </w:p>
  <w:p w14:paraId="5590DF9C" w14:textId="77777777" w:rsidR="0036300E" w:rsidRDefault="003630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934B8" w14:textId="77777777" w:rsidR="00E12540" w:rsidRDefault="00E12540" w:rsidP="0036300E">
      <w:pPr>
        <w:spacing w:after="0" w:line="240" w:lineRule="auto"/>
      </w:pPr>
      <w:r>
        <w:separator/>
      </w:r>
    </w:p>
  </w:footnote>
  <w:footnote w:type="continuationSeparator" w:id="0">
    <w:p w14:paraId="1D4E025D" w14:textId="77777777" w:rsidR="00E12540" w:rsidRDefault="00E12540" w:rsidP="003630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D58B9"/>
    <w:multiLevelType w:val="multilevel"/>
    <w:tmpl w:val="113C9C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66667"/>
    <w:multiLevelType w:val="hybridMultilevel"/>
    <w:tmpl w:val="9FCA8D6A"/>
    <w:lvl w:ilvl="0" w:tplc="C13EF39C">
      <w:start w:val="2"/>
      <w:numFmt w:val="upperRoman"/>
      <w:lvlText w:val="%1."/>
      <w:lvlJc w:val="right"/>
      <w:pPr>
        <w:tabs>
          <w:tab w:val="num" w:pos="720"/>
        </w:tabs>
        <w:ind w:left="720" w:hanging="360"/>
      </w:pPr>
    </w:lvl>
    <w:lvl w:ilvl="1" w:tplc="42005A94" w:tentative="1">
      <w:start w:val="1"/>
      <w:numFmt w:val="decimal"/>
      <w:lvlText w:val="%2."/>
      <w:lvlJc w:val="left"/>
      <w:pPr>
        <w:tabs>
          <w:tab w:val="num" w:pos="1440"/>
        </w:tabs>
        <w:ind w:left="1440" w:hanging="360"/>
      </w:pPr>
    </w:lvl>
    <w:lvl w:ilvl="2" w:tplc="61BCD2C4" w:tentative="1">
      <w:start w:val="1"/>
      <w:numFmt w:val="decimal"/>
      <w:lvlText w:val="%3."/>
      <w:lvlJc w:val="left"/>
      <w:pPr>
        <w:tabs>
          <w:tab w:val="num" w:pos="2160"/>
        </w:tabs>
        <w:ind w:left="2160" w:hanging="360"/>
      </w:pPr>
    </w:lvl>
    <w:lvl w:ilvl="3" w:tplc="278EC11A" w:tentative="1">
      <w:start w:val="1"/>
      <w:numFmt w:val="decimal"/>
      <w:lvlText w:val="%4."/>
      <w:lvlJc w:val="left"/>
      <w:pPr>
        <w:tabs>
          <w:tab w:val="num" w:pos="2880"/>
        </w:tabs>
        <w:ind w:left="2880" w:hanging="360"/>
      </w:pPr>
    </w:lvl>
    <w:lvl w:ilvl="4" w:tplc="A68CC43A" w:tentative="1">
      <w:start w:val="1"/>
      <w:numFmt w:val="decimal"/>
      <w:lvlText w:val="%5."/>
      <w:lvlJc w:val="left"/>
      <w:pPr>
        <w:tabs>
          <w:tab w:val="num" w:pos="3600"/>
        </w:tabs>
        <w:ind w:left="3600" w:hanging="360"/>
      </w:pPr>
    </w:lvl>
    <w:lvl w:ilvl="5" w:tplc="74962EE2" w:tentative="1">
      <w:start w:val="1"/>
      <w:numFmt w:val="decimal"/>
      <w:lvlText w:val="%6."/>
      <w:lvlJc w:val="left"/>
      <w:pPr>
        <w:tabs>
          <w:tab w:val="num" w:pos="4320"/>
        </w:tabs>
        <w:ind w:left="4320" w:hanging="360"/>
      </w:pPr>
    </w:lvl>
    <w:lvl w:ilvl="6" w:tplc="EBFA80EC" w:tentative="1">
      <w:start w:val="1"/>
      <w:numFmt w:val="decimal"/>
      <w:lvlText w:val="%7."/>
      <w:lvlJc w:val="left"/>
      <w:pPr>
        <w:tabs>
          <w:tab w:val="num" w:pos="5040"/>
        </w:tabs>
        <w:ind w:left="5040" w:hanging="360"/>
      </w:pPr>
    </w:lvl>
    <w:lvl w:ilvl="7" w:tplc="6A6060D4" w:tentative="1">
      <w:start w:val="1"/>
      <w:numFmt w:val="decimal"/>
      <w:lvlText w:val="%8."/>
      <w:lvlJc w:val="left"/>
      <w:pPr>
        <w:tabs>
          <w:tab w:val="num" w:pos="5760"/>
        </w:tabs>
        <w:ind w:left="5760" w:hanging="360"/>
      </w:pPr>
    </w:lvl>
    <w:lvl w:ilvl="8" w:tplc="FCF8671A" w:tentative="1">
      <w:start w:val="1"/>
      <w:numFmt w:val="decimal"/>
      <w:lvlText w:val="%9."/>
      <w:lvlJc w:val="left"/>
      <w:pPr>
        <w:tabs>
          <w:tab w:val="num" w:pos="6480"/>
        </w:tabs>
        <w:ind w:left="6480" w:hanging="360"/>
      </w:pPr>
    </w:lvl>
  </w:abstractNum>
  <w:abstractNum w:abstractNumId="2" w15:restartNumberingAfterBreak="0">
    <w:nsid w:val="155C3178"/>
    <w:multiLevelType w:val="hybridMultilevel"/>
    <w:tmpl w:val="2A963540"/>
    <w:lvl w:ilvl="0" w:tplc="1EB089B6">
      <w:start w:val="2"/>
      <w:numFmt w:val="upperLetter"/>
      <w:lvlText w:val="%1."/>
      <w:lvlJc w:val="left"/>
      <w:pPr>
        <w:tabs>
          <w:tab w:val="num" w:pos="720"/>
        </w:tabs>
        <w:ind w:left="720" w:hanging="360"/>
      </w:pPr>
    </w:lvl>
    <w:lvl w:ilvl="1" w:tplc="B4361DD4" w:tentative="1">
      <w:start w:val="1"/>
      <w:numFmt w:val="decimal"/>
      <w:lvlText w:val="%2."/>
      <w:lvlJc w:val="left"/>
      <w:pPr>
        <w:tabs>
          <w:tab w:val="num" w:pos="1440"/>
        </w:tabs>
        <w:ind w:left="1440" w:hanging="360"/>
      </w:pPr>
    </w:lvl>
    <w:lvl w:ilvl="2" w:tplc="97BCAE6C" w:tentative="1">
      <w:start w:val="1"/>
      <w:numFmt w:val="decimal"/>
      <w:lvlText w:val="%3."/>
      <w:lvlJc w:val="left"/>
      <w:pPr>
        <w:tabs>
          <w:tab w:val="num" w:pos="2160"/>
        </w:tabs>
        <w:ind w:left="2160" w:hanging="360"/>
      </w:pPr>
    </w:lvl>
    <w:lvl w:ilvl="3" w:tplc="DC3C9714" w:tentative="1">
      <w:start w:val="1"/>
      <w:numFmt w:val="decimal"/>
      <w:lvlText w:val="%4."/>
      <w:lvlJc w:val="left"/>
      <w:pPr>
        <w:tabs>
          <w:tab w:val="num" w:pos="2880"/>
        </w:tabs>
        <w:ind w:left="2880" w:hanging="360"/>
      </w:pPr>
    </w:lvl>
    <w:lvl w:ilvl="4" w:tplc="8A3EEA98" w:tentative="1">
      <w:start w:val="1"/>
      <w:numFmt w:val="decimal"/>
      <w:lvlText w:val="%5."/>
      <w:lvlJc w:val="left"/>
      <w:pPr>
        <w:tabs>
          <w:tab w:val="num" w:pos="3600"/>
        </w:tabs>
        <w:ind w:left="3600" w:hanging="360"/>
      </w:pPr>
    </w:lvl>
    <w:lvl w:ilvl="5" w:tplc="6FDA748C" w:tentative="1">
      <w:start w:val="1"/>
      <w:numFmt w:val="decimal"/>
      <w:lvlText w:val="%6."/>
      <w:lvlJc w:val="left"/>
      <w:pPr>
        <w:tabs>
          <w:tab w:val="num" w:pos="4320"/>
        </w:tabs>
        <w:ind w:left="4320" w:hanging="360"/>
      </w:pPr>
    </w:lvl>
    <w:lvl w:ilvl="6" w:tplc="8938B3F6" w:tentative="1">
      <w:start w:val="1"/>
      <w:numFmt w:val="decimal"/>
      <w:lvlText w:val="%7."/>
      <w:lvlJc w:val="left"/>
      <w:pPr>
        <w:tabs>
          <w:tab w:val="num" w:pos="5040"/>
        </w:tabs>
        <w:ind w:left="5040" w:hanging="360"/>
      </w:pPr>
    </w:lvl>
    <w:lvl w:ilvl="7" w:tplc="862A98AC" w:tentative="1">
      <w:start w:val="1"/>
      <w:numFmt w:val="decimal"/>
      <w:lvlText w:val="%8."/>
      <w:lvlJc w:val="left"/>
      <w:pPr>
        <w:tabs>
          <w:tab w:val="num" w:pos="5760"/>
        </w:tabs>
        <w:ind w:left="5760" w:hanging="360"/>
      </w:pPr>
    </w:lvl>
    <w:lvl w:ilvl="8" w:tplc="8316739E" w:tentative="1">
      <w:start w:val="1"/>
      <w:numFmt w:val="decimal"/>
      <w:lvlText w:val="%9."/>
      <w:lvlJc w:val="left"/>
      <w:pPr>
        <w:tabs>
          <w:tab w:val="num" w:pos="6480"/>
        </w:tabs>
        <w:ind w:left="6480" w:hanging="360"/>
      </w:pPr>
    </w:lvl>
  </w:abstractNum>
  <w:abstractNum w:abstractNumId="3" w15:restartNumberingAfterBreak="0">
    <w:nsid w:val="169751E6"/>
    <w:multiLevelType w:val="multilevel"/>
    <w:tmpl w:val="5EDC7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2810F6"/>
    <w:multiLevelType w:val="multilevel"/>
    <w:tmpl w:val="BFEA2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8E4D1E"/>
    <w:multiLevelType w:val="multilevel"/>
    <w:tmpl w:val="919812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9D7E73"/>
    <w:multiLevelType w:val="multilevel"/>
    <w:tmpl w:val="C2586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AB6D07"/>
    <w:multiLevelType w:val="hybridMultilevel"/>
    <w:tmpl w:val="F59641A2"/>
    <w:lvl w:ilvl="0" w:tplc="2E90CB1E">
      <w:start w:val="2"/>
      <w:numFmt w:val="upperLetter"/>
      <w:lvlText w:val="%1."/>
      <w:lvlJc w:val="left"/>
      <w:pPr>
        <w:tabs>
          <w:tab w:val="num" w:pos="720"/>
        </w:tabs>
        <w:ind w:left="720" w:hanging="360"/>
      </w:pPr>
    </w:lvl>
    <w:lvl w:ilvl="1" w:tplc="D466FE0E" w:tentative="1">
      <w:start w:val="1"/>
      <w:numFmt w:val="decimal"/>
      <w:lvlText w:val="%2."/>
      <w:lvlJc w:val="left"/>
      <w:pPr>
        <w:tabs>
          <w:tab w:val="num" w:pos="1440"/>
        </w:tabs>
        <w:ind w:left="1440" w:hanging="360"/>
      </w:pPr>
    </w:lvl>
    <w:lvl w:ilvl="2" w:tplc="E51E371E" w:tentative="1">
      <w:start w:val="1"/>
      <w:numFmt w:val="decimal"/>
      <w:lvlText w:val="%3."/>
      <w:lvlJc w:val="left"/>
      <w:pPr>
        <w:tabs>
          <w:tab w:val="num" w:pos="2160"/>
        </w:tabs>
        <w:ind w:left="2160" w:hanging="360"/>
      </w:pPr>
    </w:lvl>
    <w:lvl w:ilvl="3" w:tplc="06B6B5F6" w:tentative="1">
      <w:start w:val="1"/>
      <w:numFmt w:val="decimal"/>
      <w:lvlText w:val="%4."/>
      <w:lvlJc w:val="left"/>
      <w:pPr>
        <w:tabs>
          <w:tab w:val="num" w:pos="2880"/>
        </w:tabs>
        <w:ind w:left="2880" w:hanging="360"/>
      </w:pPr>
    </w:lvl>
    <w:lvl w:ilvl="4" w:tplc="499656C0" w:tentative="1">
      <w:start w:val="1"/>
      <w:numFmt w:val="decimal"/>
      <w:lvlText w:val="%5."/>
      <w:lvlJc w:val="left"/>
      <w:pPr>
        <w:tabs>
          <w:tab w:val="num" w:pos="3600"/>
        </w:tabs>
        <w:ind w:left="3600" w:hanging="360"/>
      </w:pPr>
    </w:lvl>
    <w:lvl w:ilvl="5" w:tplc="9788AC86" w:tentative="1">
      <w:start w:val="1"/>
      <w:numFmt w:val="decimal"/>
      <w:lvlText w:val="%6."/>
      <w:lvlJc w:val="left"/>
      <w:pPr>
        <w:tabs>
          <w:tab w:val="num" w:pos="4320"/>
        </w:tabs>
        <w:ind w:left="4320" w:hanging="360"/>
      </w:pPr>
    </w:lvl>
    <w:lvl w:ilvl="6" w:tplc="32044CBC" w:tentative="1">
      <w:start w:val="1"/>
      <w:numFmt w:val="decimal"/>
      <w:lvlText w:val="%7."/>
      <w:lvlJc w:val="left"/>
      <w:pPr>
        <w:tabs>
          <w:tab w:val="num" w:pos="5040"/>
        </w:tabs>
        <w:ind w:left="5040" w:hanging="360"/>
      </w:pPr>
    </w:lvl>
    <w:lvl w:ilvl="7" w:tplc="4992F26A" w:tentative="1">
      <w:start w:val="1"/>
      <w:numFmt w:val="decimal"/>
      <w:lvlText w:val="%8."/>
      <w:lvlJc w:val="left"/>
      <w:pPr>
        <w:tabs>
          <w:tab w:val="num" w:pos="5760"/>
        </w:tabs>
        <w:ind w:left="5760" w:hanging="360"/>
      </w:pPr>
    </w:lvl>
    <w:lvl w:ilvl="8" w:tplc="5A749E46" w:tentative="1">
      <w:start w:val="1"/>
      <w:numFmt w:val="decimal"/>
      <w:lvlText w:val="%9."/>
      <w:lvlJc w:val="left"/>
      <w:pPr>
        <w:tabs>
          <w:tab w:val="num" w:pos="6480"/>
        </w:tabs>
        <w:ind w:left="6480" w:hanging="360"/>
      </w:pPr>
    </w:lvl>
  </w:abstractNum>
  <w:abstractNum w:abstractNumId="8" w15:restartNumberingAfterBreak="0">
    <w:nsid w:val="41952900"/>
    <w:multiLevelType w:val="multilevel"/>
    <w:tmpl w:val="3EE42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2122C2"/>
    <w:multiLevelType w:val="multilevel"/>
    <w:tmpl w:val="6E2AD2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0879AC"/>
    <w:multiLevelType w:val="hybridMultilevel"/>
    <w:tmpl w:val="01B28278"/>
    <w:lvl w:ilvl="0" w:tplc="CC182F94">
      <w:start w:val="3"/>
      <w:numFmt w:val="upperLetter"/>
      <w:lvlText w:val="%1."/>
      <w:lvlJc w:val="left"/>
      <w:pPr>
        <w:tabs>
          <w:tab w:val="num" w:pos="720"/>
        </w:tabs>
        <w:ind w:left="720" w:hanging="360"/>
      </w:pPr>
    </w:lvl>
    <w:lvl w:ilvl="1" w:tplc="AB00CE54" w:tentative="1">
      <w:start w:val="1"/>
      <w:numFmt w:val="decimal"/>
      <w:lvlText w:val="%2."/>
      <w:lvlJc w:val="left"/>
      <w:pPr>
        <w:tabs>
          <w:tab w:val="num" w:pos="1440"/>
        </w:tabs>
        <w:ind w:left="1440" w:hanging="360"/>
      </w:pPr>
    </w:lvl>
    <w:lvl w:ilvl="2" w:tplc="F49E1740" w:tentative="1">
      <w:start w:val="1"/>
      <w:numFmt w:val="decimal"/>
      <w:lvlText w:val="%3."/>
      <w:lvlJc w:val="left"/>
      <w:pPr>
        <w:tabs>
          <w:tab w:val="num" w:pos="2160"/>
        </w:tabs>
        <w:ind w:left="2160" w:hanging="360"/>
      </w:pPr>
    </w:lvl>
    <w:lvl w:ilvl="3" w:tplc="6832C816" w:tentative="1">
      <w:start w:val="1"/>
      <w:numFmt w:val="decimal"/>
      <w:lvlText w:val="%4."/>
      <w:lvlJc w:val="left"/>
      <w:pPr>
        <w:tabs>
          <w:tab w:val="num" w:pos="2880"/>
        </w:tabs>
        <w:ind w:left="2880" w:hanging="360"/>
      </w:pPr>
    </w:lvl>
    <w:lvl w:ilvl="4" w:tplc="7C72859A" w:tentative="1">
      <w:start w:val="1"/>
      <w:numFmt w:val="decimal"/>
      <w:lvlText w:val="%5."/>
      <w:lvlJc w:val="left"/>
      <w:pPr>
        <w:tabs>
          <w:tab w:val="num" w:pos="3600"/>
        </w:tabs>
        <w:ind w:left="3600" w:hanging="360"/>
      </w:pPr>
    </w:lvl>
    <w:lvl w:ilvl="5" w:tplc="C9CC3028" w:tentative="1">
      <w:start w:val="1"/>
      <w:numFmt w:val="decimal"/>
      <w:lvlText w:val="%6."/>
      <w:lvlJc w:val="left"/>
      <w:pPr>
        <w:tabs>
          <w:tab w:val="num" w:pos="4320"/>
        </w:tabs>
        <w:ind w:left="4320" w:hanging="360"/>
      </w:pPr>
    </w:lvl>
    <w:lvl w:ilvl="6" w:tplc="CD5E18EE" w:tentative="1">
      <w:start w:val="1"/>
      <w:numFmt w:val="decimal"/>
      <w:lvlText w:val="%7."/>
      <w:lvlJc w:val="left"/>
      <w:pPr>
        <w:tabs>
          <w:tab w:val="num" w:pos="5040"/>
        </w:tabs>
        <w:ind w:left="5040" w:hanging="360"/>
      </w:pPr>
    </w:lvl>
    <w:lvl w:ilvl="7" w:tplc="C9B82D8C" w:tentative="1">
      <w:start w:val="1"/>
      <w:numFmt w:val="decimal"/>
      <w:lvlText w:val="%8."/>
      <w:lvlJc w:val="left"/>
      <w:pPr>
        <w:tabs>
          <w:tab w:val="num" w:pos="5760"/>
        </w:tabs>
        <w:ind w:left="5760" w:hanging="360"/>
      </w:pPr>
    </w:lvl>
    <w:lvl w:ilvl="8" w:tplc="B04AA626" w:tentative="1">
      <w:start w:val="1"/>
      <w:numFmt w:val="decimal"/>
      <w:lvlText w:val="%9."/>
      <w:lvlJc w:val="left"/>
      <w:pPr>
        <w:tabs>
          <w:tab w:val="num" w:pos="6480"/>
        </w:tabs>
        <w:ind w:left="6480" w:hanging="360"/>
      </w:pPr>
    </w:lvl>
  </w:abstractNum>
  <w:abstractNum w:abstractNumId="11" w15:restartNumberingAfterBreak="0">
    <w:nsid w:val="4DA630AA"/>
    <w:multiLevelType w:val="multilevel"/>
    <w:tmpl w:val="632AD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311AA2"/>
    <w:multiLevelType w:val="multilevel"/>
    <w:tmpl w:val="D81893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8C5824"/>
    <w:multiLevelType w:val="multilevel"/>
    <w:tmpl w:val="545A8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656D76"/>
    <w:multiLevelType w:val="multilevel"/>
    <w:tmpl w:val="0C768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F74945"/>
    <w:multiLevelType w:val="multilevel"/>
    <w:tmpl w:val="40A0A5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426394"/>
    <w:multiLevelType w:val="multilevel"/>
    <w:tmpl w:val="04160E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09C542"/>
    <w:multiLevelType w:val="hybridMultilevel"/>
    <w:tmpl w:val="FFFFFFFF"/>
    <w:lvl w:ilvl="0" w:tplc="8578D4E8">
      <w:start w:val="1"/>
      <w:numFmt w:val="upperRoman"/>
      <w:lvlText w:val="%1."/>
      <w:lvlJc w:val="left"/>
      <w:pPr>
        <w:ind w:left="720" w:hanging="360"/>
      </w:pPr>
    </w:lvl>
    <w:lvl w:ilvl="1" w:tplc="79A063E0">
      <w:start w:val="1"/>
      <w:numFmt w:val="upperLetter"/>
      <w:lvlText w:val="%2."/>
      <w:lvlJc w:val="left"/>
      <w:pPr>
        <w:ind w:left="1440" w:hanging="360"/>
      </w:pPr>
    </w:lvl>
    <w:lvl w:ilvl="2" w:tplc="282464BA">
      <w:start w:val="1"/>
      <w:numFmt w:val="lowerRoman"/>
      <w:lvlText w:val="%3."/>
      <w:lvlJc w:val="right"/>
      <w:pPr>
        <w:ind w:left="2160" w:hanging="180"/>
      </w:pPr>
    </w:lvl>
    <w:lvl w:ilvl="3" w:tplc="93FEE1EE">
      <w:start w:val="1"/>
      <w:numFmt w:val="decimal"/>
      <w:lvlText w:val="%4."/>
      <w:lvlJc w:val="left"/>
      <w:pPr>
        <w:ind w:left="2880" w:hanging="360"/>
      </w:pPr>
    </w:lvl>
    <w:lvl w:ilvl="4" w:tplc="E782ED2C">
      <w:start w:val="1"/>
      <w:numFmt w:val="lowerLetter"/>
      <w:lvlText w:val="%5."/>
      <w:lvlJc w:val="left"/>
      <w:pPr>
        <w:ind w:left="3600" w:hanging="360"/>
      </w:pPr>
    </w:lvl>
    <w:lvl w:ilvl="5" w:tplc="46E4EA6C">
      <w:start w:val="1"/>
      <w:numFmt w:val="lowerRoman"/>
      <w:lvlText w:val="%6."/>
      <w:lvlJc w:val="right"/>
      <w:pPr>
        <w:ind w:left="4320" w:hanging="180"/>
      </w:pPr>
    </w:lvl>
    <w:lvl w:ilvl="6" w:tplc="BCCC8098">
      <w:start w:val="1"/>
      <w:numFmt w:val="decimal"/>
      <w:lvlText w:val="%7."/>
      <w:lvlJc w:val="left"/>
      <w:pPr>
        <w:ind w:left="5040" w:hanging="360"/>
      </w:pPr>
    </w:lvl>
    <w:lvl w:ilvl="7" w:tplc="AE3A58FA">
      <w:start w:val="1"/>
      <w:numFmt w:val="lowerLetter"/>
      <w:lvlText w:val="%8."/>
      <w:lvlJc w:val="left"/>
      <w:pPr>
        <w:ind w:left="5760" w:hanging="360"/>
      </w:pPr>
    </w:lvl>
    <w:lvl w:ilvl="8" w:tplc="FE0A8AB8">
      <w:start w:val="1"/>
      <w:numFmt w:val="lowerRoman"/>
      <w:lvlText w:val="%9."/>
      <w:lvlJc w:val="right"/>
      <w:pPr>
        <w:ind w:left="6480" w:hanging="180"/>
      </w:pPr>
    </w:lvl>
  </w:abstractNum>
  <w:abstractNum w:abstractNumId="18" w15:restartNumberingAfterBreak="0">
    <w:nsid w:val="7B776488"/>
    <w:multiLevelType w:val="hybridMultilevel"/>
    <w:tmpl w:val="F48C546C"/>
    <w:lvl w:ilvl="0" w:tplc="0D106D8C">
      <w:start w:val="4"/>
      <w:numFmt w:val="upperLetter"/>
      <w:lvlText w:val="%1."/>
      <w:lvlJc w:val="left"/>
      <w:pPr>
        <w:tabs>
          <w:tab w:val="num" w:pos="720"/>
        </w:tabs>
        <w:ind w:left="720" w:hanging="360"/>
      </w:pPr>
    </w:lvl>
    <w:lvl w:ilvl="1" w:tplc="1CFAF07A" w:tentative="1">
      <w:start w:val="1"/>
      <w:numFmt w:val="decimal"/>
      <w:lvlText w:val="%2."/>
      <w:lvlJc w:val="left"/>
      <w:pPr>
        <w:tabs>
          <w:tab w:val="num" w:pos="1440"/>
        </w:tabs>
        <w:ind w:left="1440" w:hanging="360"/>
      </w:pPr>
    </w:lvl>
    <w:lvl w:ilvl="2" w:tplc="1A56BFD8" w:tentative="1">
      <w:start w:val="1"/>
      <w:numFmt w:val="decimal"/>
      <w:lvlText w:val="%3."/>
      <w:lvlJc w:val="left"/>
      <w:pPr>
        <w:tabs>
          <w:tab w:val="num" w:pos="2160"/>
        </w:tabs>
        <w:ind w:left="2160" w:hanging="360"/>
      </w:pPr>
    </w:lvl>
    <w:lvl w:ilvl="3" w:tplc="31C82AEC" w:tentative="1">
      <w:start w:val="1"/>
      <w:numFmt w:val="decimal"/>
      <w:lvlText w:val="%4."/>
      <w:lvlJc w:val="left"/>
      <w:pPr>
        <w:tabs>
          <w:tab w:val="num" w:pos="2880"/>
        </w:tabs>
        <w:ind w:left="2880" w:hanging="360"/>
      </w:pPr>
    </w:lvl>
    <w:lvl w:ilvl="4" w:tplc="121E4C46" w:tentative="1">
      <w:start w:val="1"/>
      <w:numFmt w:val="decimal"/>
      <w:lvlText w:val="%5."/>
      <w:lvlJc w:val="left"/>
      <w:pPr>
        <w:tabs>
          <w:tab w:val="num" w:pos="3600"/>
        </w:tabs>
        <w:ind w:left="3600" w:hanging="360"/>
      </w:pPr>
    </w:lvl>
    <w:lvl w:ilvl="5" w:tplc="954AC0A4" w:tentative="1">
      <w:start w:val="1"/>
      <w:numFmt w:val="decimal"/>
      <w:lvlText w:val="%6."/>
      <w:lvlJc w:val="left"/>
      <w:pPr>
        <w:tabs>
          <w:tab w:val="num" w:pos="4320"/>
        </w:tabs>
        <w:ind w:left="4320" w:hanging="360"/>
      </w:pPr>
    </w:lvl>
    <w:lvl w:ilvl="6" w:tplc="FA286A86" w:tentative="1">
      <w:start w:val="1"/>
      <w:numFmt w:val="decimal"/>
      <w:lvlText w:val="%7."/>
      <w:lvlJc w:val="left"/>
      <w:pPr>
        <w:tabs>
          <w:tab w:val="num" w:pos="5040"/>
        </w:tabs>
        <w:ind w:left="5040" w:hanging="360"/>
      </w:pPr>
    </w:lvl>
    <w:lvl w:ilvl="7" w:tplc="201C14BE" w:tentative="1">
      <w:start w:val="1"/>
      <w:numFmt w:val="decimal"/>
      <w:lvlText w:val="%8."/>
      <w:lvlJc w:val="left"/>
      <w:pPr>
        <w:tabs>
          <w:tab w:val="num" w:pos="5760"/>
        </w:tabs>
        <w:ind w:left="5760" w:hanging="360"/>
      </w:pPr>
    </w:lvl>
    <w:lvl w:ilvl="8" w:tplc="0F3A7A2C" w:tentative="1">
      <w:start w:val="1"/>
      <w:numFmt w:val="decimal"/>
      <w:lvlText w:val="%9."/>
      <w:lvlJc w:val="left"/>
      <w:pPr>
        <w:tabs>
          <w:tab w:val="num" w:pos="6480"/>
        </w:tabs>
        <w:ind w:left="6480" w:hanging="360"/>
      </w:pPr>
    </w:lvl>
  </w:abstractNum>
  <w:num w:numId="1" w16cid:durableId="1743989891">
    <w:abstractNumId w:val="17"/>
  </w:num>
  <w:num w:numId="2" w16cid:durableId="151065007">
    <w:abstractNumId w:val="11"/>
    <w:lvlOverride w:ilvl="0">
      <w:lvl w:ilvl="0">
        <w:numFmt w:val="upperRoman"/>
        <w:lvlText w:val="%1."/>
        <w:lvlJc w:val="right"/>
      </w:lvl>
    </w:lvlOverride>
  </w:num>
  <w:num w:numId="3" w16cid:durableId="755512588">
    <w:abstractNumId w:val="3"/>
    <w:lvlOverride w:ilvl="0">
      <w:lvl w:ilvl="0">
        <w:numFmt w:val="upperLetter"/>
        <w:lvlText w:val="%1."/>
        <w:lvlJc w:val="left"/>
      </w:lvl>
    </w:lvlOverride>
  </w:num>
  <w:num w:numId="4" w16cid:durableId="1103183356">
    <w:abstractNumId w:val="7"/>
  </w:num>
  <w:num w:numId="5" w16cid:durableId="939877722">
    <w:abstractNumId w:val="6"/>
  </w:num>
  <w:num w:numId="6" w16cid:durableId="472135543">
    <w:abstractNumId w:val="0"/>
    <w:lvlOverride w:ilvl="0">
      <w:lvl w:ilvl="0">
        <w:numFmt w:val="decimal"/>
        <w:lvlText w:val="%1."/>
        <w:lvlJc w:val="left"/>
      </w:lvl>
    </w:lvlOverride>
  </w:num>
  <w:num w:numId="7" w16cid:durableId="1289317265">
    <w:abstractNumId w:val="15"/>
    <w:lvlOverride w:ilvl="0">
      <w:lvl w:ilvl="0">
        <w:numFmt w:val="decimal"/>
        <w:lvlText w:val="%1."/>
        <w:lvlJc w:val="left"/>
      </w:lvl>
    </w:lvlOverride>
  </w:num>
  <w:num w:numId="8" w16cid:durableId="1265651746">
    <w:abstractNumId w:val="10"/>
  </w:num>
  <w:num w:numId="9" w16cid:durableId="163519043">
    <w:abstractNumId w:val="14"/>
  </w:num>
  <w:num w:numId="10" w16cid:durableId="633948037">
    <w:abstractNumId w:val="5"/>
    <w:lvlOverride w:ilvl="0">
      <w:lvl w:ilvl="0">
        <w:numFmt w:val="decimal"/>
        <w:lvlText w:val="%1."/>
        <w:lvlJc w:val="left"/>
      </w:lvl>
    </w:lvlOverride>
  </w:num>
  <w:num w:numId="11" w16cid:durableId="338313226">
    <w:abstractNumId w:val="16"/>
    <w:lvlOverride w:ilvl="0">
      <w:lvl w:ilvl="0">
        <w:numFmt w:val="decimal"/>
        <w:lvlText w:val="%1."/>
        <w:lvlJc w:val="left"/>
      </w:lvl>
    </w:lvlOverride>
  </w:num>
  <w:num w:numId="12" w16cid:durableId="743988133">
    <w:abstractNumId w:val="18"/>
  </w:num>
  <w:num w:numId="13" w16cid:durableId="1843155188">
    <w:abstractNumId w:val="1"/>
  </w:num>
  <w:num w:numId="14" w16cid:durableId="486287936">
    <w:abstractNumId w:val="13"/>
    <w:lvlOverride w:ilvl="0">
      <w:lvl w:ilvl="0">
        <w:numFmt w:val="upperLetter"/>
        <w:lvlText w:val="%1."/>
        <w:lvlJc w:val="left"/>
      </w:lvl>
    </w:lvlOverride>
  </w:num>
  <w:num w:numId="15" w16cid:durableId="506142529">
    <w:abstractNumId w:val="8"/>
  </w:num>
  <w:num w:numId="16" w16cid:durableId="1426921627">
    <w:abstractNumId w:val="9"/>
    <w:lvlOverride w:ilvl="0">
      <w:lvl w:ilvl="0">
        <w:numFmt w:val="decimal"/>
        <w:lvlText w:val="%1."/>
        <w:lvlJc w:val="left"/>
      </w:lvl>
    </w:lvlOverride>
  </w:num>
  <w:num w:numId="17" w16cid:durableId="23210087">
    <w:abstractNumId w:val="2"/>
  </w:num>
  <w:num w:numId="18" w16cid:durableId="1031497523">
    <w:abstractNumId w:val="4"/>
  </w:num>
  <w:num w:numId="19" w16cid:durableId="433475215">
    <w:abstractNumId w:val="12"/>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D64"/>
    <w:rsid w:val="00006F84"/>
    <w:rsid w:val="00013C30"/>
    <w:rsid w:val="000211D2"/>
    <w:rsid w:val="00044027"/>
    <w:rsid w:val="00044AAF"/>
    <w:rsid w:val="00051D3E"/>
    <w:rsid w:val="00065DB9"/>
    <w:rsid w:val="0008582F"/>
    <w:rsid w:val="000B1402"/>
    <w:rsid w:val="000B4246"/>
    <w:rsid w:val="000C665D"/>
    <w:rsid w:val="000D4C3B"/>
    <w:rsid w:val="000F0426"/>
    <w:rsid w:val="000F6551"/>
    <w:rsid w:val="00103EB1"/>
    <w:rsid w:val="001059E2"/>
    <w:rsid w:val="00106373"/>
    <w:rsid w:val="00115D33"/>
    <w:rsid w:val="0013663F"/>
    <w:rsid w:val="00136C1B"/>
    <w:rsid w:val="00142E35"/>
    <w:rsid w:val="001459B0"/>
    <w:rsid w:val="001619E4"/>
    <w:rsid w:val="001640A2"/>
    <w:rsid w:val="0019115D"/>
    <w:rsid w:val="00192FDD"/>
    <w:rsid w:val="001A4309"/>
    <w:rsid w:val="001B58EC"/>
    <w:rsid w:val="001C1B40"/>
    <w:rsid w:val="001C2163"/>
    <w:rsid w:val="001D6F59"/>
    <w:rsid w:val="001E400F"/>
    <w:rsid w:val="00230FBD"/>
    <w:rsid w:val="00231184"/>
    <w:rsid w:val="00231B41"/>
    <w:rsid w:val="00235EA7"/>
    <w:rsid w:val="002432EC"/>
    <w:rsid w:val="00246796"/>
    <w:rsid w:val="00247581"/>
    <w:rsid w:val="002520D4"/>
    <w:rsid w:val="00252D52"/>
    <w:rsid w:val="00253A83"/>
    <w:rsid w:val="00262CD3"/>
    <w:rsid w:val="00263283"/>
    <w:rsid w:val="0026339B"/>
    <w:rsid w:val="00274458"/>
    <w:rsid w:val="00274843"/>
    <w:rsid w:val="0027557D"/>
    <w:rsid w:val="002974B0"/>
    <w:rsid w:val="002A0B58"/>
    <w:rsid w:val="002A0C5B"/>
    <w:rsid w:val="002A0FD5"/>
    <w:rsid w:val="002A1795"/>
    <w:rsid w:val="002A61CE"/>
    <w:rsid w:val="002B0061"/>
    <w:rsid w:val="002C0F39"/>
    <w:rsid w:val="002C351D"/>
    <w:rsid w:val="002C389C"/>
    <w:rsid w:val="002C5CE7"/>
    <w:rsid w:val="002D1C33"/>
    <w:rsid w:val="002D3D7A"/>
    <w:rsid w:val="002E17D0"/>
    <w:rsid w:val="002E1EFA"/>
    <w:rsid w:val="002E745C"/>
    <w:rsid w:val="002F3EE7"/>
    <w:rsid w:val="00304ECC"/>
    <w:rsid w:val="00310555"/>
    <w:rsid w:val="00312763"/>
    <w:rsid w:val="00320B67"/>
    <w:rsid w:val="003212A6"/>
    <w:rsid w:val="00322E27"/>
    <w:rsid w:val="003239E5"/>
    <w:rsid w:val="00327E3B"/>
    <w:rsid w:val="00334424"/>
    <w:rsid w:val="00340AFF"/>
    <w:rsid w:val="00340B0F"/>
    <w:rsid w:val="00345424"/>
    <w:rsid w:val="0034670D"/>
    <w:rsid w:val="0036300E"/>
    <w:rsid w:val="003717D3"/>
    <w:rsid w:val="003844E0"/>
    <w:rsid w:val="00395FFA"/>
    <w:rsid w:val="0039716B"/>
    <w:rsid w:val="003A193D"/>
    <w:rsid w:val="003B03D5"/>
    <w:rsid w:val="003B6408"/>
    <w:rsid w:val="003C1A4F"/>
    <w:rsid w:val="003D1122"/>
    <w:rsid w:val="003D2CB7"/>
    <w:rsid w:val="003F0546"/>
    <w:rsid w:val="003F256F"/>
    <w:rsid w:val="0041269D"/>
    <w:rsid w:val="004175A7"/>
    <w:rsid w:val="00425836"/>
    <w:rsid w:val="0042594E"/>
    <w:rsid w:val="00426136"/>
    <w:rsid w:val="00444D37"/>
    <w:rsid w:val="0046211E"/>
    <w:rsid w:val="00466D4E"/>
    <w:rsid w:val="00475B39"/>
    <w:rsid w:val="004828E8"/>
    <w:rsid w:val="0048521E"/>
    <w:rsid w:val="004A4B34"/>
    <w:rsid w:val="004B0715"/>
    <w:rsid w:val="004B351E"/>
    <w:rsid w:val="004B782D"/>
    <w:rsid w:val="004D3EFA"/>
    <w:rsid w:val="004D4406"/>
    <w:rsid w:val="004D48B3"/>
    <w:rsid w:val="004D74A6"/>
    <w:rsid w:val="004E2404"/>
    <w:rsid w:val="004F5542"/>
    <w:rsid w:val="00505446"/>
    <w:rsid w:val="00505A5C"/>
    <w:rsid w:val="0051629C"/>
    <w:rsid w:val="00516D58"/>
    <w:rsid w:val="005218B6"/>
    <w:rsid w:val="00521AA7"/>
    <w:rsid w:val="005239F9"/>
    <w:rsid w:val="00532EA4"/>
    <w:rsid w:val="00533506"/>
    <w:rsid w:val="005414E5"/>
    <w:rsid w:val="00546B12"/>
    <w:rsid w:val="00550022"/>
    <w:rsid w:val="005526E9"/>
    <w:rsid w:val="0055562B"/>
    <w:rsid w:val="00561D28"/>
    <w:rsid w:val="005669F9"/>
    <w:rsid w:val="00570D33"/>
    <w:rsid w:val="00587EA0"/>
    <w:rsid w:val="00592906"/>
    <w:rsid w:val="00592927"/>
    <w:rsid w:val="0059552A"/>
    <w:rsid w:val="00596D63"/>
    <w:rsid w:val="005B3897"/>
    <w:rsid w:val="005C0A40"/>
    <w:rsid w:val="005C3733"/>
    <w:rsid w:val="005C7E52"/>
    <w:rsid w:val="005E4D4B"/>
    <w:rsid w:val="005E7D8C"/>
    <w:rsid w:val="005F1F37"/>
    <w:rsid w:val="00605B80"/>
    <w:rsid w:val="0061379C"/>
    <w:rsid w:val="0061619F"/>
    <w:rsid w:val="006165DD"/>
    <w:rsid w:val="006167E3"/>
    <w:rsid w:val="00621061"/>
    <w:rsid w:val="0063218E"/>
    <w:rsid w:val="00632922"/>
    <w:rsid w:val="00637D39"/>
    <w:rsid w:val="00641C4C"/>
    <w:rsid w:val="00642CB1"/>
    <w:rsid w:val="00655162"/>
    <w:rsid w:val="00670FA7"/>
    <w:rsid w:val="00675E54"/>
    <w:rsid w:val="00676715"/>
    <w:rsid w:val="00683FD7"/>
    <w:rsid w:val="006952D2"/>
    <w:rsid w:val="00697306"/>
    <w:rsid w:val="006A1A1E"/>
    <w:rsid w:val="006A302F"/>
    <w:rsid w:val="006A5506"/>
    <w:rsid w:val="006A6544"/>
    <w:rsid w:val="006B0B82"/>
    <w:rsid w:val="006B1AF6"/>
    <w:rsid w:val="006B20E8"/>
    <w:rsid w:val="006B63B3"/>
    <w:rsid w:val="006C019F"/>
    <w:rsid w:val="006C6592"/>
    <w:rsid w:val="006E5BAD"/>
    <w:rsid w:val="006F4775"/>
    <w:rsid w:val="00701BF6"/>
    <w:rsid w:val="0070649E"/>
    <w:rsid w:val="00714E1F"/>
    <w:rsid w:val="00720D58"/>
    <w:rsid w:val="00720FDF"/>
    <w:rsid w:val="00723D25"/>
    <w:rsid w:val="00737872"/>
    <w:rsid w:val="00746CB6"/>
    <w:rsid w:val="00746D91"/>
    <w:rsid w:val="00753112"/>
    <w:rsid w:val="0076130D"/>
    <w:rsid w:val="00763694"/>
    <w:rsid w:val="007717CD"/>
    <w:rsid w:val="00772940"/>
    <w:rsid w:val="0078352C"/>
    <w:rsid w:val="007A04E2"/>
    <w:rsid w:val="007B0D90"/>
    <w:rsid w:val="007C5FBF"/>
    <w:rsid w:val="007C7B5B"/>
    <w:rsid w:val="007D1AF8"/>
    <w:rsid w:val="007D546C"/>
    <w:rsid w:val="007E4562"/>
    <w:rsid w:val="007E5A94"/>
    <w:rsid w:val="007E6011"/>
    <w:rsid w:val="007E779D"/>
    <w:rsid w:val="007F38B1"/>
    <w:rsid w:val="00801236"/>
    <w:rsid w:val="0080369E"/>
    <w:rsid w:val="00803EEE"/>
    <w:rsid w:val="00805CD6"/>
    <w:rsid w:val="00810768"/>
    <w:rsid w:val="00812CA6"/>
    <w:rsid w:val="00827B80"/>
    <w:rsid w:val="008502FA"/>
    <w:rsid w:val="00854D66"/>
    <w:rsid w:val="00854D96"/>
    <w:rsid w:val="008569BC"/>
    <w:rsid w:val="00856A3E"/>
    <w:rsid w:val="00856A67"/>
    <w:rsid w:val="00865976"/>
    <w:rsid w:val="0087004A"/>
    <w:rsid w:val="0087282F"/>
    <w:rsid w:val="00885D64"/>
    <w:rsid w:val="00887806"/>
    <w:rsid w:val="008A3166"/>
    <w:rsid w:val="008A4806"/>
    <w:rsid w:val="008A4FA2"/>
    <w:rsid w:val="008B4330"/>
    <w:rsid w:val="008B5595"/>
    <w:rsid w:val="008C182C"/>
    <w:rsid w:val="008C2033"/>
    <w:rsid w:val="008E3730"/>
    <w:rsid w:val="008E422C"/>
    <w:rsid w:val="008E5BA3"/>
    <w:rsid w:val="008F716A"/>
    <w:rsid w:val="00903BF1"/>
    <w:rsid w:val="0091057E"/>
    <w:rsid w:val="00916C75"/>
    <w:rsid w:val="0092352A"/>
    <w:rsid w:val="00925799"/>
    <w:rsid w:val="00926155"/>
    <w:rsid w:val="0094100F"/>
    <w:rsid w:val="00943EE5"/>
    <w:rsid w:val="0095011E"/>
    <w:rsid w:val="00951745"/>
    <w:rsid w:val="00955197"/>
    <w:rsid w:val="00962664"/>
    <w:rsid w:val="009739E5"/>
    <w:rsid w:val="00977FF8"/>
    <w:rsid w:val="00990E57"/>
    <w:rsid w:val="00991DB2"/>
    <w:rsid w:val="009950E7"/>
    <w:rsid w:val="009A6CB2"/>
    <w:rsid w:val="009B5922"/>
    <w:rsid w:val="009B59EB"/>
    <w:rsid w:val="009B5BE9"/>
    <w:rsid w:val="009B7805"/>
    <w:rsid w:val="009C280C"/>
    <w:rsid w:val="009C4F4D"/>
    <w:rsid w:val="009C68A3"/>
    <w:rsid w:val="009C7E00"/>
    <w:rsid w:val="009D525D"/>
    <w:rsid w:val="009D7B55"/>
    <w:rsid w:val="009E0981"/>
    <w:rsid w:val="009E2432"/>
    <w:rsid w:val="009E7DFB"/>
    <w:rsid w:val="00A001A2"/>
    <w:rsid w:val="00A00F29"/>
    <w:rsid w:val="00A06D1A"/>
    <w:rsid w:val="00A072A4"/>
    <w:rsid w:val="00A100D9"/>
    <w:rsid w:val="00A231C9"/>
    <w:rsid w:val="00A24D26"/>
    <w:rsid w:val="00A278CD"/>
    <w:rsid w:val="00A40016"/>
    <w:rsid w:val="00A4304F"/>
    <w:rsid w:val="00A453EE"/>
    <w:rsid w:val="00A553A2"/>
    <w:rsid w:val="00A66781"/>
    <w:rsid w:val="00A84E64"/>
    <w:rsid w:val="00A8636E"/>
    <w:rsid w:val="00AA07FA"/>
    <w:rsid w:val="00AA3128"/>
    <w:rsid w:val="00AA6A7E"/>
    <w:rsid w:val="00AB0DF2"/>
    <w:rsid w:val="00AB6D97"/>
    <w:rsid w:val="00AB73A5"/>
    <w:rsid w:val="00AC0791"/>
    <w:rsid w:val="00AC5A8A"/>
    <w:rsid w:val="00AC70E6"/>
    <w:rsid w:val="00AD18B6"/>
    <w:rsid w:val="00AD5C18"/>
    <w:rsid w:val="00AD625C"/>
    <w:rsid w:val="00AE273F"/>
    <w:rsid w:val="00AE4941"/>
    <w:rsid w:val="00AE4CD0"/>
    <w:rsid w:val="00AE7C14"/>
    <w:rsid w:val="00AF3CBB"/>
    <w:rsid w:val="00B3106B"/>
    <w:rsid w:val="00B4560D"/>
    <w:rsid w:val="00B46247"/>
    <w:rsid w:val="00B56369"/>
    <w:rsid w:val="00B74877"/>
    <w:rsid w:val="00B7734A"/>
    <w:rsid w:val="00B80E90"/>
    <w:rsid w:val="00B86AFE"/>
    <w:rsid w:val="00B933BB"/>
    <w:rsid w:val="00BA0F25"/>
    <w:rsid w:val="00BA5186"/>
    <w:rsid w:val="00BA6B8A"/>
    <w:rsid w:val="00BB2BCA"/>
    <w:rsid w:val="00BB565C"/>
    <w:rsid w:val="00BC3397"/>
    <w:rsid w:val="00BC3CED"/>
    <w:rsid w:val="00BD26F6"/>
    <w:rsid w:val="00BD4A92"/>
    <w:rsid w:val="00BD5B1C"/>
    <w:rsid w:val="00BD6FAE"/>
    <w:rsid w:val="00BE0DDE"/>
    <w:rsid w:val="00BE248D"/>
    <w:rsid w:val="00BF4558"/>
    <w:rsid w:val="00C06D41"/>
    <w:rsid w:val="00C12611"/>
    <w:rsid w:val="00C13CA7"/>
    <w:rsid w:val="00C21E57"/>
    <w:rsid w:val="00C21F25"/>
    <w:rsid w:val="00C27CD5"/>
    <w:rsid w:val="00C33753"/>
    <w:rsid w:val="00C374F3"/>
    <w:rsid w:val="00C43831"/>
    <w:rsid w:val="00C44E4B"/>
    <w:rsid w:val="00C454BE"/>
    <w:rsid w:val="00C4723C"/>
    <w:rsid w:val="00C515D1"/>
    <w:rsid w:val="00C5335B"/>
    <w:rsid w:val="00C53C6B"/>
    <w:rsid w:val="00C77177"/>
    <w:rsid w:val="00C82F79"/>
    <w:rsid w:val="00CB46FB"/>
    <w:rsid w:val="00CC19AE"/>
    <w:rsid w:val="00CC7CEF"/>
    <w:rsid w:val="00CD44C9"/>
    <w:rsid w:val="00CF73B5"/>
    <w:rsid w:val="00D055A0"/>
    <w:rsid w:val="00D15E2F"/>
    <w:rsid w:val="00D22024"/>
    <w:rsid w:val="00D23FC6"/>
    <w:rsid w:val="00D2525A"/>
    <w:rsid w:val="00D27613"/>
    <w:rsid w:val="00D323A3"/>
    <w:rsid w:val="00D35D75"/>
    <w:rsid w:val="00D47C5C"/>
    <w:rsid w:val="00D573E4"/>
    <w:rsid w:val="00D5780F"/>
    <w:rsid w:val="00D60A70"/>
    <w:rsid w:val="00D62856"/>
    <w:rsid w:val="00D62EB7"/>
    <w:rsid w:val="00D62F1E"/>
    <w:rsid w:val="00D65A25"/>
    <w:rsid w:val="00D6655D"/>
    <w:rsid w:val="00D75429"/>
    <w:rsid w:val="00D7651E"/>
    <w:rsid w:val="00D80917"/>
    <w:rsid w:val="00D82CDB"/>
    <w:rsid w:val="00D82DFD"/>
    <w:rsid w:val="00D83D08"/>
    <w:rsid w:val="00D95D60"/>
    <w:rsid w:val="00DB4BB0"/>
    <w:rsid w:val="00DB7FC3"/>
    <w:rsid w:val="00DD4386"/>
    <w:rsid w:val="00DE082F"/>
    <w:rsid w:val="00DE0E4B"/>
    <w:rsid w:val="00DE732E"/>
    <w:rsid w:val="00DF55D1"/>
    <w:rsid w:val="00DF6CBE"/>
    <w:rsid w:val="00E0239F"/>
    <w:rsid w:val="00E12540"/>
    <w:rsid w:val="00E2158A"/>
    <w:rsid w:val="00E26350"/>
    <w:rsid w:val="00E33D1E"/>
    <w:rsid w:val="00E42A08"/>
    <w:rsid w:val="00E46D62"/>
    <w:rsid w:val="00E47390"/>
    <w:rsid w:val="00E6740E"/>
    <w:rsid w:val="00E67EBD"/>
    <w:rsid w:val="00E8301B"/>
    <w:rsid w:val="00E83D10"/>
    <w:rsid w:val="00E91B8B"/>
    <w:rsid w:val="00E96727"/>
    <w:rsid w:val="00E96DA1"/>
    <w:rsid w:val="00EA7248"/>
    <w:rsid w:val="00EB6443"/>
    <w:rsid w:val="00EC0D20"/>
    <w:rsid w:val="00EC344B"/>
    <w:rsid w:val="00ED3F46"/>
    <w:rsid w:val="00ED55A7"/>
    <w:rsid w:val="00EE0861"/>
    <w:rsid w:val="00EE625E"/>
    <w:rsid w:val="00EF1744"/>
    <w:rsid w:val="00EF241D"/>
    <w:rsid w:val="00EF65C8"/>
    <w:rsid w:val="00F0289A"/>
    <w:rsid w:val="00F04998"/>
    <w:rsid w:val="00F24555"/>
    <w:rsid w:val="00F32183"/>
    <w:rsid w:val="00F34E58"/>
    <w:rsid w:val="00F400FF"/>
    <w:rsid w:val="00F566F5"/>
    <w:rsid w:val="00F637C1"/>
    <w:rsid w:val="00F660D7"/>
    <w:rsid w:val="00F67E39"/>
    <w:rsid w:val="00F73416"/>
    <w:rsid w:val="00F76EDF"/>
    <w:rsid w:val="00F84F1F"/>
    <w:rsid w:val="00F903B9"/>
    <w:rsid w:val="00F933DE"/>
    <w:rsid w:val="00F96D88"/>
    <w:rsid w:val="00F9775C"/>
    <w:rsid w:val="00F97999"/>
    <w:rsid w:val="00FA014C"/>
    <w:rsid w:val="00FA2C04"/>
    <w:rsid w:val="00FB5407"/>
    <w:rsid w:val="00FC0187"/>
    <w:rsid w:val="00FC4470"/>
    <w:rsid w:val="00FC7BC7"/>
    <w:rsid w:val="00FD673E"/>
    <w:rsid w:val="00FE16FB"/>
    <w:rsid w:val="00FE730C"/>
    <w:rsid w:val="00FF0A15"/>
    <w:rsid w:val="00FF6087"/>
    <w:rsid w:val="02427C91"/>
    <w:rsid w:val="025A48ED"/>
    <w:rsid w:val="03F8FAE8"/>
    <w:rsid w:val="05AA1D37"/>
    <w:rsid w:val="06E9E68F"/>
    <w:rsid w:val="06FD3EE6"/>
    <w:rsid w:val="07C58506"/>
    <w:rsid w:val="0BCA09A9"/>
    <w:rsid w:val="0C534494"/>
    <w:rsid w:val="0E17D672"/>
    <w:rsid w:val="1299FD77"/>
    <w:rsid w:val="1830AFAB"/>
    <w:rsid w:val="2037CBD4"/>
    <w:rsid w:val="264A300B"/>
    <w:rsid w:val="2AFC26F5"/>
    <w:rsid w:val="2BF9696C"/>
    <w:rsid w:val="2D56422D"/>
    <w:rsid w:val="2EDC97A3"/>
    <w:rsid w:val="348E9E60"/>
    <w:rsid w:val="350A8993"/>
    <w:rsid w:val="362111E7"/>
    <w:rsid w:val="365391AD"/>
    <w:rsid w:val="3691D806"/>
    <w:rsid w:val="3ACE7769"/>
    <w:rsid w:val="3CBA8A16"/>
    <w:rsid w:val="3D95F3E4"/>
    <w:rsid w:val="3DFE76B7"/>
    <w:rsid w:val="3FCE6215"/>
    <w:rsid w:val="41C7863C"/>
    <w:rsid w:val="434709AE"/>
    <w:rsid w:val="45705C71"/>
    <w:rsid w:val="45937400"/>
    <w:rsid w:val="4A3F3B6D"/>
    <w:rsid w:val="4A4615A4"/>
    <w:rsid w:val="4A84FD07"/>
    <w:rsid w:val="4C6540E6"/>
    <w:rsid w:val="515725EE"/>
    <w:rsid w:val="52F7EB39"/>
    <w:rsid w:val="5300469D"/>
    <w:rsid w:val="5397CCA9"/>
    <w:rsid w:val="541BE710"/>
    <w:rsid w:val="577E8FAC"/>
    <w:rsid w:val="59160C73"/>
    <w:rsid w:val="5C6C376D"/>
    <w:rsid w:val="5E08D50E"/>
    <w:rsid w:val="5E1BC403"/>
    <w:rsid w:val="61611757"/>
    <w:rsid w:val="6483DEAA"/>
    <w:rsid w:val="6B665A6E"/>
    <w:rsid w:val="6CB6D991"/>
    <w:rsid w:val="6DB3C0D6"/>
    <w:rsid w:val="70AC2856"/>
    <w:rsid w:val="710B0378"/>
    <w:rsid w:val="7F3CBB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B0F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D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5D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5D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D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D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D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D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D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D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D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D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D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D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D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D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D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D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D64"/>
    <w:rPr>
      <w:rFonts w:eastAsiaTheme="majorEastAsia" w:cstheme="majorBidi"/>
      <w:color w:val="272727" w:themeColor="text1" w:themeTint="D8"/>
    </w:rPr>
  </w:style>
  <w:style w:type="paragraph" w:styleId="Title">
    <w:name w:val="Title"/>
    <w:basedOn w:val="Normal"/>
    <w:next w:val="Normal"/>
    <w:link w:val="TitleChar"/>
    <w:uiPriority w:val="10"/>
    <w:qFormat/>
    <w:rsid w:val="00885D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D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D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D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D64"/>
    <w:pPr>
      <w:spacing w:before="160"/>
      <w:jc w:val="center"/>
    </w:pPr>
    <w:rPr>
      <w:i/>
      <w:iCs/>
      <w:color w:val="404040" w:themeColor="text1" w:themeTint="BF"/>
    </w:rPr>
  </w:style>
  <w:style w:type="character" w:customStyle="1" w:styleId="QuoteChar">
    <w:name w:val="Quote Char"/>
    <w:basedOn w:val="DefaultParagraphFont"/>
    <w:link w:val="Quote"/>
    <w:uiPriority w:val="29"/>
    <w:rsid w:val="00885D64"/>
    <w:rPr>
      <w:i/>
      <w:iCs/>
      <w:color w:val="404040" w:themeColor="text1" w:themeTint="BF"/>
    </w:rPr>
  </w:style>
  <w:style w:type="paragraph" w:styleId="ListParagraph">
    <w:name w:val="List Paragraph"/>
    <w:basedOn w:val="Normal"/>
    <w:uiPriority w:val="34"/>
    <w:qFormat/>
    <w:rsid w:val="00885D64"/>
    <w:pPr>
      <w:ind w:left="720"/>
      <w:contextualSpacing/>
    </w:pPr>
  </w:style>
  <w:style w:type="character" w:styleId="IntenseEmphasis">
    <w:name w:val="Intense Emphasis"/>
    <w:basedOn w:val="DefaultParagraphFont"/>
    <w:uiPriority w:val="21"/>
    <w:qFormat/>
    <w:rsid w:val="00885D64"/>
    <w:rPr>
      <w:i/>
      <w:iCs/>
      <w:color w:val="0F4761" w:themeColor="accent1" w:themeShade="BF"/>
    </w:rPr>
  </w:style>
  <w:style w:type="paragraph" w:styleId="IntenseQuote">
    <w:name w:val="Intense Quote"/>
    <w:basedOn w:val="Normal"/>
    <w:next w:val="Normal"/>
    <w:link w:val="IntenseQuoteChar"/>
    <w:uiPriority w:val="30"/>
    <w:qFormat/>
    <w:rsid w:val="00885D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D64"/>
    <w:rPr>
      <w:i/>
      <w:iCs/>
      <w:color w:val="0F4761" w:themeColor="accent1" w:themeShade="BF"/>
    </w:rPr>
  </w:style>
  <w:style w:type="character" w:styleId="IntenseReference">
    <w:name w:val="Intense Reference"/>
    <w:basedOn w:val="DefaultParagraphFont"/>
    <w:uiPriority w:val="32"/>
    <w:qFormat/>
    <w:rsid w:val="00885D64"/>
    <w:rPr>
      <w:b/>
      <w:bCs/>
      <w:smallCaps/>
      <w:color w:val="0F4761" w:themeColor="accent1" w:themeShade="BF"/>
      <w:spacing w:val="5"/>
    </w:rPr>
  </w:style>
  <w:style w:type="paragraph" w:styleId="Revision">
    <w:name w:val="Revision"/>
    <w:hidden/>
    <w:uiPriority w:val="99"/>
    <w:semiHidden/>
    <w:rsid w:val="00885D64"/>
    <w:pPr>
      <w:spacing w:after="0" w:line="240" w:lineRule="auto"/>
    </w:pPr>
  </w:style>
  <w:style w:type="paragraph" w:styleId="TOAHeading">
    <w:name w:val="toa heading"/>
    <w:basedOn w:val="Normal"/>
    <w:next w:val="Normal"/>
    <w:uiPriority w:val="99"/>
    <w:unhideWhenUsed/>
    <w:rsid w:val="00D65A25"/>
    <w:pPr>
      <w:spacing w:before="240" w:after="120"/>
    </w:pPr>
    <w:rPr>
      <w:rFonts w:cs="Arial"/>
      <w:b/>
      <w:bCs/>
      <w:caps/>
      <w:sz w:val="20"/>
      <w:szCs w:val="20"/>
    </w:rPr>
  </w:style>
  <w:style w:type="paragraph" w:styleId="TableofAuthorities">
    <w:name w:val="table of authorities"/>
    <w:basedOn w:val="Normal"/>
    <w:next w:val="Normal"/>
    <w:uiPriority w:val="99"/>
    <w:unhideWhenUsed/>
    <w:rsid w:val="0070649E"/>
    <w:pPr>
      <w:spacing w:after="0"/>
      <w:ind w:left="240" w:hanging="240"/>
    </w:pPr>
    <w:rPr>
      <w:sz w:val="20"/>
      <w:szCs w:val="20"/>
    </w:rPr>
  </w:style>
  <w:style w:type="character" w:styleId="Hyperlink">
    <w:name w:val="Hyperlink"/>
    <w:basedOn w:val="DefaultParagraphFont"/>
    <w:uiPriority w:val="99"/>
    <w:unhideWhenUsed/>
    <w:rsid w:val="00A40016"/>
    <w:rPr>
      <w:color w:val="467886" w:themeColor="hyperlink"/>
      <w:u w:val="single"/>
    </w:rPr>
  </w:style>
  <w:style w:type="character" w:styleId="UnresolvedMention">
    <w:name w:val="Unresolved Mention"/>
    <w:basedOn w:val="DefaultParagraphFont"/>
    <w:uiPriority w:val="99"/>
    <w:semiHidden/>
    <w:unhideWhenUsed/>
    <w:rsid w:val="00A40016"/>
    <w:rPr>
      <w:color w:val="605E5C"/>
      <w:shd w:val="clear" w:color="auto" w:fill="E1DFDD"/>
    </w:rPr>
  </w:style>
  <w:style w:type="paragraph" w:styleId="Header">
    <w:name w:val="header"/>
    <w:basedOn w:val="Normal"/>
    <w:link w:val="HeaderChar"/>
    <w:uiPriority w:val="99"/>
    <w:unhideWhenUsed/>
    <w:rsid w:val="00363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00E"/>
  </w:style>
  <w:style w:type="paragraph" w:styleId="Footer">
    <w:name w:val="footer"/>
    <w:basedOn w:val="Normal"/>
    <w:link w:val="FooterChar"/>
    <w:uiPriority w:val="99"/>
    <w:unhideWhenUsed/>
    <w:rsid w:val="00363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document/d/1QVS237x6mihoj0P4Irj0FKQM-OuCZnURA10wV9Rc9WY/edit?tab=t.0" TargetMode="External"/><Relationship Id="rId18" Type="http://schemas.openxmlformats.org/officeDocument/2006/relationships/hyperlink" Target="https://docs.google.com/document/d/1QVS237x6mihoj0P4Irj0FKQM-OuCZnURA10wV9Rc9WY/edit?tab=t.0" TargetMode="External"/><Relationship Id="rId26" Type="http://schemas.openxmlformats.org/officeDocument/2006/relationships/hyperlink" Target="https://docs.google.com/document/d/1QVS237x6mihoj0P4Irj0FKQM-OuCZnURA10wV9Rc9WY/edit?tab=t.0" TargetMode="External"/><Relationship Id="rId3" Type="http://schemas.openxmlformats.org/officeDocument/2006/relationships/settings" Target="settings.xml"/><Relationship Id="rId21" Type="http://schemas.openxmlformats.org/officeDocument/2006/relationships/hyperlink" Target="https://docs.google.com/document/d/1QVS237x6mihoj0P4Irj0FKQM-OuCZnURA10wV9Rc9WY/edit?tab=t.0" TargetMode="External"/><Relationship Id="rId34" Type="http://schemas.openxmlformats.org/officeDocument/2006/relationships/customXml" Target="../customXml/item3.xml"/><Relationship Id="rId7" Type="http://schemas.openxmlformats.org/officeDocument/2006/relationships/footer" Target="footer1.xml"/><Relationship Id="rId12" Type="http://schemas.openxmlformats.org/officeDocument/2006/relationships/hyperlink" Target="https://docs.google.com/document/d/1QVS237x6mihoj0P4Irj0FKQM-OuCZnURA10wV9Rc9WY/edit?tab=t.0" TargetMode="External"/><Relationship Id="rId17" Type="http://schemas.openxmlformats.org/officeDocument/2006/relationships/hyperlink" Target="https://docs.google.com/document/d/1QVS237x6mihoj0P4Irj0FKQM-OuCZnURA10wV9Rc9WY/edit?tab=t.0" TargetMode="External"/><Relationship Id="rId25" Type="http://schemas.openxmlformats.org/officeDocument/2006/relationships/hyperlink" Target="https://docs.google.com/document/d/1QVS237x6mihoj0P4Irj0FKQM-OuCZnURA10wV9Rc9WY/edit?tab=t.0" TargetMode="External"/><Relationship Id="rId33"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docs.google.com/document/d/1QVS237x6mihoj0P4Irj0FKQM-OuCZnURA10wV9Rc9WY/edit?tab=t.0" TargetMode="External"/><Relationship Id="rId20" Type="http://schemas.openxmlformats.org/officeDocument/2006/relationships/hyperlink" Target="https://docs.google.com/document/d/1QVS237x6mihoj0P4Irj0FKQM-OuCZnURA10wV9Rc9WY/edit?tab=t.0" TargetMode="External"/><Relationship Id="rId29" Type="http://schemas.openxmlformats.org/officeDocument/2006/relationships/hyperlink" Target="https://docs.google.com/document/d/1QVS237x6mihoj0P4Irj0FKQM-OuCZnURA10wV9Rc9WY/edit?tab=t.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document/d/1QVS237x6mihoj0P4Irj0FKQM-OuCZnURA10wV9Rc9WY/edit?tab=t.0" TargetMode="External"/><Relationship Id="rId24" Type="http://schemas.openxmlformats.org/officeDocument/2006/relationships/hyperlink" Target="https://docs.google.com/document/d/1QVS237x6mihoj0P4Irj0FKQM-OuCZnURA10wV9Rc9WY/edit?tab=t.0" TargetMode="External"/><Relationship Id="rId32"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docs.google.com/document/d/1QVS237x6mihoj0P4Irj0FKQM-OuCZnURA10wV9Rc9WY/edit?tab=t.0" TargetMode="External"/><Relationship Id="rId23" Type="http://schemas.openxmlformats.org/officeDocument/2006/relationships/hyperlink" Target="https://docs.google.com/document/d/1QVS237x6mihoj0P4Irj0FKQM-OuCZnURA10wV9Rc9WY/edit?tab=t.0" TargetMode="External"/><Relationship Id="rId28" Type="http://schemas.openxmlformats.org/officeDocument/2006/relationships/hyperlink" Target="https://docs.google.com/document/d/1QVS237x6mihoj0P4Irj0FKQM-OuCZnURA10wV9Rc9WY/edit?tab=t.0" TargetMode="External"/><Relationship Id="rId10" Type="http://schemas.openxmlformats.org/officeDocument/2006/relationships/hyperlink" Target="https://docs.google.com/document/d/1QVS237x6mihoj0P4Irj0FKQM-OuCZnURA10wV9Rc9WY/edit?tab=t.0" TargetMode="External"/><Relationship Id="rId19" Type="http://schemas.openxmlformats.org/officeDocument/2006/relationships/hyperlink" Target="https://docs.google.com/document/d/1QVS237x6mihoj0P4Irj0FKQM-OuCZnURA10wV9Rc9WY/edit?tab=t.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google.com/document/d/1QVS237x6mihoj0P4Irj0FKQM-OuCZnURA10wV9Rc9WY/edit?tab=t.0" TargetMode="External"/><Relationship Id="rId14" Type="http://schemas.openxmlformats.org/officeDocument/2006/relationships/hyperlink" Target="https://docs.google.com/document/d/1QVS237x6mihoj0P4Irj0FKQM-OuCZnURA10wV9Rc9WY/edit?tab=t.0" TargetMode="External"/><Relationship Id="rId22" Type="http://schemas.openxmlformats.org/officeDocument/2006/relationships/hyperlink" Target="https://docs.google.com/document/d/1QVS237x6mihoj0P4Irj0FKQM-OuCZnURA10wV9Rc9WY/edit?tab=t.0" TargetMode="External"/><Relationship Id="rId27" Type="http://schemas.openxmlformats.org/officeDocument/2006/relationships/hyperlink" Target="https://docs.google.com/document/d/1QVS237x6mihoj0P4Irj0FKQM-OuCZnURA10wV9Rc9WY/edit?tab=t.0" TargetMode="External"/><Relationship Id="rId30" Type="http://schemas.openxmlformats.org/officeDocument/2006/relationships/fontTable" Target="fontTable.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AB012FA0-BC58-4257-9BB6-9FFAE86DE015}"/>
</file>

<file path=customXml/itemProps2.xml><?xml version="1.0" encoding="utf-8"?>
<ds:datastoreItem xmlns:ds="http://schemas.openxmlformats.org/officeDocument/2006/customXml" ds:itemID="{32683C98-D313-4DD1-892F-FAC99EAAC6CE}"/>
</file>

<file path=customXml/itemProps3.xml><?xml version="1.0" encoding="utf-8"?>
<ds:datastoreItem xmlns:ds="http://schemas.openxmlformats.org/officeDocument/2006/customXml" ds:itemID="{2BF069C6-1A1C-48D4-BDC2-8316F18DD4BA}"/>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25</Pages>
  <Words>6295</Words>
  <Characters>35886</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2026-09-09T00:35:00Z</dcterms:created>
  <dcterms:modified xsi:type="dcterms:W3CDTF">2026-09-09T00:35:00Z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