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EB6AD"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Case No. 2025-CF-00416</w:t>
      </w:r>
    </w:p>
    <w:p w14:paraId="7F12E249" w14:textId="77777777" w:rsidR="004C4C35" w:rsidRDefault="004C4C35" w:rsidP="004C4C35">
      <w:pPr>
        <w:pStyle w:val="paragraph"/>
        <w:pBdr>
          <w:bottom w:val="double" w:sz="4" w:space="1" w:color="auto"/>
        </w:pBdr>
        <w:spacing w:before="0" w:beforeAutospacing="0" w:after="0" w:afterAutospacing="0"/>
        <w:jc w:val="center"/>
        <w:textAlignment w:val="baseline"/>
        <w:rPr>
          <w:rFonts w:ascii="Segoe UI" w:hAnsi="Segoe UI" w:cs="Segoe UI"/>
          <w:sz w:val="18"/>
          <w:szCs w:val="18"/>
        </w:rPr>
      </w:pPr>
      <w:r>
        <w:rPr>
          <w:rStyle w:val="normaltextrun"/>
          <w:sz w:val="28"/>
          <w:szCs w:val="28"/>
        </w:rPr>
        <w:t>  </w:t>
      </w:r>
    </w:p>
    <w:p w14:paraId="128009C0"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 </w:t>
      </w:r>
    </w:p>
    <w:p w14:paraId="5502CE8F"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IN THE</w:t>
      </w:r>
    </w:p>
    <w:p w14:paraId="67BB2C8C"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UNITED STATES DISTRICT COURT</w:t>
      </w:r>
    </w:p>
    <w:p w14:paraId="12A8E695"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THE FOURTEENTH JUDICIAL DISTRICT</w:t>
      </w:r>
    </w:p>
    <w:p w14:paraId="74A28EEF"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 </w:t>
      </w:r>
    </w:p>
    <w:p w14:paraId="1B52587E" w14:textId="77777777" w:rsidR="004C4C35" w:rsidRDefault="004C4C35" w:rsidP="004C4C35">
      <w:pPr>
        <w:pStyle w:val="paragraph"/>
        <w:pBdr>
          <w:bottom w:val="single" w:sz="8" w:space="1" w:color="auto"/>
        </w:pBdr>
        <w:spacing w:before="0" w:beforeAutospacing="0" w:after="0" w:afterAutospacing="0"/>
        <w:jc w:val="center"/>
        <w:textAlignment w:val="baseline"/>
        <w:rPr>
          <w:rFonts w:ascii="Segoe UI" w:hAnsi="Segoe UI" w:cs="Segoe UI"/>
          <w:sz w:val="18"/>
          <w:szCs w:val="18"/>
        </w:rPr>
      </w:pPr>
      <w:r>
        <w:rPr>
          <w:rStyle w:val="normaltextrun"/>
          <w:b/>
          <w:bCs/>
          <w:sz w:val="28"/>
          <w:szCs w:val="28"/>
        </w:rPr>
        <w:t> </w:t>
      </w:r>
    </w:p>
    <w:p w14:paraId="4119A261"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0F773D75"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6C7D594A"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United States of America,</w:t>
      </w:r>
    </w:p>
    <w:p w14:paraId="1FD75708" w14:textId="77777777" w:rsidR="004C4C35" w:rsidRDefault="004C4C35" w:rsidP="004C4C35">
      <w:pPr>
        <w:pStyle w:val="paragraph"/>
        <w:spacing w:before="0" w:beforeAutospacing="0" w:after="0" w:afterAutospacing="0"/>
        <w:ind w:left="4320" w:firstLine="720"/>
        <w:jc w:val="center"/>
        <w:textAlignment w:val="baseline"/>
        <w:rPr>
          <w:rFonts w:ascii="Segoe UI" w:hAnsi="Segoe UI" w:cs="Segoe UI"/>
          <w:sz w:val="18"/>
          <w:szCs w:val="18"/>
        </w:rPr>
      </w:pPr>
      <w:r>
        <w:rPr>
          <w:rStyle w:val="normaltextrun"/>
          <w:i/>
          <w:iCs/>
          <w:sz w:val="28"/>
          <w:szCs w:val="28"/>
        </w:rPr>
        <w:t> </w:t>
      </w:r>
    </w:p>
    <w:p w14:paraId="23329E02" w14:textId="77777777" w:rsidR="004C4C35" w:rsidRDefault="004C4C35" w:rsidP="004C4C35">
      <w:pPr>
        <w:pStyle w:val="paragraph"/>
        <w:spacing w:before="0" w:beforeAutospacing="0" w:after="0" w:afterAutospacing="0"/>
        <w:ind w:left="5040"/>
        <w:jc w:val="center"/>
        <w:textAlignment w:val="baseline"/>
        <w:rPr>
          <w:rFonts w:ascii="Segoe UI" w:hAnsi="Segoe UI" w:cs="Segoe UI"/>
          <w:sz w:val="18"/>
          <w:szCs w:val="18"/>
        </w:rPr>
      </w:pPr>
      <w:r>
        <w:rPr>
          <w:rStyle w:val="normaltextrun"/>
          <w:i/>
          <w:iCs/>
          <w:sz w:val="28"/>
          <w:szCs w:val="28"/>
        </w:rPr>
        <w:t>Prosecution,</w:t>
      </w:r>
    </w:p>
    <w:p w14:paraId="67E46CDE"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41317F0D"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22E3FFF9"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v. </w:t>
      </w:r>
    </w:p>
    <w:p w14:paraId="1FDFBCAA"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65558AFD"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 </w:t>
      </w:r>
    </w:p>
    <w:p w14:paraId="1DC205D2"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mallCaps/>
          <w:sz w:val="28"/>
          <w:szCs w:val="28"/>
        </w:rPr>
        <w:t>Emily Calloway,</w:t>
      </w:r>
    </w:p>
    <w:p w14:paraId="37661112" w14:textId="77777777" w:rsidR="004C4C35" w:rsidRDefault="004C4C35" w:rsidP="004C4C35">
      <w:pPr>
        <w:pStyle w:val="paragraph"/>
        <w:spacing w:before="0" w:beforeAutospacing="0" w:after="0" w:afterAutospacing="0"/>
        <w:ind w:left="4320" w:firstLine="720"/>
        <w:jc w:val="center"/>
        <w:textAlignment w:val="baseline"/>
        <w:rPr>
          <w:rFonts w:ascii="Segoe UI" w:hAnsi="Segoe UI" w:cs="Segoe UI"/>
          <w:sz w:val="18"/>
          <w:szCs w:val="18"/>
        </w:rPr>
      </w:pPr>
      <w:r>
        <w:rPr>
          <w:rStyle w:val="normaltextrun"/>
          <w:i/>
          <w:iCs/>
          <w:sz w:val="28"/>
          <w:szCs w:val="28"/>
        </w:rPr>
        <w:t> </w:t>
      </w:r>
    </w:p>
    <w:p w14:paraId="61A9B9D3" w14:textId="77777777" w:rsidR="004C4C35" w:rsidRDefault="004C4C35" w:rsidP="004C4C35">
      <w:pPr>
        <w:pStyle w:val="paragraph"/>
        <w:spacing w:before="0" w:beforeAutospacing="0" w:after="0" w:afterAutospacing="0"/>
        <w:ind w:left="5040"/>
        <w:jc w:val="center"/>
        <w:textAlignment w:val="baseline"/>
        <w:rPr>
          <w:rFonts w:ascii="Segoe UI" w:hAnsi="Segoe UI" w:cs="Segoe UI"/>
          <w:sz w:val="18"/>
          <w:szCs w:val="18"/>
        </w:rPr>
      </w:pPr>
      <w:r>
        <w:rPr>
          <w:rStyle w:val="normaltextrun"/>
          <w:i/>
          <w:iCs/>
          <w:sz w:val="28"/>
          <w:szCs w:val="28"/>
        </w:rPr>
        <w:t>Defendant.</w:t>
      </w:r>
    </w:p>
    <w:p w14:paraId="474ACF22"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i/>
          <w:iCs/>
          <w:sz w:val="28"/>
          <w:szCs w:val="28"/>
        </w:rPr>
        <w:t> </w:t>
      </w:r>
    </w:p>
    <w:p w14:paraId="1BF93261" w14:textId="77777777" w:rsidR="004C4C35" w:rsidRDefault="004C4C35" w:rsidP="004C4C35">
      <w:pPr>
        <w:pStyle w:val="paragraph"/>
        <w:pBdr>
          <w:bottom w:val="single" w:sz="8" w:space="1" w:color="auto"/>
        </w:pBdr>
        <w:spacing w:before="0" w:beforeAutospacing="0" w:after="0" w:afterAutospacing="0"/>
        <w:jc w:val="center"/>
        <w:textAlignment w:val="baseline"/>
        <w:rPr>
          <w:rFonts w:ascii="Segoe UI" w:hAnsi="Segoe UI" w:cs="Segoe UI"/>
          <w:sz w:val="18"/>
          <w:szCs w:val="18"/>
        </w:rPr>
      </w:pPr>
      <w:r>
        <w:rPr>
          <w:rStyle w:val="normaltextrun"/>
          <w:i/>
          <w:iCs/>
          <w:sz w:val="28"/>
          <w:szCs w:val="28"/>
        </w:rPr>
        <w:t> </w:t>
      </w:r>
    </w:p>
    <w:p w14:paraId="420E83B6"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 </w:t>
      </w:r>
    </w:p>
    <w:p w14:paraId="41DFBA1A" w14:textId="0AD85741"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 xml:space="preserve">MOVANT’S MEMORANDUM OF LAW </w:t>
      </w:r>
      <w:r w:rsidR="00040A40">
        <w:rPr>
          <w:rStyle w:val="normaltextrun"/>
          <w:b/>
          <w:bCs/>
          <w:sz w:val="28"/>
          <w:szCs w:val="28"/>
        </w:rPr>
        <w:t xml:space="preserve">IN </w:t>
      </w:r>
      <w:r>
        <w:rPr>
          <w:rStyle w:val="normaltextrun"/>
          <w:b/>
          <w:bCs/>
          <w:sz w:val="28"/>
          <w:szCs w:val="28"/>
        </w:rPr>
        <w:t>SUPPORT</w:t>
      </w:r>
      <w:r w:rsidR="00040A40">
        <w:rPr>
          <w:rStyle w:val="normaltextrun"/>
          <w:b/>
          <w:bCs/>
          <w:sz w:val="28"/>
          <w:szCs w:val="28"/>
        </w:rPr>
        <w:t xml:space="preserve"> OF</w:t>
      </w:r>
    </w:p>
    <w:p w14:paraId="3EF3613F" w14:textId="77777777" w:rsidR="004C4C35" w:rsidRDefault="004C4C35" w:rsidP="004C4C35">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DEFENDANT’S MOTION TO SUPPRESS EVIDENCE AND MOTION TO QUASH SUBPOENA</w:t>
      </w:r>
    </w:p>
    <w:p w14:paraId="19E673A6" w14:textId="77777777" w:rsidR="004C4C35" w:rsidRDefault="004C4C35" w:rsidP="004C4C35">
      <w:pPr>
        <w:pStyle w:val="paragraph"/>
        <w:pBdr>
          <w:bottom w:val="single" w:sz="8" w:space="1" w:color="auto"/>
        </w:pBdr>
        <w:spacing w:before="0" w:beforeAutospacing="0" w:after="0" w:afterAutospacing="0"/>
        <w:jc w:val="center"/>
        <w:textAlignment w:val="baseline"/>
        <w:rPr>
          <w:rFonts w:ascii="Segoe UI" w:hAnsi="Segoe UI" w:cs="Segoe UI"/>
          <w:sz w:val="18"/>
          <w:szCs w:val="18"/>
        </w:rPr>
      </w:pPr>
      <w:r>
        <w:rPr>
          <w:rStyle w:val="normaltextrun"/>
          <w:b/>
          <w:bCs/>
          <w:sz w:val="28"/>
          <w:szCs w:val="28"/>
        </w:rPr>
        <w:t> </w:t>
      </w:r>
    </w:p>
    <w:p w14:paraId="38EF5EE7" w14:textId="77777777" w:rsidR="004C4C35" w:rsidRDefault="004C4C35" w:rsidP="004C4C35">
      <w:pPr>
        <w:pStyle w:val="paragraph"/>
        <w:spacing w:before="0" w:beforeAutospacing="0" w:after="0" w:afterAutospacing="0"/>
        <w:jc w:val="right"/>
        <w:textAlignment w:val="baseline"/>
        <w:rPr>
          <w:rStyle w:val="normaltextrun"/>
          <w:sz w:val="28"/>
          <w:szCs w:val="28"/>
          <w:u w:val="single"/>
        </w:rPr>
      </w:pPr>
    </w:p>
    <w:p w14:paraId="52189537" w14:textId="77777777" w:rsidR="004C4C35" w:rsidRDefault="004C4C35" w:rsidP="004C4C35">
      <w:pPr>
        <w:pStyle w:val="paragraph"/>
        <w:spacing w:before="0" w:beforeAutospacing="0" w:after="0" w:afterAutospacing="0"/>
        <w:jc w:val="right"/>
        <w:textAlignment w:val="baseline"/>
        <w:rPr>
          <w:rStyle w:val="normaltextrun"/>
          <w:sz w:val="28"/>
          <w:szCs w:val="28"/>
          <w:u w:val="single"/>
        </w:rPr>
      </w:pPr>
    </w:p>
    <w:p w14:paraId="14213BE5" w14:textId="77777777" w:rsidR="004C4C35" w:rsidRDefault="004C4C35" w:rsidP="004C4C35">
      <w:pPr>
        <w:pStyle w:val="paragraph"/>
        <w:spacing w:before="0" w:beforeAutospacing="0" w:after="0" w:afterAutospacing="0"/>
        <w:jc w:val="right"/>
        <w:textAlignment w:val="baseline"/>
        <w:rPr>
          <w:rStyle w:val="normaltextrun"/>
          <w:sz w:val="28"/>
          <w:szCs w:val="28"/>
          <w:u w:val="single"/>
        </w:rPr>
      </w:pPr>
    </w:p>
    <w:p w14:paraId="5A037CA8" w14:textId="77777777" w:rsidR="004C4C35" w:rsidRDefault="004C4C35" w:rsidP="004C4C35">
      <w:pPr>
        <w:pStyle w:val="paragraph"/>
        <w:spacing w:before="0" w:beforeAutospacing="0" w:after="0" w:afterAutospacing="0"/>
        <w:jc w:val="right"/>
        <w:textAlignment w:val="baseline"/>
        <w:rPr>
          <w:rStyle w:val="normaltextrun"/>
          <w:sz w:val="28"/>
          <w:szCs w:val="28"/>
          <w:u w:val="single"/>
        </w:rPr>
      </w:pPr>
    </w:p>
    <w:p w14:paraId="52D22946" w14:textId="77777777" w:rsidR="004C4C35" w:rsidRDefault="004C4C35" w:rsidP="004C4C35">
      <w:pPr>
        <w:pStyle w:val="paragraph"/>
        <w:spacing w:before="0" w:beforeAutospacing="0" w:after="0" w:afterAutospacing="0"/>
        <w:jc w:val="right"/>
        <w:textAlignment w:val="baseline"/>
        <w:rPr>
          <w:rFonts w:ascii="Segoe UI" w:hAnsi="Segoe UI" w:cs="Segoe UI"/>
          <w:sz w:val="18"/>
          <w:szCs w:val="18"/>
        </w:rPr>
      </w:pPr>
      <w:r>
        <w:rPr>
          <w:rStyle w:val="normaltextrun"/>
          <w:sz w:val="28"/>
          <w:szCs w:val="28"/>
          <w:u w:val="single"/>
        </w:rPr>
        <w:t>/s/                          305 </w:t>
      </w:r>
    </w:p>
    <w:p w14:paraId="63864003" w14:textId="77777777" w:rsidR="004C4C35" w:rsidRDefault="004C4C35" w:rsidP="004C4C35">
      <w:pPr>
        <w:pStyle w:val="paragraph"/>
        <w:spacing w:before="0" w:beforeAutospacing="0" w:after="0" w:afterAutospacing="0"/>
        <w:jc w:val="right"/>
        <w:textAlignment w:val="baseline"/>
        <w:rPr>
          <w:rFonts w:ascii="Segoe UI" w:hAnsi="Segoe UI" w:cs="Segoe UI"/>
          <w:sz w:val="18"/>
          <w:szCs w:val="18"/>
        </w:rPr>
      </w:pPr>
      <w:r>
        <w:rPr>
          <w:rStyle w:val="normaltextrun"/>
          <w:i/>
          <w:iCs/>
          <w:sz w:val="28"/>
          <w:szCs w:val="28"/>
        </w:rPr>
        <w:t>Attorneys for the Defendant</w:t>
      </w:r>
    </w:p>
    <w:p w14:paraId="00000001" w14:textId="77777777" w:rsidR="00044E7C" w:rsidRDefault="00044E7C">
      <w:pPr>
        <w:rPr>
          <w:rFonts w:ascii="Times New Roman" w:eastAsia="Times New Roman" w:hAnsi="Times New Roman" w:cs="Times New Roman"/>
          <w:sz w:val="26"/>
          <w:szCs w:val="26"/>
        </w:rPr>
      </w:pPr>
    </w:p>
    <w:p w14:paraId="00000002" w14:textId="77777777" w:rsidR="00044E7C" w:rsidRDefault="00044E7C">
      <w:pPr>
        <w:spacing w:line="480" w:lineRule="auto"/>
        <w:jc w:val="center"/>
        <w:rPr>
          <w:rFonts w:ascii="Times New Roman" w:eastAsia="Times New Roman" w:hAnsi="Times New Roman" w:cs="Times New Roman"/>
          <w:b/>
          <w:bCs/>
          <w:sz w:val="26"/>
          <w:szCs w:val="26"/>
          <w:u w:val="single"/>
        </w:rPr>
      </w:pPr>
    </w:p>
    <w:p w14:paraId="00000003" w14:textId="77777777" w:rsidR="00044E7C" w:rsidRDefault="00044E7C">
      <w:pPr>
        <w:spacing w:line="480" w:lineRule="auto"/>
        <w:jc w:val="center"/>
        <w:rPr>
          <w:rFonts w:ascii="Times New Roman" w:eastAsia="Times New Roman" w:hAnsi="Times New Roman" w:cs="Times New Roman"/>
          <w:b/>
          <w:bCs/>
          <w:sz w:val="26"/>
          <w:szCs w:val="26"/>
          <w:u w:val="single"/>
        </w:rPr>
      </w:pPr>
    </w:p>
    <w:p w14:paraId="00000016" w14:textId="77777777" w:rsidR="00044E7C" w:rsidRDefault="008B7160" w:rsidP="004C4C35">
      <w:pPr>
        <w:pStyle w:val="Heading1"/>
        <w:spacing w:before="0" w:after="0" w:line="480" w:lineRule="auto"/>
        <w:rPr>
          <w:rFonts w:ascii="Times New Roman" w:eastAsia="Times New Roman" w:hAnsi="Times New Roman" w:cs="Times New Roman"/>
          <w:b/>
          <w:bCs/>
          <w:sz w:val="26"/>
          <w:szCs w:val="26"/>
          <w:u w:val="single"/>
        </w:rPr>
      </w:pPr>
      <w:bookmarkStart w:id="0" w:name="_rx48xsvmuvsq" w:colFirst="0" w:colLast="0"/>
      <w:bookmarkEnd w:id="0"/>
      <w:r>
        <w:br w:type="page"/>
      </w:r>
    </w:p>
    <w:p w14:paraId="00000017" w14:textId="77777777" w:rsidR="00044E7C" w:rsidRPr="002D567B" w:rsidRDefault="008B7160">
      <w:pPr>
        <w:pStyle w:val="Heading1"/>
        <w:spacing w:before="0" w:after="0" w:line="480" w:lineRule="auto"/>
        <w:jc w:val="center"/>
        <w:rPr>
          <w:rFonts w:ascii="Times New Roman" w:eastAsia="Times New Roman" w:hAnsi="Times New Roman" w:cs="Times New Roman"/>
          <w:b/>
          <w:bCs/>
          <w:sz w:val="26"/>
          <w:szCs w:val="26"/>
        </w:rPr>
      </w:pPr>
      <w:bookmarkStart w:id="1" w:name="_Toc239155055"/>
      <w:r w:rsidRPr="002D567B">
        <w:rPr>
          <w:rFonts w:ascii="Times New Roman" w:eastAsia="Times New Roman" w:hAnsi="Times New Roman" w:cs="Times New Roman"/>
          <w:b/>
          <w:bCs/>
          <w:sz w:val="26"/>
          <w:szCs w:val="26"/>
        </w:rPr>
        <w:lastRenderedPageBreak/>
        <w:t>TABLE OF CONTENTS</w:t>
      </w:r>
      <w:bookmarkEnd w:id="1"/>
    </w:p>
    <w:sdt>
      <w:sdtPr>
        <w:rPr>
          <w:rFonts w:ascii="Times New Roman" w:hAnsi="Times New Roman" w:cs="Times New Roman"/>
          <w:sz w:val="26"/>
          <w:szCs w:val="26"/>
        </w:rPr>
        <w:id w:val="-1138444060"/>
        <w:docPartObj>
          <w:docPartGallery w:val="Table of Contents"/>
          <w:docPartUnique/>
        </w:docPartObj>
      </w:sdtPr>
      <w:sdtEndPr/>
      <w:sdtContent>
        <w:p w14:paraId="1A47B801" w14:textId="6338AADB" w:rsidR="00310BC3" w:rsidRPr="00303BDC" w:rsidRDefault="008B7160" w:rsidP="00303BDC">
          <w:pPr>
            <w:pStyle w:val="TOC1"/>
            <w:tabs>
              <w:tab w:val="right" w:leader="dot" w:pos="9350"/>
            </w:tabs>
            <w:spacing w:before="240" w:line="480" w:lineRule="auto"/>
            <w:rPr>
              <w:rFonts w:ascii="Times New Roman" w:hAnsi="Times New Roman" w:cs="Times New Roman"/>
              <w:noProof/>
              <w:sz w:val="26"/>
              <w:szCs w:val="26"/>
            </w:rPr>
          </w:pPr>
          <w:r w:rsidRPr="00303BDC">
            <w:rPr>
              <w:rFonts w:ascii="Times New Roman" w:hAnsi="Times New Roman" w:cs="Times New Roman"/>
              <w:sz w:val="26"/>
              <w:szCs w:val="26"/>
            </w:rPr>
            <w:fldChar w:fldCharType="begin"/>
          </w:r>
          <w:r w:rsidRPr="00303BDC">
            <w:rPr>
              <w:rFonts w:ascii="Times New Roman" w:hAnsi="Times New Roman" w:cs="Times New Roman"/>
              <w:sz w:val="26"/>
              <w:szCs w:val="26"/>
            </w:rPr>
            <w:instrText xml:space="preserve"> TOC \h \u \z \t "Heading 1,1,Heading 2,2,Heading 3,3,Heading 4,4,Heading 5,5,Heading 6,6,"</w:instrText>
          </w:r>
          <w:r w:rsidRPr="00303BDC">
            <w:rPr>
              <w:rFonts w:ascii="Times New Roman" w:hAnsi="Times New Roman" w:cs="Times New Roman"/>
              <w:sz w:val="26"/>
              <w:szCs w:val="26"/>
            </w:rPr>
            <w:fldChar w:fldCharType="separate"/>
          </w:r>
          <w:hyperlink w:anchor="_Toc239155055" w:history="1">
            <w:r w:rsidR="00310BC3" w:rsidRPr="00303BDC">
              <w:rPr>
                <w:rStyle w:val="Hyperlink"/>
                <w:rFonts w:ascii="Times New Roman" w:eastAsia="Times New Roman" w:hAnsi="Times New Roman" w:cs="Times New Roman"/>
                <w:noProof/>
                <w:sz w:val="26"/>
                <w:szCs w:val="26"/>
              </w:rPr>
              <w:t>TABLE OF CONTENTS</w:t>
            </w:r>
            <w:r w:rsidR="00310BC3" w:rsidRPr="00303BDC">
              <w:rPr>
                <w:rFonts w:ascii="Times New Roman" w:hAnsi="Times New Roman" w:cs="Times New Roman"/>
                <w:noProof/>
                <w:webHidden/>
                <w:sz w:val="26"/>
                <w:szCs w:val="26"/>
              </w:rPr>
              <w:tab/>
            </w:r>
            <w:r w:rsidR="00310BC3" w:rsidRPr="00303BDC">
              <w:rPr>
                <w:rFonts w:ascii="Times New Roman" w:hAnsi="Times New Roman" w:cs="Times New Roman"/>
                <w:noProof/>
                <w:webHidden/>
                <w:sz w:val="26"/>
                <w:szCs w:val="26"/>
              </w:rPr>
              <w:fldChar w:fldCharType="begin"/>
            </w:r>
            <w:r w:rsidR="00310BC3" w:rsidRPr="00303BDC">
              <w:rPr>
                <w:rFonts w:ascii="Times New Roman" w:hAnsi="Times New Roman" w:cs="Times New Roman"/>
                <w:noProof/>
                <w:webHidden/>
                <w:sz w:val="26"/>
                <w:szCs w:val="26"/>
              </w:rPr>
              <w:instrText xml:space="preserve"> PAGEREF _Toc239155055 \h </w:instrText>
            </w:r>
            <w:r w:rsidR="00310BC3" w:rsidRPr="00303BDC">
              <w:rPr>
                <w:rFonts w:ascii="Times New Roman" w:hAnsi="Times New Roman" w:cs="Times New Roman"/>
                <w:noProof/>
                <w:webHidden/>
                <w:sz w:val="26"/>
                <w:szCs w:val="26"/>
              </w:rPr>
            </w:r>
            <w:r w:rsidR="00310BC3"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ii</w:t>
            </w:r>
            <w:r w:rsidR="00310BC3" w:rsidRPr="00303BDC">
              <w:rPr>
                <w:rFonts w:ascii="Times New Roman" w:hAnsi="Times New Roman" w:cs="Times New Roman"/>
                <w:noProof/>
                <w:webHidden/>
                <w:sz w:val="26"/>
                <w:szCs w:val="26"/>
              </w:rPr>
              <w:fldChar w:fldCharType="end"/>
            </w:r>
          </w:hyperlink>
        </w:p>
        <w:p w14:paraId="4C6AB656" w14:textId="66DE77C0" w:rsidR="00310BC3" w:rsidRPr="00303BDC" w:rsidRDefault="00310BC3" w:rsidP="00303BDC">
          <w:pPr>
            <w:pStyle w:val="TOC1"/>
            <w:tabs>
              <w:tab w:val="right" w:leader="dot" w:pos="9350"/>
            </w:tabs>
            <w:spacing w:before="240"/>
            <w:rPr>
              <w:rFonts w:ascii="Times New Roman" w:hAnsi="Times New Roman" w:cs="Times New Roman"/>
              <w:noProof/>
              <w:sz w:val="26"/>
              <w:szCs w:val="26"/>
            </w:rPr>
          </w:pPr>
          <w:hyperlink w:anchor="_Toc239155056" w:history="1">
            <w:r w:rsidRPr="00303BDC">
              <w:rPr>
                <w:rStyle w:val="Hyperlink"/>
                <w:rFonts w:ascii="Times New Roman" w:eastAsia="Times New Roman" w:hAnsi="Times New Roman" w:cs="Times New Roman"/>
                <w:noProof/>
                <w:sz w:val="26"/>
                <w:szCs w:val="26"/>
              </w:rPr>
              <w:t>TABLE OF AUTHORITIES</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_Toc239155056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iii</w:t>
            </w:r>
            <w:r w:rsidRPr="00303BDC">
              <w:rPr>
                <w:rFonts w:ascii="Times New Roman" w:hAnsi="Times New Roman" w:cs="Times New Roman"/>
                <w:noProof/>
                <w:webHidden/>
                <w:sz w:val="26"/>
                <w:szCs w:val="26"/>
              </w:rPr>
              <w:fldChar w:fldCharType="end"/>
            </w:r>
          </w:hyperlink>
        </w:p>
        <w:p w14:paraId="34E1CF05" w14:textId="3741E9BB" w:rsidR="00310BC3" w:rsidRPr="00303BDC" w:rsidRDefault="00303BDC" w:rsidP="00303BDC">
          <w:pPr>
            <w:pStyle w:val="TOC1"/>
            <w:tabs>
              <w:tab w:val="right" w:leader="dot" w:pos="9350"/>
            </w:tabs>
            <w:spacing w:before="240"/>
            <w:rPr>
              <w:rFonts w:ascii="Times New Roman" w:hAnsi="Times New Roman" w:cs="Times New Roman"/>
              <w:noProof/>
              <w:sz w:val="26"/>
              <w:szCs w:val="26"/>
            </w:rPr>
          </w:pPr>
          <w:r>
            <w:br/>
          </w:r>
          <w:hyperlink w:anchor="_Toc239155057" w:history="1">
            <w:r w:rsidR="00310BC3" w:rsidRPr="00303BDC">
              <w:rPr>
                <w:rStyle w:val="Hyperlink"/>
                <w:rFonts w:ascii="Times New Roman" w:eastAsia="Times New Roman" w:hAnsi="Times New Roman" w:cs="Times New Roman"/>
                <w:noProof/>
                <w:sz w:val="26"/>
                <w:szCs w:val="26"/>
              </w:rPr>
              <w:t>INTRODUCTION</w:t>
            </w:r>
            <w:r w:rsidR="00310BC3" w:rsidRPr="00303BDC">
              <w:rPr>
                <w:rFonts w:ascii="Times New Roman" w:hAnsi="Times New Roman" w:cs="Times New Roman"/>
                <w:noProof/>
                <w:webHidden/>
                <w:sz w:val="26"/>
                <w:szCs w:val="26"/>
              </w:rPr>
              <w:tab/>
            </w:r>
            <w:r w:rsidR="00310BC3" w:rsidRPr="00303BDC">
              <w:rPr>
                <w:rFonts w:ascii="Times New Roman" w:hAnsi="Times New Roman" w:cs="Times New Roman"/>
                <w:noProof/>
                <w:webHidden/>
                <w:sz w:val="26"/>
                <w:szCs w:val="26"/>
              </w:rPr>
              <w:fldChar w:fldCharType="begin"/>
            </w:r>
            <w:r w:rsidR="00310BC3" w:rsidRPr="00303BDC">
              <w:rPr>
                <w:rFonts w:ascii="Times New Roman" w:hAnsi="Times New Roman" w:cs="Times New Roman"/>
                <w:noProof/>
                <w:webHidden/>
                <w:sz w:val="26"/>
                <w:szCs w:val="26"/>
              </w:rPr>
              <w:instrText xml:space="preserve"> PAGEREF _Toc239155057 \h </w:instrText>
            </w:r>
            <w:r w:rsidR="00310BC3" w:rsidRPr="00303BDC">
              <w:rPr>
                <w:rFonts w:ascii="Times New Roman" w:hAnsi="Times New Roman" w:cs="Times New Roman"/>
                <w:noProof/>
                <w:webHidden/>
                <w:sz w:val="26"/>
                <w:szCs w:val="26"/>
              </w:rPr>
            </w:r>
            <w:r w:rsidR="00310BC3"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w:t>
            </w:r>
            <w:r w:rsidR="00310BC3" w:rsidRPr="00303BDC">
              <w:rPr>
                <w:rFonts w:ascii="Times New Roman" w:hAnsi="Times New Roman" w:cs="Times New Roman"/>
                <w:noProof/>
                <w:webHidden/>
                <w:sz w:val="26"/>
                <w:szCs w:val="26"/>
              </w:rPr>
              <w:fldChar w:fldCharType="end"/>
            </w:r>
          </w:hyperlink>
        </w:p>
        <w:p w14:paraId="55CFBB1F" w14:textId="76B08D50" w:rsidR="00310BC3" w:rsidRPr="00303BDC" w:rsidRDefault="00303BDC" w:rsidP="00303BDC">
          <w:pPr>
            <w:pStyle w:val="TOC1"/>
            <w:tabs>
              <w:tab w:val="right" w:leader="dot" w:pos="9350"/>
            </w:tabs>
            <w:spacing w:before="240"/>
            <w:rPr>
              <w:rFonts w:ascii="Times New Roman" w:hAnsi="Times New Roman" w:cs="Times New Roman"/>
              <w:noProof/>
              <w:sz w:val="26"/>
              <w:szCs w:val="26"/>
            </w:rPr>
          </w:pPr>
          <w:r>
            <w:br/>
          </w:r>
          <w:hyperlink w:anchor="_Toc239155058" w:history="1">
            <w:r w:rsidR="00310BC3" w:rsidRPr="00303BDC">
              <w:rPr>
                <w:rStyle w:val="Hyperlink"/>
                <w:rFonts w:ascii="Times New Roman" w:eastAsia="Times New Roman" w:hAnsi="Times New Roman" w:cs="Times New Roman"/>
                <w:noProof/>
                <w:sz w:val="26"/>
                <w:szCs w:val="26"/>
              </w:rPr>
              <w:t>STATEMENT OF FACTS</w:t>
            </w:r>
            <w:r w:rsidR="00310BC3" w:rsidRPr="00303BDC">
              <w:rPr>
                <w:rFonts w:ascii="Times New Roman" w:hAnsi="Times New Roman" w:cs="Times New Roman"/>
                <w:noProof/>
                <w:webHidden/>
                <w:sz w:val="26"/>
                <w:szCs w:val="26"/>
              </w:rPr>
              <w:tab/>
            </w:r>
            <w:r w:rsidR="00310BC3" w:rsidRPr="00303BDC">
              <w:rPr>
                <w:rFonts w:ascii="Times New Roman" w:hAnsi="Times New Roman" w:cs="Times New Roman"/>
                <w:noProof/>
                <w:webHidden/>
                <w:sz w:val="26"/>
                <w:szCs w:val="26"/>
              </w:rPr>
              <w:fldChar w:fldCharType="begin"/>
            </w:r>
            <w:r w:rsidR="00310BC3" w:rsidRPr="00303BDC">
              <w:rPr>
                <w:rFonts w:ascii="Times New Roman" w:hAnsi="Times New Roman" w:cs="Times New Roman"/>
                <w:noProof/>
                <w:webHidden/>
                <w:sz w:val="26"/>
                <w:szCs w:val="26"/>
              </w:rPr>
              <w:instrText xml:space="preserve"> PAGEREF _Toc239155058 \h </w:instrText>
            </w:r>
            <w:r w:rsidR="00310BC3" w:rsidRPr="00303BDC">
              <w:rPr>
                <w:rFonts w:ascii="Times New Roman" w:hAnsi="Times New Roman" w:cs="Times New Roman"/>
                <w:noProof/>
                <w:webHidden/>
                <w:sz w:val="26"/>
                <w:szCs w:val="26"/>
              </w:rPr>
            </w:r>
            <w:r w:rsidR="00310BC3"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2</w:t>
            </w:r>
            <w:r w:rsidR="00310BC3" w:rsidRPr="00303BDC">
              <w:rPr>
                <w:rFonts w:ascii="Times New Roman" w:hAnsi="Times New Roman" w:cs="Times New Roman"/>
                <w:noProof/>
                <w:webHidden/>
                <w:sz w:val="26"/>
                <w:szCs w:val="26"/>
              </w:rPr>
              <w:fldChar w:fldCharType="end"/>
            </w:r>
          </w:hyperlink>
        </w:p>
        <w:p w14:paraId="1D4A78F8" w14:textId="6E2A22DB" w:rsidR="00310BC3" w:rsidRPr="00303BDC" w:rsidRDefault="00303BDC" w:rsidP="00303BDC">
          <w:pPr>
            <w:pStyle w:val="TOC1"/>
            <w:tabs>
              <w:tab w:val="right" w:leader="dot" w:pos="9350"/>
            </w:tabs>
            <w:spacing w:before="240"/>
            <w:rPr>
              <w:rFonts w:ascii="Times New Roman" w:hAnsi="Times New Roman" w:cs="Times New Roman"/>
              <w:noProof/>
              <w:sz w:val="26"/>
              <w:szCs w:val="26"/>
            </w:rPr>
          </w:pPr>
          <w:r>
            <w:br/>
          </w:r>
          <w:hyperlink w:anchor="_Toc239155059" w:history="1">
            <w:r w:rsidR="00310BC3" w:rsidRPr="00303BDC">
              <w:rPr>
                <w:rStyle w:val="Hyperlink"/>
                <w:rFonts w:ascii="Times New Roman" w:eastAsia="Times New Roman" w:hAnsi="Times New Roman" w:cs="Times New Roman"/>
                <w:noProof/>
                <w:sz w:val="26"/>
                <w:szCs w:val="26"/>
              </w:rPr>
              <w:t>ARGUMENT</w:t>
            </w:r>
            <w:r w:rsidR="00310BC3" w:rsidRPr="00303BDC">
              <w:rPr>
                <w:rFonts w:ascii="Times New Roman" w:hAnsi="Times New Roman" w:cs="Times New Roman"/>
                <w:noProof/>
                <w:webHidden/>
                <w:sz w:val="26"/>
                <w:szCs w:val="26"/>
              </w:rPr>
              <w:tab/>
            </w:r>
            <w:r w:rsidR="00310BC3" w:rsidRPr="00303BDC">
              <w:rPr>
                <w:rFonts w:ascii="Times New Roman" w:hAnsi="Times New Roman" w:cs="Times New Roman"/>
                <w:noProof/>
                <w:webHidden/>
                <w:sz w:val="26"/>
                <w:szCs w:val="26"/>
              </w:rPr>
              <w:fldChar w:fldCharType="begin"/>
            </w:r>
            <w:r w:rsidR="00310BC3" w:rsidRPr="00303BDC">
              <w:rPr>
                <w:rFonts w:ascii="Times New Roman" w:hAnsi="Times New Roman" w:cs="Times New Roman"/>
                <w:noProof/>
                <w:webHidden/>
                <w:sz w:val="26"/>
                <w:szCs w:val="26"/>
              </w:rPr>
              <w:instrText xml:space="preserve"> PAGEREF _Toc239155059 \h </w:instrText>
            </w:r>
            <w:r w:rsidR="00310BC3" w:rsidRPr="00303BDC">
              <w:rPr>
                <w:rFonts w:ascii="Times New Roman" w:hAnsi="Times New Roman" w:cs="Times New Roman"/>
                <w:noProof/>
                <w:webHidden/>
                <w:sz w:val="26"/>
                <w:szCs w:val="26"/>
              </w:rPr>
            </w:r>
            <w:r w:rsidR="00310BC3"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5</w:t>
            </w:r>
            <w:r w:rsidR="00310BC3" w:rsidRPr="00303BDC">
              <w:rPr>
                <w:rFonts w:ascii="Times New Roman" w:hAnsi="Times New Roman" w:cs="Times New Roman"/>
                <w:noProof/>
                <w:webHidden/>
                <w:sz w:val="26"/>
                <w:szCs w:val="26"/>
              </w:rPr>
              <w:fldChar w:fldCharType="end"/>
            </w:r>
          </w:hyperlink>
        </w:p>
        <w:p w14:paraId="4D0F7A5D" w14:textId="618821DE" w:rsidR="00310BC3" w:rsidRPr="00303BDC" w:rsidRDefault="00303BDC" w:rsidP="00303BDC">
          <w:pPr>
            <w:pStyle w:val="TOC2"/>
            <w:tabs>
              <w:tab w:val="left" w:pos="720"/>
              <w:tab w:val="right" w:leader="dot" w:pos="9350"/>
            </w:tabs>
            <w:spacing w:before="240"/>
            <w:rPr>
              <w:rFonts w:ascii="Times New Roman" w:hAnsi="Times New Roman" w:cs="Times New Roman"/>
              <w:noProof/>
              <w:sz w:val="26"/>
              <w:szCs w:val="26"/>
            </w:rPr>
          </w:pPr>
          <w:r>
            <w:br/>
          </w:r>
          <w:hyperlink w:anchor="_Toc239155060" w:history="1">
            <w:r w:rsidR="00310BC3" w:rsidRPr="00303BDC">
              <w:rPr>
                <w:rStyle w:val="Hyperlink"/>
                <w:rFonts w:ascii="Times New Roman" w:eastAsia="Times New Roman" w:hAnsi="Times New Roman" w:cs="Times New Roman"/>
                <w:noProof/>
                <w:sz w:val="26"/>
                <w:szCs w:val="26"/>
              </w:rPr>
              <w:t>I.</w:t>
            </w:r>
            <w:r w:rsidR="00310BC3" w:rsidRPr="00303BDC">
              <w:rPr>
                <w:rFonts w:ascii="Times New Roman" w:hAnsi="Times New Roman" w:cs="Times New Roman"/>
                <w:noProof/>
                <w:sz w:val="26"/>
                <w:szCs w:val="26"/>
              </w:rPr>
              <w:tab/>
            </w:r>
            <w:r w:rsidR="00310BC3" w:rsidRPr="00303BDC">
              <w:rPr>
                <w:rStyle w:val="Hyperlink"/>
                <w:rFonts w:ascii="Times New Roman" w:eastAsia="Times New Roman" w:hAnsi="Times New Roman" w:cs="Times New Roman"/>
                <w:noProof/>
                <w:sz w:val="26"/>
                <w:szCs w:val="26"/>
              </w:rPr>
              <w:t>THE COURT SHOULD SUPPRESS KENNEDY PARKER’S TESTIMONY AND EXHIBIT 19 BECAUSE THE GOVERNMENT CANNOT ESTABLISH THAT EITHER WAS DERIVED FROM A SOURCE WHOLLY INDEPENDENT OF CALLOWAY’S COMPELLED TESTIMONY</w:t>
            </w:r>
            <w:r w:rsidR="00310BC3" w:rsidRPr="00303BDC">
              <w:rPr>
                <w:rFonts w:ascii="Times New Roman" w:hAnsi="Times New Roman" w:cs="Times New Roman"/>
                <w:noProof/>
                <w:webHidden/>
                <w:sz w:val="26"/>
                <w:szCs w:val="26"/>
              </w:rPr>
              <w:tab/>
            </w:r>
            <w:r w:rsidR="00310BC3" w:rsidRPr="00303BDC">
              <w:rPr>
                <w:rFonts w:ascii="Times New Roman" w:hAnsi="Times New Roman" w:cs="Times New Roman"/>
                <w:noProof/>
                <w:webHidden/>
                <w:sz w:val="26"/>
                <w:szCs w:val="26"/>
              </w:rPr>
              <w:fldChar w:fldCharType="begin"/>
            </w:r>
            <w:r w:rsidR="00310BC3" w:rsidRPr="00303BDC">
              <w:rPr>
                <w:rFonts w:ascii="Times New Roman" w:hAnsi="Times New Roman" w:cs="Times New Roman"/>
                <w:noProof/>
                <w:webHidden/>
                <w:sz w:val="26"/>
                <w:szCs w:val="26"/>
              </w:rPr>
              <w:instrText xml:space="preserve"> PAGEREF _Toc239155060 \h </w:instrText>
            </w:r>
            <w:r w:rsidR="00310BC3" w:rsidRPr="00303BDC">
              <w:rPr>
                <w:rFonts w:ascii="Times New Roman" w:hAnsi="Times New Roman" w:cs="Times New Roman"/>
                <w:noProof/>
                <w:webHidden/>
                <w:sz w:val="26"/>
                <w:szCs w:val="26"/>
              </w:rPr>
            </w:r>
            <w:r w:rsidR="00310BC3"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5</w:t>
            </w:r>
            <w:r w:rsidR="00310BC3" w:rsidRPr="00303BDC">
              <w:rPr>
                <w:rFonts w:ascii="Times New Roman" w:hAnsi="Times New Roman" w:cs="Times New Roman"/>
                <w:noProof/>
                <w:webHidden/>
                <w:sz w:val="26"/>
                <w:szCs w:val="26"/>
              </w:rPr>
              <w:fldChar w:fldCharType="end"/>
            </w:r>
          </w:hyperlink>
        </w:p>
        <w:p w14:paraId="65D62B6F" w14:textId="78792CB0" w:rsidR="00310BC3" w:rsidRPr="00303BDC" w:rsidRDefault="00310BC3" w:rsidP="00303BDC">
          <w:pPr>
            <w:pStyle w:val="TOC3"/>
            <w:tabs>
              <w:tab w:val="left" w:pos="960"/>
              <w:tab w:val="right" w:leader="dot" w:pos="9350"/>
            </w:tabs>
            <w:spacing w:before="240"/>
            <w:rPr>
              <w:rFonts w:ascii="Times New Roman" w:hAnsi="Times New Roman" w:cs="Times New Roman"/>
              <w:noProof/>
              <w:sz w:val="26"/>
              <w:szCs w:val="26"/>
            </w:rPr>
          </w:pPr>
          <w:hyperlink w:anchor="_Toc239155061" w:history="1">
            <w:r w:rsidRPr="00303BDC">
              <w:rPr>
                <w:rStyle w:val="Hyperlink"/>
                <w:rFonts w:ascii="Times New Roman" w:eastAsia="Times New Roman" w:hAnsi="Times New Roman" w:cs="Times New Roman"/>
                <w:noProof/>
                <w:sz w:val="26"/>
                <w:szCs w:val="26"/>
              </w:rPr>
              <w:t>A.</w:t>
            </w:r>
            <w:r w:rsidRPr="00303BDC">
              <w:rPr>
                <w:rFonts w:ascii="Times New Roman" w:hAnsi="Times New Roman" w:cs="Times New Roman"/>
                <w:noProof/>
                <w:sz w:val="26"/>
                <w:szCs w:val="26"/>
              </w:rPr>
              <w:tab/>
            </w:r>
            <w:r w:rsidRPr="00303BDC">
              <w:rPr>
                <w:rStyle w:val="Hyperlink"/>
                <w:rFonts w:ascii="Times New Roman" w:eastAsia="Times New Roman" w:hAnsi="Times New Roman" w:cs="Times New Roman"/>
                <w:noProof/>
                <w:sz w:val="26"/>
                <w:szCs w:val="26"/>
              </w:rPr>
              <w:t>The Government Cannot Establish a Wholly Independent Source for Its Decision to Interview Parker</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_Toc239155061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6</w:t>
            </w:r>
            <w:r w:rsidRPr="00303BDC">
              <w:rPr>
                <w:rFonts w:ascii="Times New Roman" w:hAnsi="Times New Roman" w:cs="Times New Roman"/>
                <w:noProof/>
                <w:webHidden/>
                <w:sz w:val="26"/>
                <w:szCs w:val="26"/>
              </w:rPr>
              <w:fldChar w:fldCharType="end"/>
            </w:r>
          </w:hyperlink>
        </w:p>
        <w:p w14:paraId="644D1F82" w14:textId="32003A16" w:rsidR="00310BC3" w:rsidRPr="00303BDC" w:rsidRDefault="00310BC3" w:rsidP="00303BDC">
          <w:pPr>
            <w:pStyle w:val="TOC3"/>
            <w:tabs>
              <w:tab w:val="left" w:pos="960"/>
              <w:tab w:val="right" w:leader="dot" w:pos="9350"/>
            </w:tabs>
            <w:spacing w:before="240"/>
            <w:rPr>
              <w:rFonts w:ascii="Times New Roman" w:hAnsi="Times New Roman" w:cs="Times New Roman"/>
              <w:noProof/>
              <w:sz w:val="26"/>
              <w:szCs w:val="26"/>
            </w:rPr>
          </w:pPr>
          <w:hyperlink w:anchor="_Toc239155062" w:history="1">
            <w:r w:rsidRPr="00303BDC">
              <w:rPr>
                <w:rStyle w:val="Hyperlink"/>
                <w:rFonts w:ascii="Times New Roman" w:eastAsia="Times New Roman" w:hAnsi="Times New Roman" w:cs="Times New Roman"/>
                <w:noProof/>
                <w:sz w:val="26"/>
                <w:szCs w:val="26"/>
              </w:rPr>
              <w:t>B.</w:t>
            </w:r>
            <w:r w:rsidRPr="00303BDC">
              <w:rPr>
                <w:rFonts w:ascii="Times New Roman" w:hAnsi="Times New Roman" w:cs="Times New Roman"/>
                <w:noProof/>
                <w:sz w:val="26"/>
                <w:szCs w:val="26"/>
              </w:rPr>
              <w:tab/>
            </w:r>
            <w:r w:rsidRPr="00303BDC">
              <w:rPr>
                <w:rStyle w:val="Hyperlink"/>
                <w:rFonts w:ascii="Times New Roman" w:eastAsia="Times New Roman" w:hAnsi="Times New Roman" w:cs="Times New Roman"/>
                <w:noProof/>
                <w:sz w:val="26"/>
                <w:szCs w:val="26"/>
              </w:rPr>
              <w:t>The Government Cannot Prove That Parker’s Testimony Was Not Tainted by Calloway’s Compelled Testimony</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_Toc239155062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10</w:t>
            </w:r>
            <w:r w:rsidRPr="00303BDC">
              <w:rPr>
                <w:rFonts w:ascii="Times New Roman" w:hAnsi="Times New Roman" w:cs="Times New Roman"/>
                <w:noProof/>
                <w:webHidden/>
                <w:sz w:val="26"/>
                <w:szCs w:val="26"/>
              </w:rPr>
              <w:fldChar w:fldCharType="end"/>
            </w:r>
          </w:hyperlink>
        </w:p>
        <w:p w14:paraId="7DBEA46D" w14:textId="075425E4" w:rsidR="00310BC3" w:rsidRPr="00303BDC" w:rsidRDefault="00310BC3" w:rsidP="00303BDC">
          <w:pPr>
            <w:pStyle w:val="TOC3"/>
            <w:tabs>
              <w:tab w:val="left" w:pos="960"/>
              <w:tab w:val="right" w:leader="dot" w:pos="9350"/>
            </w:tabs>
            <w:spacing w:before="240"/>
            <w:rPr>
              <w:rFonts w:ascii="Times New Roman" w:hAnsi="Times New Roman" w:cs="Times New Roman"/>
              <w:noProof/>
              <w:sz w:val="26"/>
              <w:szCs w:val="26"/>
            </w:rPr>
          </w:pPr>
          <w:hyperlink w:anchor="_Toc239155063" w:history="1">
            <w:r w:rsidRPr="00303BDC">
              <w:rPr>
                <w:rStyle w:val="Hyperlink"/>
                <w:rFonts w:ascii="Times New Roman" w:eastAsia="Times New Roman" w:hAnsi="Times New Roman" w:cs="Times New Roman"/>
                <w:noProof/>
                <w:sz w:val="26"/>
                <w:szCs w:val="26"/>
              </w:rPr>
              <w:t>C.</w:t>
            </w:r>
            <w:r w:rsidRPr="00303BDC">
              <w:rPr>
                <w:rFonts w:ascii="Times New Roman" w:hAnsi="Times New Roman" w:cs="Times New Roman"/>
                <w:noProof/>
                <w:sz w:val="26"/>
                <w:szCs w:val="26"/>
              </w:rPr>
              <w:tab/>
            </w:r>
            <w:r w:rsidRPr="00303BDC">
              <w:rPr>
                <w:rStyle w:val="Hyperlink"/>
                <w:rFonts w:ascii="Times New Roman" w:eastAsia="Times New Roman" w:hAnsi="Times New Roman" w:cs="Times New Roman"/>
                <w:noProof/>
                <w:sz w:val="26"/>
                <w:szCs w:val="26"/>
              </w:rPr>
              <w:t>Exhibit 19 Must Also Be Suppressed Because the Government Obtained It Directly from Parker’s Testimony</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_Toc239155063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12</w:t>
            </w:r>
            <w:r w:rsidRPr="00303BDC">
              <w:rPr>
                <w:rFonts w:ascii="Times New Roman" w:hAnsi="Times New Roman" w:cs="Times New Roman"/>
                <w:noProof/>
                <w:webHidden/>
                <w:sz w:val="26"/>
                <w:szCs w:val="26"/>
              </w:rPr>
              <w:fldChar w:fldCharType="end"/>
            </w:r>
          </w:hyperlink>
        </w:p>
        <w:p w14:paraId="15B6E083" w14:textId="6E3B3510" w:rsidR="00310BC3" w:rsidRPr="00303BDC" w:rsidRDefault="00310BC3" w:rsidP="00303BDC">
          <w:pPr>
            <w:pStyle w:val="TOC2"/>
            <w:tabs>
              <w:tab w:val="left" w:pos="960"/>
              <w:tab w:val="right" w:leader="dot" w:pos="9350"/>
            </w:tabs>
            <w:spacing w:before="240"/>
            <w:rPr>
              <w:rFonts w:ascii="Times New Roman" w:hAnsi="Times New Roman" w:cs="Times New Roman"/>
              <w:noProof/>
              <w:sz w:val="26"/>
              <w:szCs w:val="26"/>
            </w:rPr>
          </w:pPr>
          <w:hyperlink w:anchor="_Toc239155064" w:history="1">
            <w:r w:rsidRPr="00303BDC">
              <w:rPr>
                <w:rStyle w:val="Hyperlink"/>
                <w:rFonts w:ascii="Times New Roman" w:eastAsia="Times New Roman" w:hAnsi="Times New Roman" w:cs="Times New Roman"/>
                <w:noProof/>
                <w:sz w:val="26"/>
                <w:szCs w:val="26"/>
              </w:rPr>
              <w:t>II.</w:t>
            </w:r>
            <w:r w:rsidRPr="00303BDC">
              <w:rPr>
                <w:rFonts w:ascii="Times New Roman" w:hAnsi="Times New Roman" w:cs="Times New Roman"/>
                <w:noProof/>
                <w:sz w:val="26"/>
                <w:szCs w:val="26"/>
              </w:rPr>
              <w:tab/>
            </w:r>
            <w:r w:rsidRPr="00303BDC">
              <w:rPr>
                <w:rStyle w:val="Hyperlink"/>
                <w:rFonts w:ascii="Times New Roman" w:eastAsia="Times New Roman" w:hAnsi="Times New Roman" w:cs="Times New Roman"/>
                <w:noProof/>
                <w:sz w:val="26"/>
                <w:szCs w:val="26"/>
              </w:rPr>
              <w:t>CALLOWAY’S MOTION TO QUASH SHOULD BE GRANTED BECAUSE ARMANA’S INTERVIEW NOTES ARE PROTECTED OPINION WORK-PRODUCT ENTITLED TO HEIGHTENED PROTECTION</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_Toc239155064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14</w:t>
            </w:r>
            <w:r w:rsidRPr="00303BDC">
              <w:rPr>
                <w:rFonts w:ascii="Times New Roman" w:hAnsi="Times New Roman" w:cs="Times New Roman"/>
                <w:noProof/>
                <w:webHidden/>
                <w:sz w:val="26"/>
                <w:szCs w:val="26"/>
              </w:rPr>
              <w:fldChar w:fldCharType="end"/>
            </w:r>
          </w:hyperlink>
        </w:p>
        <w:p w14:paraId="23CFBF42" w14:textId="03451A36" w:rsidR="00310BC3" w:rsidRPr="00303BDC" w:rsidRDefault="00310BC3" w:rsidP="00303BDC">
          <w:pPr>
            <w:pStyle w:val="TOC3"/>
            <w:tabs>
              <w:tab w:val="left" w:pos="960"/>
              <w:tab w:val="right" w:leader="dot" w:pos="9350"/>
            </w:tabs>
            <w:spacing w:before="240"/>
            <w:rPr>
              <w:rFonts w:ascii="Times New Roman" w:hAnsi="Times New Roman" w:cs="Times New Roman"/>
              <w:noProof/>
              <w:sz w:val="26"/>
              <w:szCs w:val="26"/>
            </w:rPr>
          </w:pPr>
          <w:hyperlink w:anchor="_Toc239155065" w:history="1">
            <w:r w:rsidRPr="00303BDC">
              <w:rPr>
                <w:rStyle w:val="Hyperlink"/>
                <w:rFonts w:ascii="Times New Roman" w:eastAsia="Times New Roman" w:hAnsi="Times New Roman" w:cs="Times New Roman"/>
                <w:noProof/>
                <w:sz w:val="26"/>
                <w:szCs w:val="26"/>
              </w:rPr>
              <w:t>A.</w:t>
            </w:r>
            <w:r w:rsidRPr="00303BDC">
              <w:rPr>
                <w:rFonts w:ascii="Times New Roman" w:hAnsi="Times New Roman" w:cs="Times New Roman"/>
                <w:noProof/>
                <w:sz w:val="26"/>
                <w:szCs w:val="26"/>
              </w:rPr>
              <w:tab/>
            </w:r>
            <w:r w:rsidRPr="00303BDC">
              <w:rPr>
                <w:rStyle w:val="Hyperlink"/>
                <w:rFonts w:ascii="Times New Roman" w:eastAsia="Times New Roman" w:hAnsi="Times New Roman" w:cs="Times New Roman"/>
                <w:noProof/>
                <w:sz w:val="26"/>
                <w:szCs w:val="26"/>
              </w:rPr>
              <w:t>Armana’s Interview Notes Are Protected Work-Product Because She Acted as an Agent of the Attorney</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_Toc239155065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14</w:t>
            </w:r>
            <w:r w:rsidRPr="00303BDC">
              <w:rPr>
                <w:rFonts w:ascii="Times New Roman" w:hAnsi="Times New Roman" w:cs="Times New Roman"/>
                <w:noProof/>
                <w:webHidden/>
                <w:sz w:val="26"/>
                <w:szCs w:val="26"/>
              </w:rPr>
              <w:fldChar w:fldCharType="end"/>
            </w:r>
          </w:hyperlink>
        </w:p>
        <w:p w14:paraId="73E90D42" w14:textId="02FA15FC" w:rsidR="00310BC3" w:rsidRPr="00303BDC" w:rsidRDefault="00310BC3" w:rsidP="00303BDC">
          <w:pPr>
            <w:pStyle w:val="TOC3"/>
            <w:tabs>
              <w:tab w:val="left" w:pos="960"/>
              <w:tab w:val="right" w:leader="dot" w:pos="9350"/>
            </w:tabs>
            <w:spacing w:before="240"/>
            <w:rPr>
              <w:rFonts w:ascii="Times New Roman" w:hAnsi="Times New Roman" w:cs="Times New Roman"/>
              <w:noProof/>
              <w:sz w:val="26"/>
              <w:szCs w:val="26"/>
            </w:rPr>
          </w:pPr>
          <w:hyperlink w:anchor="_Toc239155066" w:history="1">
            <w:r w:rsidRPr="00303BDC">
              <w:rPr>
                <w:rStyle w:val="Hyperlink"/>
                <w:rFonts w:ascii="Times New Roman" w:eastAsia="Times New Roman" w:hAnsi="Times New Roman" w:cs="Times New Roman"/>
                <w:noProof/>
                <w:sz w:val="26"/>
                <w:szCs w:val="26"/>
              </w:rPr>
              <w:t>B.</w:t>
            </w:r>
            <w:r w:rsidRPr="00303BDC">
              <w:rPr>
                <w:rFonts w:ascii="Times New Roman" w:hAnsi="Times New Roman" w:cs="Times New Roman"/>
                <w:noProof/>
                <w:sz w:val="26"/>
                <w:szCs w:val="26"/>
              </w:rPr>
              <w:tab/>
            </w:r>
            <w:r w:rsidRPr="00303BDC">
              <w:rPr>
                <w:rStyle w:val="Hyperlink"/>
                <w:rFonts w:ascii="Times New Roman" w:eastAsia="Times New Roman" w:hAnsi="Times New Roman" w:cs="Times New Roman"/>
                <w:noProof/>
                <w:sz w:val="26"/>
                <w:szCs w:val="26"/>
              </w:rPr>
              <w:t>Armana’s Interview Notes are Opinion Work-Product Entitled to Heightened Protection</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_Toc239155066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16</w:t>
            </w:r>
            <w:r w:rsidRPr="00303BDC">
              <w:rPr>
                <w:rFonts w:ascii="Times New Roman" w:hAnsi="Times New Roman" w:cs="Times New Roman"/>
                <w:noProof/>
                <w:webHidden/>
                <w:sz w:val="26"/>
                <w:szCs w:val="26"/>
              </w:rPr>
              <w:fldChar w:fldCharType="end"/>
            </w:r>
          </w:hyperlink>
        </w:p>
        <w:p w14:paraId="4EAE855A" w14:textId="1B640555" w:rsidR="00310BC3" w:rsidRPr="00303BDC" w:rsidRDefault="00310BC3" w:rsidP="00303BDC">
          <w:pPr>
            <w:pStyle w:val="TOC3"/>
            <w:tabs>
              <w:tab w:val="left" w:pos="960"/>
              <w:tab w:val="right" w:leader="dot" w:pos="9350"/>
            </w:tabs>
            <w:spacing w:before="240"/>
            <w:rPr>
              <w:rFonts w:ascii="Times New Roman" w:hAnsi="Times New Roman" w:cs="Times New Roman"/>
              <w:noProof/>
              <w:sz w:val="26"/>
              <w:szCs w:val="26"/>
            </w:rPr>
          </w:pPr>
          <w:hyperlink w:anchor="_Toc239155067" w:history="1">
            <w:r w:rsidRPr="00303BDC">
              <w:rPr>
                <w:rStyle w:val="Hyperlink"/>
                <w:rFonts w:ascii="Times New Roman" w:eastAsia="Times New Roman" w:hAnsi="Times New Roman" w:cs="Times New Roman"/>
                <w:noProof/>
                <w:sz w:val="26"/>
                <w:szCs w:val="26"/>
              </w:rPr>
              <w:t>C.</w:t>
            </w:r>
            <w:r w:rsidRPr="00303BDC">
              <w:rPr>
                <w:rFonts w:ascii="Times New Roman" w:hAnsi="Times New Roman" w:cs="Times New Roman"/>
                <w:noProof/>
                <w:sz w:val="26"/>
                <w:szCs w:val="26"/>
              </w:rPr>
              <w:tab/>
            </w:r>
            <w:r w:rsidRPr="00303BDC">
              <w:rPr>
                <w:rStyle w:val="Hyperlink"/>
                <w:rFonts w:ascii="Times New Roman" w:eastAsia="Times New Roman" w:hAnsi="Times New Roman" w:cs="Times New Roman"/>
                <w:noProof/>
                <w:sz w:val="26"/>
                <w:szCs w:val="26"/>
              </w:rPr>
              <w:t>The Government Cannot Meet the Heightened Protection Required to Obtain Armana’s Opinion Work-Product</w:t>
            </w:r>
            <w:r w:rsidRPr="00303BDC">
              <w:rPr>
                <w:rFonts w:ascii="Times New Roman" w:hAnsi="Times New Roman" w:cs="Times New Roman"/>
                <w:noProof/>
                <w:webHidden/>
                <w:sz w:val="26"/>
                <w:szCs w:val="26"/>
              </w:rPr>
              <w:tab/>
            </w:r>
            <w:r w:rsidRPr="00303BDC">
              <w:rPr>
                <w:rFonts w:ascii="Times New Roman" w:hAnsi="Times New Roman" w:cs="Times New Roman"/>
                <w:noProof/>
                <w:webHidden/>
                <w:sz w:val="26"/>
                <w:szCs w:val="26"/>
              </w:rPr>
              <w:fldChar w:fldCharType="begin"/>
            </w:r>
            <w:r w:rsidRPr="00303BDC">
              <w:rPr>
                <w:rFonts w:ascii="Times New Roman" w:hAnsi="Times New Roman" w:cs="Times New Roman"/>
                <w:noProof/>
                <w:webHidden/>
                <w:sz w:val="26"/>
                <w:szCs w:val="26"/>
              </w:rPr>
              <w:instrText xml:space="preserve"> PAGEREF _Toc239155067 \h </w:instrText>
            </w:r>
            <w:r w:rsidRPr="00303BDC">
              <w:rPr>
                <w:rFonts w:ascii="Times New Roman" w:hAnsi="Times New Roman" w:cs="Times New Roman"/>
                <w:noProof/>
                <w:webHidden/>
                <w:sz w:val="26"/>
                <w:szCs w:val="26"/>
              </w:rPr>
            </w:r>
            <w:r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18</w:t>
            </w:r>
            <w:r w:rsidRPr="00303BDC">
              <w:rPr>
                <w:rFonts w:ascii="Times New Roman" w:hAnsi="Times New Roman" w:cs="Times New Roman"/>
                <w:noProof/>
                <w:webHidden/>
                <w:sz w:val="26"/>
                <w:szCs w:val="26"/>
              </w:rPr>
              <w:fldChar w:fldCharType="end"/>
            </w:r>
          </w:hyperlink>
        </w:p>
        <w:p w14:paraId="183EA896" w14:textId="3E883AA8" w:rsidR="00310BC3" w:rsidRPr="00303BDC" w:rsidRDefault="00303BDC" w:rsidP="00303BDC">
          <w:pPr>
            <w:pStyle w:val="TOC1"/>
            <w:tabs>
              <w:tab w:val="right" w:leader="dot" w:pos="9350"/>
            </w:tabs>
            <w:rPr>
              <w:rFonts w:ascii="Times New Roman" w:hAnsi="Times New Roman" w:cs="Times New Roman"/>
              <w:noProof/>
              <w:sz w:val="26"/>
              <w:szCs w:val="26"/>
            </w:rPr>
          </w:pPr>
          <w:r>
            <w:br/>
          </w:r>
          <w:hyperlink w:anchor="_Toc239155068" w:history="1">
            <w:r w:rsidR="00310BC3" w:rsidRPr="00303BDC">
              <w:rPr>
                <w:rStyle w:val="Hyperlink"/>
                <w:rFonts w:ascii="Times New Roman" w:eastAsia="Times New Roman" w:hAnsi="Times New Roman" w:cs="Times New Roman"/>
                <w:noProof/>
                <w:sz w:val="26"/>
                <w:szCs w:val="26"/>
              </w:rPr>
              <w:t>CONCLUSION</w:t>
            </w:r>
            <w:r w:rsidR="00310BC3" w:rsidRPr="00303BDC">
              <w:rPr>
                <w:rFonts w:ascii="Times New Roman" w:hAnsi="Times New Roman" w:cs="Times New Roman"/>
                <w:noProof/>
                <w:webHidden/>
                <w:sz w:val="26"/>
                <w:szCs w:val="26"/>
              </w:rPr>
              <w:tab/>
            </w:r>
            <w:r w:rsidR="00310BC3" w:rsidRPr="00303BDC">
              <w:rPr>
                <w:rFonts w:ascii="Times New Roman" w:hAnsi="Times New Roman" w:cs="Times New Roman"/>
                <w:noProof/>
                <w:webHidden/>
                <w:sz w:val="26"/>
                <w:szCs w:val="26"/>
              </w:rPr>
              <w:fldChar w:fldCharType="begin"/>
            </w:r>
            <w:r w:rsidR="00310BC3" w:rsidRPr="00303BDC">
              <w:rPr>
                <w:rFonts w:ascii="Times New Roman" w:hAnsi="Times New Roman" w:cs="Times New Roman"/>
                <w:noProof/>
                <w:webHidden/>
                <w:sz w:val="26"/>
                <w:szCs w:val="26"/>
              </w:rPr>
              <w:instrText xml:space="preserve"> PAGEREF _Toc239155068 \h </w:instrText>
            </w:r>
            <w:r w:rsidR="00310BC3" w:rsidRPr="00303BDC">
              <w:rPr>
                <w:rFonts w:ascii="Times New Roman" w:hAnsi="Times New Roman" w:cs="Times New Roman"/>
                <w:noProof/>
                <w:webHidden/>
                <w:sz w:val="26"/>
                <w:szCs w:val="26"/>
              </w:rPr>
            </w:r>
            <w:r w:rsidR="00310BC3" w:rsidRPr="00303BDC">
              <w:rPr>
                <w:rFonts w:ascii="Times New Roman" w:hAnsi="Times New Roman" w:cs="Times New Roman"/>
                <w:noProof/>
                <w:webHidden/>
                <w:sz w:val="26"/>
                <w:szCs w:val="26"/>
              </w:rPr>
              <w:fldChar w:fldCharType="separate"/>
            </w:r>
            <w:r w:rsidR="005252EC" w:rsidRPr="00303BDC">
              <w:rPr>
                <w:rFonts w:ascii="Times New Roman" w:hAnsi="Times New Roman" w:cs="Times New Roman"/>
                <w:noProof/>
                <w:webHidden/>
                <w:sz w:val="26"/>
                <w:szCs w:val="26"/>
              </w:rPr>
              <w:t>19</w:t>
            </w:r>
            <w:r w:rsidR="00310BC3" w:rsidRPr="00303BDC">
              <w:rPr>
                <w:rFonts w:ascii="Times New Roman" w:hAnsi="Times New Roman" w:cs="Times New Roman"/>
                <w:noProof/>
                <w:webHidden/>
                <w:sz w:val="26"/>
                <w:szCs w:val="26"/>
              </w:rPr>
              <w:fldChar w:fldCharType="end"/>
            </w:r>
          </w:hyperlink>
        </w:p>
        <w:p w14:paraId="00000025" w14:textId="36D642A2" w:rsidR="00044E7C" w:rsidRPr="00310BC3" w:rsidRDefault="008B7160" w:rsidP="00303BDC">
          <w:pPr>
            <w:widowControl w:val="0"/>
            <w:tabs>
              <w:tab w:val="right" w:leader="dot" w:pos="12000"/>
            </w:tabs>
            <w:spacing w:before="60" w:after="100" w:line="480" w:lineRule="auto"/>
            <w:rPr>
              <w:rFonts w:ascii="Times New Roman" w:eastAsia="Times New Roman" w:hAnsi="Times New Roman" w:cs="Times New Roman"/>
              <w:b/>
              <w:bCs/>
              <w:color w:val="000000"/>
              <w:sz w:val="26"/>
              <w:szCs w:val="26"/>
            </w:rPr>
          </w:pPr>
          <w:r w:rsidRPr="00303BDC">
            <w:rPr>
              <w:rFonts w:ascii="Times New Roman" w:hAnsi="Times New Roman" w:cs="Times New Roman"/>
              <w:sz w:val="26"/>
              <w:szCs w:val="26"/>
            </w:rPr>
            <w:fldChar w:fldCharType="end"/>
          </w:r>
        </w:p>
      </w:sdtContent>
    </w:sdt>
    <w:p w14:paraId="00000026" w14:textId="77777777" w:rsidR="00044E7C" w:rsidRPr="00310BC3" w:rsidRDefault="00044E7C">
      <w:pPr>
        <w:spacing w:line="480" w:lineRule="auto"/>
        <w:rPr>
          <w:rFonts w:ascii="Times New Roman" w:eastAsia="Times New Roman" w:hAnsi="Times New Roman" w:cs="Times New Roman"/>
          <w:b/>
          <w:bCs/>
          <w:sz w:val="26"/>
          <w:szCs w:val="26"/>
          <w:u w:val="single"/>
        </w:rPr>
      </w:pPr>
    </w:p>
    <w:p w14:paraId="00000027" w14:textId="77777777" w:rsidR="00044E7C" w:rsidRPr="00310BC3" w:rsidRDefault="00044E7C">
      <w:pPr>
        <w:spacing w:line="480" w:lineRule="auto"/>
        <w:jc w:val="center"/>
        <w:rPr>
          <w:rFonts w:ascii="Times New Roman" w:eastAsia="Times New Roman" w:hAnsi="Times New Roman" w:cs="Times New Roman"/>
          <w:b/>
          <w:bCs/>
          <w:sz w:val="26"/>
          <w:szCs w:val="26"/>
          <w:u w:val="single"/>
        </w:rPr>
      </w:pPr>
    </w:p>
    <w:p w14:paraId="00000035" w14:textId="77777777" w:rsidR="00044E7C" w:rsidRDefault="00044E7C" w:rsidP="00310BC3">
      <w:pPr>
        <w:spacing w:line="480" w:lineRule="auto"/>
        <w:rPr>
          <w:rFonts w:ascii="Times New Roman" w:eastAsia="Times New Roman" w:hAnsi="Times New Roman" w:cs="Times New Roman"/>
          <w:b/>
          <w:bCs/>
          <w:sz w:val="26"/>
          <w:szCs w:val="26"/>
          <w:u w:val="single"/>
        </w:rPr>
      </w:pPr>
    </w:p>
    <w:p w14:paraId="5627F8D3" w14:textId="77777777" w:rsidR="00303BDC" w:rsidRDefault="00303BDC">
      <w:pPr>
        <w:rPr>
          <w:rFonts w:ascii="Times New Roman" w:eastAsia="Times New Roman" w:hAnsi="Times New Roman" w:cs="Times New Roman"/>
          <w:b/>
          <w:bCs/>
          <w:sz w:val="26"/>
          <w:szCs w:val="26"/>
          <w:u w:val="single"/>
        </w:rPr>
      </w:pPr>
      <w:bookmarkStart w:id="2" w:name="_Toc239155056"/>
      <w:r>
        <w:rPr>
          <w:rFonts w:ascii="Times New Roman" w:eastAsia="Times New Roman" w:hAnsi="Times New Roman" w:cs="Times New Roman"/>
          <w:b/>
          <w:bCs/>
          <w:sz w:val="26"/>
          <w:szCs w:val="26"/>
          <w:u w:val="single"/>
        </w:rPr>
        <w:br w:type="page"/>
      </w:r>
    </w:p>
    <w:p w14:paraId="00000036" w14:textId="1DE43091" w:rsidR="00044E7C" w:rsidRPr="002D567B" w:rsidRDefault="008B7160">
      <w:pPr>
        <w:pStyle w:val="Heading1"/>
        <w:spacing w:line="480" w:lineRule="auto"/>
        <w:jc w:val="center"/>
        <w:rPr>
          <w:rFonts w:ascii="Times New Roman" w:eastAsia="Times New Roman" w:hAnsi="Times New Roman" w:cs="Times New Roman"/>
          <w:b/>
          <w:bCs/>
          <w:sz w:val="26"/>
          <w:szCs w:val="26"/>
        </w:rPr>
      </w:pPr>
      <w:r w:rsidRPr="002D567B">
        <w:rPr>
          <w:rFonts w:ascii="Times New Roman" w:eastAsia="Times New Roman" w:hAnsi="Times New Roman" w:cs="Times New Roman"/>
          <w:b/>
          <w:bCs/>
          <w:sz w:val="26"/>
          <w:szCs w:val="26"/>
        </w:rPr>
        <w:lastRenderedPageBreak/>
        <w:t>TABLE OF AUTHORITIES</w:t>
      </w:r>
      <w:bookmarkEnd w:id="2"/>
    </w:p>
    <w:p w14:paraId="00000037" w14:textId="77777777" w:rsidR="00044E7C" w:rsidRDefault="008B7160">
      <w:pPr>
        <w:shd w:val="clear" w:color="auto" w:fill="FFFFFF"/>
        <w:spacing w:before="80" w:line="48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CASES</w:t>
      </w:r>
    </w:p>
    <w:p w14:paraId="00000038" w14:textId="3F9608BE"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Aiken v. United States</w:t>
      </w:r>
      <w:r>
        <w:rPr>
          <w:rFonts w:ascii="Times New Roman" w:eastAsia="Times New Roman" w:hAnsi="Times New Roman" w:cs="Times New Roman"/>
          <w:sz w:val="26"/>
          <w:szCs w:val="26"/>
        </w:rPr>
        <w:t>, 30 A.3d 127 (D.C. 2011)..........................................................9, 12</w:t>
      </w:r>
    </w:p>
    <w:p w14:paraId="00000039" w14:textId="79DA4918"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Hickman v. Taylor</w:t>
      </w:r>
      <w:r>
        <w:rPr>
          <w:rFonts w:ascii="Times New Roman" w:eastAsia="Times New Roman" w:hAnsi="Times New Roman" w:cs="Times New Roman"/>
          <w:sz w:val="26"/>
          <w:szCs w:val="26"/>
        </w:rPr>
        <w:t>, 329 U.S. 495 (1947)...............................................................17, 18, 20</w:t>
      </w:r>
    </w:p>
    <w:p w14:paraId="0000003A" w14:textId="46332963"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Holmgren v. State Farm Mut. Auto. Ins. Co.</w:t>
      </w:r>
      <w:r>
        <w:rPr>
          <w:rFonts w:ascii="Times New Roman" w:eastAsia="Times New Roman" w:hAnsi="Times New Roman" w:cs="Times New Roman"/>
          <w:sz w:val="26"/>
          <w:szCs w:val="26"/>
        </w:rPr>
        <w:t>, 976 F.2d 573 (9th Cir. 1992)...............21, 22</w:t>
      </w:r>
    </w:p>
    <w:p w14:paraId="0000003B" w14:textId="77777777"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Sealed Case</w:t>
      </w:r>
      <w:r>
        <w:rPr>
          <w:rFonts w:ascii="Times New Roman" w:eastAsia="Times New Roman" w:hAnsi="Times New Roman" w:cs="Times New Roman"/>
          <w:sz w:val="26"/>
          <w:szCs w:val="26"/>
        </w:rPr>
        <w:t>, 676 F.2d 793 (D.C. Cir. 1982).......................................................19, 20</w:t>
      </w:r>
    </w:p>
    <w:p w14:paraId="0000003C" w14:textId="77777777"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Kastigar v. United States</w:t>
      </w:r>
      <w:r>
        <w:rPr>
          <w:rFonts w:ascii="Times New Roman" w:eastAsia="Times New Roman" w:hAnsi="Times New Roman" w:cs="Times New Roman"/>
          <w:sz w:val="26"/>
          <w:szCs w:val="26"/>
        </w:rPr>
        <w:t>, 406 U.S. 441 (1972).............................................8, 9, 13, 15, 16</w:t>
      </w:r>
    </w:p>
    <w:p w14:paraId="0000003D" w14:textId="6C2DF52C"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Hampton</w:t>
      </w:r>
      <w:r>
        <w:rPr>
          <w:rFonts w:ascii="Times New Roman" w:eastAsia="Times New Roman" w:hAnsi="Times New Roman" w:cs="Times New Roman"/>
          <w:sz w:val="26"/>
          <w:szCs w:val="26"/>
        </w:rPr>
        <w:t>, 775 F.2d 1479 (11th Cir. 1985)....................................</w:t>
      </w:r>
      <w:r w:rsidR="00310BC3">
        <w:rPr>
          <w:rFonts w:ascii="Times New Roman" w:eastAsia="Times New Roman" w:hAnsi="Times New Roman" w:cs="Times New Roman"/>
          <w:sz w:val="26"/>
          <w:szCs w:val="26"/>
        </w:rPr>
        <w:t>.</w:t>
      </w:r>
      <w:r>
        <w:rPr>
          <w:rFonts w:ascii="Times New Roman" w:eastAsia="Times New Roman" w:hAnsi="Times New Roman" w:cs="Times New Roman"/>
          <w:sz w:val="26"/>
          <w:szCs w:val="26"/>
        </w:rPr>
        <w:t>...........9</w:t>
      </w:r>
    </w:p>
    <w:p w14:paraId="0000003E" w14:textId="77777777"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Nanni</w:t>
      </w:r>
      <w:r>
        <w:rPr>
          <w:rFonts w:ascii="Times New Roman" w:eastAsia="Times New Roman" w:hAnsi="Times New Roman" w:cs="Times New Roman"/>
          <w:sz w:val="26"/>
          <w:szCs w:val="26"/>
        </w:rPr>
        <w:t>, 59 F.3d 1425 (2d Cir. 1995).....................................................9, 12</w:t>
      </w:r>
    </w:p>
    <w:p w14:paraId="0000003F" w14:textId="12D1D20A"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Nobles</w:t>
      </w:r>
      <w:r>
        <w:rPr>
          <w:rFonts w:ascii="Times New Roman" w:eastAsia="Times New Roman" w:hAnsi="Times New Roman" w:cs="Times New Roman"/>
          <w:sz w:val="26"/>
          <w:szCs w:val="26"/>
        </w:rPr>
        <w:t>, 443 U.S. 225 (1975).................</w:t>
      </w:r>
      <w:r w:rsidR="00310BC3">
        <w:rPr>
          <w:rFonts w:ascii="Times New Roman" w:eastAsia="Times New Roman" w:hAnsi="Times New Roman" w:cs="Times New Roman"/>
          <w:sz w:val="26"/>
          <w:szCs w:val="26"/>
        </w:rPr>
        <w:t>.</w:t>
      </w:r>
      <w:r>
        <w:rPr>
          <w:rFonts w:ascii="Times New Roman" w:eastAsia="Times New Roman" w:hAnsi="Times New Roman" w:cs="Times New Roman"/>
          <w:sz w:val="26"/>
          <w:szCs w:val="26"/>
        </w:rPr>
        <w:t>...........................................17, 19</w:t>
      </w:r>
    </w:p>
    <w:p w14:paraId="00000040" w14:textId="16739038"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North</w:t>
      </w:r>
      <w:r>
        <w:rPr>
          <w:rFonts w:ascii="Times New Roman" w:eastAsia="Times New Roman" w:hAnsi="Times New Roman" w:cs="Times New Roman"/>
          <w:sz w:val="26"/>
          <w:szCs w:val="26"/>
        </w:rPr>
        <w:t>, 920 F.2d 940 (D.C. Cir. 1990).........................................13, 14, 15</w:t>
      </w:r>
    </w:p>
    <w:p w14:paraId="00000041" w14:textId="6A706BDD"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Poindexter</w:t>
      </w:r>
      <w:r>
        <w:rPr>
          <w:rFonts w:ascii="Times New Roman" w:eastAsia="Times New Roman" w:hAnsi="Times New Roman" w:cs="Times New Roman"/>
          <w:sz w:val="26"/>
          <w:szCs w:val="26"/>
        </w:rPr>
        <w:t>, 951 F.2d 369 (D.C. Cir. 1991).......................................13, 15</w:t>
      </w:r>
    </w:p>
    <w:p w14:paraId="00000042" w14:textId="75E6EDF9"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Rinaldi</w:t>
      </w:r>
      <w:r>
        <w:rPr>
          <w:rFonts w:ascii="Times New Roman" w:eastAsia="Times New Roman" w:hAnsi="Times New Roman" w:cs="Times New Roman"/>
          <w:sz w:val="26"/>
          <w:szCs w:val="26"/>
        </w:rPr>
        <w:t>, 808 F.2d 1579 (D.C. Cir. 1987)...............................10, 11, 12, 13</w:t>
      </w:r>
    </w:p>
    <w:p w14:paraId="00000043" w14:textId="77777777"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449 U.S. 383 (1981)......................................................20, 21</w:t>
      </w:r>
    </w:p>
    <w:p w14:paraId="00000044" w14:textId="77777777" w:rsidR="00044E7C" w:rsidRDefault="008B7160">
      <w:pPr>
        <w:shd w:val="clear" w:color="auto" w:fill="FFFFFF"/>
        <w:spacing w:before="80" w:line="48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CONSTITUTIONAL PROVISIONS</w:t>
      </w:r>
    </w:p>
    <w:p w14:paraId="00000045" w14:textId="77777777" w:rsidR="00044E7C" w:rsidRDefault="008B7160">
      <w:pPr>
        <w:shd w:val="clear" w:color="auto" w:fill="FFFFFF"/>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U.S. Const. amend. V……………………………………………………………………...8</w:t>
      </w:r>
    </w:p>
    <w:p w14:paraId="00000046" w14:textId="77777777" w:rsidR="00044E7C" w:rsidRDefault="008B7160">
      <w:pPr>
        <w:shd w:val="clear" w:color="auto" w:fill="FFFFFF"/>
        <w:spacing w:before="80" w:line="48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STATUTES</w:t>
      </w:r>
    </w:p>
    <w:p w14:paraId="00000049" w14:textId="36835E91" w:rsidR="00044E7C" w:rsidRDefault="008B7160" w:rsidP="00303BDC">
      <w:pPr>
        <w:shd w:val="clear" w:color="auto" w:fill="FFFFFF"/>
        <w:spacing w:line="480" w:lineRule="auto"/>
        <w:rPr>
          <w:rFonts w:ascii="Times New Roman" w:eastAsia="Times New Roman" w:hAnsi="Times New Roman" w:cs="Times New Roman"/>
          <w:b/>
          <w:bCs/>
          <w:sz w:val="26"/>
          <w:szCs w:val="26"/>
          <w:u w:val="single"/>
        </w:rPr>
        <w:sectPr w:rsidR="00044E7C" w:rsidSect="00FC73B8">
          <w:footerReference w:type="even" r:id="rId7"/>
          <w:footerReference w:type="default" r:id="rId8"/>
          <w:pgSz w:w="12240" w:h="15840"/>
          <w:pgMar w:top="1440" w:right="1440" w:bottom="1440" w:left="1440" w:header="720" w:footer="720" w:gutter="0"/>
          <w:pgNumType w:fmt="lowerRoman" w:start="1"/>
          <w:cols w:space="720"/>
          <w:titlePg/>
        </w:sectPr>
      </w:pPr>
      <w:r>
        <w:rPr>
          <w:rFonts w:ascii="Times New Roman" w:eastAsia="Times New Roman" w:hAnsi="Times New Roman" w:cs="Times New Roman"/>
          <w:sz w:val="26"/>
          <w:szCs w:val="26"/>
        </w:rPr>
        <w:t>18 U.S.C. § 6002………………………………………………………………………8,</w:t>
      </w:r>
      <w:bookmarkStart w:id="3" w:name="_69025r3ijkor" w:colFirst="0" w:colLast="0"/>
      <w:bookmarkEnd w:id="3"/>
      <w:r>
        <w:rPr>
          <w:rFonts w:ascii="Times New Roman" w:eastAsia="Times New Roman" w:hAnsi="Times New Roman" w:cs="Times New Roman"/>
          <w:sz w:val="26"/>
          <w:szCs w:val="26"/>
        </w:rPr>
        <w:t xml:space="preserve"> </w:t>
      </w:r>
      <w:r w:rsidR="002E3443">
        <w:rPr>
          <w:rFonts w:ascii="Times New Roman" w:eastAsia="Times New Roman" w:hAnsi="Times New Roman" w:cs="Times New Roman"/>
          <w:sz w:val="26"/>
          <w:szCs w:val="26"/>
        </w:rPr>
        <w:t>11</w:t>
      </w:r>
    </w:p>
    <w:p w14:paraId="0000004A" w14:textId="77777777" w:rsidR="00044E7C" w:rsidRPr="002D567B" w:rsidRDefault="008B7160">
      <w:pPr>
        <w:pStyle w:val="Heading1"/>
        <w:spacing w:before="0" w:after="0" w:line="480" w:lineRule="auto"/>
        <w:jc w:val="center"/>
        <w:rPr>
          <w:rFonts w:ascii="Times New Roman" w:eastAsia="Times New Roman" w:hAnsi="Times New Roman" w:cs="Times New Roman"/>
          <w:b/>
          <w:bCs/>
          <w:sz w:val="26"/>
          <w:szCs w:val="26"/>
        </w:rPr>
      </w:pPr>
      <w:bookmarkStart w:id="4" w:name="_Toc239155057"/>
      <w:r w:rsidRPr="002D567B">
        <w:rPr>
          <w:rFonts w:ascii="Times New Roman" w:eastAsia="Times New Roman" w:hAnsi="Times New Roman" w:cs="Times New Roman"/>
          <w:b/>
          <w:bCs/>
          <w:sz w:val="26"/>
          <w:szCs w:val="26"/>
        </w:rPr>
        <w:lastRenderedPageBreak/>
        <w:t>INTRODUCTION</w:t>
      </w:r>
      <w:bookmarkEnd w:id="4"/>
    </w:p>
    <w:p w14:paraId="0000004B"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Everyone in Gulf Haven knew the Silver Palms, LLC, and knew Emily Calloway. After Saint Donovan, Calloway’s co-owner of the Silver Palms, was arrested for the murder of Daniel Blake, Calloway’s attorneys began building her defense. The Government is attempting to circumvent the rules of evidence by introducing testimony that is either immune or protected by the long-standing work-product doctrine. This attempt should be quashed. </w:t>
      </w:r>
    </w:p>
    <w:p w14:paraId="0000004C" w14:textId="1CABC5A3"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First, the Government seeks to admit its interview with Kennedy Parker, a witness who was contacted by investigators only after Calloway’s compelled, immunized, yet widely-televised testimony mentioned him by name. The Government has failed to establish a wholly independent investigative chain</w:t>
      </w:r>
      <w:r w:rsidR="000575D5">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0575D5">
        <w:rPr>
          <w:rFonts w:ascii="Times New Roman" w:eastAsia="Times New Roman" w:hAnsi="Times New Roman" w:cs="Times New Roman"/>
          <w:sz w:val="26"/>
          <w:szCs w:val="26"/>
        </w:rPr>
        <w:t xml:space="preserve">thereby </w:t>
      </w:r>
      <w:r>
        <w:rPr>
          <w:rFonts w:ascii="Times New Roman" w:eastAsia="Times New Roman" w:hAnsi="Times New Roman" w:cs="Times New Roman"/>
          <w:sz w:val="26"/>
          <w:szCs w:val="26"/>
        </w:rPr>
        <w:t xml:space="preserve">demonstrating </w:t>
      </w:r>
      <w:r w:rsidR="000575D5">
        <w:rPr>
          <w:rFonts w:ascii="Times New Roman" w:eastAsia="Times New Roman" w:hAnsi="Times New Roman" w:cs="Times New Roman"/>
          <w:sz w:val="26"/>
          <w:szCs w:val="26"/>
        </w:rPr>
        <w:t>its</w:t>
      </w:r>
      <w:r>
        <w:rPr>
          <w:rFonts w:ascii="Times New Roman" w:eastAsia="Times New Roman" w:hAnsi="Times New Roman" w:cs="Times New Roman"/>
          <w:sz w:val="26"/>
          <w:szCs w:val="26"/>
        </w:rPr>
        <w:t xml:space="preserve"> decision to interview Parker about the same content </w:t>
      </w:r>
      <w:r w:rsidR="000575D5">
        <w:rPr>
          <w:rFonts w:ascii="Times New Roman" w:eastAsia="Times New Roman" w:hAnsi="Times New Roman" w:cs="Times New Roman"/>
          <w:sz w:val="26"/>
          <w:szCs w:val="26"/>
        </w:rPr>
        <w:t xml:space="preserve">that </w:t>
      </w:r>
      <w:r>
        <w:rPr>
          <w:rFonts w:ascii="Times New Roman" w:eastAsia="Times New Roman" w:hAnsi="Times New Roman" w:cs="Times New Roman"/>
          <w:sz w:val="26"/>
          <w:szCs w:val="26"/>
        </w:rPr>
        <w:t>Calloway discussed in her testimony. This interview, and all evidence derived from it (notably, Exhibit 19), should be suppressed.</w:t>
      </w:r>
    </w:p>
    <w:p w14:paraId="0000004D"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Second, the Government seeks to admit interview notes written by defense counsel’s agent, Maddox Armana, during her interview with Sierra Seton. This evidence should also be suppressed because it constitutes opinion work-product and because the Government will be unable to meet the heightened burden required to obtain it.</w:t>
      </w:r>
    </w:p>
    <w:p w14:paraId="0000004E"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The Defendant respectfully requests that this Court grant both motions to suppress.</w:t>
      </w:r>
    </w:p>
    <w:p w14:paraId="0000004F" w14:textId="77777777" w:rsidR="00044E7C" w:rsidRDefault="00044E7C">
      <w:pPr>
        <w:spacing w:line="480" w:lineRule="auto"/>
        <w:rPr>
          <w:rFonts w:ascii="Times New Roman" w:eastAsia="Times New Roman" w:hAnsi="Times New Roman" w:cs="Times New Roman"/>
          <w:sz w:val="26"/>
          <w:szCs w:val="26"/>
        </w:rPr>
      </w:pPr>
    </w:p>
    <w:p w14:paraId="00000050" w14:textId="77777777" w:rsidR="00044E7C" w:rsidRPr="002D567B" w:rsidRDefault="008B7160">
      <w:pPr>
        <w:pStyle w:val="Heading1"/>
        <w:spacing w:after="0" w:line="480" w:lineRule="auto"/>
        <w:jc w:val="center"/>
        <w:rPr>
          <w:rFonts w:ascii="Times New Roman" w:eastAsia="Times New Roman" w:hAnsi="Times New Roman" w:cs="Times New Roman"/>
          <w:b/>
          <w:bCs/>
          <w:sz w:val="26"/>
          <w:szCs w:val="26"/>
        </w:rPr>
      </w:pPr>
      <w:bookmarkStart w:id="5" w:name="_Toc239155058"/>
      <w:r w:rsidRPr="002D567B">
        <w:rPr>
          <w:rFonts w:ascii="Times New Roman" w:eastAsia="Times New Roman" w:hAnsi="Times New Roman" w:cs="Times New Roman"/>
          <w:b/>
          <w:bCs/>
          <w:sz w:val="26"/>
          <w:szCs w:val="26"/>
        </w:rPr>
        <w:lastRenderedPageBreak/>
        <w:t>STATEMENT OF FACTS</w:t>
      </w:r>
      <w:bookmarkEnd w:id="5"/>
    </w:p>
    <w:p w14:paraId="00000051" w14:textId="4950BDDC"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Silver Palms is a large hotel that has been in the Calloway family’s possession for a century and is a dominant presence in the local community. Sinclair Dep. at 9:38. Ms. Emily Calloway inherited the resort in 2013 and, in 2018, became </w:t>
      </w:r>
      <w:r w:rsidR="000575D5">
        <w:rPr>
          <w:rFonts w:ascii="Times New Roman" w:eastAsia="Times New Roman" w:hAnsi="Times New Roman" w:cs="Times New Roman"/>
          <w:sz w:val="26"/>
          <w:szCs w:val="26"/>
        </w:rPr>
        <w:t>a co-owner</w:t>
      </w:r>
      <w:r>
        <w:rPr>
          <w:rFonts w:ascii="Times New Roman" w:eastAsia="Times New Roman" w:hAnsi="Times New Roman" w:cs="Times New Roman"/>
          <w:sz w:val="26"/>
          <w:szCs w:val="26"/>
        </w:rPr>
        <w:t xml:space="preserve"> with Saint Donovan.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9:53, 77-78. Per the agreement, Donovan controlled the finances of the operation, and Calloway led on-site operations.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10:87-90. </w:t>
      </w:r>
    </w:p>
    <w:p w14:paraId="00000052"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In October 2023, Daniel Blake, the accountant working for Silver Palms, approached state prosecutor Tatum Sinclair about a series of suspicious financial irregularities involving Silver Palms' outside vendors.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10:92-107. Following this meeting, Blake began working as a Government informant.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11:150-151. </w:t>
      </w:r>
    </w:p>
    <w:p w14:paraId="00000053" w14:textId="77777777" w:rsidR="00044E7C" w:rsidRDefault="008B7160">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Several months later, Blake was killed in his office.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13:216-217. After Blake’s death, officers obtained a warrant to search his office and found it ransacked.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13:243-245. The individual who shot Blake was soon identified and arrested.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14:260-263. Investigators quickly uncovered that the suspect was hired to kill Blake by Donovan, co-owner of Silver Palms.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14:263-268. Donovan was arrested for murder, as the investigation into money laundering continued.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15:278-280. </w:t>
      </w:r>
    </w:p>
    <w:p w14:paraId="00000055"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As part of the Government’s investigation, officers interviewed various employees.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18:398-399. Investigators subpoenaed a list of employees and compiled it based on the number of shifts each worked.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18:407-417, Exhibit 11. While officers had enough evidence to convict Donovan of Blake’s murder, they were missing a witness who could explain the alleged laundering scheme to a jury.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21:513-518. This led officers to compel Calloway’s testimony against Donovan with a subpoena, with </w:t>
      </w:r>
      <w:r>
        <w:rPr>
          <w:rFonts w:ascii="Times New Roman" w:eastAsia="Times New Roman" w:hAnsi="Times New Roman" w:cs="Times New Roman"/>
          <w:sz w:val="26"/>
          <w:szCs w:val="26"/>
        </w:rPr>
        <w:lastRenderedPageBreak/>
        <w:t xml:space="preserve">the caveat that Calloway would receive use and derivative-use immunity.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21:533-541.</w:t>
      </w:r>
    </w:p>
    <w:p w14:paraId="00000056"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To ensure Calloway’s derivative-use immunity, officers split the investigation into two walled-off teams: Team Donovan, led by Officer Sinclair, and Team Calloway, led by Bryce Nolan.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22:548-550. </w:t>
      </w:r>
    </w:p>
    <w:p w14:paraId="00000057" w14:textId="77777777" w:rsidR="00044E7C" w:rsidRDefault="008B7160">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Under the promise of this immunity, Calloway testified at Donovan’s trial from October 7, 2024, through October 24, 2024.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23:589-592. Calloway’s testimony was heard in an open courtroom, was heavily covered by the local press, and made front-page news for weeks.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23:593-596. </w:t>
      </w:r>
    </w:p>
    <w:p w14:paraId="00000058" w14:textId="2200F7ED"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During Calloway’s testimony, she discussed an argument she had at a Christmas Party, shortly before Blake’s death.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22:558-562. Kennedy Parker, an employee who</w:t>
      </w:r>
      <w:r w:rsidR="00467FE4">
        <w:rPr>
          <w:rFonts w:ascii="Times New Roman" w:eastAsia="Times New Roman" w:hAnsi="Times New Roman" w:cs="Times New Roman"/>
          <w:sz w:val="26"/>
          <w:szCs w:val="26"/>
        </w:rPr>
        <w:t>m</w:t>
      </w:r>
      <w:r>
        <w:rPr>
          <w:rFonts w:ascii="Times New Roman" w:eastAsia="Times New Roman" w:hAnsi="Times New Roman" w:cs="Times New Roman"/>
          <w:sz w:val="26"/>
          <w:szCs w:val="26"/>
        </w:rPr>
        <w:t xml:space="preserve"> </w:t>
      </w:r>
      <w:r w:rsidR="000575D5">
        <w:rPr>
          <w:rFonts w:ascii="Times New Roman" w:eastAsia="Times New Roman" w:hAnsi="Times New Roman" w:cs="Times New Roman"/>
          <w:sz w:val="26"/>
          <w:szCs w:val="26"/>
        </w:rPr>
        <w:t xml:space="preserve">investigators </w:t>
      </w:r>
      <w:r>
        <w:rPr>
          <w:rFonts w:ascii="Times New Roman" w:eastAsia="Times New Roman" w:hAnsi="Times New Roman" w:cs="Times New Roman"/>
          <w:sz w:val="26"/>
          <w:szCs w:val="26"/>
        </w:rPr>
        <w:t xml:space="preserve">had not previously interviewed, witnessed this argument. Nolan Dep. 32:335-336. Parker was not previously contacted by police because “nothing…indicated Parker had information relevant to the Donovan prosecution.”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31:293-297. However, one week after Donovan’s televised trial ended on October 24, 2024, Team Calloway chose to interview Parker and ask him about the argument Calloway discussed in her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32:326-327, 335-336.</w:t>
      </w:r>
    </w:p>
    <w:p w14:paraId="00000059"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Parker revealed to investigators that on December 20, 2023, Calloway asked him to take a file box to a warehouse.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32:337-342. Officers had not heard about this file box or warehouse from any other source.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32:348. They obtained a search warrant for the unit and seized various records.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33:353-365, Exhibit 19.</w:t>
      </w:r>
    </w:p>
    <w:p w14:paraId="0000005B"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t xml:space="preserve">While the Government was conducting investigations for Donovan’s trial, Calloway’s attorneys began preparing her defense. Armana Dep. at 43:35-38. As part of the defense’s investigation, Calloway’s attorneys retained Maddox Armana, a private investigator, to better understand the financial structure the Government was building for the case.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43:33-35; 44:40-41. Armana’s role was limited to assisting Calloway’s counsel in preparing her defense.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43:46-50. </w:t>
      </w:r>
    </w:p>
    <w:p w14:paraId="0000005C"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During her investigation, Armana identified an individual named Sierra Seton.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43:51-52. Although Seton was initially difficult to find, Armana located her by pulling old public records.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44:74. Ultimately, Armana found Seton and interviewed her about one of the shell companies central to the Government’s investigation.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45:80-93.</w:t>
      </w:r>
    </w:p>
    <w:p w14:paraId="0000005D"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Armana did not audio- or video-record the interview.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45:111-112. Instead, she took notes during the interview, which Armana interspersed with her own personal thoughts and observations.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at 46:120-124, Exhibit 21.</w:t>
      </w:r>
    </w:p>
    <w:p w14:paraId="0000005E" w14:textId="77777777" w:rsidR="00044E7C" w:rsidRDefault="00044E7C">
      <w:pPr>
        <w:pStyle w:val="Heading1"/>
        <w:spacing w:before="0" w:after="0" w:line="480" w:lineRule="auto"/>
        <w:jc w:val="center"/>
        <w:rPr>
          <w:rFonts w:ascii="Times New Roman" w:eastAsia="Times New Roman" w:hAnsi="Times New Roman" w:cs="Times New Roman"/>
          <w:b/>
          <w:bCs/>
          <w:sz w:val="26"/>
          <w:szCs w:val="26"/>
          <w:u w:val="single"/>
        </w:rPr>
      </w:pPr>
      <w:bookmarkStart w:id="6" w:name="_cx8mixdko3b" w:colFirst="0" w:colLast="0"/>
      <w:bookmarkEnd w:id="6"/>
    </w:p>
    <w:p w14:paraId="1429A4AA" w14:textId="77777777" w:rsidR="000C678B" w:rsidRDefault="000C678B" w:rsidP="000C678B"/>
    <w:p w14:paraId="295ADB5C" w14:textId="77777777" w:rsidR="000C678B" w:rsidRPr="000C678B" w:rsidRDefault="000C678B" w:rsidP="000C678B"/>
    <w:p w14:paraId="0000005F" w14:textId="77777777" w:rsidR="00044E7C" w:rsidRDefault="00044E7C"/>
    <w:p w14:paraId="00000060" w14:textId="77777777" w:rsidR="00044E7C" w:rsidRPr="002D567B" w:rsidRDefault="008B7160">
      <w:pPr>
        <w:pStyle w:val="Heading1"/>
        <w:spacing w:before="0" w:after="0" w:line="480" w:lineRule="auto"/>
        <w:jc w:val="center"/>
        <w:rPr>
          <w:rFonts w:ascii="Times New Roman" w:eastAsia="Times New Roman" w:hAnsi="Times New Roman" w:cs="Times New Roman"/>
          <w:b/>
          <w:bCs/>
          <w:sz w:val="26"/>
          <w:szCs w:val="26"/>
        </w:rPr>
      </w:pPr>
      <w:bookmarkStart w:id="7" w:name="_Toc239155059"/>
      <w:r w:rsidRPr="002D567B">
        <w:rPr>
          <w:rFonts w:ascii="Times New Roman" w:eastAsia="Times New Roman" w:hAnsi="Times New Roman" w:cs="Times New Roman"/>
          <w:b/>
          <w:bCs/>
          <w:sz w:val="26"/>
          <w:szCs w:val="26"/>
        </w:rPr>
        <w:lastRenderedPageBreak/>
        <w:t>ARGUMENT</w:t>
      </w:r>
      <w:bookmarkEnd w:id="7"/>
    </w:p>
    <w:p w14:paraId="00000061" w14:textId="3DF9648D" w:rsidR="00044E7C" w:rsidRDefault="008B7160">
      <w:pPr>
        <w:pStyle w:val="Heading2"/>
        <w:numPr>
          <w:ilvl w:val="0"/>
          <w:numId w:val="1"/>
        </w:numPr>
        <w:spacing w:before="0" w:after="200" w:line="240" w:lineRule="auto"/>
        <w:rPr>
          <w:rFonts w:ascii="Times New Roman" w:eastAsia="Times New Roman" w:hAnsi="Times New Roman" w:cs="Times New Roman"/>
          <w:b/>
          <w:bCs/>
          <w:sz w:val="26"/>
          <w:szCs w:val="26"/>
        </w:rPr>
      </w:pPr>
      <w:bookmarkStart w:id="8" w:name="_Toc239155060"/>
      <w:r>
        <w:rPr>
          <w:rFonts w:ascii="Times New Roman" w:eastAsia="Times New Roman" w:hAnsi="Times New Roman" w:cs="Times New Roman"/>
          <w:b/>
          <w:bCs/>
          <w:sz w:val="26"/>
          <w:szCs w:val="26"/>
        </w:rPr>
        <w:t>THE COURT SHOULD SUPPRESS KENNEDY PARKER’S TESTIMONY AND EXHIBIT 19 BECAUSE THE GOVERNMENT CANNOT ESTABLISH THAT EITHER WAS DERIVED FROM A SOURCE WHOLLY INDEPENDENT OF CALLOWAY’S COMPELLED TESTIMONY</w:t>
      </w:r>
      <w:bookmarkEnd w:id="8"/>
      <w:r w:rsidR="00697F82">
        <w:rPr>
          <w:rFonts w:ascii="Times New Roman" w:eastAsia="Times New Roman" w:hAnsi="Times New Roman" w:cs="Times New Roman"/>
          <w:b/>
          <w:bCs/>
          <w:sz w:val="26"/>
          <w:szCs w:val="26"/>
        </w:rPr>
        <w:t>.</w:t>
      </w:r>
    </w:p>
    <w:p w14:paraId="00000062"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The Fifth Amendment provides that no person “shall be compelled in any criminal case to be a witness against himself[.]” U.S. Const. Amend. V.  Consistent with that protection, when a witness is compelled to testify pursuant to an immunity order, “no testimony or other information compelled under the order (or any information directly or indirectly derived from such testimony or other information) may be used against the witness in any criminal case[.]” 18 U.S.C. § 6002. </w:t>
      </w:r>
    </w:p>
    <w:p w14:paraId="00000063"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The Supreme Court has made clear that this protection provides a “sweeping proscription of any use, direct or indirect, of the compelled testimony and any information derived therefrom.” </w:t>
      </w:r>
      <w:r>
        <w:rPr>
          <w:rFonts w:ascii="Times New Roman" w:eastAsia="Times New Roman" w:hAnsi="Times New Roman" w:cs="Times New Roman"/>
          <w:i/>
          <w:iCs/>
          <w:sz w:val="26"/>
          <w:szCs w:val="26"/>
        </w:rPr>
        <w:t>Kastigar v. United States</w:t>
      </w:r>
      <w:r>
        <w:rPr>
          <w:rFonts w:ascii="Times New Roman" w:eastAsia="Times New Roman" w:hAnsi="Times New Roman" w:cs="Times New Roman"/>
          <w:sz w:val="26"/>
          <w:szCs w:val="26"/>
        </w:rPr>
        <w:t xml:space="preserve">, 406 U.S. 441, 460 (1972). “This total prohibition on use provides a comprehensive safeguard, barring the use of compelled testimony as an ‘investigatory lead,’ and also barring the use of any evidence obtained by focusing investigation on a witness as a result of his compelled disclosures.”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Once a defendant demonstrates that their testimony was under a grant of immunity about matters related to the later prosecution, the Government bears an “affirmative duty to prove that the evidence it proposes to use is derived from a legitimate source wholly independent of the compelled testimony.”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 460.</w:t>
      </w:r>
    </w:p>
    <w:p w14:paraId="00000064"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This Court has already determined that Calloway made the required threshold showing that she was compelled to testify by court order, and that her compelled </w:t>
      </w:r>
      <w:r>
        <w:rPr>
          <w:rFonts w:ascii="Times New Roman" w:eastAsia="Times New Roman" w:hAnsi="Times New Roman" w:cs="Times New Roman"/>
          <w:sz w:val="26"/>
          <w:szCs w:val="26"/>
        </w:rPr>
        <w:lastRenderedPageBreak/>
        <w:t xml:space="preserve">testimony relates to the allegations against her in the present case. Notice of Hearing 1. Accordingly, the burden rests with the Government to establish that Parker’s testimony and Exhibit 19 were derived from legitimate sources wholly independent of Calloway’s compelled testimony.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460. </w:t>
      </w:r>
    </w:p>
    <w:p w14:paraId="00000065" w14:textId="18F83B1B" w:rsidR="00044E7C" w:rsidRDefault="008B7160">
      <w:pPr>
        <w:pStyle w:val="Heading3"/>
        <w:numPr>
          <w:ilvl w:val="1"/>
          <w:numId w:val="1"/>
        </w:numPr>
        <w:spacing w:before="0" w:after="200" w:line="240" w:lineRule="auto"/>
        <w:rPr>
          <w:rFonts w:ascii="Times New Roman" w:eastAsia="Times New Roman" w:hAnsi="Times New Roman" w:cs="Times New Roman"/>
          <w:b/>
          <w:bCs/>
          <w:color w:val="000000"/>
          <w:sz w:val="26"/>
          <w:szCs w:val="26"/>
        </w:rPr>
      </w:pPr>
      <w:bookmarkStart w:id="9" w:name="_Toc239155061"/>
      <w:r>
        <w:rPr>
          <w:rFonts w:ascii="Times New Roman" w:eastAsia="Times New Roman" w:hAnsi="Times New Roman" w:cs="Times New Roman"/>
          <w:b/>
          <w:bCs/>
          <w:color w:val="000000"/>
          <w:sz w:val="26"/>
          <w:szCs w:val="26"/>
        </w:rPr>
        <w:t>The Government Cannot Establish a Wholly Independent Source for Its Decision to Interview Parker</w:t>
      </w:r>
      <w:bookmarkEnd w:id="9"/>
      <w:r w:rsidR="00697F82">
        <w:rPr>
          <w:rFonts w:ascii="Times New Roman" w:eastAsia="Times New Roman" w:hAnsi="Times New Roman" w:cs="Times New Roman"/>
          <w:b/>
          <w:bCs/>
          <w:color w:val="000000"/>
          <w:sz w:val="26"/>
          <w:szCs w:val="26"/>
        </w:rPr>
        <w:t>.</w:t>
      </w:r>
    </w:p>
    <w:p w14:paraId="00000066" w14:textId="60748CA8"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The Government’s burden requires more than showing that the challenged evidence would have been discovered without the compelled testimony. Instead, the Supreme Court has prohibited the use of immunized testimony as an “investigatory lead.”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Accordingly, “[e]</w:t>
      </w:r>
      <w:proofErr w:type="spellStart"/>
      <w:r>
        <w:rPr>
          <w:rFonts w:ascii="Times New Roman" w:eastAsia="Times New Roman" w:hAnsi="Times New Roman" w:cs="Times New Roman"/>
          <w:sz w:val="26"/>
          <w:szCs w:val="26"/>
        </w:rPr>
        <w:t>ach</w:t>
      </w:r>
      <w:proofErr w:type="spellEnd"/>
      <w:r>
        <w:rPr>
          <w:rFonts w:ascii="Times New Roman" w:eastAsia="Times New Roman" w:hAnsi="Times New Roman" w:cs="Times New Roman"/>
          <w:sz w:val="26"/>
          <w:szCs w:val="26"/>
        </w:rPr>
        <w:t xml:space="preserve"> step of the investigative chain by which the evidence presented was obtained must be documented or accounted for.” </w:t>
      </w:r>
      <w:r>
        <w:rPr>
          <w:rFonts w:ascii="Times New Roman" w:eastAsia="Times New Roman" w:hAnsi="Times New Roman" w:cs="Times New Roman"/>
          <w:i/>
          <w:iCs/>
          <w:sz w:val="26"/>
          <w:szCs w:val="26"/>
        </w:rPr>
        <w:t>United States v. Hampton</w:t>
      </w:r>
      <w:r>
        <w:rPr>
          <w:rFonts w:ascii="Times New Roman" w:eastAsia="Times New Roman" w:hAnsi="Times New Roman" w:cs="Times New Roman"/>
          <w:sz w:val="26"/>
          <w:szCs w:val="26"/>
        </w:rPr>
        <w:t xml:space="preserve">, 775 F.2d 1479, 1490 (11th Cir. 1985). The fact that a prosecutor “may have never seen the immunized testimony and may believe in good faith that no one associated with the federal prosecution has utilized it…is not enough.”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Similarly, “the government’s conclusory denials of direct or derivative use are insufficient even to ‘negate taint,’ much less to carry the government’s affirmative burden of tracing all evidence presented to wholly independent sources.”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 1487. Importantly, where investigative activity “‘could have been motivated by both tainted and independent factors,’ the</w:t>
      </w:r>
      <w:r w:rsidR="000575D5">
        <w:rPr>
          <w:rFonts w:ascii="Times New Roman" w:eastAsia="Times New Roman" w:hAnsi="Times New Roman" w:cs="Times New Roman"/>
          <w:sz w:val="26"/>
          <w:szCs w:val="26"/>
        </w:rPr>
        <w:t xml:space="preserve"> government</w:t>
      </w:r>
      <w:r>
        <w:rPr>
          <w:rFonts w:ascii="Times New Roman" w:eastAsia="Times New Roman" w:hAnsi="Times New Roman" w:cs="Times New Roman"/>
          <w:sz w:val="26"/>
          <w:szCs w:val="26"/>
        </w:rPr>
        <w:t xml:space="preserve"> </w:t>
      </w:r>
      <w:r w:rsidR="000575D5">
        <w:rPr>
          <w:rFonts w:ascii="Times New Roman" w:eastAsia="Times New Roman" w:hAnsi="Times New Roman" w:cs="Times New Roman"/>
          <w:sz w:val="26"/>
          <w:szCs w:val="26"/>
        </w:rPr>
        <w:t>needed to show that it ‘</w:t>
      </w:r>
      <w:r>
        <w:rPr>
          <w:rFonts w:ascii="Times New Roman" w:eastAsia="Times New Roman" w:hAnsi="Times New Roman" w:cs="Times New Roman"/>
          <w:sz w:val="26"/>
          <w:szCs w:val="26"/>
        </w:rPr>
        <w:t xml:space="preserve">would have taken the same steps entirely apart from the motivating effect of the immunized testimony.’” </w:t>
      </w:r>
      <w:r>
        <w:rPr>
          <w:rFonts w:ascii="Times New Roman" w:eastAsia="Times New Roman" w:hAnsi="Times New Roman" w:cs="Times New Roman"/>
          <w:i/>
          <w:iCs/>
          <w:sz w:val="26"/>
          <w:szCs w:val="26"/>
        </w:rPr>
        <w:t>Aiken v. United States</w:t>
      </w:r>
      <w:r>
        <w:rPr>
          <w:rFonts w:ascii="Times New Roman" w:eastAsia="Times New Roman" w:hAnsi="Times New Roman" w:cs="Times New Roman"/>
          <w:sz w:val="26"/>
          <w:szCs w:val="26"/>
        </w:rPr>
        <w:t xml:space="preserve">, 30 A.3d 127, 134 (D.C. 2011) (quoting </w:t>
      </w:r>
      <w:r>
        <w:rPr>
          <w:rFonts w:ascii="Times New Roman" w:eastAsia="Times New Roman" w:hAnsi="Times New Roman" w:cs="Times New Roman"/>
          <w:i/>
          <w:iCs/>
          <w:sz w:val="26"/>
          <w:szCs w:val="26"/>
        </w:rPr>
        <w:t>United States v. Nanni</w:t>
      </w:r>
      <w:r>
        <w:rPr>
          <w:rFonts w:ascii="Times New Roman" w:eastAsia="Times New Roman" w:hAnsi="Times New Roman" w:cs="Times New Roman"/>
          <w:sz w:val="26"/>
          <w:szCs w:val="26"/>
        </w:rPr>
        <w:t xml:space="preserve">, 59 F.3d 1425, 1432 (2d Cir. 1995)). </w:t>
      </w:r>
    </w:p>
    <w:p w14:paraId="00000067"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t xml:space="preserve">Likewise, in determining whether witness testimony was derived from an independent source, courts consider what the Government knew about the witness before the immunized testimony and whether the witness’s relevant information was developed only after that testimony. </w:t>
      </w:r>
      <w:r>
        <w:rPr>
          <w:rFonts w:ascii="Times New Roman" w:eastAsia="Times New Roman" w:hAnsi="Times New Roman" w:cs="Times New Roman"/>
          <w:i/>
          <w:iCs/>
          <w:sz w:val="26"/>
          <w:szCs w:val="26"/>
        </w:rPr>
        <w:t>United States v. Rinaldi</w:t>
      </w:r>
      <w:r>
        <w:rPr>
          <w:rFonts w:ascii="Times New Roman" w:eastAsia="Times New Roman" w:hAnsi="Times New Roman" w:cs="Times New Roman"/>
          <w:sz w:val="26"/>
          <w:szCs w:val="26"/>
        </w:rPr>
        <w:t xml:space="preserve">, 808 F.2d 1579, 1583 (D.C. Cir. 1987). In </w:t>
      </w:r>
      <w:r>
        <w:rPr>
          <w:rFonts w:ascii="Times New Roman" w:eastAsia="Times New Roman" w:hAnsi="Times New Roman" w:cs="Times New Roman"/>
          <w:i/>
          <w:iCs/>
          <w:sz w:val="26"/>
          <w:szCs w:val="26"/>
        </w:rPr>
        <w:t>Rinaldi</w:t>
      </w:r>
      <w:r>
        <w:rPr>
          <w:rFonts w:ascii="Times New Roman" w:eastAsia="Times New Roman" w:hAnsi="Times New Roman" w:cs="Times New Roman"/>
          <w:sz w:val="26"/>
          <w:szCs w:val="26"/>
        </w:rPr>
        <w:t xml:space="preserve">, the defendant gave immunized statements to the police about his involvement in a drug smuggling trip, and the Government later sought to use testimony from a witness who had personal knowledge of that trip against the defendant in the resulting criminal prosecution.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1581-83. As to one witness, although the Government argued that the witness was independently developed and already knew the relevant facts, the court emphasized that “the police never questioned [the witness] about the [] trip until </w:t>
      </w:r>
      <w:r>
        <w:rPr>
          <w:rFonts w:ascii="Times New Roman" w:eastAsia="Times New Roman" w:hAnsi="Times New Roman" w:cs="Times New Roman"/>
          <w:i/>
          <w:iCs/>
          <w:sz w:val="26"/>
          <w:szCs w:val="26"/>
        </w:rPr>
        <w:t>after</w:t>
      </w:r>
      <w:r>
        <w:rPr>
          <w:rFonts w:ascii="Times New Roman" w:eastAsia="Times New Roman" w:hAnsi="Times New Roman" w:cs="Times New Roman"/>
          <w:sz w:val="26"/>
          <w:szCs w:val="26"/>
        </w:rPr>
        <w:t xml:space="preserve"> [the defendant] discussed it with them” while immunized.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1583. Because “the government bore the burden of proving that [the witness’s] testimony was free of taint and independently derived,” the court refused to “infer findings favorable to it” where the Government had not established the independent nature of the testimony.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As to another witness, the Government possessed some information about him before the defendant’s immunized statements, but had not yet identified or located him.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1584. The court held that evidence showing “the police might have, or at best could have, identified [the witness] without benefit of [the defendant’s] immunized statements” did not “amount to a showing that the government's eventual discovery of [the witness] was inevitable.”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Accordingly, the court remanded for specific findings as to whether the challenged testimony was independently derived.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1583-85. </w:t>
      </w:r>
    </w:p>
    <w:p w14:paraId="00000068" w14:textId="77777777" w:rsidR="00044E7C" w:rsidRDefault="008B7160">
      <w:pPr>
        <w:spacing w:line="480" w:lineRule="auto"/>
        <w:rPr>
          <w:rFonts w:ascii="Times New Roman" w:eastAsia="Times New Roman" w:hAnsi="Times New Roman" w:cs="Times New Roman"/>
          <w:i/>
          <w:iCs/>
          <w:sz w:val="26"/>
          <w:szCs w:val="26"/>
        </w:rPr>
      </w:pPr>
      <w:r>
        <w:rPr>
          <w:rFonts w:ascii="Times New Roman" w:eastAsia="Times New Roman" w:hAnsi="Times New Roman" w:cs="Times New Roman"/>
          <w:sz w:val="26"/>
          <w:szCs w:val="26"/>
        </w:rPr>
        <w:lastRenderedPageBreak/>
        <w:tab/>
        <w:t>Here, the Government cannot establish that its decision to interview Parker was wholly independent of Calloway’s compelled testimony. Before Calloway testified, investigators knew of Parker’s identity, but nothing indicated that she had any relevant information. Tatum Sinclair, who investigated Calloway, admitted that there were “a lot of names” on employee lists and that she had no recollection of “thinking Kennedy Parker mattered one way or the other before August 2024.” Sinclair Dep. 22:570-576. Agent Bryce Nolan likewise admitted that Parker had not been interviewed earlier because “[n]</w:t>
      </w:r>
      <w:proofErr w:type="spellStart"/>
      <w:r>
        <w:rPr>
          <w:rFonts w:ascii="Times New Roman" w:eastAsia="Times New Roman" w:hAnsi="Times New Roman" w:cs="Times New Roman"/>
          <w:sz w:val="26"/>
          <w:szCs w:val="26"/>
        </w:rPr>
        <w:t>othing</w:t>
      </w:r>
      <w:proofErr w:type="spellEnd"/>
      <w:r>
        <w:rPr>
          <w:rFonts w:ascii="Times New Roman" w:eastAsia="Times New Roman" w:hAnsi="Times New Roman" w:cs="Times New Roman"/>
          <w:sz w:val="26"/>
          <w:szCs w:val="26"/>
        </w:rPr>
        <w:t xml:space="preserve"> at that point indicated Parker had information relevant to the Donovan prosecution.” Nolan Dep. 31:293-297. Additionally, Agent Nolan prepared a list of Silver Palms employees to interview prior to Calloway’s compelled testimony, where Parker was ranked seventh based on the number of shifts she worked. Nolan Dep. 30:268-271; Ex. 17. Agent Nolan confirmed that Parker was merely “one of a large number of Silver Palms employees…to go back and interview for the broader investigation” and that he “did not know if Parker would have any relevant information to add until [he] spoke to Parker.” Nolan Dep. 33:368-371. Thus, the Government has established only that investigators knew Parker existed and intended to interview her at some point. As in </w:t>
      </w:r>
      <w:r>
        <w:rPr>
          <w:rFonts w:ascii="Times New Roman" w:eastAsia="Times New Roman" w:hAnsi="Times New Roman" w:cs="Times New Roman"/>
          <w:i/>
          <w:iCs/>
          <w:sz w:val="26"/>
          <w:szCs w:val="26"/>
        </w:rPr>
        <w:t>Rinaldi</w:t>
      </w:r>
      <w:r>
        <w:rPr>
          <w:rFonts w:ascii="Times New Roman" w:eastAsia="Times New Roman" w:hAnsi="Times New Roman" w:cs="Times New Roman"/>
          <w:sz w:val="26"/>
          <w:szCs w:val="26"/>
        </w:rPr>
        <w:t xml:space="preserve">, that evidence shows at most that investigators “might have, or at best could have,” interviewed Parker without Calloway’s compelled testimony. 808 F.2d at 1584. However, it does not account for the step in the “investigative chain,” as to what caused investigators to actually interview Parker when they did. Because the Government must account for “[e]ach step” leading to the challenged evidence, the Government’s prior knowledge of Parker and their general intent to interview her does not alone establish that </w:t>
      </w:r>
      <w:r>
        <w:rPr>
          <w:rFonts w:ascii="Times New Roman" w:eastAsia="Times New Roman" w:hAnsi="Times New Roman" w:cs="Times New Roman"/>
          <w:sz w:val="26"/>
          <w:szCs w:val="26"/>
        </w:rPr>
        <w:lastRenderedPageBreak/>
        <w:t xml:space="preserve">the decision to interview Parker was independent of Calloway’s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As the Government bears the burden of proving a wholly independent source, the Court may not “indulge assumptions favorable to the government” to fill that evidentiary gap. </w:t>
      </w:r>
      <w:r>
        <w:rPr>
          <w:rFonts w:ascii="Times New Roman" w:eastAsia="Times New Roman" w:hAnsi="Times New Roman" w:cs="Times New Roman"/>
          <w:i/>
          <w:iCs/>
          <w:sz w:val="26"/>
          <w:szCs w:val="26"/>
        </w:rPr>
        <w:t xml:space="preserve">Id. </w:t>
      </w:r>
    </w:p>
    <w:p w14:paraId="00000069" w14:textId="77777777" w:rsidR="00044E7C" w:rsidRDefault="008B7160">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Where an investigative step “could have been motivated by both tainted and independent factors,” the Government must establish that it “would have taken the same steps entirely apart from the motivating effect of the immunized testimony.’” </w:t>
      </w:r>
      <w:r>
        <w:rPr>
          <w:rFonts w:ascii="Times New Roman" w:eastAsia="Times New Roman" w:hAnsi="Times New Roman" w:cs="Times New Roman"/>
          <w:i/>
          <w:iCs/>
          <w:sz w:val="26"/>
          <w:szCs w:val="26"/>
        </w:rPr>
        <w:t>Aiken</w:t>
      </w:r>
      <w:r>
        <w:rPr>
          <w:rFonts w:ascii="Times New Roman" w:eastAsia="Times New Roman" w:hAnsi="Times New Roman" w:cs="Times New Roman"/>
          <w:sz w:val="26"/>
          <w:szCs w:val="26"/>
        </w:rPr>
        <w:t xml:space="preserve">, 30 A.3d at 134 (quoting </w:t>
      </w:r>
      <w:r>
        <w:rPr>
          <w:rFonts w:ascii="Times New Roman" w:eastAsia="Times New Roman" w:hAnsi="Times New Roman" w:cs="Times New Roman"/>
          <w:i/>
          <w:iCs/>
          <w:sz w:val="26"/>
          <w:szCs w:val="26"/>
        </w:rPr>
        <w:t>Nanni</w:t>
      </w:r>
      <w:r>
        <w:rPr>
          <w:rFonts w:ascii="Times New Roman" w:eastAsia="Times New Roman" w:hAnsi="Times New Roman" w:cs="Times New Roman"/>
          <w:sz w:val="26"/>
          <w:szCs w:val="26"/>
        </w:rPr>
        <w:t xml:space="preserve">, 59 F.3d at 1432). Here, the timing of the interview makes this missing step very significant. Although the Government had Parker’s name for months, no Government agent spoke with her until after Calloway gave her testimony. </w:t>
      </w:r>
      <w:r>
        <w:rPr>
          <w:rFonts w:ascii="Times New Roman" w:eastAsia="Times New Roman" w:hAnsi="Times New Roman" w:cs="Times New Roman"/>
          <w:i/>
          <w:iCs/>
          <w:sz w:val="26"/>
          <w:szCs w:val="26"/>
        </w:rPr>
        <w:t xml:space="preserve">Stipulations of the Parties </w:t>
      </w:r>
      <w:r>
        <w:rPr>
          <w:rFonts w:ascii="Times New Roman" w:eastAsia="Times New Roman" w:hAnsi="Times New Roman" w:cs="Times New Roman"/>
          <w:sz w:val="26"/>
          <w:szCs w:val="26"/>
        </w:rPr>
        <w:t xml:space="preserve">¶ 7. Agent Nolan nevertheless asserted that, because Parker was already on his list, he “would’ve found [the information] one way or another.” Nolan Dep. 33:350. However, the court in </w:t>
      </w:r>
      <w:r>
        <w:rPr>
          <w:rFonts w:ascii="Times New Roman" w:eastAsia="Times New Roman" w:hAnsi="Times New Roman" w:cs="Times New Roman"/>
          <w:i/>
          <w:iCs/>
          <w:sz w:val="26"/>
          <w:szCs w:val="26"/>
        </w:rPr>
        <w:t>Rinaldi</w:t>
      </w:r>
      <w:r>
        <w:rPr>
          <w:rFonts w:ascii="Times New Roman" w:eastAsia="Times New Roman" w:hAnsi="Times New Roman" w:cs="Times New Roman"/>
          <w:sz w:val="26"/>
          <w:szCs w:val="26"/>
        </w:rPr>
        <w:t xml:space="preserve"> rejected this reasoning, holding that evidence that investigations “might have, or at best could have,” identified a witness without the defendant’s immunized statements did not “amount to a showing that the government’s eventual discovery” of that witness was inevitable. 808 F.2d at 1584. Likewise, Agent Nolan’s assertion that he would have interviewed Parker does not establish that the Government actually decided to interview her when it did independently of Calloway’s testimony. Because this decision ‘“could have been motivated by both tainted and independent factors,’” the Government must establish that it “would have taken the same steps entirely apart from the motivating effect of the immunized testimony.'" </w:t>
      </w:r>
      <w:r>
        <w:rPr>
          <w:rFonts w:ascii="Times New Roman" w:eastAsia="Times New Roman" w:hAnsi="Times New Roman" w:cs="Times New Roman"/>
          <w:i/>
          <w:iCs/>
          <w:sz w:val="26"/>
          <w:szCs w:val="26"/>
        </w:rPr>
        <w:t>Aiken</w:t>
      </w:r>
      <w:r>
        <w:rPr>
          <w:rFonts w:ascii="Times New Roman" w:eastAsia="Times New Roman" w:hAnsi="Times New Roman" w:cs="Times New Roman"/>
          <w:sz w:val="26"/>
          <w:szCs w:val="26"/>
        </w:rPr>
        <w:t xml:space="preserve">, 30 A.3d 134 (quoting </w:t>
      </w:r>
      <w:r>
        <w:rPr>
          <w:rFonts w:ascii="Times New Roman" w:eastAsia="Times New Roman" w:hAnsi="Times New Roman" w:cs="Times New Roman"/>
          <w:i/>
          <w:iCs/>
          <w:sz w:val="26"/>
          <w:szCs w:val="26"/>
        </w:rPr>
        <w:t>Nanni</w:t>
      </w:r>
      <w:r>
        <w:rPr>
          <w:rFonts w:ascii="Times New Roman" w:eastAsia="Times New Roman" w:hAnsi="Times New Roman" w:cs="Times New Roman"/>
          <w:sz w:val="26"/>
          <w:szCs w:val="26"/>
        </w:rPr>
        <w:t xml:space="preserve">, 59 F.3d at 1432). The government has not made that showing </w:t>
      </w:r>
      <w:r>
        <w:rPr>
          <w:rFonts w:ascii="Times New Roman" w:eastAsia="Times New Roman" w:hAnsi="Times New Roman" w:cs="Times New Roman"/>
          <w:sz w:val="26"/>
          <w:szCs w:val="26"/>
        </w:rPr>
        <w:lastRenderedPageBreak/>
        <w:t xml:space="preserve">and therefore cannot establish a wholly independent source for its decision to interview Parker. </w:t>
      </w:r>
    </w:p>
    <w:p w14:paraId="0000006A" w14:textId="06004152" w:rsidR="00044E7C" w:rsidRDefault="008B7160">
      <w:pPr>
        <w:pStyle w:val="Heading3"/>
        <w:numPr>
          <w:ilvl w:val="1"/>
          <w:numId w:val="1"/>
        </w:numPr>
        <w:spacing w:before="0" w:after="200" w:line="240" w:lineRule="auto"/>
        <w:rPr>
          <w:rFonts w:ascii="Times New Roman" w:eastAsia="Times New Roman" w:hAnsi="Times New Roman" w:cs="Times New Roman"/>
          <w:b/>
          <w:bCs/>
          <w:color w:val="000000"/>
          <w:sz w:val="26"/>
          <w:szCs w:val="26"/>
        </w:rPr>
      </w:pPr>
      <w:bookmarkStart w:id="10" w:name="_Toc239155062"/>
      <w:r>
        <w:rPr>
          <w:rFonts w:ascii="Times New Roman" w:eastAsia="Times New Roman" w:hAnsi="Times New Roman" w:cs="Times New Roman"/>
          <w:b/>
          <w:bCs/>
          <w:color w:val="000000"/>
          <w:sz w:val="26"/>
          <w:szCs w:val="26"/>
        </w:rPr>
        <w:t>The Government Cannot Prove That Parker’s Testimony Was Not Tainted by Calloway’s Compelled Testimony</w:t>
      </w:r>
      <w:bookmarkEnd w:id="10"/>
      <w:r w:rsidR="00697F82">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000000"/>
          <w:sz w:val="26"/>
          <w:szCs w:val="26"/>
        </w:rPr>
        <w:t xml:space="preserve"> </w:t>
      </w:r>
    </w:p>
    <w:p w14:paraId="0000006B" w14:textId="77777777" w:rsidR="00044E7C" w:rsidRDefault="008B7160">
      <w:pPr>
        <w:spacing w:line="480" w:lineRule="auto"/>
        <w:rPr>
          <w:rFonts w:ascii="Times New Roman" w:eastAsia="Times New Roman" w:hAnsi="Times New Roman" w:cs="Times New Roman"/>
          <w:i/>
          <w:iCs/>
          <w:sz w:val="26"/>
          <w:szCs w:val="26"/>
        </w:rPr>
      </w:pPr>
      <w:r>
        <w:rPr>
          <w:rFonts w:ascii="Times New Roman" w:eastAsia="Times New Roman" w:hAnsi="Times New Roman" w:cs="Times New Roman"/>
          <w:sz w:val="26"/>
          <w:szCs w:val="26"/>
        </w:rPr>
        <w:tab/>
        <w:t>“</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is…violated whenever the prosecution puts on a witness whose testimony is shaped, directly or indirectly, by compelled testimony, regardless of </w:t>
      </w:r>
      <w:r>
        <w:rPr>
          <w:rFonts w:ascii="Times New Roman" w:eastAsia="Times New Roman" w:hAnsi="Times New Roman" w:cs="Times New Roman"/>
          <w:i/>
          <w:iCs/>
          <w:sz w:val="26"/>
          <w:szCs w:val="26"/>
        </w:rPr>
        <w:t>how or by whom</w:t>
      </w:r>
      <w:r>
        <w:rPr>
          <w:rFonts w:ascii="Times New Roman" w:eastAsia="Times New Roman" w:hAnsi="Times New Roman" w:cs="Times New Roman"/>
          <w:sz w:val="26"/>
          <w:szCs w:val="26"/>
        </w:rPr>
        <w:t xml:space="preserve"> he was exposed to that compelled testimony.” </w:t>
      </w:r>
      <w:r>
        <w:rPr>
          <w:rFonts w:ascii="Times New Roman" w:eastAsia="Times New Roman" w:hAnsi="Times New Roman" w:cs="Times New Roman"/>
          <w:i/>
          <w:iCs/>
          <w:sz w:val="26"/>
          <w:szCs w:val="26"/>
        </w:rPr>
        <w:t>United States v. North</w:t>
      </w:r>
      <w:r>
        <w:rPr>
          <w:rFonts w:ascii="Times New Roman" w:eastAsia="Times New Roman" w:hAnsi="Times New Roman" w:cs="Times New Roman"/>
          <w:sz w:val="26"/>
          <w:szCs w:val="26"/>
        </w:rPr>
        <w:t xml:space="preserve">, 920 F.2d 940, 942 (D.C. Cir. 1990). In </w:t>
      </w:r>
      <w:r>
        <w:rPr>
          <w:rFonts w:ascii="Times New Roman" w:eastAsia="Times New Roman" w:hAnsi="Times New Roman" w:cs="Times New Roman"/>
          <w:i/>
          <w:iCs/>
          <w:sz w:val="26"/>
          <w:szCs w:val="26"/>
        </w:rPr>
        <w:t>North</w:t>
      </w:r>
      <w:r>
        <w:rPr>
          <w:rFonts w:ascii="Times New Roman" w:eastAsia="Times New Roman" w:hAnsi="Times New Roman" w:cs="Times New Roman"/>
          <w:sz w:val="26"/>
          <w:szCs w:val="26"/>
        </w:rPr>
        <w:t xml:space="preserve">, the court further reasoned that “[i]t simply does not follow that insulating prosecutors from exposure automatically proves that immunized testimony was not used against the defendant.”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Thus, even where the Government independently identifies a witness, it must establish that the witness’s testimony itself was not shaped, “directly or indirectly,” by the defendant’s compelled testimony. </w:t>
      </w:r>
      <w:r>
        <w:rPr>
          <w:rFonts w:ascii="Times New Roman" w:eastAsia="Times New Roman" w:hAnsi="Times New Roman" w:cs="Times New Roman"/>
          <w:i/>
          <w:iCs/>
          <w:sz w:val="26"/>
          <w:szCs w:val="26"/>
        </w:rPr>
        <w:t xml:space="preserve">Id. </w:t>
      </w:r>
    </w:p>
    <w:p w14:paraId="0000006C"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A witness’s testimony may be tainted when compelled testimony “in any way ‘shape[s], alter[s], or affect[s]’” that testimony. </w:t>
      </w:r>
      <w:r>
        <w:rPr>
          <w:rFonts w:ascii="Times New Roman" w:eastAsia="Times New Roman" w:hAnsi="Times New Roman" w:cs="Times New Roman"/>
          <w:i/>
          <w:iCs/>
          <w:sz w:val="26"/>
          <w:szCs w:val="26"/>
        </w:rPr>
        <w:t>United States v. Poindexter</w:t>
      </w:r>
      <w:r>
        <w:rPr>
          <w:rFonts w:ascii="Times New Roman" w:eastAsia="Times New Roman" w:hAnsi="Times New Roman" w:cs="Times New Roman"/>
          <w:sz w:val="26"/>
          <w:szCs w:val="26"/>
        </w:rPr>
        <w:t xml:space="preserve">, 951 F.2d 369, 373 (D.C. Cir. 1991). Importantly, because “a witness proffers a more detailed account than, or a rebuttal of, the defendant’s immunized testimony may demonstrate ‘personal knowledge’ in the evidentiary sense; but it simply does not rule out the possibility that the witness’s memory was refreshed or influenced by the immunized testimony.”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374. Accordingly, “an inquiry into what a witness knew prior to exposure to the immunized testimony and what information she gleaned from that exposure” is specifically mandated by courts. </w:t>
      </w:r>
      <w:r>
        <w:rPr>
          <w:rFonts w:ascii="Times New Roman" w:eastAsia="Times New Roman" w:hAnsi="Times New Roman" w:cs="Times New Roman"/>
          <w:i/>
          <w:iCs/>
          <w:sz w:val="26"/>
          <w:szCs w:val="26"/>
        </w:rPr>
        <w:t>North</w:t>
      </w:r>
      <w:r>
        <w:rPr>
          <w:rFonts w:ascii="Times New Roman" w:eastAsia="Times New Roman" w:hAnsi="Times New Roman" w:cs="Times New Roman"/>
          <w:sz w:val="26"/>
          <w:szCs w:val="26"/>
        </w:rPr>
        <w:t xml:space="preserve">, 920 F.2d at 942 (citing </w:t>
      </w:r>
      <w:r>
        <w:rPr>
          <w:rFonts w:ascii="Times New Roman" w:eastAsia="Times New Roman" w:hAnsi="Times New Roman" w:cs="Times New Roman"/>
          <w:i/>
          <w:iCs/>
          <w:sz w:val="26"/>
          <w:szCs w:val="26"/>
        </w:rPr>
        <w:t>Rinaldi</w:t>
      </w:r>
      <w:r>
        <w:rPr>
          <w:rFonts w:ascii="Times New Roman" w:eastAsia="Times New Roman" w:hAnsi="Times New Roman" w:cs="Times New Roman"/>
          <w:sz w:val="26"/>
          <w:szCs w:val="26"/>
        </w:rPr>
        <w:t>, 808 F.2d at 1583).</w:t>
      </w:r>
    </w:p>
    <w:p w14:paraId="0000006D"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t xml:space="preserve">Here, the Government cannot establish that Parker’s testimony was unaffected by Calloway’s compelled testimony since there is no evidence showing what Parker independently remembered before Calloway testified. No Government agent spoke with Parker before the compelled testimony, and law enforcement did not contact her until October 31, 2024, after the compelled testimony in August of 2024. Parker Dep. 41:305-306, 314-319. Thus, there is no pre-exposure statement showing what Parker “knew prior to exposure to the immunized testimony and what information she gleaned from that exposure.” </w:t>
      </w:r>
      <w:r>
        <w:rPr>
          <w:rFonts w:ascii="Times New Roman" w:eastAsia="Times New Roman" w:hAnsi="Times New Roman" w:cs="Times New Roman"/>
          <w:i/>
          <w:iCs/>
          <w:sz w:val="26"/>
          <w:szCs w:val="26"/>
        </w:rPr>
        <w:t>North</w:t>
      </w:r>
      <w:r>
        <w:rPr>
          <w:rFonts w:ascii="Times New Roman" w:eastAsia="Times New Roman" w:hAnsi="Times New Roman" w:cs="Times New Roman"/>
          <w:sz w:val="26"/>
          <w:szCs w:val="26"/>
        </w:rPr>
        <w:t xml:space="preserve">, 920 F.2d at 942. That is crucial because prior to the compelled testimony, the Government did not know what the Christmas party argument was about “from any source,” and only knew “that an argument happened” and “that a call followed it.” Sinclair Dep. 22:561-565. Importantly, when investigators later interviewed Parker, she “described the confrontation at the Christmas party and witnessing part of the argument” between Blake and Calloway, and also approaching “Calloway afterward to ask her what was going on and see if she was okay.” Nolan Dep. 32:335-342. Calloway testified in an “open courtroom,” her testimony “was heavily covered by local press” and remained “front-page for weeks.” Sinclair Dep. 23:593-596. While Parker denies that she saw the testimony, the question is whether her testimony was “shaped, directly or indirectly, by compelled testimony, regardless of </w:t>
      </w:r>
      <w:r>
        <w:rPr>
          <w:rFonts w:ascii="Times New Roman" w:eastAsia="Times New Roman" w:hAnsi="Times New Roman" w:cs="Times New Roman"/>
          <w:i/>
          <w:iCs/>
          <w:sz w:val="26"/>
          <w:szCs w:val="26"/>
        </w:rPr>
        <w:t>how or by whom</w:t>
      </w:r>
      <w:r>
        <w:rPr>
          <w:rFonts w:ascii="Times New Roman" w:eastAsia="Times New Roman" w:hAnsi="Times New Roman" w:cs="Times New Roman"/>
          <w:sz w:val="26"/>
          <w:szCs w:val="26"/>
        </w:rPr>
        <w:t xml:space="preserve"> [s]he was exposed to that compelled testimony.” </w:t>
      </w:r>
      <w:r>
        <w:rPr>
          <w:rFonts w:ascii="Times New Roman" w:eastAsia="Times New Roman" w:hAnsi="Times New Roman" w:cs="Times New Roman"/>
          <w:i/>
          <w:iCs/>
          <w:sz w:val="26"/>
          <w:szCs w:val="26"/>
        </w:rPr>
        <w:t>North</w:t>
      </w:r>
      <w:r>
        <w:rPr>
          <w:rFonts w:ascii="Times New Roman" w:eastAsia="Times New Roman" w:hAnsi="Times New Roman" w:cs="Times New Roman"/>
          <w:sz w:val="26"/>
          <w:szCs w:val="26"/>
        </w:rPr>
        <w:t xml:space="preserve">, 920 F.2d at 942. The mere denial of exposure does not alone prove the testimony was wholly independent. Without having any earlier account from Parker to compare against her later statement, the Government cannot establish </w:t>
      </w:r>
      <w:r>
        <w:rPr>
          <w:rFonts w:ascii="Times New Roman" w:eastAsia="Times New Roman" w:hAnsi="Times New Roman" w:cs="Times New Roman"/>
          <w:sz w:val="26"/>
          <w:szCs w:val="26"/>
        </w:rPr>
        <w:lastRenderedPageBreak/>
        <w:t xml:space="preserve">whether those details came from her independent recollection or if her memory was “refreshed or influenced by the immunized testimony.” </w:t>
      </w:r>
      <w:r>
        <w:rPr>
          <w:rFonts w:ascii="Times New Roman" w:eastAsia="Times New Roman" w:hAnsi="Times New Roman" w:cs="Times New Roman"/>
          <w:i/>
          <w:iCs/>
          <w:sz w:val="26"/>
          <w:szCs w:val="26"/>
        </w:rPr>
        <w:t>Poindexter</w:t>
      </w:r>
      <w:r>
        <w:rPr>
          <w:rFonts w:ascii="Times New Roman" w:eastAsia="Times New Roman" w:hAnsi="Times New Roman" w:cs="Times New Roman"/>
          <w:sz w:val="26"/>
          <w:szCs w:val="26"/>
        </w:rPr>
        <w:t xml:space="preserve">, 951 F.2d at 374.  </w:t>
      </w:r>
    </w:p>
    <w:p w14:paraId="0000006E"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The Government implementing an investigative separation also does not establish that Parker’s testimony was untainted. Although Team Calloway was “walled off from any information given by [Calloway] under the immunity order,” courts have made clear that insulating prosecutors from exposure does not automatically prove “that immunized testimony was not used against the defendant.” Sinclair Dep. 22: 548-552; </w:t>
      </w:r>
      <w:r>
        <w:rPr>
          <w:rFonts w:ascii="Times New Roman" w:eastAsia="Times New Roman" w:hAnsi="Times New Roman" w:cs="Times New Roman"/>
          <w:i/>
          <w:iCs/>
          <w:sz w:val="26"/>
          <w:szCs w:val="26"/>
        </w:rPr>
        <w:t>North</w:t>
      </w:r>
      <w:r>
        <w:rPr>
          <w:rFonts w:ascii="Times New Roman" w:eastAsia="Times New Roman" w:hAnsi="Times New Roman" w:cs="Times New Roman"/>
          <w:sz w:val="26"/>
          <w:szCs w:val="26"/>
        </w:rPr>
        <w:t xml:space="preserve">, 920 F.2d at 942. The wall may establish that investigators themselves did not receive Calloway’s testimony, but it does not establish that Parker’s testimony was not shaped by it. Since a witness’s personal knowledge does not “rule out the possibility that the witness’s memory was refreshed or influenced by the immunized testimony,” the Government cannot establish that Parker’s testimony was derived from a wholly independent source. </w:t>
      </w:r>
      <w:r>
        <w:rPr>
          <w:rFonts w:ascii="Times New Roman" w:eastAsia="Times New Roman" w:hAnsi="Times New Roman" w:cs="Times New Roman"/>
          <w:i/>
          <w:iCs/>
          <w:sz w:val="26"/>
          <w:szCs w:val="26"/>
        </w:rPr>
        <w:t>Poindexter</w:t>
      </w:r>
      <w:r>
        <w:rPr>
          <w:rFonts w:ascii="Times New Roman" w:eastAsia="Times New Roman" w:hAnsi="Times New Roman" w:cs="Times New Roman"/>
          <w:sz w:val="26"/>
          <w:szCs w:val="26"/>
        </w:rPr>
        <w:t>, 951 F.2d at 373.</w:t>
      </w:r>
    </w:p>
    <w:p w14:paraId="0000006F" w14:textId="52D69757" w:rsidR="00044E7C" w:rsidRDefault="008B7160">
      <w:pPr>
        <w:pStyle w:val="Heading3"/>
        <w:numPr>
          <w:ilvl w:val="1"/>
          <w:numId w:val="1"/>
        </w:numPr>
        <w:spacing w:before="0" w:after="200" w:line="240" w:lineRule="auto"/>
        <w:rPr>
          <w:rFonts w:ascii="Times New Roman" w:eastAsia="Times New Roman" w:hAnsi="Times New Roman" w:cs="Times New Roman"/>
          <w:b/>
          <w:bCs/>
          <w:color w:val="000000"/>
          <w:sz w:val="26"/>
          <w:szCs w:val="26"/>
        </w:rPr>
      </w:pPr>
      <w:bookmarkStart w:id="11" w:name="_Toc239155063"/>
      <w:r>
        <w:rPr>
          <w:rFonts w:ascii="Times New Roman" w:eastAsia="Times New Roman" w:hAnsi="Times New Roman" w:cs="Times New Roman"/>
          <w:b/>
          <w:bCs/>
          <w:color w:val="000000"/>
          <w:sz w:val="26"/>
          <w:szCs w:val="26"/>
        </w:rPr>
        <w:t>Exhibit 19 Must Also Be Suppressed Because the Government Obtained It Directly from Parker’s Testimony</w:t>
      </w:r>
      <w:bookmarkEnd w:id="11"/>
      <w:r w:rsidR="00697F82">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000000"/>
          <w:sz w:val="26"/>
          <w:szCs w:val="26"/>
        </w:rPr>
        <w:t xml:space="preserve"> </w:t>
      </w:r>
    </w:p>
    <w:p w14:paraId="00000070"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“[N]o testimony or </w:t>
      </w:r>
      <w:hyperlink r:id="rId9">
        <w:r>
          <w:rPr>
            <w:rFonts w:ascii="Times New Roman" w:eastAsia="Times New Roman" w:hAnsi="Times New Roman" w:cs="Times New Roman"/>
            <w:sz w:val="26"/>
            <w:szCs w:val="26"/>
          </w:rPr>
          <w:t>other information</w:t>
        </w:r>
      </w:hyperlink>
      <w:r>
        <w:rPr>
          <w:rFonts w:ascii="Times New Roman" w:eastAsia="Times New Roman" w:hAnsi="Times New Roman" w:cs="Times New Roman"/>
          <w:sz w:val="26"/>
          <w:szCs w:val="26"/>
        </w:rPr>
        <w:t xml:space="preserve"> compelled under the order (or any information directly or indirectly derived from such testimony or </w:t>
      </w:r>
      <w:hyperlink r:id="rId10">
        <w:r>
          <w:rPr>
            <w:rFonts w:ascii="Times New Roman" w:eastAsia="Times New Roman" w:hAnsi="Times New Roman" w:cs="Times New Roman"/>
            <w:sz w:val="26"/>
            <w:szCs w:val="26"/>
          </w:rPr>
          <w:t>other informat</w:t>
        </w:r>
      </w:hyperlink>
      <w:r>
        <w:rPr>
          <w:rFonts w:ascii="Times New Roman" w:eastAsia="Times New Roman" w:hAnsi="Times New Roman" w:cs="Times New Roman"/>
          <w:sz w:val="26"/>
          <w:szCs w:val="26"/>
        </w:rPr>
        <w:t>i</w:t>
      </w:r>
      <w:hyperlink r:id="rId11">
        <w:r>
          <w:rPr>
            <w:rFonts w:ascii="Times New Roman" w:eastAsia="Times New Roman" w:hAnsi="Times New Roman" w:cs="Times New Roman"/>
            <w:sz w:val="26"/>
            <w:szCs w:val="26"/>
          </w:rPr>
          <w:t>on</w:t>
        </w:r>
      </w:hyperlink>
      <w:r>
        <w:rPr>
          <w:rFonts w:ascii="Times New Roman" w:eastAsia="Times New Roman" w:hAnsi="Times New Roman" w:cs="Times New Roman"/>
          <w:sz w:val="26"/>
          <w:szCs w:val="26"/>
        </w:rPr>
        <w:t xml:space="preserve">) may be used against the witness in any criminal case[.]” 18 U.S.C. § 6002. Likewise, the Supreme Court makes clear that this prohibition bars the use of compelled testimony as an “investigatory lead” and “the use of any evidence obtained by focusing investigation on a witness as a result of his compelled disclosures.”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460. Accordingly, the Government has an “affirmative duty to prove that the evidence it </w:t>
      </w:r>
      <w:r>
        <w:rPr>
          <w:rFonts w:ascii="Times New Roman" w:eastAsia="Times New Roman" w:hAnsi="Times New Roman" w:cs="Times New Roman"/>
          <w:sz w:val="26"/>
          <w:szCs w:val="26"/>
        </w:rPr>
        <w:lastRenderedPageBreak/>
        <w:t xml:space="preserve">proposes to use is derived from a legitimate source wholly independent of the compelled testimony.” </w:t>
      </w:r>
      <w:r>
        <w:rPr>
          <w:rFonts w:ascii="Times New Roman" w:eastAsia="Times New Roman" w:hAnsi="Times New Roman" w:cs="Times New Roman"/>
          <w:i/>
          <w:iCs/>
          <w:sz w:val="26"/>
          <w:szCs w:val="26"/>
        </w:rPr>
        <w:t xml:space="preserve">Id. </w:t>
      </w:r>
    </w:p>
    <w:p w14:paraId="00000071" w14:textId="77777777" w:rsidR="00044E7C" w:rsidRDefault="008B7160">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Here, Exhibit 19 was obtained directly from Parker’s testimony, as Parker provided information to a storage unit that the Government was previously unaware of. Nolan Dep. 32:335-342, 346-350. After receiving this information, a search warrant was obtained and executed, which uncovered records “never recovered anywhere else,” including the records contained in Exhibit 19.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33:355-365. Thus, the Government cannot establish that Exhibit 19 came from “a legitimate source wholly independent of the compelled testimony.”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460. Agent Nolan admitted that the Government first learned about the storage unit from Parker and then used that information to locate and search it. His assertion that he “would’ve found it one way or another” does not establish that the Government obtained the storage unit information from a source independent of Parker. Nolan Dep. 33:348-350. Instead, the undisputed investigative chain is that Parker’s testimony is what led investigators to the previously unknown storage unit, and the resulting search is what produced Exhibit 19. Accordingly, because the Government cannot establish that Parker’s testimony was wholly independent of Calloway’s compelled testimony, it likewise cannot establish a wholly independent source for Exhibit 19. The Court should therefore suppress Exhibit 19 along with Parker’s testimony. </w:t>
      </w:r>
    </w:p>
    <w:p w14:paraId="00000072" w14:textId="0D78D96C" w:rsidR="00044E7C" w:rsidRDefault="008B7160">
      <w:pPr>
        <w:pStyle w:val="Heading2"/>
        <w:numPr>
          <w:ilvl w:val="0"/>
          <w:numId w:val="1"/>
        </w:numPr>
        <w:spacing w:before="0" w:after="200" w:line="240" w:lineRule="auto"/>
        <w:rPr>
          <w:rFonts w:ascii="Times New Roman" w:eastAsia="Times New Roman" w:hAnsi="Times New Roman" w:cs="Times New Roman"/>
          <w:b/>
          <w:bCs/>
          <w:sz w:val="26"/>
          <w:szCs w:val="26"/>
        </w:rPr>
      </w:pPr>
      <w:bookmarkStart w:id="12" w:name="_Toc239155064"/>
      <w:r>
        <w:rPr>
          <w:rFonts w:ascii="Times New Roman" w:eastAsia="Times New Roman" w:hAnsi="Times New Roman" w:cs="Times New Roman"/>
          <w:b/>
          <w:bCs/>
          <w:sz w:val="26"/>
          <w:szCs w:val="26"/>
        </w:rPr>
        <w:lastRenderedPageBreak/>
        <w:t>CALLOWAY’S MOTION TO QUASH SHOULD BE GRANTED BECAUSE ARMANA’S INTERVIEW NOTES ARE PROTECTED OPINION WORK-PRODUCT ENTITLED TO HEIGHTENED PROTECTION</w:t>
      </w:r>
      <w:bookmarkEnd w:id="12"/>
      <w:r w:rsidR="00697F82">
        <w:rPr>
          <w:rFonts w:ascii="Times New Roman" w:eastAsia="Times New Roman" w:hAnsi="Times New Roman" w:cs="Times New Roman"/>
          <w:b/>
          <w:bCs/>
          <w:sz w:val="26"/>
          <w:szCs w:val="26"/>
        </w:rPr>
        <w:t>.</w:t>
      </w:r>
    </w:p>
    <w:p w14:paraId="00000073" w14:textId="7039BE87" w:rsidR="00044E7C" w:rsidRDefault="008B7160">
      <w:pPr>
        <w:pStyle w:val="Heading3"/>
        <w:numPr>
          <w:ilvl w:val="1"/>
          <w:numId w:val="1"/>
        </w:numPr>
        <w:spacing w:before="0" w:after="200" w:line="240" w:lineRule="auto"/>
        <w:rPr>
          <w:rFonts w:ascii="Times New Roman" w:eastAsia="Times New Roman" w:hAnsi="Times New Roman" w:cs="Times New Roman"/>
          <w:b/>
          <w:bCs/>
          <w:color w:val="000000"/>
          <w:sz w:val="26"/>
          <w:szCs w:val="26"/>
        </w:rPr>
      </w:pPr>
      <w:bookmarkStart w:id="13" w:name="_4rffot5631h0" w:colFirst="0" w:colLast="0"/>
      <w:bookmarkStart w:id="14" w:name="_Toc239155065"/>
      <w:bookmarkEnd w:id="13"/>
      <w:r>
        <w:rPr>
          <w:rFonts w:ascii="Times New Roman" w:eastAsia="Times New Roman" w:hAnsi="Times New Roman" w:cs="Times New Roman"/>
          <w:b/>
          <w:bCs/>
          <w:color w:val="000000"/>
          <w:sz w:val="26"/>
          <w:szCs w:val="26"/>
        </w:rPr>
        <w:t>Armana’s Interview Notes Are Protected Work-Product Because She Acted as an Agent of the Attorney</w:t>
      </w:r>
      <w:bookmarkEnd w:id="14"/>
      <w:r w:rsidR="00697F82">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000000"/>
          <w:sz w:val="26"/>
          <w:szCs w:val="26"/>
        </w:rPr>
        <w:t xml:space="preserve"> </w:t>
      </w:r>
    </w:p>
    <w:p w14:paraId="00000074" w14:textId="77777777" w:rsidR="00044E7C" w:rsidRDefault="008B7160">
      <w:pPr>
        <w:spacing w:line="48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xml:space="preserve">Under the work-product doctrine, the Supreme Court has recognized “it is essential that a lawyer work with a certain degree of privacy, free from unnecessary intrusion by opposing parties and their counsel.” </w:t>
      </w:r>
      <w:r>
        <w:rPr>
          <w:rFonts w:ascii="Times New Roman" w:eastAsia="Times New Roman" w:hAnsi="Times New Roman" w:cs="Times New Roman"/>
          <w:i/>
          <w:iCs/>
          <w:sz w:val="26"/>
          <w:szCs w:val="26"/>
        </w:rPr>
        <w:t>Hickman v. Taylor</w:t>
      </w:r>
      <w:r>
        <w:rPr>
          <w:rFonts w:ascii="Times New Roman" w:eastAsia="Times New Roman" w:hAnsi="Times New Roman" w:cs="Times New Roman"/>
          <w:sz w:val="26"/>
          <w:szCs w:val="26"/>
        </w:rPr>
        <w:t xml:space="preserve">, 329 U.S. 495, 510 (1947). Proper preparation requires that an attorney “assemble information, sift what he considers to be the relevant from the irrelevant facts, prepare his legal theories and plan his strategy without undue and needless interference.”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511. “This work is reflected…in interviews, statements, memoranda…and countless other tangible and intangible ways[.]”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The Court cautioned that “[w]ere such materials open to opposing counsel on mere demand,” “[i]</w:t>
      </w:r>
      <w:proofErr w:type="spellStart"/>
      <w:r>
        <w:rPr>
          <w:rFonts w:ascii="Times New Roman" w:eastAsia="Times New Roman" w:hAnsi="Times New Roman" w:cs="Times New Roman"/>
          <w:sz w:val="26"/>
          <w:szCs w:val="26"/>
        </w:rPr>
        <w:t>nefficiency</w:t>
      </w:r>
      <w:proofErr w:type="spellEnd"/>
      <w:r>
        <w:rPr>
          <w:rFonts w:ascii="Times New Roman" w:eastAsia="Times New Roman" w:hAnsi="Times New Roman" w:cs="Times New Roman"/>
          <w:sz w:val="26"/>
          <w:szCs w:val="26"/>
        </w:rPr>
        <w:t xml:space="preserve">, unfairness and sharp practices would inevitably develop…The effect on the legal profession would be demoralizing. And the interests of the clients and the cause of justice would be poorly served.” </w:t>
      </w:r>
      <w:r>
        <w:rPr>
          <w:rFonts w:ascii="Times New Roman" w:eastAsia="Times New Roman" w:hAnsi="Times New Roman" w:cs="Times New Roman"/>
          <w:i/>
          <w:iCs/>
          <w:sz w:val="26"/>
          <w:szCs w:val="26"/>
        </w:rPr>
        <w:t xml:space="preserve">Id. </w:t>
      </w:r>
    </w:p>
    <w:p w14:paraId="00000075" w14:textId="77777777" w:rsidR="00044E7C" w:rsidRDefault="008B7160">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Supreme Court has further explained that the work-product doctrine’s protections extend to material prepared by agents working under the attorney. </w:t>
      </w:r>
      <w:r>
        <w:rPr>
          <w:rFonts w:ascii="Times New Roman" w:eastAsia="Times New Roman" w:hAnsi="Times New Roman" w:cs="Times New Roman"/>
          <w:i/>
          <w:iCs/>
          <w:sz w:val="26"/>
          <w:szCs w:val="26"/>
        </w:rPr>
        <w:t>United States v. Nobles</w:t>
      </w:r>
      <w:r>
        <w:rPr>
          <w:rFonts w:ascii="Times New Roman" w:eastAsia="Times New Roman" w:hAnsi="Times New Roman" w:cs="Times New Roman"/>
          <w:sz w:val="26"/>
          <w:szCs w:val="26"/>
        </w:rPr>
        <w:t xml:space="preserve">, 443 U.S. 225, 238-39 (1975).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an investigator for the defense interviewed prosecution witnesses and “preserved the essence of those conversations in a written report.”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227. The Court explained that “[a]t its core, the work-product doctrine shelters the mental processes of the attorney[.]”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238. In determining whether that protection extended to the investigator’s work, the court emphasized that the doctrine “is an intensely practical one, grounded in the realities of litigation,” which </w:t>
      </w:r>
      <w:r>
        <w:rPr>
          <w:rFonts w:ascii="Times New Roman" w:eastAsia="Times New Roman" w:hAnsi="Times New Roman" w:cs="Times New Roman"/>
          <w:sz w:val="26"/>
          <w:szCs w:val="26"/>
        </w:rPr>
        <w:lastRenderedPageBreak/>
        <w:t xml:space="preserve">include the reality “that attorneys often must rely on the assistance of investigators and other agents in the compilation of materials in preparation for trial.”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Accordingly, the Court recognized that it “is therefore necessary that the doctrine protect material prepared by agents for the attorney as well as those prepared by the attorney himself.”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 238-39.</w:t>
      </w:r>
    </w:p>
    <w:p w14:paraId="00000076" w14:textId="77777777" w:rsidR="00044E7C" w:rsidRDefault="008B7160">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Here, Armana’s investigation and interview notes are protected under the work-product doctrine.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As </w:t>
      </w:r>
      <w:r>
        <w:rPr>
          <w:rFonts w:ascii="Times New Roman" w:eastAsia="Times New Roman" w:hAnsi="Times New Roman" w:cs="Times New Roman"/>
          <w:i/>
          <w:iCs/>
          <w:sz w:val="26"/>
          <w:szCs w:val="26"/>
        </w:rPr>
        <w:t>Hickman</w:t>
      </w:r>
      <w:r>
        <w:rPr>
          <w:rFonts w:ascii="Times New Roman" w:eastAsia="Times New Roman" w:hAnsi="Times New Roman" w:cs="Times New Roman"/>
          <w:sz w:val="26"/>
          <w:szCs w:val="26"/>
        </w:rPr>
        <w:t xml:space="preserve"> recognized, “it is essential that a lawyer” be able to prepare a case “free from unnecessary intrusion by opposing parties and their counsel,” which is what counsel did here. 329 U.S. at 510. Armana was directed to “to help counsel understand the financial structure the government was building a case around,” including “the companies, the money movement, who performed what work, and who really called the shots,” so that counsel could “prepare a defense for Ms. Calloway if it came to that.”</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Armana Dep.</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at 44:39-45. This was part of counsel’s effort to “assemble information” and “prepare his legal theories and plan his strategy without undue and needless interference,” which </w:t>
      </w:r>
      <w:r>
        <w:rPr>
          <w:rFonts w:ascii="Times New Roman" w:eastAsia="Times New Roman" w:hAnsi="Times New Roman" w:cs="Times New Roman"/>
          <w:i/>
          <w:iCs/>
          <w:sz w:val="26"/>
          <w:szCs w:val="26"/>
        </w:rPr>
        <w:t>Hickman</w:t>
      </w:r>
      <w:r>
        <w:rPr>
          <w:rFonts w:ascii="Times New Roman" w:eastAsia="Times New Roman" w:hAnsi="Times New Roman" w:cs="Times New Roman"/>
          <w:sz w:val="26"/>
          <w:szCs w:val="26"/>
        </w:rPr>
        <w:t xml:space="preserve"> explicitly protects because otherwise “[i]</w:t>
      </w:r>
      <w:proofErr w:type="spellStart"/>
      <w:r>
        <w:rPr>
          <w:rFonts w:ascii="Times New Roman" w:eastAsia="Times New Roman" w:hAnsi="Times New Roman" w:cs="Times New Roman"/>
          <w:sz w:val="26"/>
          <w:szCs w:val="26"/>
        </w:rPr>
        <w:t>nefficiency</w:t>
      </w:r>
      <w:proofErr w:type="spellEnd"/>
      <w:r>
        <w:rPr>
          <w:rFonts w:ascii="Times New Roman" w:eastAsia="Times New Roman" w:hAnsi="Times New Roman" w:cs="Times New Roman"/>
          <w:sz w:val="26"/>
          <w:szCs w:val="26"/>
        </w:rPr>
        <w:t xml:space="preserve">, unfairness and sharp practices would inevitably develop,” and the client's interest and justice “poorly served.” 329 U.S. at 511. Accordingly, Armana’s interview notes are entitled to work-product protection. </w:t>
      </w:r>
    </w:p>
    <w:p w14:paraId="00000077" w14:textId="77777777" w:rsidR="00044E7C" w:rsidRDefault="008B7160">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That protection does not change merely because Armana, rather than counsel, conducted the interview and prepared the notes. As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explained, it is a “</w:t>
      </w:r>
      <w:proofErr w:type="spellStart"/>
      <w:r>
        <w:rPr>
          <w:rFonts w:ascii="Times New Roman" w:eastAsia="Times New Roman" w:hAnsi="Times New Roman" w:cs="Times New Roman"/>
          <w:sz w:val="26"/>
          <w:szCs w:val="26"/>
        </w:rPr>
        <w:t>realit</w:t>
      </w:r>
      <w:proofErr w:type="spellEnd"/>
      <w:r>
        <w:rPr>
          <w:rFonts w:ascii="Times New Roman" w:eastAsia="Times New Roman" w:hAnsi="Times New Roman" w:cs="Times New Roman"/>
          <w:sz w:val="26"/>
          <w:szCs w:val="26"/>
        </w:rPr>
        <w:t xml:space="preserve">[y] of litigation…that attorneys often must rely on the assistance of investigators and other agents in the compilation of materials in preparation for trial,” which was the reality here. </w:t>
      </w:r>
      <w:r>
        <w:rPr>
          <w:rFonts w:ascii="Times New Roman" w:eastAsia="Times New Roman" w:hAnsi="Times New Roman" w:cs="Times New Roman"/>
          <w:i/>
          <w:iCs/>
          <w:sz w:val="26"/>
          <w:szCs w:val="26"/>
        </w:rPr>
        <w:lastRenderedPageBreak/>
        <w:t>Nobles</w:t>
      </w:r>
      <w:r>
        <w:rPr>
          <w:rFonts w:ascii="Times New Roman" w:eastAsia="Times New Roman" w:hAnsi="Times New Roman" w:cs="Times New Roman"/>
          <w:sz w:val="26"/>
          <w:szCs w:val="26"/>
        </w:rPr>
        <w:t xml:space="preserve">, 443 U.S. at 238. Armana acted as an agent for the attorney, working at counsel’s “direction and under their supervision,” and described herself as “an extension of the legal team, not a free agent.” Armana Dep. 43:27-32. Like the investigator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interviewed witnesses and “preserved the essence of those conversations in a written report,” Armana preserved Seton’s interview in written notes for Calloway’s defense.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443 U.S. at 227. Armana further confirmed that “[e]</w:t>
      </w:r>
      <w:proofErr w:type="spellStart"/>
      <w:r>
        <w:rPr>
          <w:rFonts w:ascii="Times New Roman" w:eastAsia="Times New Roman" w:hAnsi="Times New Roman" w:cs="Times New Roman"/>
          <w:sz w:val="26"/>
          <w:szCs w:val="26"/>
        </w:rPr>
        <w:t>verything</w:t>
      </w:r>
      <w:proofErr w:type="spellEnd"/>
      <w:r>
        <w:rPr>
          <w:rFonts w:ascii="Times New Roman" w:eastAsia="Times New Roman" w:hAnsi="Times New Roman" w:cs="Times New Roman"/>
          <w:sz w:val="26"/>
          <w:szCs w:val="26"/>
        </w:rPr>
        <w:t xml:space="preserve"> [she] did on that engagement” was because “counsel was preparing for that.” Armana Dep. 44:47-50. Accordingly, it is “necessary” to protect Armana’s interview notes under the work-product doctrine, as she is an agent for the attorney.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238-39. </w:t>
      </w:r>
    </w:p>
    <w:p w14:paraId="00000078" w14:textId="724F2705" w:rsidR="00044E7C" w:rsidRDefault="008B7160">
      <w:pPr>
        <w:pStyle w:val="Heading3"/>
        <w:numPr>
          <w:ilvl w:val="1"/>
          <w:numId w:val="1"/>
        </w:numPr>
        <w:spacing w:before="0" w:after="200" w:line="240" w:lineRule="auto"/>
        <w:rPr>
          <w:rFonts w:ascii="Times New Roman" w:eastAsia="Times New Roman" w:hAnsi="Times New Roman" w:cs="Times New Roman"/>
          <w:b/>
          <w:bCs/>
          <w:color w:val="000000"/>
          <w:sz w:val="26"/>
          <w:szCs w:val="26"/>
        </w:rPr>
      </w:pPr>
      <w:bookmarkStart w:id="15" w:name="_Toc239155066"/>
      <w:r>
        <w:rPr>
          <w:rFonts w:ascii="Times New Roman" w:eastAsia="Times New Roman" w:hAnsi="Times New Roman" w:cs="Times New Roman"/>
          <w:b/>
          <w:bCs/>
          <w:color w:val="000000"/>
          <w:sz w:val="26"/>
          <w:szCs w:val="26"/>
        </w:rPr>
        <w:t>Armana’s Interview Notes are Opinion Work-Product Entitled to Heightened Protection</w:t>
      </w:r>
      <w:bookmarkEnd w:id="15"/>
      <w:r w:rsidR="00697F82">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000000"/>
          <w:sz w:val="26"/>
          <w:szCs w:val="26"/>
        </w:rPr>
        <w:t xml:space="preserve"> </w:t>
      </w:r>
    </w:p>
    <w:p w14:paraId="00000079"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b/>
      </w:r>
      <w:r>
        <w:rPr>
          <w:rFonts w:ascii="Times New Roman" w:eastAsia="Times New Roman" w:hAnsi="Times New Roman" w:cs="Times New Roman"/>
          <w:sz w:val="26"/>
          <w:szCs w:val="26"/>
        </w:rPr>
        <w:t xml:space="preserve">“[T]o the extent that work product reveals the opinions, judgments, and thought processes of counsel, it receives some higher level of protection, and a party seeking discovery must show extraordinary justification.” </w:t>
      </w:r>
      <w:r>
        <w:rPr>
          <w:rFonts w:ascii="Times New Roman" w:eastAsia="Times New Roman" w:hAnsi="Times New Roman" w:cs="Times New Roman"/>
          <w:i/>
          <w:iCs/>
          <w:sz w:val="26"/>
          <w:szCs w:val="26"/>
        </w:rPr>
        <w:t>In re Sealed Case</w:t>
      </w:r>
      <w:r>
        <w:rPr>
          <w:rFonts w:ascii="Times New Roman" w:eastAsia="Times New Roman" w:hAnsi="Times New Roman" w:cs="Times New Roman"/>
          <w:sz w:val="26"/>
          <w:szCs w:val="26"/>
        </w:rPr>
        <w:t xml:space="preserve">, 676 F.2d 793, 809-10 (D.C. Cir. 1982). Courts therefore recognize a “two-tiered structure-qualified protection for ‘fact’ work product and more absolute protection for ‘opinion’ work product.”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 811.</w:t>
      </w:r>
    </w:p>
    <w:p w14:paraId="0000007A"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Likewise, the Supreme Court has explained that work-product revealing “the mental impressions, conclusions, opinions or legal theories of an attorney or other representative of a party” is entitled to “special protection.” </w:t>
      </w: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449 U.S. 383, 400-01 (1981). Particularly, “[f]</w:t>
      </w:r>
      <w:proofErr w:type="spellStart"/>
      <w:r>
        <w:rPr>
          <w:rFonts w:ascii="Times New Roman" w:eastAsia="Times New Roman" w:hAnsi="Times New Roman" w:cs="Times New Roman"/>
          <w:sz w:val="26"/>
          <w:szCs w:val="26"/>
        </w:rPr>
        <w:t>orcing</w:t>
      </w:r>
      <w:proofErr w:type="spellEnd"/>
      <w:r>
        <w:rPr>
          <w:rFonts w:ascii="Times New Roman" w:eastAsia="Times New Roman" w:hAnsi="Times New Roman" w:cs="Times New Roman"/>
          <w:sz w:val="26"/>
          <w:szCs w:val="26"/>
        </w:rPr>
        <w:t xml:space="preserve"> an attorney to disclose notes and memoranda of witnesses’ oral statements is…disfavored because it tends to reveal the </w:t>
      </w:r>
      <w:r>
        <w:rPr>
          <w:rFonts w:ascii="Times New Roman" w:eastAsia="Times New Roman" w:hAnsi="Times New Roman" w:cs="Times New Roman"/>
          <w:sz w:val="26"/>
          <w:szCs w:val="26"/>
        </w:rPr>
        <w:lastRenderedPageBreak/>
        <w:t xml:space="preserve">attorney’s mental processes.”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399. In </w:t>
      </w:r>
      <w:r>
        <w:rPr>
          <w:rFonts w:ascii="Times New Roman" w:eastAsia="Times New Roman" w:hAnsi="Times New Roman" w:cs="Times New Roman"/>
          <w:i/>
          <w:iCs/>
          <w:sz w:val="26"/>
          <w:szCs w:val="26"/>
        </w:rPr>
        <w:t>Upjohn</w:t>
      </w:r>
      <w:r>
        <w:rPr>
          <w:rFonts w:ascii="Times New Roman" w:eastAsia="Times New Roman" w:hAnsi="Times New Roman" w:cs="Times New Roman"/>
          <w:sz w:val="26"/>
          <w:szCs w:val="26"/>
        </w:rPr>
        <w:t xml:space="preserve">, the Government sought to discover memorandums and notes of the interviews conducted by opposing counsel.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388. However, counsel explained that his notes went “beyond recording responses to his questions” and had his thoughts and impressions from the interview.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397, n.8. The Court therefore concluded that when such witness statements “reveal the attorneys’ mental processes in evaluating the communications…such work product cannot be disclosed simply on a showing of substantial need and inability to obtain the equivalent without undue hardship.”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401. </w:t>
      </w:r>
    </w:p>
    <w:p w14:paraId="0000007B"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Here, Armana’s notes are entitled to heightened protection, requiring “extraordinary justification.” </w:t>
      </w:r>
      <w:r>
        <w:rPr>
          <w:rFonts w:ascii="Times New Roman" w:eastAsia="Times New Roman" w:hAnsi="Times New Roman" w:cs="Times New Roman"/>
          <w:i/>
          <w:iCs/>
          <w:sz w:val="26"/>
          <w:szCs w:val="26"/>
        </w:rPr>
        <w:t>In re Sealed Case</w:t>
      </w:r>
      <w:r>
        <w:rPr>
          <w:rFonts w:ascii="Times New Roman" w:eastAsia="Times New Roman" w:hAnsi="Times New Roman" w:cs="Times New Roman"/>
          <w:sz w:val="26"/>
          <w:szCs w:val="26"/>
        </w:rPr>
        <w:t xml:space="preserve">, 676 F.2d at 809-10. Like the interview notes in </w:t>
      </w:r>
      <w:r>
        <w:rPr>
          <w:rFonts w:ascii="Times New Roman" w:eastAsia="Times New Roman" w:hAnsi="Times New Roman" w:cs="Times New Roman"/>
          <w:i/>
          <w:iCs/>
          <w:sz w:val="26"/>
          <w:szCs w:val="26"/>
        </w:rPr>
        <w:t>Upjohn</w:t>
      </w:r>
      <w:r>
        <w:rPr>
          <w:rFonts w:ascii="Times New Roman" w:eastAsia="Times New Roman" w:hAnsi="Times New Roman" w:cs="Times New Roman"/>
          <w:sz w:val="26"/>
          <w:szCs w:val="26"/>
        </w:rPr>
        <w:t xml:space="preserve">, Armana’s notes went “beyond recording responses” and include her mental processes in evaluating Seton’s responses. 449 U.S. at 397. Armana explained her notes include “what the witness tells [her],” along with her “own thoughts” throughout the interview including things she wanted to follow up on, things that “strike” her, and questions forming in her head. Armana Dep. 46:121-24. Likewise, her annotations include her “own thoughts, follow-ups, questions, and the theories” she formed.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46:140-43; </w:t>
      </w:r>
      <w:r>
        <w:rPr>
          <w:rFonts w:ascii="Times New Roman" w:eastAsia="Times New Roman" w:hAnsi="Times New Roman" w:cs="Times New Roman"/>
          <w:i/>
          <w:iCs/>
          <w:sz w:val="26"/>
          <w:szCs w:val="26"/>
        </w:rPr>
        <w:t xml:space="preserve">see also </w:t>
      </w:r>
      <w:r>
        <w:rPr>
          <w:rFonts w:ascii="Times New Roman" w:eastAsia="Times New Roman" w:hAnsi="Times New Roman" w:cs="Times New Roman"/>
          <w:sz w:val="26"/>
          <w:szCs w:val="26"/>
        </w:rPr>
        <w:t xml:space="preserve">Exhibit 21. Thus, like the notes in </w:t>
      </w:r>
      <w:r>
        <w:rPr>
          <w:rFonts w:ascii="Times New Roman" w:eastAsia="Times New Roman" w:hAnsi="Times New Roman" w:cs="Times New Roman"/>
          <w:i/>
          <w:iCs/>
          <w:sz w:val="26"/>
          <w:szCs w:val="26"/>
        </w:rPr>
        <w:t>Upjohn</w:t>
      </w:r>
      <w:r>
        <w:rPr>
          <w:rFonts w:ascii="Times New Roman" w:eastAsia="Times New Roman" w:hAnsi="Times New Roman" w:cs="Times New Roman"/>
          <w:sz w:val="26"/>
          <w:szCs w:val="26"/>
        </w:rPr>
        <w:t xml:space="preserve">, Armana’s notes include her mental impressions, which include her conclusions and theories. For example, Armana wrote “S never says the name Calloway, but clearly that’s what she meant.” Ex. 21 Her interpretations reflect her own “mental processes in evaluating the communications,” revealing “opinions, adjustments, and thought processes” and is thus </w:t>
      </w:r>
      <w:r>
        <w:rPr>
          <w:rFonts w:ascii="Times New Roman" w:eastAsia="Times New Roman" w:hAnsi="Times New Roman" w:cs="Times New Roman"/>
          <w:sz w:val="26"/>
          <w:szCs w:val="26"/>
        </w:rPr>
        <w:lastRenderedPageBreak/>
        <w:t xml:space="preserve">entitled heightened protection as opinion work-product. </w:t>
      </w:r>
      <w:r>
        <w:rPr>
          <w:rFonts w:ascii="Times New Roman" w:eastAsia="Times New Roman" w:hAnsi="Times New Roman" w:cs="Times New Roman"/>
          <w:i/>
          <w:iCs/>
          <w:sz w:val="26"/>
          <w:szCs w:val="26"/>
        </w:rPr>
        <w:t>Upjohn</w:t>
      </w:r>
      <w:r>
        <w:rPr>
          <w:rFonts w:ascii="Times New Roman" w:eastAsia="Times New Roman" w:hAnsi="Times New Roman" w:cs="Times New Roman"/>
          <w:sz w:val="26"/>
          <w:szCs w:val="26"/>
        </w:rPr>
        <w:t xml:space="preserve">, 449 U.S. at 401; </w:t>
      </w:r>
      <w:r>
        <w:rPr>
          <w:rFonts w:ascii="Times New Roman" w:eastAsia="Times New Roman" w:hAnsi="Times New Roman" w:cs="Times New Roman"/>
          <w:i/>
          <w:iCs/>
          <w:sz w:val="26"/>
          <w:szCs w:val="26"/>
        </w:rPr>
        <w:t>In re Sealed Case</w:t>
      </w:r>
      <w:r>
        <w:rPr>
          <w:rFonts w:ascii="Times New Roman" w:eastAsia="Times New Roman" w:hAnsi="Times New Roman" w:cs="Times New Roman"/>
          <w:sz w:val="26"/>
          <w:szCs w:val="26"/>
        </w:rPr>
        <w:t>, 676 F.2d at 809-11.</w:t>
      </w:r>
    </w:p>
    <w:p w14:paraId="0000007C" w14:textId="6198CCE5" w:rsidR="00044E7C" w:rsidRDefault="008B7160">
      <w:pPr>
        <w:pStyle w:val="Heading3"/>
        <w:numPr>
          <w:ilvl w:val="1"/>
          <w:numId w:val="1"/>
        </w:numPr>
        <w:spacing w:before="0" w:after="200" w:line="240" w:lineRule="auto"/>
        <w:rPr>
          <w:rFonts w:ascii="Times New Roman" w:eastAsia="Times New Roman" w:hAnsi="Times New Roman" w:cs="Times New Roman"/>
          <w:b/>
          <w:bCs/>
          <w:color w:val="000000"/>
          <w:sz w:val="26"/>
          <w:szCs w:val="26"/>
        </w:rPr>
      </w:pPr>
      <w:bookmarkStart w:id="16" w:name="_Toc239155067"/>
      <w:r>
        <w:rPr>
          <w:rFonts w:ascii="Times New Roman" w:eastAsia="Times New Roman" w:hAnsi="Times New Roman" w:cs="Times New Roman"/>
          <w:b/>
          <w:bCs/>
          <w:color w:val="000000"/>
          <w:sz w:val="26"/>
          <w:szCs w:val="26"/>
        </w:rPr>
        <w:t>The Government Cannot Meet the Heightened Protection Required to Obtain Armana’s Opinion Work-Product</w:t>
      </w:r>
      <w:bookmarkEnd w:id="16"/>
      <w:r w:rsidR="00697F82">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000000"/>
          <w:sz w:val="26"/>
          <w:szCs w:val="26"/>
        </w:rPr>
        <w:t xml:space="preserve"> </w:t>
      </w:r>
    </w:p>
    <w:p w14:paraId="0000007D"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b/>
      </w:r>
      <w:r>
        <w:rPr>
          <w:rFonts w:ascii="Times New Roman" w:eastAsia="Times New Roman" w:hAnsi="Times New Roman" w:cs="Times New Roman"/>
          <w:sz w:val="26"/>
          <w:szCs w:val="26"/>
        </w:rPr>
        <w:t xml:space="preserve">The Supreme Court has made clear that opinion work-product “cannot be disclosed simply on a showing of substantial need and inability to obtain the equivalent without undue hardship.” </w:t>
      </w:r>
      <w:r>
        <w:rPr>
          <w:rFonts w:ascii="Times New Roman" w:eastAsia="Times New Roman" w:hAnsi="Times New Roman" w:cs="Times New Roman"/>
          <w:i/>
          <w:iCs/>
          <w:sz w:val="26"/>
          <w:szCs w:val="26"/>
        </w:rPr>
        <w:t>Upjohn</w:t>
      </w:r>
      <w:r>
        <w:rPr>
          <w:rFonts w:ascii="Times New Roman" w:eastAsia="Times New Roman" w:hAnsi="Times New Roman" w:cs="Times New Roman"/>
          <w:sz w:val="26"/>
          <w:szCs w:val="26"/>
        </w:rPr>
        <w:t xml:space="preserve">, 449 U.S. at 401. Rather, disclosure requires “a far stronger showing of necessity and unavailability by other means[.]”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402. </w:t>
      </w:r>
    </w:p>
    <w:p w14:paraId="0000007E" w14:textId="77777777" w:rsidR="00044E7C" w:rsidRDefault="008B7160">
      <w:pPr>
        <w:spacing w:line="480" w:lineRule="auto"/>
        <w:rPr>
          <w:rFonts w:ascii="Times New Roman" w:eastAsia="Times New Roman" w:hAnsi="Times New Roman" w:cs="Times New Roman"/>
          <w:i/>
          <w:iCs/>
          <w:sz w:val="26"/>
          <w:szCs w:val="26"/>
        </w:rPr>
      </w:pPr>
      <w:r>
        <w:rPr>
          <w:rFonts w:ascii="Times New Roman" w:eastAsia="Times New Roman" w:hAnsi="Times New Roman" w:cs="Times New Roman"/>
          <w:sz w:val="26"/>
          <w:szCs w:val="26"/>
        </w:rPr>
        <w:tab/>
        <w:t xml:space="preserve">Multiple courts have found that “opinion work product may be discovered and admitted when mental impressions are </w:t>
      </w:r>
      <w:r>
        <w:rPr>
          <w:rFonts w:ascii="Times New Roman" w:eastAsia="Times New Roman" w:hAnsi="Times New Roman" w:cs="Times New Roman"/>
          <w:i/>
          <w:iCs/>
          <w:sz w:val="26"/>
          <w:szCs w:val="26"/>
        </w:rPr>
        <w:t>at issue</w:t>
      </w:r>
      <w:r>
        <w:rPr>
          <w:rFonts w:ascii="Times New Roman" w:eastAsia="Times New Roman" w:hAnsi="Times New Roman" w:cs="Times New Roman"/>
          <w:sz w:val="26"/>
          <w:szCs w:val="26"/>
        </w:rPr>
        <w:t xml:space="preserve"> in a case and the need for the material is compelling.” </w:t>
      </w:r>
      <w:r>
        <w:rPr>
          <w:rFonts w:ascii="Times New Roman" w:eastAsia="Times New Roman" w:hAnsi="Times New Roman" w:cs="Times New Roman"/>
          <w:i/>
          <w:iCs/>
          <w:sz w:val="26"/>
          <w:szCs w:val="26"/>
        </w:rPr>
        <w:t>See, e.g., Holmgren v. State Farm Mut. Auto. Ins. Co.</w:t>
      </w:r>
      <w:r>
        <w:rPr>
          <w:rFonts w:ascii="Times New Roman" w:eastAsia="Times New Roman" w:hAnsi="Times New Roman" w:cs="Times New Roman"/>
          <w:sz w:val="26"/>
          <w:szCs w:val="26"/>
        </w:rPr>
        <w:t xml:space="preserve">, 976 F.2d 573, 577 (9th Cir. 1992). Whether that showing has been made is reviewed “on a case by case basis.”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Holmgren</w:t>
      </w:r>
      <w:r>
        <w:rPr>
          <w:rFonts w:ascii="Times New Roman" w:eastAsia="Times New Roman" w:hAnsi="Times New Roman" w:cs="Times New Roman"/>
          <w:sz w:val="26"/>
          <w:szCs w:val="26"/>
        </w:rPr>
        <w:t xml:space="preserve">, the plaintiff sued her insurance company for bad faith after it refused to settle her claim within its policy limits.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575. The district court compelled the production of memoranda prepared by the insurance company adjuster that contained “the opinion of [the] adjuster on the range of potential liability.”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576. The insurance company argued that this was opinion work-product and therefore protected from being disclosed.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The Ninth Circuit looked at both elements, requiring the mental impressions to be “</w:t>
      </w:r>
      <w:r>
        <w:rPr>
          <w:rFonts w:ascii="Times New Roman" w:eastAsia="Times New Roman" w:hAnsi="Times New Roman" w:cs="Times New Roman"/>
          <w:i/>
          <w:iCs/>
          <w:sz w:val="26"/>
          <w:szCs w:val="26"/>
        </w:rPr>
        <w:t>at issue</w:t>
      </w:r>
      <w:r>
        <w:rPr>
          <w:rFonts w:ascii="Times New Roman" w:eastAsia="Times New Roman" w:hAnsi="Times New Roman" w:cs="Times New Roman"/>
          <w:sz w:val="26"/>
          <w:szCs w:val="26"/>
        </w:rPr>
        <w:t xml:space="preserve">” and its need to be “compelling,” and permitted disclosure.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577. The court found that the adjuster’s “‘strategy, mental impressions and opinion’” of the claim was “directly at issue” due to the nature of the bad faith claim.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The </w:t>
      </w:r>
      <w:r>
        <w:rPr>
          <w:rFonts w:ascii="Times New Roman" w:eastAsia="Times New Roman" w:hAnsi="Times New Roman" w:cs="Times New Roman"/>
          <w:sz w:val="26"/>
          <w:szCs w:val="26"/>
        </w:rPr>
        <w:lastRenderedPageBreak/>
        <w:t xml:space="preserve">plaintiff’s need was also “compelling” because evidence of the insurance company’s own “opinion of the viability and value of the claim” was necessary to evaluate its conduct. </w:t>
      </w:r>
      <w:r>
        <w:rPr>
          <w:rFonts w:ascii="Times New Roman" w:eastAsia="Times New Roman" w:hAnsi="Times New Roman" w:cs="Times New Roman"/>
          <w:i/>
          <w:iCs/>
          <w:sz w:val="26"/>
          <w:szCs w:val="26"/>
        </w:rPr>
        <w:t xml:space="preserve">Id. </w:t>
      </w:r>
    </w:p>
    <w:p w14:paraId="0000007F" w14:textId="77777777"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Here, unlike in </w:t>
      </w:r>
      <w:r>
        <w:rPr>
          <w:rFonts w:ascii="Times New Roman" w:eastAsia="Times New Roman" w:hAnsi="Times New Roman" w:cs="Times New Roman"/>
          <w:i/>
          <w:iCs/>
          <w:sz w:val="26"/>
          <w:szCs w:val="26"/>
        </w:rPr>
        <w:t>Holmgren</w:t>
      </w:r>
      <w:r>
        <w:rPr>
          <w:rFonts w:ascii="Times New Roman" w:eastAsia="Times New Roman" w:hAnsi="Times New Roman" w:cs="Times New Roman"/>
          <w:sz w:val="26"/>
          <w:szCs w:val="26"/>
        </w:rPr>
        <w:t xml:space="preserve">, Armana’s mental impressions are not “directly at issue,”  nor does the Government have a “compelling” need for them.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Holmgren</w:t>
      </w:r>
      <w:r>
        <w:rPr>
          <w:rFonts w:ascii="Times New Roman" w:eastAsia="Times New Roman" w:hAnsi="Times New Roman" w:cs="Times New Roman"/>
          <w:sz w:val="26"/>
          <w:szCs w:val="26"/>
        </w:rPr>
        <w:t xml:space="preserve">, the nature of the bad faith claim made the insurer’s own evaluation of the claim directly at issue since it was necessary to determine if there was any bad faith conduct. In contrast, here, Armana’s opinions have no bearing on whether Calloway engaged in the alleged conduct. The Government’s potential need for Seton’s factual statements does not create a “compelling” need for Armana’s opinions about those statements. Accordingly, the Government cannot make the heightened showing necessary to overcome the work-product protection. </w:t>
      </w:r>
    </w:p>
    <w:p w14:paraId="1EC551E3" w14:textId="77777777" w:rsidR="001D0B42" w:rsidRDefault="001D0B42">
      <w:pPr>
        <w:spacing w:line="480" w:lineRule="auto"/>
        <w:rPr>
          <w:rFonts w:ascii="Times New Roman" w:eastAsia="Times New Roman" w:hAnsi="Times New Roman" w:cs="Times New Roman"/>
          <w:sz w:val="26"/>
          <w:szCs w:val="26"/>
        </w:rPr>
      </w:pPr>
    </w:p>
    <w:p w14:paraId="317CC729" w14:textId="77777777" w:rsidR="001D0B42" w:rsidRDefault="001D0B42">
      <w:pPr>
        <w:spacing w:line="480" w:lineRule="auto"/>
        <w:rPr>
          <w:rFonts w:ascii="Times New Roman" w:eastAsia="Times New Roman" w:hAnsi="Times New Roman" w:cs="Times New Roman"/>
          <w:sz w:val="26"/>
          <w:szCs w:val="26"/>
        </w:rPr>
      </w:pPr>
    </w:p>
    <w:p w14:paraId="0A21062D" w14:textId="77777777" w:rsidR="001D0B42" w:rsidRDefault="001D0B42">
      <w:pPr>
        <w:spacing w:line="480" w:lineRule="auto"/>
        <w:rPr>
          <w:rFonts w:ascii="Times New Roman" w:eastAsia="Times New Roman" w:hAnsi="Times New Roman" w:cs="Times New Roman"/>
          <w:sz w:val="26"/>
          <w:szCs w:val="26"/>
        </w:rPr>
      </w:pPr>
    </w:p>
    <w:p w14:paraId="2F7E89D1" w14:textId="77777777" w:rsidR="001D0B42" w:rsidRDefault="001D0B42">
      <w:pPr>
        <w:spacing w:line="480" w:lineRule="auto"/>
        <w:rPr>
          <w:rFonts w:ascii="Times New Roman" w:eastAsia="Times New Roman" w:hAnsi="Times New Roman" w:cs="Times New Roman"/>
          <w:sz w:val="26"/>
          <w:szCs w:val="26"/>
        </w:rPr>
      </w:pPr>
    </w:p>
    <w:p w14:paraId="08F82A3A" w14:textId="77777777" w:rsidR="001D0B42" w:rsidRDefault="001D0B42">
      <w:pPr>
        <w:spacing w:line="480" w:lineRule="auto"/>
        <w:rPr>
          <w:rFonts w:ascii="Times New Roman" w:eastAsia="Times New Roman" w:hAnsi="Times New Roman" w:cs="Times New Roman"/>
          <w:sz w:val="26"/>
          <w:szCs w:val="26"/>
        </w:rPr>
      </w:pPr>
    </w:p>
    <w:p w14:paraId="21A55ADF" w14:textId="77777777" w:rsidR="001D0B42" w:rsidRDefault="001D0B42">
      <w:pPr>
        <w:spacing w:line="480" w:lineRule="auto"/>
        <w:rPr>
          <w:rFonts w:ascii="Times New Roman" w:eastAsia="Times New Roman" w:hAnsi="Times New Roman" w:cs="Times New Roman"/>
          <w:sz w:val="26"/>
          <w:szCs w:val="26"/>
        </w:rPr>
      </w:pPr>
    </w:p>
    <w:p w14:paraId="4655D1CD" w14:textId="77777777" w:rsidR="001D0B42" w:rsidRDefault="001D0B42">
      <w:pPr>
        <w:spacing w:line="480" w:lineRule="auto"/>
        <w:rPr>
          <w:rFonts w:ascii="Times New Roman" w:eastAsia="Times New Roman" w:hAnsi="Times New Roman" w:cs="Times New Roman"/>
          <w:sz w:val="26"/>
          <w:szCs w:val="26"/>
        </w:rPr>
      </w:pPr>
    </w:p>
    <w:p w14:paraId="12373F06" w14:textId="77777777" w:rsidR="001D0B42" w:rsidRDefault="001D0B42">
      <w:pPr>
        <w:spacing w:line="480" w:lineRule="auto"/>
        <w:rPr>
          <w:rFonts w:ascii="Times New Roman" w:eastAsia="Times New Roman" w:hAnsi="Times New Roman" w:cs="Times New Roman"/>
          <w:sz w:val="26"/>
          <w:szCs w:val="26"/>
        </w:rPr>
      </w:pPr>
    </w:p>
    <w:p w14:paraId="0B753610" w14:textId="77777777" w:rsidR="001D0B42" w:rsidRDefault="001D0B42">
      <w:pPr>
        <w:spacing w:line="480" w:lineRule="auto"/>
        <w:rPr>
          <w:rFonts w:ascii="Times New Roman" w:eastAsia="Times New Roman" w:hAnsi="Times New Roman" w:cs="Times New Roman"/>
          <w:b/>
          <w:bCs/>
          <w:sz w:val="26"/>
          <w:szCs w:val="26"/>
        </w:rPr>
      </w:pPr>
    </w:p>
    <w:p w14:paraId="00000080" w14:textId="77777777" w:rsidR="00044E7C" w:rsidRPr="002D567B" w:rsidRDefault="008B7160">
      <w:pPr>
        <w:pStyle w:val="Heading1"/>
        <w:spacing w:before="0" w:after="0" w:line="480" w:lineRule="auto"/>
        <w:jc w:val="center"/>
        <w:rPr>
          <w:rFonts w:ascii="Times New Roman" w:eastAsia="Times New Roman" w:hAnsi="Times New Roman" w:cs="Times New Roman"/>
          <w:b/>
          <w:bCs/>
          <w:sz w:val="26"/>
          <w:szCs w:val="26"/>
        </w:rPr>
      </w:pPr>
      <w:bookmarkStart w:id="17" w:name="_Toc239155068"/>
      <w:r w:rsidRPr="002D567B">
        <w:rPr>
          <w:rFonts w:ascii="Times New Roman" w:eastAsia="Times New Roman" w:hAnsi="Times New Roman" w:cs="Times New Roman"/>
          <w:b/>
          <w:bCs/>
          <w:sz w:val="26"/>
          <w:szCs w:val="26"/>
        </w:rPr>
        <w:lastRenderedPageBreak/>
        <w:t>CONCLUSION</w:t>
      </w:r>
      <w:bookmarkEnd w:id="17"/>
    </w:p>
    <w:p w14:paraId="00000081" w14:textId="054F1D1E" w:rsidR="00044E7C" w:rsidRDefault="008B7160">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For the foregoing reasons, Calloway respectfully requests that this Court grant </w:t>
      </w:r>
      <w:r w:rsidR="00C422E4">
        <w:rPr>
          <w:rFonts w:ascii="Times New Roman" w:eastAsia="Times New Roman" w:hAnsi="Times New Roman" w:cs="Times New Roman"/>
          <w:sz w:val="26"/>
          <w:szCs w:val="26"/>
        </w:rPr>
        <w:t>her</w:t>
      </w:r>
      <w:r>
        <w:rPr>
          <w:rFonts w:ascii="Times New Roman" w:eastAsia="Times New Roman" w:hAnsi="Times New Roman" w:cs="Times New Roman"/>
          <w:sz w:val="26"/>
          <w:szCs w:val="26"/>
        </w:rPr>
        <w:t xml:space="preserve"> </w:t>
      </w:r>
      <w:r w:rsidR="00C422E4">
        <w:rPr>
          <w:rFonts w:ascii="Times New Roman" w:eastAsia="Times New Roman" w:hAnsi="Times New Roman" w:cs="Times New Roman"/>
          <w:sz w:val="26"/>
          <w:szCs w:val="26"/>
        </w:rPr>
        <w:t>M</w:t>
      </w:r>
      <w:r>
        <w:rPr>
          <w:rFonts w:ascii="Times New Roman" w:eastAsia="Times New Roman" w:hAnsi="Times New Roman" w:cs="Times New Roman"/>
          <w:sz w:val="26"/>
          <w:szCs w:val="26"/>
        </w:rPr>
        <w:t xml:space="preserve">otion to </w:t>
      </w:r>
      <w:r w:rsidR="00C422E4">
        <w:rPr>
          <w:rFonts w:ascii="Times New Roman" w:eastAsia="Times New Roman" w:hAnsi="Times New Roman" w:cs="Times New Roman"/>
          <w:sz w:val="26"/>
          <w:szCs w:val="26"/>
        </w:rPr>
        <w:t>S</w:t>
      </w:r>
      <w:r>
        <w:rPr>
          <w:rFonts w:ascii="Times New Roman" w:eastAsia="Times New Roman" w:hAnsi="Times New Roman" w:cs="Times New Roman"/>
          <w:sz w:val="26"/>
          <w:szCs w:val="26"/>
        </w:rPr>
        <w:t>uppress</w:t>
      </w:r>
      <w:r w:rsidR="00C422E4">
        <w:rPr>
          <w:rFonts w:ascii="Times New Roman" w:eastAsia="Times New Roman" w:hAnsi="Times New Roman" w:cs="Times New Roman"/>
          <w:sz w:val="26"/>
          <w:szCs w:val="26"/>
        </w:rPr>
        <w:t xml:space="preserve"> Evidence Obtained in Violation of Court Order</w:t>
      </w:r>
      <w:r>
        <w:rPr>
          <w:rFonts w:ascii="Times New Roman" w:eastAsia="Times New Roman" w:hAnsi="Times New Roman" w:cs="Times New Roman"/>
          <w:sz w:val="26"/>
          <w:szCs w:val="26"/>
        </w:rPr>
        <w:t xml:space="preserve"> and </w:t>
      </w:r>
      <w:r w:rsidR="00C422E4">
        <w:rPr>
          <w:rFonts w:ascii="Times New Roman" w:eastAsia="Times New Roman" w:hAnsi="Times New Roman" w:cs="Times New Roman"/>
          <w:sz w:val="26"/>
          <w:szCs w:val="26"/>
        </w:rPr>
        <w:t>grant the Motion to Q</w:t>
      </w:r>
      <w:r>
        <w:rPr>
          <w:rFonts w:ascii="Times New Roman" w:eastAsia="Times New Roman" w:hAnsi="Times New Roman" w:cs="Times New Roman"/>
          <w:sz w:val="26"/>
          <w:szCs w:val="26"/>
        </w:rPr>
        <w:t xml:space="preserve">uash the </w:t>
      </w:r>
      <w:r w:rsidR="00C422E4">
        <w:rPr>
          <w:rFonts w:ascii="Times New Roman" w:eastAsia="Times New Roman" w:hAnsi="Times New Roman" w:cs="Times New Roman"/>
          <w:sz w:val="26"/>
          <w:szCs w:val="26"/>
        </w:rPr>
        <w:t>United States’ Subpoena Duces Tecum directed to Maddox Armana</w:t>
      </w:r>
      <w:r>
        <w:rPr>
          <w:rFonts w:ascii="Times New Roman" w:eastAsia="Times New Roman" w:hAnsi="Times New Roman" w:cs="Times New Roman"/>
          <w:sz w:val="26"/>
          <w:szCs w:val="26"/>
        </w:rPr>
        <w:t xml:space="preserve">. </w:t>
      </w:r>
    </w:p>
    <w:p w14:paraId="671E27EE" w14:textId="77777777" w:rsidR="001D0B42" w:rsidRDefault="001D0B42">
      <w:pPr>
        <w:spacing w:line="480" w:lineRule="auto"/>
        <w:rPr>
          <w:rFonts w:ascii="Times New Roman" w:eastAsia="Times New Roman" w:hAnsi="Times New Roman" w:cs="Times New Roman"/>
          <w:sz w:val="26"/>
          <w:szCs w:val="26"/>
        </w:rPr>
      </w:pPr>
    </w:p>
    <w:p w14:paraId="7C5E3150" w14:textId="77777777" w:rsidR="001D0B42" w:rsidRDefault="001D0B42" w:rsidP="001D0B42">
      <w:pPr>
        <w:spacing w:line="480" w:lineRule="auto"/>
        <w:jc w:val="right"/>
      </w:pPr>
      <w:r w:rsidRPr="2D9C5CF8">
        <w:rPr>
          <w:rFonts w:ascii="Times New Roman" w:eastAsia="Times New Roman" w:hAnsi="Times New Roman" w:cs="Times New Roman"/>
          <w:color w:val="000000" w:themeColor="text1"/>
          <w:sz w:val="28"/>
          <w:szCs w:val="28"/>
        </w:rPr>
        <w:t xml:space="preserve">Respectfully submitted, </w:t>
      </w:r>
    </w:p>
    <w:p w14:paraId="4496BD9A" w14:textId="77777777" w:rsidR="001D0B42" w:rsidRDefault="001D0B42" w:rsidP="001D0B42">
      <w:pPr>
        <w:spacing w:line="480" w:lineRule="auto"/>
        <w:jc w:val="right"/>
      </w:pPr>
      <w:r w:rsidRPr="2D9C5CF8">
        <w:rPr>
          <w:rFonts w:ascii="Times New Roman" w:eastAsia="Times New Roman" w:hAnsi="Times New Roman" w:cs="Times New Roman"/>
          <w:color w:val="000000" w:themeColor="text1"/>
          <w:sz w:val="28"/>
          <w:szCs w:val="28"/>
        </w:rPr>
        <w:t xml:space="preserve"> </w:t>
      </w:r>
    </w:p>
    <w:p w14:paraId="65F49A3B" w14:textId="256E4869" w:rsidR="001D0B42" w:rsidRDefault="001D0B42" w:rsidP="001D0B42">
      <w:pPr>
        <w:spacing w:line="480" w:lineRule="auto"/>
        <w:jc w:val="right"/>
      </w:pPr>
      <w:r w:rsidRPr="2D9C5CF8">
        <w:rPr>
          <w:rFonts w:ascii="Times New Roman" w:eastAsia="Times New Roman" w:hAnsi="Times New Roman" w:cs="Times New Roman"/>
          <w:color w:val="000000" w:themeColor="text1"/>
          <w:sz w:val="28"/>
          <w:szCs w:val="28"/>
          <w:u w:val="single"/>
        </w:rPr>
        <w:t xml:space="preserve">    /s/          </w:t>
      </w:r>
      <w:r w:rsidR="00BA16D1">
        <w:rPr>
          <w:rFonts w:ascii="Times New Roman" w:eastAsia="Times New Roman" w:hAnsi="Times New Roman" w:cs="Times New Roman"/>
          <w:color w:val="000000" w:themeColor="text1"/>
          <w:sz w:val="28"/>
          <w:szCs w:val="28"/>
          <w:u w:val="single"/>
        </w:rPr>
        <w:t xml:space="preserve">      </w:t>
      </w:r>
      <w:r w:rsidRPr="2D9C5CF8">
        <w:rPr>
          <w:rFonts w:ascii="Times New Roman" w:eastAsia="Times New Roman" w:hAnsi="Times New Roman" w:cs="Times New Roman"/>
          <w:color w:val="000000" w:themeColor="text1"/>
          <w:sz w:val="28"/>
          <w:szCs w:val="28"/>
          <w:u w:val="single"/>
        </w:rPr>
        <w:t>305</w:t>
      </w:r>
    </w:p>
    <w:p w14:paraId="73CDA8BD" w14:textId="6E55F324" w:rsidR="001D0B42" w:rsidRDefault="001D0B42" w:rsidP="001D0B42">
      <w:pPr>
        <w:spacing w:line="480" w:lineRule="auto"/>
        <w:jc w:val="right"/>
      </w:pPr>
      <w:r w:rsidRPr="2D9C5CF8">
        <w:rPr>
          <w:rFonts w:ascii="Times New Roman" w:eastAsia="Times New Roman" w:hAnsi="Times New Roman" w:cs="Times New Roman"/>
          <w:i/>
          <w:iCs/>
          <w:color w:val="000000" w:themeColor="text1"/>
          <w:sz w:val="28"/>
          <w:szCs w:val="28"/>
        </w:rPr>
        <w:t xml:space="preserve">Attorneys for the </w:t>
      </w:r>
      <w:r>
        <w:rPr>
          <w:rFonts w:ascii="Times New Roman" w:eastAsia="Times New Roman" w:hAnsi="Times New Roman" w:cs="Times New Roman"/>
          <w:i/>
          <w:iCs/>
          <w:sz w:val="28"/>
          <w:szCs w:val="28"/>
        </w:rPr>
        <w:t>Defendant</w:t>
      </w:r>
    </w:p>
    <w:p w14:paraId="0DC291C0" w14:textId="77777777" w:rsidR="001D0B42" w:rsidRDefault="001D0B42">
      <w:pPr>
        <w:spacing w:line="480" w:lineRule="auto"/>
        <w:rPr>
          <w:rFonts w:ascii="Times New Roman" w:eastAsia="Times New Roman" w:hAnsi="Times New Roman" w:cs="Times New Roman"/>
          <w:sz w:val="26"/>
          <w:szCs w:val="26"/>
        </w:rPr>
      </w:pPr>
    </w:p>
    <w:sectPr w:rsidR="001D0B42" w:rsidSect="00026F1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A664" w14:textId="77777777" w:rsidR="00911C08" w:rsidRDefault="00911C08">
      <w:pPr>
        <w:spacing w:line="240" w:lineRule="auto"/>
      </w:pPr>
      <w:r>
        <w:separator/>
      </w:r>
    </w:p>
  </w:endnote>
  <w:endnote w:type="continuationSeparator" w:id="0">
    <w:p w14:paraId="3C0A4A08" w14:textId="77777777" w:rsidR="00911C08" w:rsidRDefault="00911C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C3BA5805-B064-458B-98C6-ED0D2997B98D}"/>
  </w:font>
  <w:font w:name="Calibri">
    <w:panose1 w:val="020F0502020204030204"/>
    <w:charset w:val="00"/>
    <w:family w:val="swiss"/>
    <w:pitch w:val="variable"/>
    <w:sig w:usb0="E4002EFF" w:usb1="C200247B" w:usb2="00000009" w:usb3="00000000" w:csb0="000001FF" w:csb1="00000000"/>
    <w:embedRegular r:id="rId2" w:fontKey="{86AA4434-A074-4710-9A0B-30FB1CE0B834}"/>
  </w:font>
  <w:font w:name="Cambria">
    <w:panose1 w:val="02040503050406030204"/>
    <w:charset w:val="00"/>
    <w:family w:val="roman"/>
    <w:pitch w:val="variable"/>
    <w:sig w:usb0="E00006FF" w:usb1="420024FF" w:usb2="02000000" w:usb3="00000000" w:csb0="0000019F" w:csb1="00000000"/>
    <w:embedRegular r:id="rId3" w:fontKey="{AE6201F3-0FD7-4264-BDF5-C5510B9E0D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4631110"/>
      <w:docPartObj>
        <w:docPartGallery w:val="Page Numbers (Bottom of Page)"/>
        <w:docPartUnique/>
      </w:docPartObj>
    </w:sdtPr>
    <w:sdtEndPr>
      <w:rPr>
        <w:rStyle w:val="PageNumber"/>
      </w:rPr>
    </w:sdtEndPr>
    <w:sdtContent>
      <w:p w14:paraId="0FDC77DA" w14:textId="37117297" w:rsidR="00FC73B8" w:rsidRDefault="00FC73B8" w:rsidP="00FC73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D60076" w14:textId="77777777" w:rsidR="00FC73B8" w:rsidRDefault="00FC7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729255"/>
      <w:docPartObj>
        <w:docPartGallery w:val="Page Numbers (Bottom of Page)"/>
        <w:docPartUnique/>
      </w:docPartObj>
    </w:sdtPr>
    <w:sdtEndPr>
      <w:rPr>
        <w:rStyle w:val="PageNumber"/>
      </w:rPr>
    </w:sdtEndPr>
    <w:sdtContent>
      <w:p w14:paraId="3F10A29F" w14:textId="705E4C53" w:rsidR="00FC73B8" w:rsidRDefault="00FC73B8" w:rsidP="00FC73B8">
        <w:pPr>
          <w:pStyle w:val="Footer"/>
          <w:framePr w:wrap="none" w:vAnchor="text" w:hAnchor="margin" w:xAlign="center" w:y="1"/>
          <w:rPr>
            <w:rStyle w:val="PageNumber"/>
          </w:rPr>
        </w:pPr>
        <w:r w:rsidRPr="00DD196E">
          <w:rPr>
            <w:rStyle w:val="PageNumber"/>
            <w:rFonts w:ascii="Times New Roman" w:hAnsi="Times New Roman" w:cs="Times New Roman"/>
            <w:sz w:val="26"/>
            <w:szCs w:val="26"/>
          </w:rPr>
          <w:fldChar w:fldCharType="begin"/>
        </w:r>
        <w:r w:rsidRPr="00DD196E">
          <w:rPr>
            <w:rStyle w:val="PageNumber"/>
            <w:rFonts w:ascii="Times New Roman" w:hAnsi="Times New Roman" w:cs="Times New Roman"/>
            <w:sz w:val="26"/>
            <w:szCs w:val="26"/>
          </w:rPr>
          <w:instrText xml:space="preserve"> PAGE </w:instrText>
        </w:r>
        <w:r w:rsidRPr="00DD196E">
          <w:rPr>
            <w:rStyle w:val="PageNumber"/>
            <w:rFonts w:ascii="Times New Roman" w:hAnsi="Times New Roman" w:cs="Times New Roman"/>
            <w:sz w:val="26"/>
            <w:szCs w:val="26"/>
          </w:rPr>
          <w:fldChar w:fldCharType="separate"/>
        </w:r>
        <w:r w:rsidRPr="00DD196E">
          <w:rPr>
            <w:rStyle w:val="PageNumber"/>
            <w:rFonts w:ascii="Times New Roman" w:hAnsi="Times New Roman" w:cs="Times New Roman"/>
            <w:noProof/>
            <w:sz w:val="26"/>
            <w:szCs w:val="26"/>
          </w:rPr>
          <w:t>2</w:t>
        </w:r>
        <w:r w:rsidRPr="00DD196E">
          <w:rPr>
            <w:rStyle w:val="PageNumber"/>
            <w:rFonts w:ascii="Times New Roman" w:hAnsi="Times New Roman" w:cs="Times New Roman"/>
            <w:sz w:val="26"/>
            <w:szCs w:val="26"/>
          </w:rPr>
          <w:fldChar w:fldCharType="end"/>
        </w:r>
      </w:p>
    </w:sdtContent>
  </w:sdt>
  <w:p w14:paraId="00000082" w14:textId="77777777" w:rsidR="00044E7C" w:rsidRDefault="00044E7C" w:rsidP="00310BC3">
    <w:pPr>
      <w:rPr>
        <w:rFonts w:ascii="Times New Roman" w:eastAsia="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25C8C" w14:textId="77777777" w:rsidR="00911C08" w:rsidRDefault="00911C08">
      <w:pPr>
        <w:spacing w:line="240" w:lineRule="auto"/>
      </w:pPr>
      <w:r>
        <w:separator/>
      </w:r>
    </w:p>
  </w:footnote>
  <w:footnote w:type="continuationSeparator" w:id="0">
    <w:p w14:paraId="3EB7D82C" w14:textId="77777777" w:rsidR="00911C08" w:rsidRDefault="00911C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52FC"/>
    <w:multiLevelType w:val="multilevel"/>
    <w:tmpl w:val="33BAAE3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42263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7C"/>
    <w:rsid w:val="00026F1F"/>
    <w:rsid w:val="00040A40"/>
    <w:rsid w:val="00044E7C"/>
    <w:rsid w:val="000575D5"/>
    <w:rsid w:val="000902F3"/>
    <w:rsid w:val="000C678B"/>
    <w:rsid w:val="001D0B42"/>
    <w:rsid w:val="0024205E"/>
    <w:rsid w:val="002C2D09"/>
    <w:rsid w:val="002D567B"/>
    <w:rsid w:val="002E3443"/>
    <w:rsid w:val="00303BDC"/>
    <w:rsid w:val="00310BC3"/>
    <w:rsid w:val="00467FE4"/>
    <w:rsid w:val="004C4C35"/>
    <w:rsid w:val="004F431F"/>
    <w:rsid w:val="005252EC"/>
    <w:rsid w:val="00623AD1"/>
    <w:rsid w:val="0065609C"/>
    <w:rsid w:val="00697F82"/>
    <w:rsid w:val="006B5458"/>
    <w:rsid w:val="008B7160"/>
    <w:rsid w:val="00911C08"/>
    <w:rsid w:val="00B80B80"/>
    <w:rsid w:val="00BA16D1"/>
    <w:rsid w:val="00C422E4"/>
    <w:rsid w:val="00C734DD"/>
    <w:rsid w:val="00D0693E"/>
    <w:rsid w:val="00D410CA"/>
    <w:rsid w:val="00D41CE9"/>
    <w:rsid w:val="00DD196E"/>
    <w:rsid w:val="00E00E9B"/>
    <w:rsid w:val="00E45A86"/>
    <w:rsid w:val="00E85F79"/>
    <w:rsid w:val="00FC73B8"/>
    <w:rsid w:val="00FF5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7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C4C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4C4C35"/>
  </w:style>
  <w:style w:type="paragraph" w:styleId="Header">
    <w:name w:val="header"/>
    <w:basedOn w:val="Normal"/>
    <w:link w:val="HeaderChar"/>
    <w:uiPriority w:val="99"/>
    <w:unhideWhenUsed/>
    <w:rsid w:val="004C4C35"/>
    <w:pPr>
      <w:tabs>
        <w:tab w:val="center" w:pos="4680"/>
        <w:tab w:val="right" w:pos="9360"/>
      </w:tabs>
      <w:spacing w:line="240" w:lineRule="auto"/>
    </w:pPr>
  </w:style>
  <w:style w:type="character" w:customStyle="1" w:styleId="HeaderChar">
    <w:name w:val="Header Char"/>
    <w:basedOn w:val="DefaultParagraphFont"/>
    <w:link w:val="Header"/>
    <w:uiPriority w:val="99"/>
    <w:rsid w:val="004C4C35"/>
  </w:style>
  <w:style w:type="paragraph" w:styleId="Footer">
    <w:name w:val="footer"/>
    <w:basedOn w:val="Normal"/>
    <w:link w:val="FooterChar"/>
    <w:uiPriority w:val="99"/>
    <w:unhideWhenUsed/>
    <w:rsid w:val="004C4C35"/>
    <w:pPr>
      <w:tabs>
        <w:tab w:val="center" w:pos="4680"/>
        <w:tab w:val="right" w:pos="9360"/>
      </w:tabs>
      <w:spacing w:line="240" w:lineRule="auto"/>
    </w:pPr>
  </w:style>
  <w:style w:type="character" w:customStyle="1" w:styleId="FooterChar">
    <w:name w:val="Footer Char"/>
    <w:basedOn w:val="DefaultParagraphFont"/>
    <w:link w:val="Footer"/>
    <w:uiPriority w:val="99"/>
    <w:rsid w:val="004C4C35"/>
  </w:style>
  <w:style w:type="character" w:styleId="PageNumber">
    <w:name w:val="page number"/>
    <w:basedOn w:val="DefaultParagraphFont"/>
    <w:uiPriority w:val="99"/>
    <w:semiHidden/>
    <w:unhideWhenUsed/>
    <w:rsid w:val="00FC73B8"/>
  </w:style>
  <w:style w:type="paragraph" w:styleId="TOC1">
    <w:name w:val="toc 1"/>
    <w:basedOn w:val="Normal"/>
    <w:next w:val="Normal"/>
    <w:autoRedefine/>
    <w:uiPriority w:val="39"/>
    <w:unhideWhenUsed/>
    <w:rsid w:val="00310BC3"/>
    <w:pPr>
      <w:spacing w:after="100"/>
    </w:pPr>
  </w:style>
  <w:style w:type="paragraph" w:styleId="TOC2">
    <w:name w:val="toc 2"/>
    <w:basedOn w:val="Normal"/>
    <w:next w:val="Normal"/>
    <w:autoRedefine/>
    <w:uiPriority w:val="39"/>
    <w:unhideWhenUsed/>
    <w:rsid w:val="00310BC3"/>
    <w:pPr>
      <w:spacing w:after="100"/>
      <w:ind w:left="220"/>
    </w:pPr>
  </w:style>
  <w:style w:type="paragraph" w:styleId="TOC3">
    <w:name w:val="toc 3"/>
    <w:basedOn w:val="Normal"/>
    <w:next w:val="Normal"/>
    <w:autoRedefine/>
    <w:uiPriority w:val="39"/>
    <w:unhideWhenUsed/>
    <w:rsid w:val="00310BC3"/>
    <w:pPr>
      <w:spacing w:after="100"/>
      <w:ind w:left="440"/>
    </w:pPr>
  </w:style>
  <w:style w:type="character" w:styleId="Hyperlink">
    <w:name w:val="Hyperlink"/>
    <w:basedOn w:val="DefaultParagraphFont"/>
    <w:uiPriority w:val="99"/>
    <w:unhideWhenUsed/>
    <w:rsid w:val="00310BC3"/>
    <w:rPr>
      <w:color w:val="0000FF" w:themeColor="hyperlink"/>
      <w:u w:val="single"/>
    </w:rPr>
  </w:style>
  <w:style w:type="character" w:styleId="FollowedHyperlink">
    <w:name w:val="FollowedHyperlink"/>
    <w:basedOn w:val="DefaultParagraphFont"/>
    <w:uiPriority w:val="99"/>
    <w:semiHidden/>
    <w:unhideWhenUsed/>
    <w:rsid w:val="00E45A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w.cornell.edu/definitions/uscode.php?width=840&amp;height=800&amp;iframe=true&amp;def_id=18-USC-1866958876-1304264988&amp;term_occur=999&amp;term_src=title:18:part:V:chapter:601:section:6002"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www.law.cornell.edu/definitions/uscode.php?width=840&amp;height=800&amp;iframe=true&amp;def_id=18-USC-1866958876-1304264988&amp;term_occur=999&amp;term_src=title:18:part:V:chapter:601:section:6002" TargetMode="External"/><Relationship Id="rId4" Type="http://schemas.openxmlformats.org/officeDocument/2006/relationships/webSettings" Target="webSettings.xml"/><Relationship Id="rId9" Type="http://schemas.openxmlformats.org/officeDocument/2006/relationships/hyperlink" Target="https://www.law.cornell.edu/definitions/uscode.php?width=840&amp;height=800&amp;iframe=true&amp;def_id=18-USC-1866958876-1304264988&amp;term_occur=999&amp;term_src=title:18:part:V:chapter:601:section:6002" TargetMode="External"/><Relationship Id="rId14"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3ED1BEB3-33C1-4A1D-854B-9B68EB674008}"/>
</file>

<file path=customXml/itemProps2.xml><?xml version="1.0" encoding="utf-8"?>
<ds:datastoreItem xmlns:ds="http://schemas.openxmlformats.org/officeDocument/2006/customXml" ds:itemID="{E77BE853-A9E3-43B6-8F04-68AFEC3D10E0}"/>
</file>

<file path=customXml/itemProps3.xml><?xml version="1.0" encoding="utf-8"?>
<ds:datastoreItem xmlns:ds="http://schemas.openxmlformats.org/officeDocument/2006/customXml" ds:itemID="{3763AA81-6DFE-4074-810F-524089BB9523}"/>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5325</Words>
  <Characters>30355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2026-09-09T00:34:00Z</dcterms:created>
  <dcterms:modified xsi:type="dcterms:W3CDTF">2026-09-09T00:34:00Z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