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E6570" w14:textId="77777777" w:rsidR="006A2283" w:rsidRDefault="00AB78D1">
      <w:pPr>
        <w:spacing w:line="48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Case No. 2025-CF-00417</w:t>
      </w:r>
    </w:p>
    <w:p w14:paraId="77CE6571" w14:textId="77777777" w:rsidR="006A2283" w:rsidRDefault="00AB78D1">
      <w:pPr>
        <w:spacing w:line="480" w:lineRule="auto"/>
        <w:ind w:firstLine="7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77CE6572" w14:textId="77777777" w:rsidR="006A2283" w:rsidRDefault="00AB78D1">
      <w:pPr>
        <w:spacing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IN THE </w:t>
      </w:r>
    </w:p>
    <w:p w14:paraId="77CE6573" w14:textId="77777777" w:rsidR="006A2283" w:rsidRDefault="00AB78D1">
      <w:pPr>
        <w:spacing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UNITED STATES COURT OF APPEALS </w:t>
      </w:r>
    </w:p>
    <w:p w14:paraId="77CE6574" w14:textId="77777777" w:rsidR="006A2283" w:rsidRDefault="00AB78D1">
      <w:pPr>
        <w:spacing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FOR THE FOURTEENTH CIRCUIT </w:t>
      </w:r>
    </w:p>
    <w:p w14:paraId="77CE6575" w14:textId="77777777" w:rsidR="006A2283" w:rsidRDefault="00AB78D1">
      <w:pPr>
        <w:spacing w:after="160" w:line="480" w:lineRule="auto"/>
        <w:ind w:firstLine="720"/>
        <w:jc w:val="center"/>
        <w:rPr>
          <w:rFonts w:ascii="Times New Roman" w:eastAsia="Times New Roman" w:hAnsi="Times New Roman" w:cs="Times New Roman"/>
          <w:smallCaps/>
          <w:sz w:val="26"/>
          <w:szCs w:val="26"/>
        </w:rPr>
      </w:pPr>
      <w:r>
        <w:rPr>
          <w:rFonts w:ascii="Times New Roman" w:eastAsia="Times New Roman" w:hAnsi="Times New Roman" w:cs="Times New Roman"/>
          <w:smallCaps/>
          <w:sz w:val="26"/>
          <w:szCs w:val="26"/>
        </w:rPr>
        <w:t xml:space="preserve"> </w:t>
      </w:r>
    </w:p>
    <w:p w14:paraId="77CE6576" w14:textId="77777777" w:rsidR="006A2283" w:rsidRDefault="00AB78D1">
      <w:pPr>
        <w:spacing w:after="160" w:line="480" w:lineRule="auto"/>
        <w:jc w:val="center"/>
        <w:rPr>
          <w:rFonts w:ascii="Times New Roman" w:eastAsia="Times New Roman" w:hAnsi="Times New Roman" w:cs="Times New Roman"/>
          <w:smallCaps/>
          <w:sz w:val="26"/>
          <w:szCs w:val="26"/>
        </w:rPr>
      </w:pPr>
      <w:r>
        <w:rPr>
          <w:rFonts w:ascii="Times New Roman" w:eastAsia="Times New Roman" w:hAnsi="Times New Roman" w:cs="Times New Roman"/>
          <w:smallCaps/>
          <w:sz w:val="26"/>
          <w:szCs w:val="26"/>
        </w:rPr>
        <w:t xml:space="preserve">UNITED STATES OF AMERICA, </w:t>
      </w:r>
    </w:p>
    <w:p w14:paraId="77CE6577" w14:textId="77777777" w:rsidR="006A2283" w:rsidRDefault="00AB78D1">
      <w:pPr>
        <w:spacing w:before="200" w:after="200" w:line="480" w:lineRule="auto"/>
        <w:jc w:val="center"/>
        <w:rPr>
          <w:rFonts w:ascii="Times New Roman" w:eastAsia="Times New Roman" w:hAnsi="Times New Roman" w:cs="Times New Roman"/>
          <w:smallCaps/>
          <w:sz w:val="26"/>
          <w:szCs w:val="26"/>
        </w:rPr>
      </w:pPr>
      <w:r>
        <w:rPr>
          <w:rFonts w:ascii="Times New Roman" w:eastAsia="Times New Roman" w:hAnsi="Times New Roman" w:cs="Times New Roman"/>
          <w:smallCaps/>
          <w:sz w:val="26"/>
          <w:szCs w:val="26"/>
        </w:rPr>
        <w:t xml:space="preserve">vs. </w:t>
      </w:r>
    </w:p>
    <w:p w14:paraId="77CE6578" w14:textId="77777777" w:rsidR="006A2283" w:rsidRDefault="00AB78D1">
      <w:pPr>
        <w:spacing w:after="160" w:line="480" w:lineRule="auto"/>
        <w:jc w:val="center"/>
        <w:rPr>
          <w:rFonts w:ascii="Times New Roman" w:eastAsia="Times New Roman" w:hAnsi="Times New Roman" w:cs="Times New Roman"/>
          <w:smallCaps/>
          <w:sz w:val="26"/>
          <w:szCs w:val="26"/>
        </w:rPr>
      </w:pPr>
      <w:r>
        <w:rPr>
          <w:rFonts w:ascii="Times New Roman" w:eastAsia="Times New Roman" w:hAnsi="Times New Roman" w:cs="Times New Roman"/>
          <w:smallCaps/>
          <w:sz w:val="26"/>
          <w:szCs w:val="26"/>
        </w:rPr>
        <w:t>EMILY CALLOWAY,</w:t>
      </w:r>
    </w:p>
    <w:p w14:paraId="77CE6579" w14:textId="77777777" w:rsidR="006A2283" w:rsidRDefault="00AB78D1">
      <w:pPr>
        <w:spacing w:after="160" w:line="480" w:lineRule="auto"/>
        <w:jc w:val="center"/>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Defendant.</w:t>
      </w:r>
    </w:p>
    <w:p w14:paraId="77CE657A" w14:textId="77777777" w:rsidR="006A2283" w:rsidRDefault="00AB78D1">
      <w:pPr>
        <w:spacing w:after="160" w:line="480" w:lineRule="auto"/>
        <w:ind w:firstLine="20"/>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 </w:t>
      </w:r>
    </w:p>
    <w:p w14:paraId="77CE657B" w14:textId="77777777" w:rsidR="006A2283" w:rsidRDefault="00AB78D1">
      <w:pPr>
        <w:spacing w:line="480" w:lineRule="auto"/>
        <w:jc w:val="center"/>
        <w:rPr>
          <w:rFonts w:ascii="Times New Roman" w:eastAsia="Times New Roman" w:hAnsi="Times New Roman" w:cs="Times New Roman"/>
          <w:b/>
          <w:bCs/>
          <w:color w:val="FF0000"/>
          <w:sz w:val="26"/>
          <w:szCs w:val="26"/>
        </w:rPr>
      </w:pPr>
      <w:r>
        <w:rPr>
          <w:rFonts w:ascii="Times New Roman" w:eastAsia="Times New Roman" w:hAnsi="Times New Roman" w:cs="Times New Roman"/>
          <w:b/>
          <w:bCs/>
          <w:sz w:val="26"/>
          <w:szCs w:val="26"/>
        </w:rPr>
        <w:t>PROSECUTION’S OPPOSITION TO DEFENDANT’S MOTION TO SUPPRESS EVIDENCE AND MOTION TO QUASH SUBPOENA DUCES TECUM</w:t>
      </w:r>
    </w:p>
    <w:p w14:paraId="77CE657C" w14:textId="77777777" w:rsidR="006A2283" w:rsidRDefault="00AB78D1">
      <w:pPr>
        <w:spacing w:after="160" w:line="480" w:lineRule="auto"/>
        <w:ind w:firstLine="72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 xml:space="preserve">  </w:t>
      </w:r>
    </w:p>
    <w:p w14:paraId="77CE657D" w14:textId="77777777" w:rsidR="006A2283" w:rsidRDefault="006A2283">
      <w:pPr>
        <w:spacing w:line="480" w:lineRule="auto"/>
        <w:ind w:firstLine="720"/>
        <w:jc w:val="right"/>
        <w:rPr>
          <w:rFonts w:ascii="Times New Roman" w:eastAsia="Times New Roman" w:hAnsi="Times New Roman" w:cs="Times New Roman"/>
          <w:sz w:val="26"/>
          <w:szCs w:val="26"/>
          <w:u w:val="single"/>
        </w:rPr>
      </w:pPr>
    </w:p>
    <w:p w14:paraId="77CE657E" w14:textId="77777777" w:rsidR="006A2283" w:rsidRDefault="006A2283">
      <w:pPr>
        <w:spacing w:line="480" w:lineRule="auto"/>
        <w:rPr>
          <w:rFonts w:ascii="Times New Roman" w:eastAsia="Times New Roman" w:hAnsi="Times New Roman" w:cs="Times New Roman"/>
          <w:sz w:val="26"/>
          <w:szCs w:val="26"/>
          <w:u w:val="single"/>
        </w:rPr>
      </w:pPr>
    </w:p>
    <w:p w14:paraId="77CE657F" w14:textId="77777777" w:rsidR="006A2283" w:rsidRDefault="006A2283">
      <w:pPr>
        <w:spacing w:line="480" w:lineRule="auto"/>
        <w:ind w:firstLine="720"/>
        <w:jc w:val="right"/>
        <w:rPr>
          <w:rFonts w:ascii="Times New Roman" w:eastAsia="Times New Roman" w:hAnsi="Times New Roman" w:cs="Times New Roman"/>
          <w:sz w:val="26"/>
          <w:szCs w:val="26"/>
          <w:u w:val="single"/>
        </w:rPr>
      </w:pPr>
    </w:p>
    <w:p w14:paraId="77CE6580" w14:textId="77777777" w:rsidR="006A2283" w:rsidRDefault="00AB78D1">
      <w:pPr>
        <w:spacing w:line="480" w:lineRule="auto"/>
        <w:ind w:firstLine="720"/>
        <w:jc w:val="right"/>
        <w:rPr>
          <w:rFonts w:ascii="Times New Roman" w:eastAsia="Times New Roman" w:hAnsi="Times New Roman" w:cs="Times New Roman"/>
          <w:sz w:val="26"/>
          <w:szCs w:val="26"/>
          <w:u w:val="single"/>
        </w:rPr>
      </w:pPr>
      <w:r>
        <w:rPr>
          <w:rFonts w:ascii="Times New Roman" w:eastAsia="Times New Roman" w:hAnsi="Times New Roman" w:cs="Times New Roman"/>
          <w:sz w:val="26"/>
          <w:szCs w:val="26"/>
          <w:u w:val="single"/>
        </w:rPr>
        <w:t xml:space="preserve">/s/                       </w:t>
      </w:r>
      <w:r>
        <w:rPr>
          <w:rFonts w:ascii="Times New Roman" w:eastAsia="Times New Roman" w:hAnsi="Times New Roman" w:cs="Times New Roman"/>
          <w:sz w:val="26"/>
          <w:szCs w:val="26"/>
          <w:u w:val="single"/>
        </w:rPr>
        <w:tab/>
      </w:r>
      <w:r>
        <w:rPr>
          <w:rFonts w:ascii="Times New Roman" w:eastAsia="Times New Roman" w:hAnsi="Times New Roman" w:cs="Times New Roman"/>
          <w:sz w:val="26"/>
          <w:szCs w:val="26"/>
          <w:u w:val="single"/>
        </w:rPr>
        <w:tab/>
        <w:t>304</w:t>
      </w:r>
    </w:p>
    <w:p w14:paraId="77CE6581" w14:textId="77777777" w:rsidR="006A2283" w:rsidRDefault="00AB78D1">
      <w:pPr>
        <w:spacing w:after="160" w:line="480" w:lineRule="auto"/>
        <w:ind w:firstLine="720"/>
        <w:jc w:val="right"/>
        <w:rPr>
          <w:rFonts w:ascii="Times New Roman" w:eastAsia="Times New Roman" w:hAnsi="Times New Roman" w:cs="Times New Roman"/>
          <w:b/>
          <w:bCs/>
          <w:sz w:val="26"/>
          <w:szCs w:val="26"/>
          <w:u w:val="single"/>
        </w:rPr>
      </w:pPr>
      <w:r>
        <w:rPr>
          <w:rFonts w:ascii="Times New Roman" w:eastAsia="Times New Roman" w:hAnsi="Times New Roman" w:cs="Times New Roman"/>
          <w:i/>
          <w:iCs/>
          <w:sz w:val="26"/>
          <w:szCs w:val="26"/>
        </w:rPr>
        <w:t>Attorneys for the United States of America</w:t>
      </w:r>
    </w:p>
    <w:p w14:paraId="77CE6582" w14:textId="77777777" w:rsidR="006A2283" w:rsidRDefault="00AB78D1">
      <w:pPr>
        <w:spacing w:line="301"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u w:val="single"/>
        </w:rPr>
        <w:lastRenderedPageBreak/>
        <w:t xml:space="preserve">TABLE OF CONTENTS </w:t>
      </w:r>
    </w:p>
    <w:sdt>
      <w:sdtPr>
        <w:id w:val="-1447331405"/>
        <w:docPartObj>
          <w:docPartGallery w:val="Table of Contents"/>
          <w:docPartUnique/>
        </w:docPartObj>
      </w:sdtPr>
      <w:sdtEndPr/>
      <w:sdtContent>
        <w:p w14:paraId="77CE6583" w14:textId="77777777" w:rsidR="006A2283" w:rsidRDefault="00AB78D1">
          <w:pPr>
            <w:widowControl w:val="0"/>
            <w:tabs>
              <w:tab w:val="right" w:leader="dot" w:pos="12000"/>
            </w:tabs>
            <w:spacing w:before="60" w:line="240" w:lineRule="auto"/>
            <w:rPr>
              <w:b/>
              <w:bCs/>
              <w:color w:val="000000"/>
            </w:rPr>
          </w:pPr>
          <w:r>
            <w:fldChar w:fldCharType="begin"/>
          </w:r>
          <w:r>
            <w:instrText xml:space="preserve"> TOC \h \u \z \t "Heading 1,1,Heading 2,2,Heading 3,3,Heading 4,4,Heading 5,5,Heading 6,6,"</w:instrText>
          </w:r>
          <w:r>
            <w:fldChar w:fldCharType="separate"/>
          </w:r>
          <w:hyperlink w:anchor="_xwgl81fi4y5w">
            <w:r w:rsidR="006A2283">
              <w:rPr>
                <w:rFonts w:ascii="Times New Roman" w:eastAsia="Times New Roman" w:hAnsi="Times New Roman" w:cs="Times New Roman"/>
                <w:b/>
                <w:bCs/>
                <w:color w:val="000000"/>
                <w:sz w:val="26"/>
                <w:szCs w:val="26"/>
              </w:rPr>
              <w:t>TABLE OF AUTHORITIES</w:t>
            </w:r>
            <w:r w:rsidR="006A2283">
              <w:rPr>
                <w:rFonts w:ascii="Times New Roman" w:eastAsia="Times New Roman" w:hAnsi="Times New Roman" w:cs="Times New Roman"/>
                <w:b/>
                <w:bCs/>
                <w:color w:val="000000"/>
                <w:sz w:val="26"/>
                <w:szCs w:val="26"/>
              </w:rPr>
              <w:tab/>
              <w:t>3</w:t>
            </w:r>
          </w:hyperlink>
        </w:p>
        <w:p w14:paraId="77CE6584" w14:textId="77777777" w:rsidR="006A2283" w:rsidRDefault="006A2283">
          <w:pPr>
            <w:widowControl w:val="0"/>
            <w:tabs>
              <w:tab w:val="right" w:leader="dot" w:pos="12000"/>
            </w:tabs>
            <w:spacing w:before="60" w:line="240" w:lineRule="auto"/>
            <w:rPr>
              <w:b/>
              <w:bCs/>
              <w:color w:val="000000"/>
            </w:rPr>
          </w:pPr>
          <w:hyperlink w:anchor="_r5cndxwyy6n8">
            <w:r>
              <w:rPr>
                <w:rFonts w:ascii="Times New Roman" w:eastAsia="Times New Roman" w:hAnsi="Times New Roman" w:cs="Times New Roman"/>
                <w:b/>
                <w:bCs/>
                <w:color w:val="000000"/>
                <w:sz w:val="26"/>
                <w:szCs w:val="26"/>
              </w:rPr>
              <w:t>INTRODUCTION</w:t>
            </w:r>
            <w:r>
              <w:rPr>
                <w:rFonts w:ascii="Times New Roman" w:eastAsia="Times New Roman" w:hAnsi="Times New Roman" w:cs="Times New Roman"/>
                <w:b/>
                <w:bCs/>
                <w:color w:val="000000"/>
                <w:sz w:val="26"/>
                <w:szCs w:val="26"/>
              </w:rPr>
              <w:tab/>
              <w:t>1</w:t>
            </w:r>
          </w:hyperlink>
        </w:p>
        <w:p w14:paraId="77CE6585" w14:textId="77777777" w:rsidR="006A2283" w:rsidRDefault="006A2283">
          <w:pPr>
            <w:widowControl w:val="0"/>
            <w:tabs>
              <w:tab w:val="right" w:leader="dot" w:pos="12000"/>
            </w:tabs>
            <w:spacing w:before="60" w:line="240" w:lineRule="auto"/>
            <w:rPr>
              <w:b/>
              <w:bCs/>
              <w:color w:val="000000"/>
            </w:rPr>
          </w:pPr>
          <w:hyperlink w:anchor="_f90v23s1e7g0">
            <w:r>
              <w:rPr>
                <w:rFonts w:ascii="Times New Roman" w:eastAsia="Times New Roman" w:hAnsi="Times New Roman" w:cs="Times New Roman"/>
                <w:b/>
                <w:bCs/>
                <w:color w:val="000000"/>
                <w:sz w:val="26"/>
                <w:szCs w:val="26"/>
              </w:rPr>
              <w:t>STATEMENT OF FACTS</w:t>
            </w:r>
            <w:r>
              <w:rPr>
                <w:rFonts w:ascii="Times New Roman" w:eastAsia="Times New Roman" w:hAnsi="Times New Roman" w:cs="Times New Roman"/>
                <w:b/>
                <w:bCs/>
                <w:color w:val="000000"/>
                <w:sz w:val="26"/>
                <w:szCs w:val="26"/>
              </w:rPr>
              <w:tab/>
              <w:t>1</w:t>
            </w:r>
          </w:hyperlink>
        </w:p>
        <w:p w14:paraId="77CE6586" w14:textId="77777777" w:rsidR="006A2283" w:rsidRDefault="006A2283">
          <w:pPr>
            <w:widowControl w:val="0"/>
            <w:tabs>
              <w:tab w:val="right" w:leader="dot" w:pos="12000"/>
            </w:tabs>
            <w:spacing w:before="60" w:line="240" w:lineRule="auto"/>
            <w:rPr>
              <w:b/>
              <w:bCs/>
              <w:color w:val="000000"/>
            </w:rPr>
          </w:pPr>
          <w:hyperlink w:anchor="_qzdqzh4db5rq">
            <w:r>
              <w:rPr>
                <w:rFonts w:ascii="Times New Roman" w:eastAsia="Times New Roman" w:hAnsi="Times New Roman" w:cs="Times New Roman"/>
                <w:b/>
                <w:bCs/>
                <w:color w:val="000000"/>
                <w:sz w:val="26"/>
                <w:szCs w:val="26"/>
              </w:rPr>
              <w:t>ARGUMENT</w:t>
            </w:r>
            <w:r>
              <w:rPr>
                <w:rFonts w:ascii="Times New Roman" w:eastAsia="Times New Roman" w:hAnsi="Times New Roman" w:cs="Times New Roman"/>
                <w:b/>
                <w:bCs/>
                <w:color w:val="000000"/>
                <w:sz w:val="26"/>
                <w:szCs w:val="26"/>
              </w:rPr>
              <w:tab/>
              <w:t>4</w:t>
            </w:r>
          </w:hyperlink>
        </w:p>
        <w:p w14:paraId="77CE6587" w14:textId="77777777" w:rsidR="006A2283" w:rsidRDefault="006A2283">
          <w:pPr>
            <w:widowControl w:val="0"/>
            <w:tabs>
              <w:tab w:val="right" w:leader="dot" w:pos="12000"/>
            </w:tabs>
            <w:spacing w:before="60" w:line="240" w:lineRule="auto"/>
            <w:ind w:left="360"/>
            <w:rPr>
              <w:color w:val="000000"/>
            </w:rPr>
          </w:pPr>
          <w:hyperlink w:anchor="_gnj69snelxq7">
            <w:r>
              <w:rPr>
                <w:rFonts w:ascii="Times New Roman" w:eastAsia="Times New Roman" w:hAnsi="Times New Roman" w:cs="Times New Roman"/>
                <w:color w:val="000000"/>
                <w:sz w:val="24"/>
                <w:szCs w:val="24"/>
              </w:rPr>
              <w:t>A. The Defendant’s Motion to Suppress Evidence should be denied because the undisputed record establishes a legitimate source, wholly independent of the Defendant’s compelled testimony, for both Kennedy Parker’s testimony and Exhibit 19.</w:t>
            </w:r>
            <w:r>
              <w:rPr>
                <w:rFonts w:ascii="Times New Roman" w:eastAsia="Times New Roman" w:hAnsi="Times New Roman" w:cs="Times New Roman"/>
                <w:color w:val="000000"/>
                <w:sz w:val="24"/>
                <w:szCs w:val="24"/>
              </w:rPr>
              <w:tab/>
              <w:t>4</w:t>
            </w:r>
          </w:hyperlink>
        </w:p>
        <w:p w14:paraId="77CE6588" w14:textId="77777777" w:rsidR="006A2283" w:rsidRDefault="006A2283">
          <w:pPr>
            <w:widowControl w:val="0"/>
            <w:tabs>
              <w:tab w:val="right" w:leader="dot" w:pos="12000"/>
            </w:tabs>
            <w:spacing w:before="60" w:line="240" w:lineRule="auto"/>
            <w:ind w:left="720"/>
            <w:rPr>
              <w:color w:val="000000"/>
            </w:rPr>
          </w:pPr>
          <w:hyperlink w:anchor="_1wduqpoq2wxz">
            <w:r>
              <w:rPr>
                <w:rFonts w:ascii="Times New Roman" w:eastAsia="Times New Roman" w:hAnsi="Times New Roman" w:cs="Times New Roman"/>
                <w:color w:val="000000"/>
              </w:rPr>
              <w:t>1. The government’s burden is to prove, by a preponderance of the evidence, a legitimate source independent of the compelled testimony and not to disprove every conceivable possibility of taint.</w:t>
            </w:r>
            <w:r>
              <w:rPr>
                <w:rFonts w:ascii="Times New Roman" w:eastAsia="Times New Roman" w:hAnsi="Times New Roman" w:cs="Times New Roman"/>
                <w:color w:val="000000"/>
              </w:rPr>
              <w:tab/>
              <w:t>4</w:t>
            </w:r>
          </w:hyperlink>
        </w:p>
        <w:p w14:paraId="77CE6589" w14:textId="77777777" w:rsidR="006A2283" w:rsidRDefault="006A2283">
          <w:pPr>
            <w:widowControl w:val="0"/>
            <w:tabs>
              <w:tab w:val="right" w:leader="dot" w:pos="12000"/>
            </w:tabs>
            <w:spacing w:before="60" w:line="240" w:lineRule="auto"/>
            <w:ind w:left="720"/>
            <w:rPr>
              <w:color w:val="000000"/>
            </w:rPr>
          </w:pPr>
          <w:hyperlink w:anchor="_vxn2sq3hnxbo">
            <w:r>
              <w:rPr>
                <w:rFonts w:ascii="Times New Roman" w:eastAsia="Times New Roman" w:hAnsi="Times New Roman" w:cs="Times New Roman"/>
                <w:color w:val="000000"/>
              </w:rPr>
              <w:t>2. Team Calloway identified Kennedy Parker, in writing, before the Defendant testified.</w:t>
            </w:r>
            <w:r>
              <w:rPr>
                <w:rFonts w:ascii="Times New Roman" w:eastAsia="Times New Roman" w:hAnsi="Times New Roman" w:cs="Times New Roman"/>
                <w:color w:val="000000"/>
              </w:rPr>
              <w:tab/>
              <w:t>5</w:t>
            </w:r>
          </w:hyperlink>
        </w:p>
        <w:p w14:paraId="77CE658A" w14:textId="77777777" w:rsidR="006A2283" w:rsidRDefault="006A2283">
          <w:pPr>
            <w:widowControl w:val="0"/>
            <w:tabs>
              <w:tab w:val="right" w:leader="dot" w:pos="12000"/>
            </w:tabs>
            <w:spacing w:before="60" w:line="240" w:lineRule="auto"/>
            <w:ind w:left="720"/>
            <w:rPr>
              <w:color w:val="000000"/>
            </w:rPr>
          </w:pPr>
          <w:hyperlink w:anchor="_mqhliwdeyb9t">
            <w:r>
              <w:rPr>
                <w:rFonts w:ascii="Times New Roman" w:eastAsia="Times New Roman" w:hAnsi="Times New Roman" w:cs="Times New Roman"/>
                <w:color w:val="000000"/>
              </w:rPr>
              <w:t>3. The order and timing of Ms. Parker’s interview matches the pre-existing, objectively ranked interview plan and not the Defendant’s testimony.</w:t>
            </w:r>
            <w:r>
              <w:rPr>
                <w:rFonts w:ascii="Times New Roman" w:eastAsia="Times New Roman" w:hAnsi="Times New Roman" w:cs="Times New Roman"/>
                <w:color w:val="000000"/>
              </w:rPr>
              <w:tab/>
              <w:t>6</w:t>
            </w:r>
          </w:hyperlink>
        </w:p>
        <w:p w14:paraId="77CE658B" w14:textId="77777777" w:rsidR="006A2283" w:rsidRDefault="006A2283">
          <w:pPr>
            <w:widowControl w:val="0"/>
            <w:tabs>
              <w:tab w:val="right" w:leader="dot" w:pos="12000"/>
            </w:tabs>
            <w:spacing w:before="60" w:line="240" w:lineRule="auto"/>
            <w:ind w:left="720"/>
            <w:rPr>
              <w:color w:val="000000"/>
            </w:rPr>
          </w:pPr>
          <w:hyperlink w:anchor="_lg6r13rurz51">
            <w:r>
              <w:rPr>
                <w:rFonts w:ascii="Times New Roman" w:eastAsia="Times New Roman" w:hAnsi="Times New Roman" w:cs="Times New Roman"/>
                <w:color w:val="000000"/>
              </w:rPr>
              <w:t>4. Ms. Parker’s testimony rests entirely on her independent personal knowledge and was unaffected by any exposure to the compelled testimony.</w:t>
            </w:r>
            <w:r>
              <w:rPr>
                <w:rFonts w:ascii="Times New Roman" w:eastAsia="Times New Roman" w:hAnsi="Times New Roman" w:cs="Times New Roman"/>
                <w:color w:val="000000"/>
              </w:rPr>
              <w:tab/>
              <w:t>7</w:t>
            </w:r>
          </w:hyperlink>
        </w:p>
        <w:p w14:paraId="77CE658C" w14:textId="77777777" w:rsidR="006A2283" w:rsidRDefault="006A2283">
          <w:pPr>
            <w:widowControl w:val="0"/>
            <w:tabs>
              <w:tab w:val="right" w:leader="dot" w:pos="12000"/>
            </w:tabs>
            <w:spacing w:before="60" w:line="240" w:lineRule="auto"/>
            <w:ind w:left="720"/>
            <w:rPr>
              <w:color w:val="000000"/>
            </w:rPr>
          </w:pPr>
          <w:hyperlink w:anchor="_6h4fjdnymf52">
            <w:r>
              <w:rPr>
                <w:rFonts w:ascii="Times New Roman" w:eastAsia="Times New Roman" w:hAnsi="Times New Roman" w:cs="Times New Roman"/>
                <w:color w:val="000000"/>
              </w:rPr>
              <w:t>5. Exhibit 19 is the direct, lawful product of an untainted investigative chain.</w:t>
            </w:r>
            <w:r>
              <w:rPr>
                <w:rFonts w:ascii="Times New Roman" w:eastAsia="Times New Roman" w:hAnsi="Times New Roman" w:cs="Times New Roman"/>
                <w:color w:val="000000"/>
              </w:rPr>
              <w:tab/>
              <w:t>7</w:t>
            </w:r>
          </w:hyperlink>
        </w:p>
        <w:p w14:paraId="77CE658D" w14:textId="77777777" w:rsidR="006A2283" w:rsidRDefault="006A2283">
          <w:pPr>
            <w:widowControl w:val="0"/>
            <w:tabs>
              <w:tab w:val="right" w:leader="dot" w:pos="12000"/>
            </w:tabs>
            <w:spacing w:before="60" w:line="240" w:lineRule="auto"/>
            <w:ind w:left="720"/>
            <w:rPr>
              <w:color w:val="000000"/>
            </w:rPr>
          </w:pPr>
          <w:hyperlink w:anchor="_u81qcwglbc8h">
            <w:r>
              <w:rPr>
                <w:rFonts w:ascii="Times New Roman" w:eastAsia="Times New Roman" w:hAnsi="Times New Roman" w:cs="Times New Roman"/>
                <w:color w:val="000000"/>
              </w:rPr>
              <w:t>6. The investigative wall satisfied Kastigar’s requirements; perfect insulation is not the standard.</w:t>
            </w:r>
            <w:r>
              <w:rPr>
                <w:rFonts w:ascii="Times New Roman" w:eastAsia="Times New Roman" w:hAnsi="Times New Roman" w:cs="Times New Roman"/>
                <w:color w:val="000000"/>
              </w:rPr>
              <w:tab/>
              <w:t>8</w:t>
            </w:r>
          </w:hyperlink>
        </w:p>
        <w:p w14:paraId="77CE658E" w14:textId="77777777" w:rsidR="006A2283" w:rsidRDefault="006A2283">
          <w:pPr>
            <w:widowControl w:val="0"/>
            <w:tabs>
              <w:tab w:val="right" w:leader="dot" w:pos="12000"/>
            </w:tabs>
            <w:spacing w:before="60" w:line="240" w:lineRule="auto"/>
            <w:ind w:left="360"/>
            <w:rPr>
              <w:color w:val="000000"/>
            </w:rPr>
          </w:pPr>
          <w:hyperlink w:anchor="_awe6uqnxiblv">
            <w:r>
              <w:rPr>
                <w:rFonts w:ascii="Times New Roman" w:eastAsia="Times New Roman" w:hAnsi="Times New Roman" w:cs="Times New Roman"/>
                <w:color w:val="000000"/>
                <w:sz w:val="24"/>
                <w:szCs w:val="24"/>
              </w:rPr>
              <w:t>B. The Defendant’s Motion to Quash United States Subpoena Duces Tecum on Maddox Armana for the production of any and all records of Armana’s interview of Sierra Seton on February 15, 2024 should be denied.</w:t>
            </w:r>
            <w:r>
              <w:rPr>
                <w:rFonts w:ascii="Times New Roman" w:eastAsia="Times New Roman" w:hAnsi="Times New Roman" w:cs="Times New Roman"/>
                <w:color w:val="000000"/>
                <w:sz w:val="24"/>
                <w:szCs w:val="24"/>
              </w:rPr>
              <w:tab/>
              <w:t>9</w:t>
            </w:r>
          </w:hyperlink>
        </w:p>
        <w:p w14:paraId="77CE658F" w14:textId="77777777" w:rsidR="006A2283" w:rsidRDefault="006A2283">
          <w:pPr>
            <w:widowControl w:val="0"/>
            <w:tabs>
              <w:tab w:val="right" w:leader="dot" w:pos="12000"/>
            </w:tabs>
            <w:spacing w:before="60" w:line="240" w:lineRule="auto"/>
            <w:ind w:left="720"/>
            <w:rPr>
              <w:color w:val="000000"/>
            </w:rPr>
          </w:pPr>
          <w:hyperlink w:anchor="_bfhk5h5i87e">
            <w:r>
              <w:rPr>
                <w:rFonts w:ascii="Times New Roman" w:eastAsia="Times New Roman" w:hAnsi="Times New Roman" w:cs="Times New Roman"/>
                <w:color w:val="000000"/>
              </w:rPr>
              <w:t>1. Maddox Armana’s notes are not documents made by the Defendant, or the Defendant’s attorney or agent, during the case’s investigation or defense, and thus are not protected under the work-product doctrine.</w:t>
            </w:r>
            <w:r>
              <w:rPr>
                <w:rFonts w:ascii="Times New Roman" w:eastAsia="Times New Roman" w:hAnsi="Times New Roman" w:cs="Times New Roman"/>
                <w:color w:val="000000"/>
              </w:rPr>
              <w:tab/>
              <w:t>10</w:t>
            </w:r>
          </w:hyperlink>
        </w:p>
        <w:p w14:paraId="77CE6590" w14:textId="77777777" w:rsidR="006A2283" w:rsidRDefault="006A2283">
          <w:pPr>
            <w:widowControl w:val="0"/>
            <w:tabs>
              <w:tab w:val="right" w:leader="dot" w:pos="12000"/>
            </w:tabs>
            <w:spacing w:before="60" w:line="240" w:lineRule="auto"/>
            <w:ind w:left="720"/>
            <w:rPr>
              <w:color w:val="000000"/>
            </w:rPr>
          </w:pPr>
          <w:hyperlink w:anchor="_hpzu5jx9do2h">
            <w:r>
              <w:rPr>
                <w:rFonts w:ascii="Times New Roman" w:eastAsia="Times New Roman" w:hAnsi="Times New Roman" w:cs="Times New Roman"/>
                <w:color w:val="000000"/>
              </w:rPr>
              <w:t>2. Since Armana’s notes (1) were not made with an eye toward litigation, and (2) the government has substantial need and undue hardship, the notes are not protected pursuant to the work-product doctrine.</w:t>
            </w:r>
            <w:r>
              <w:rPr>
                <w:rFonts w:ascii="Times New Roman" w:eastAsia="Times New Roman" w:hAnsi="Times New Roman" w:cs="Times New Roman"/>
                <w:color w:val="000000"/>
              </w:rPr>
              <w:tab/>
              <w:t>13</w:t>
            </w:r>
          </w:hyperlink>
        </w:p>
        <w:p w14:paraId="77CE6591" w14:textId="77777777" w:rsidR="006A2283" w:rsidRDefault="006A2283">
          <w:pPr>
            <w:widowControl w:val="0"/>
            <w:tabs>
              <w:tab w:val="right" w:leader="dot" w:pos="12000"/>
            </w:tabs>
            <w:spacing w:before="60" w:line="240" w:lineRule="auto"/>
            <w:ind w:left="720"/>
            <w:rPr>
              <w:color w:val="000000"/>
            </w:rPr>
          </w:pPr>
          <w:hyperlink w:anchor="_xibsvjfq91uw">
            <w:r>
              <w:rPr>
                <w:rFonts w:ascii="Times New Roman" w:eastAsia="Times New Roman" w:hAnsi="Times New Roman" w:cs="Times New Roman"/>
                <w:color w:val="000000"/>
              </w:rPr>
              <w:t>3. Even if the Court finds Armana’s notes to be work product prepared with an eye toward litigation, the notes still must be produced pursuant to the Nobles waiver and Federal Rule of Criminal Procedure 26.2.</w:t>
            </w:r>
            <w:r>
              <w:rPr>
                <w:rFonts w:ascii="Times New Roman" w:eastAsia="Times New Roman" w:hAnsi="Times New Roman" w:cs="Times New Roman"/>
                <w:color w:val="000000"/>
              </w:rPr>
              <w:tab/>
              <w:t>15</w:t>
            </w:r>
          </w:hyperlink>
        </w:p>
        <w:p w14:paraId="77CE6592" w14:textId="77777777" w:rsidR="006A2283" w:rsidRDefault="006A2283">
          <w:pPr>
            <w:widowControl w:val="0"/>
            <w:tabs>
              <w:tab w:val="right" w:leader="dot" w:pos="12000"/>
            </w:tabs>
            <w:spacing w:before="60" w:line="240" w:lineRule="auto"/>
            <w:rPr>
              <w:b/>
              <w:bCs/>
              <w:color w:val="000000"/>
            </w:rPr>
          </w:pPr>
          <w:hyperlink w:anchor="_m91u6m29n7jw">
            <w:r>
              <w:rPr>
                <w:rFonts w:ascii="Times New Roman" w:eastAsia="Times New Roman" w:hAnsi="Times New Roman" w:cs="Times New Roman"/>
                <w:b/>
                <w:bCs/>
                <w:color w:val="000000"/>
                <w:sz w:val="26"/>
                <w:szCs w:val="26"/>
              </w:rPr>
              <w:t>CONCLUSION</w:t>
            </w:r>
            <w:r>
              <w:rPr>
                <w:rFonts w:ascii="Times New Roman" w:eastAsia="Times New Roman" w:hAnsi="Times New Roman" w:cs="Times New Roman"/>
                <w:b/>
                <w:bCs/>
                <w:color w:val="000000"/>
                <w:sz w:val="26"/>
                <w:szCs w:val="26"/>
              </w:rPr>
              <w:tab/>
              <w:t>17</w:t>
            </w:r>
          </w:hyperlink>
          <w:r w:rsidR="00AB78D1">
            <w:fldChar w:fldCharType="end"/>
          </w:r>
        </w:p>
      </w:sdtContent>
    </w:sdt>
    <w:p w14:paraId="77CE6593" w14:textId="77777777" w:rsidR="006A2283" w:rsidRDefault="006A2283">
      <w:pPr>
        <w:rPr>
          <w:rFonts w:ascii="Times New Roman" w:eastAsia="Times New Roman" w:hAnsi="Times New Roman" w:cs="Times New Roman"/>
          <w:sz w:val="26"/>
          <w:szCs w:val="26"/>
        </w:rPr>
        <w:sectPr w:rsidR="006A2283">
          <w:footerReference w:type="default" r:id="rId7"/>
          <w:headerReference w:type="first" r:id="rId8"/>
          <w:footerReference w:type="first" r:id="rId9"/>
          <w:pgSz w:w="12240" w:h="15840"/>
          <w:pgMar w:top="1440" w:right="1440" w:bottom="1440" w:left="1440" w:header="720" w:footer="720" w:gutter="0"/>
          <w:pgNumType w:start="1"/>
          <w:cols w:space="720"/>
          <w:titlePg/>
        </w:sectPr>
      </w:pPr>
    </w:p>
    <w:p w14:paraId="77CE6594" w14:textId="77777777" w:rsidR="006A2283" w:rsidRDefault="006A2283">
      <w:pPr>
        <w:rPr>
          <w:rFonts w:ascii="Times New Roman" w:eastAsia="Times New Roman" w:hAnsi="Times New Roman" w:cs="Times New Roman"/>
          <w:sz w:val="26"/>
          <w:szCs w:val="26"/>
        </w:rPr>
        <w:sectPr w:rsidR="006A2283">
          <w:type w:val="continuous"/>
          <w:pgSz w:w="12240" w:h="15840"/>
          <w:pgMar w:top="1440" w:right="1440" w:bottom="1440" w:left="1440" w:header="720" w:footer="720" w:gutter="0"/>
          <w:cols w:space="720"/>
        </w:sectPr>
      </w:pPr>
    </w:p>
    <w:p w14:paraId="77CE6595" w14:textId="77777777" w:rsidR="006A2283" w:rsidRDefault="00AB78D1">
      <w:pPr>
        <w:pStyle w:val="Heading1"/>
        <w:keepNext w:val="0"/>
        <w:keepLines w:val="0"/>
        <w:rPr>
          <w:highlight w:val="white"/>
        </w:rPr>
      </w:pPr>
      <w:bookmarkStart w:id="0" w:name="_xwgl81fi4y5w" w:colFirst="0" w:colLast="0"/>
      <w:bookmarkEnd w:id="0"/>
      <w:r>
        <w:rPr>
          <w:highlight w:val="white"/>
        </w:rPr>
        <w:lastRenderedPageBreak/>
        <w:t>TABLE OF AUTHORITIES</w:t>
      </w:r>
    </w:p>
    <w:p w14:paraId="77CE6596" w14:textId="77777777" w:rsidR="006A2283" w:rsidRDefault="00AB78D1">
      <w:pPr>
        <w:spacing w:line="480" w:lineRule="auto"/>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u w:val="single"/>
        </w:rPr>
        <w:t>Cases</w:t>
      </w:r>
      <w:r>
        <w:rPr>
          <w:rFonts w:ascii="Times New Roman" w:eastAsia="Times New Roman" w:hAnsi="Times New Roman" w:cs="Times New Roman"/>
          <w:b/>
          <w:bCs/>
          <w:sz w:val="26"/>
          <w:szCs w:val="26"/>
          <w:highlight w:val="white"/>
        </w:rPr>
        <w:t>:</w:t>
      </w:r>
    </w:p>
    <w:p w14:paraId="77CE6597" w14:textId="77777777" w:rsidR="006A2283" w:rsidRDefault="00AB78D1">
      <w:pPr>
        <w:spacing w:line="48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Coastal States Gas Corp. v. </w:t>
      </w:r>
      <w:proofErr w:type="spellStart"/>
      <w:r>
        <w:rPr>
          <w:rFonts w:ascii="Times New Roman" w:eastAsia="Times New Roman" w:hAnsi="Times New Roman" w:cs="Times New Roman"/>
          <w:i/>
          <w:iCs/>
          <w:sz w:val="26"/>
          <w:szCs w:val="26"/>
        </w:rPr>
        <w:t>Dep’t</w:t>
      </w:r>
      <w:proofErr w:type="spellEnd"/>
      <w:r>
        <w:rPr>
          <w:rFonts w:ascii="Times New Roman" w:eastAsia="Times New Roman" w:hAnsi="Times New Roman" w:cs="Times New Roman"/>
          <w:i/>
          <w:iCs/>
          <w:sz w:val="26"/>
          <w:szCs w:val="26"/>
        </w:rPr>
        <w:t xml:space="preserve"> of Energy</w:t>
      </w:r>
      <w:r>
        <w:rPr>
          <w:rFonts w:ascii="Times New Roman" w:eastAsia="Times New Roman" w:hAnsi="Times New Roman" w:cs="Times New Roman"/>
          <w:sz w:val="26"/>
          <w:szCs w:val="26"/>
        </w:rPr>
        <w:t>, 617 F.2d 854 (D.C. Cir. 1980)</w:t>
      </w:r>
    </w:p>
    <w:p w14:paraId="77CE6598"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Hickman v. Taylor</w:t>
      </w:r>
      <w:r>
        <w:rPr>
          <w:rFonts w:ascii="Times New Roman" w:eastAsia="Times New Roman" w:hAnsi="Times New Roman" w:cs="Times New Roman"/>
          <w:sz w:val="26"/>
          <w:szCs w:val="26"/>
        </w:rPr>
        <w:t>, 329 U.S. 495 (1947)</w:t>
      </w:r>
    </w:p>
    <w:p w14:paraId="77CE6599" w14:textId="77777777" w:rsidR="006A2283" w:rsidRDefault="00AB78D1">
      <w:pPr>
        <w:spacing w:line="48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Kastigar v. United States</w:t>
      </w:r>
      <w:r>
        <w:rPr>
          <w:rFonts w:ascii="Times New Roman" w:eastAsia="Times New Roman" w:hAnsi="Times New Roman" w:cs="Times New Roman"/>
          <w:sz w:val="26"/>
          <w:szCs w:val="26"/>
        </w:rPr>
        <w:t>, 406 U.S. 441 (1972)</w:t>
      </w:r>
    </w:p>
    <w:p w14:paraId="77CE659A" w14:textId="77777777" w:rsidR="006A2283" w:rsidRDefault="00AB78D1">
      <w:pPr>
        <w:spacing w:line="480" w:lineRule="auto"/>
        <w:rPr>
          <w:rFonts w:ascii="Times New Roman" w:eastAsia="Times New Roman" w:hAnsi="Times New Roman" w:cs="Times New Roman"/>
          <w:color w:val="FF0000"/>
          <w:sz w:val="26"/>
          <w:szCs w:val="26"/>
        </w:rPr>
      </w:pPr>
      <w:r>
        <w:rPr>
          <w:rFonts w:ascii="Times New Roman" w:eastAsia="Times New Roman" w:hAnsi="Times New Roman" w:cs="Times New Roman"/>
          <w:i/>
          <w:iCs/>
          <w:sz w:val="26"/>
          <w:szCs w:val="26"/>
        </w:rPr>
        <w:t>Marten v. Yellow Freight Sys</w:t>
      </w:r>
      <w:r>
        <w:rPr>
          <w:rFonts w:ascii="Times New Roman" w:eastAsia="Times New Roman" w:hAnsi="Times New Roman" w:cs="Times New Roman"/>
          <w:sz w:val="26"/>
          <w:szCs w:val="26"/>
        </w:rPr>
        <w:t>, No. 96-2013-GTV U.S. Dist. LEXIS 268 (1998)</w:t>
      </w:r>
    </w:p>
    <w:p w14:paraId="77CE659B"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Tambourine Comercio Internacional SA v. Solokowsky,</w:t>
      </w:r>
      <w:r>
        <w:rPr>
          <w:rFonts w:ascii="Times New Roman" w:eastAsia="Times New Roman" w:hAnsi="Times New Roman" w:cs="Times New Roman"/>
          <w:sz w:val="26"/>
          <w:szCs w:val="26"/>
        </w:rPr>
        <w:t xml:space="preserve"> 312 F. </w:t>
      </w:r>
      <w:proofErr w:type="spellStart"/>
      <w:r>
        <w:rPr>
          <w:rFonts w:ascii="Times New Roman" w:eastAsia="Times New Roman" w:hAnsi="Times New Roman" w:cs="Times New Roman"/>
          <w:sz w:val="26"/>
          <w:szCs w:val="26"/>
        </w:rPr>
        <w:t>App’x</w:t>
      </w:r>
      <w:proofErr w:type="spellEnd"/>
      <w:r>
        <w:rPr>
          <w:rFonts w:ascii="Times New Roman" w:eastAsia="Times New Roman" w:hAnsi="Times New Roman" w:cs="Times New Roman"/>
          <w:sz w:val="26"/>
          <w:szCs w:val="26"/>
        </w:rPr>
        <w:t xml:space="preserve"> 263 (11th Cir. 2009)</w:t>
      </w:r>
    </w:p>
    <w:p w14:paraId="77CE659C"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Byrd</w:t>
      </w:r>
      <w:r>
        <w:rPr>
          <w:rFonts w:ascii="Times New Roman" w:eastAsia="Times New Roman" w:hAnsi="Times New Roman" w:cs="Times New Roman"/>
          <w:sz w:val="26"/>
          <w:szCs w:val="26"/>
        </w:rPr>
        <w:t>, 765 F.2d 1524 (11th Cir. 1985)</w:t>
      </w:r>
    </w:p>
    <w:p w14:paraId="77CE659D"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Caporale</w:t>
      </w:r>
      <w:r>
        <w:rPr>
          <w:rFonts w:ascii="Times New Roman" w:eastAsia="Times New Roman" w:hAnsi="Times New Roman" w:cs="Times New Roman"/>
          <w:sz w:val="26"/>
          <w:szCs w:val="26"/>
        </w:rPr>
        <w:t>, 806 F.2d 1487 (11th Cir. 1986)</w:t>
      </w:r>
    </w:p>
    <w:p w14:paraId="77CE659E"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Hampton</w:t>
      </w:r>
      <w:r>
        <w:rPr>
          <w:rFonts w:ascii="Times New Roman" w:eastAsia="Times New Roman" w:hAnsi="Times New Roman" w:cs="Times New Roman"/>
          <w:sz w:val="26"/>
          <w:szCs w:val="26"/>
        </w:rPr>
        <w:t>, 775 F.2d 1479 (11th Cir. 1985)</w:t>
      </w:r>
    </w:p>
    <w:p w14:paraId="77CE659F"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Nobles</w:t>
      </w:r>
      <w:r>
        <w:rPr>
          <w:rFonts w:ascii="Times New Roman" w:eastAsia="Times New Roman" w:hAnsi="Times New Roman" w:cs="Times New Roman"/>
          <w:sz w:val="26"/>
          <w:szCs w:val="26"/>
        </w:rPr>
        <w:t>, 422 U.S. 225 (1975)</w:t>
      </w:r>
    </w:p>
    <w:p w14:paraId="77CE65A0"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Poindexter</w:t>
      </w:r>
      <w:r>
        <w:rPr>
          <w:rFonts w:ascii="Times New Roman" w:eastAsia="Times New Roman" w:hAnsi="Times New Roman" w:cs="Times New Roman"/>
          <w:sz w:val="26"/>
          <w:szCs w:val="26"/>
        </w:rPr>
        <w:t>, 727 F. Supp. 1488 (D.D.C. 1989)</w:t>
      </w:r>
    </w:p>
    <w:p w14:paraId="77CE65A1"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Schmidgall</w:t>
      </w:r>
      <w:r>
        <w:rPr>
          <w:rFonts w:ascii="Times New Roman" w:eastAsia="Times New Roman" w:hAnsi="Times New Roman" w:cs="Times New Roman"/>
          <w:sz w:val="26"/>
          <w:szCs w:val="26"/>
        </w:rPr>
        <w:t>, 25 F.3d 1523 (11th Cir. 1994)</w:t>
      </w:r>
    </w:p>
    <w:p w14:paraId="77CE65A2"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Serrano</w:t>
      </w:r>
      <w:r>
        <w:rPr>
          <w:rFonts w:ascii="Times New Roman" w:eastAsia="Times New Roman" w:hAnsi="Times New Roman" w:cs="Times New Roman"/>
          <w:sz w:val="26"/>
          <w:szCs w:val="26"/>
        </w:rPr>
        <w:t>, 870 F.2d 1 (1st Cir. 1989)</w:t>
      </w:r>
    </w:p>
    <w:p w14:paraId="77CE65A3"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Velasco</w:t>
      </w:r>
      <w:r>
        <w:rPr>
          <w:rFonts w:ascii="Times New Roman" w:eastAsia="Times New Roman" w:hAnsi="Times New Roman" w:cs="Times New Roman"/>
          <w:sz w:val="26"/>
          <w:szCs w:val="26"/>
        </w:rPr>
        <w:t>, 953 F.2d 1467 (7th Cir. 1992)</w:t>
      </w:r>
    </w:p>
    <w:p w14:paraId="77CE65A4"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Upjohn Co. v. United States</w:t>
      </w:r>
      <w:r>
        <w:rPr>
          <w:rFonts w:ascii="Times New Roman" w:eastAsia="Times New Roman" w:hAnsi="Times New Roman" w:cs="Times New Roman"/>
          <w:sz w:val="26"/>
          <w:szCs w:val="26"/>
        </w:rPr>
        <w:t>, 449 U.S. 383 (1981)</w:t>
      </w:r>
    </w:p>
    <w:p w14:paraId="77CE65A5" w14:textId="77777777" w:rsidR="006A2283" w:rsidRDefault="00AB78D1">
      <w:pPr>
        <w:spacing w:line="480" w:lineRule="auto"/>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u w:val="single"/>
        </w:rPr>
        <w:t>Statutes</w:t>
      </w:r>
      <w:r>
        <w:rPr>
          <w:rFonts w:ascii="Times New Roman" w:eastAsia="Times New Roman" w:hAnsi="Times New Roman" w:cs="Times New Roman"/>
          <w:b/>
          <w:bCs/>
          <w:sz w:val="26"/>
          <w:szCs w:val="26"/>
          <w:highlight w:val="white"/>
        </w:rPr>
        <w:t>:</w:t>
      </w:r>
    </w:p>
    <w:p w14:paraId="77CE65A6"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18 U.S.C. § 6002</w:t>
      </w:r>
    </w:p>
    <w:p w14:paraId="77CE65A7" w14:textId="77777777" w:rsidR="006A2283" w:rsidRDefault="00AB78D1">
      <w:pPr>
        <w:spacing w:line="480" w:lineRule="auto"/>
        <w:rPr>
          <w:rFonts w:ascii="Times New Roman" w:eastAsia="Times New Roman" w:hAnsi="Times New Roman" w:cs="Times New Roman"/>
          <w:b/>
          <w:bCs/>
          <w:sz w:val="26"/>
          <w:szCs w:val="26"/>
          <w:highlight w:val="white"/>
        </w:rPr>
      </w:pPr>
      <w:r>
        <w:rPr>
          <w:rFonts w:ascii="Times New Roman" w:eastAsia="Times New Roman" w:hAnsi="Times New Roman" w:cs="Times New Roman"/>
          <w:sz w:val="26"/>
          <w:szCs w:val="26"/>
        </w:rPr>
        <w:t>18 U.S.C. § 6003</w:t>
      </w:r>
    </w:p>
    <w:p w14:paraId="77CE65A8" w14:textId="77777777" w:rsidR="006A2283" w:rsidRDefault="00AB78D1">
      <w:pPr>
        <w:spacing w:line="480" w:lineRule="auto"/>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u w:val="single"/>
        </w:rPr>
        <w:t>Other Authorities</w:t>
      </w:r>
      <w:r>
        <w:rPr>
          <w:rFonts w:ascii="Times New Roman" w:eastAsia="Times New Roman" w:hAnsi="Times New Roman" w:cs="Times New Roman"/>
          <w:b/>
          <w:bCs/>
          <w:sz w:val="26"/>
          <w:szCs w:val="26"/>
          <w:highlight w:val="white"/>
        </w:rPr>
        <w:t>:</w:t>
      </w:r>
    </w:p>
    <w:p w14:paraId="77CE65A9"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Fed. R. Civ. P. 26(b)(3)</w:t>
      </w:r>
    </w:p>
    <w:p w14:paraId="77CE65AA"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Fed. R. Crim. P. 16(b)(2)</w:t>
      </w:r>
    </w:p>
    <w:p w14:paraId="77CE65AB"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Fed. R. Crim. P.</w:t>
      </w:r>
    </w:p>
    <w:p w14:paraId="77CE65AC" w14:textId="77777777" w:rsidR="006A2283" w:rsidRDefault="006A2283">
      <w:pPr>
        <w:spacing w:line="480" w:lineRule="auto"/>
        <w:rPr>
          <w:rFonts w:ascii="Times New Roman" w:eastAsia="Times New Roman" w:hAnsi="Times New Roman" w:cs="Times New Roman"/>
          <w:sz w:val="26"/>
          <w:szCs w:val="26"/>
        </w:rPr>
      </w:pPr>
    </w:p>
    <w:p w14:paraId="77CE65AD" w14:textId="77777777" w:rsidR="006A2283" w:rsidRDefault="006A2283">
      <w:pPr>
        <w:spacing w:line="480" w:lineRule="auto"/>
        <w:rPr>
          <w:rFonts w:ascii="Times New Roman" w:eastAsia="Times New Roman" w:hAnsi="Times New Roman" w:cs="Times New Roman"/>
          <w:sz w:val="26"/>
          <w:szCs w:val="26"/>
        </w:rPr>
      </w:pPr>
    </w:p>
    <w:p w14:paraId="77CE65AE" w14:textId="77777777" w:rsidR="006A2283" w:rsidRDefault="006A2283">
      <w:pPr>
        <w:spacing w:line="480" w:lineRule="auto"/>
        <w:rPr>
          <w:rFonts w:ascii="Times New Roman" w:eastAsia="Times New Roman" w:hAnsi="Times New Roman" w:cs="Times New Roman"/>
          <w:sz w:val="26"/>
          <w:szCs w:val="26"/>
        </w:rPr>
      </w:pPr>
    </w:p>
    <w:p w14:paraId="77CE65AF" w14:textId="77777777" w:rsidR="006A2283" w:rsidRDefault="006A2283">
      <w:pPr>
        <w:spacing w:line="480" w:lineRule="auto"/>
        <w:rPr>
          <w:rFonts w:ascii="Times New Roman" w:eastAsia="Times New Roman" w:hAnsi="Times New Roman" w:cs="Times New Roman"/>
          <w:sz w:val="26"/>
          <w:szCs w:val="26"/>
        </w:rPr>
      </w:pPr>
    </w:p>
    <w:p w14:paraId="77CE65B0" w14:textId="77777777" w:rsidR="006A2283" w:rsidRDefault="006A2283">
      <w:pPr>
        <w:spacing w:line="480" w:lineRule="auto"/>
        <w:rPr>
          <w:rFonts w:ascii="Times New Roman" w:eastAsia="Times New Roman" w:hAnsi="Times New Roman" w:cs="Times New Roman"/>
          <w:sz w:val="26"/>
          <w:szCs w:val="26"/>
        </w:rPr>
      </w:pPr>
    </w:p>
    <w:p w14:paraId="77CE65B1" w14:textId="77777777" w:rsidR="006A2283" w:rsidRDefault="006A2283">
      <w:pPr>
        <w:spacing w:line="480" w:lineRule="auto"/>
        <w:rPr>
          <w:rFonts w:ascii="Times New Roman" w:eastAsia="Times New Roman" w:hAnsi="Times New Roman" w:cs="Times New Roman"/>
          <w:sz w:val="26"/>
          <w:szCs w:val="26"/>
        </w:rPr>
      </w:pPr>
    </w:p>
    <w:p w14:paraId="77CE65B2" w14:textId="77777777" w:rsidR="006A2283" w:rsidRDefault="006A2283">
      <w:pPr>
        <w:spacing w:line="480" w:lineRule="auto"/>
        <w:rPr>
          <w:rFonts w:ascii="Times New Roman" w:eastAsia="Times New Roman" w:hAnsi="Times New Roman" w:cs="Times New Roman"/>
          <w:sz w:val="26"/>
          <w:szCs w:val="26"/>
        </w:rPr>
      </w:pPr>
    </w:p>
    <w:p w14:paraId="77CE65B3" w14:textId="77777777" w:rsidR="006A2283" w:rsidRDefault="006A2283">
      <w:pPr>
        <w:spacing w:line="480" w:lineRule="auto"/>
        <w:rPr>
          <w:rFonts w:ascii="Times New Roman" w:eastAsia="Times New Roman" w:hAnsi="Times New Roman" w:cs="Times New Roman"/>
          <w:sz w:val="26"/>
          <w:szCs w:val="26"/>
        </w:rPr>
      </w:pPr>
    </w:p>
    <w:p w14:paraId="77CE65B4" w14:textId="77777777" w:rsidR="006A2283" w:rsidRDefault="006A2283">
      <w:pPr>
        <w:spacing w:line="480" w:lineRule="auto"/>
        <w:rPr>
          <w:rFonts w:ascii="Times New Roman" w:eastAsia="Times New Roman" w:hAnsi="Times New Roman" w:cs="Times New Roman"/>
          <w:sz w:val="26"/>
          <w:szCs w:val="26"/>
        </w:rPr>
      </w:pPr>
    </w:p>
    <w:p w14:paraId="77CE65B5" w14:textId="77777777" w:rsidR="006A2283" w:rsidRDefault="006A2283">
      <w:pPr>
        <w:spacing w:line="480" w:lineRule="auto"/>
        <w:rPr>
          <w:rFonts w:ascii="Times New Roman" w:eastAsia="Times New Roman" w:hAnsi="Times New Roman" w:cs="Times New Roman"/>
          <w:sz w:val="26"/>
          <w:szCs w:val="26"/>
        </w:rPr>
      </w:pPr>
    </w:p>
    <w:p w14:paraId="77CE65B6" w14:textId="77777777" w:rsidR="006A2283" w:rsidRDefault="006A2283">
      <w:pPr>
        <w:spacing w:line="480" w:lineRule="auto"/>
        <w:rPr>
          <w:rFonts w:ascii="Times New Roman" w:eastAsia="Times New Roman" w:hAnsi="Times New Roman" w:cs="Times New Roman"/>
          <w:sz w:val="26"/>
          <w:szCs w:val="26"/>
        </w:rPr>
      </w:pPr>
    </w:p>
    <w:p w14:paraId="77CE65B7" w14:textId="77777777" w:rsidR="006A2283" w:rsidRDefault="006A2283">
      <w:pPr>
        <w:spacing w:line="480" w:lineRule="auto"/>
        <w:rPr>
          <w:rFonts w:ascii="Times New Roman" w:eastAsia="Times New Roman" w:hAnsi="Times New Roman" w:cs="Times New Roman"/>
          <w:sz w:val="26"/>
          <w:szCs w:val="26"/>
        </w:rPr>
      </w:pPr>
    </w:p>
    <w:p w14:paraId="77CE65B8" w14:textId="77777777" w:rsidR="006A2283" w:rsidRDefault="006A2283">
      <w:pPr>
        <w:spacing w:line="480" w:lineRule="auto"/>
        <w:rPr>
          <w:rFonts w:ascii="Times New Roman" w:eastAsia="Times New Roman" w:hAnsi="Times New Roman" w:cs="Times New Roman"/>
          <w:sz w:val="26"/>
          <w:szCs w:val="26"/>
        </w:rPr>
      </w:pPr>
    </w:p>
    <w:p w14:paraId="77CE65B9" w14:textId="77777777" w:rsidR="006A2283" w:rsidRDefault="006A2283">
      <w:pPr>
        <w:spacing w:line="480" w:lineRule="auto"/>
        <w:rPr>
          <w:rFonts w:ascii="Times New Roman" w:eastAsia="Times New Roman" w:hAnsi="Times New Roman" w:cs="Times New Roman"/>
          <w:sz w:val="26"/>
          <w:szCs w:val="26"/>
        </w:rPr>
      </w:pPr>
    </w:p>
    <w:p w14:paraId="77CE65BA" w14:textId="77777777" w:rsidR="006A2283" w:rsidRDefault="006A2283">
      <w:pPr>
        <w:spacing w:line="480" w:lineRule="auto"/>
        <w:rPr>
          <w:rFonts w:ascii="Times New Roman" w:eastAsia="Times New Roman" w:hAnsi="Times New Roman" w:cs="Times New Roman"/>
          <w:sz w:val="26"/>
          <w:szCs w:val="26"/>
        </w:rPr>
      </w:pPr>
    </w:p>
    <w:p w14:paraId="77CE65BB" w14:textId="77777777" w:rsidR="006A2283" w:rsidRDefault="006A2283">
      <w:pPr>
        <w:spacing w:line="480" w:lineRule="auto"/>
        <w:rPr>
          <w:rFonts w:ascii="Times New Roman" w:eastAsia="Times New Roman" w:hAnsi="Times New Roman" w:cs="Times New Roman"/>
          <w:sz w:val="26"/>
          <w:szCs w:val="26"/>
        </w:rPr>
      </w:pPr>
    </w:p>
    <w:p w14:paraId="77CE65BC" w14:textId="77777777" w:rsidR="006A2283" w:rsidRDefault="006A2283">
      <w:pPr>
        <w:spacing w:line="480" w:lineRule="auto"/>
        <w:rPr>
          <w:rFonts w:ascii="Times New Roman" w:eastAsia="Times New Roman" w:hAnsi="Times New Roman" w:cs="Times New Roman"/>
          <w:sz w:val="26"/>
          <w:szCs w:val="26"/>
        </w:rPr>
      </w:pPr>
    </w:p>
    <w:p w14:paraId="77CE65BD" w14:textId="77777777" w:rsidR="006A2283" w:rsidRDefault="006A2283">
      <w:pPr>
        <w:spacing w:line="480" w:lineRule="auto"/>
        <w:rPr>
          <w:rFonts w:ascii="Times New Roman" w:eastAsia="Times New Roman" w:hAnsi="Times New Roman" w:cs="Times New Roman"/>
          <w:sz w:val="26"/>
          <w:szCs w:val="26"/>
        </w:rPr>
      </w:pPr>
    </w:p>
    <w:p w14:paraId="77CE65BE" w14:textId="77777777" w:rsidR="006A2283" w:rsidRDefault="006A2283">
      <w:pPr>
        <w:spacing w:line="480" w:lineRule="auto"/>
        <w:rPr>
          <w:rFonts w:ascii="Times New Roman" w:eastAsia="Times New Roman" w:hAnsi="Times New Roman" w:cs="Times New Roman"/>
          <w:sz w:val="26"/>
          <w:szCs w:val="26"/>
        </w:rPr>
        <w:sectPr w:rsidR="006A2283">
          <w:footerReference w:type="default" r:id="rId10"/>
          <w:pgSz w:w="12240" w:h="15840"/>
          <w:pgMar w:top="1440" w:right="1440" w:bottom="1440" w:left="1440" w:header="720" w:footer="720" w:gutter="0"/>
          <w:cols w:space="720"/>
        </w:sectPr>
      </w:pPr>
    </w:p>
    <w:p w14:paraId="77CE65BF" w14:textId="77777777" w:rsidR="006A2283" w:rsidRDefault="00AB78D1">
      <w:pPr>
        <w:pStyle w:val="Heading1"/>
      </w:pPr>
      <w:bookmarkStart w:id="1" w:name="_r5cndxwyy6n8" w:colFirst="0" w:colLast="0"/>
      <w:bookmarkEnd w:id="1"/>
      <w:r>
        <w:lastRenderedPageBreak/>
        <w:t>INTRODUCTION</w:t>
      </w:r>
    </w:p>
    <w:p w14:paraId="77CE65C0"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The United States respectfully submits that this Court deny the Defendant’s Motion to Suppress and the Defendant’s Motion to Quash Subpoena Duces Tecum. The government has shown an untainted, independent source for Exhibit 19 and the testimony of Kennedy Parker, and thus the testimony of Kennedy Parker and Exhibit 19 are the products of an untainted investigative chain.</w:t>
      </w:r>
      <w:r>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sz w:val="26"/>
          <w:szCs w:val="26"/>
        </w:rPr>
        <w:t xml:space="preserve">Additionally, because Maddox Armana was not acting as an agent for the investigation of this case, production of records of Armana’s interview of Sierra Seton on February 15, </w:t>
      </w:r>
      <w:proofErr w:type="gramStart"/>
      <w:r>
        <w:rPr>
          <w:rFonts w:ascii="Times New Roman" w:eastAsia="Times New Roman" w:hAnsi="Times New Roman" w:cs="Times New Roman"/>
          <w:sz w:val="26"/>
          <w:szCs w:val="26"/>
        </w:rPr>
        <w:t>2024</w:t>
      </w:r>
      <w:proofErr w:type="gramEnd"/>
      <w:r>
        <w:rPr>
          <w:rFonts w:ascii="Times New Roman" w:eastAsia="Times New Roman" w:hAnsi="Times New Roman" w:cs="Times New Roman"/>
          <w:sz w:val="26"/>
          <w:szCs w:val="26"/>
        </w:rPr>
        <w:t xml:space="preserve"> cannot be protected under work-product privilege. </w:t>
      </w:r>
    </w:p>
    <w:p w14:paraId="77CE65C1" w14:textId="77777777" w:rsidR="006A2283" w:rsidRDefault="00AB78D1">
      <w:pPr>
        <w:pStyle w:val="Heading1"/>
      </w:pPr>
      <w:bookmarkStart w:id="2" w:name="_f90v23s1e7g0" w:colFirst="0" w:colLast="0"/>
      <w:bookmarkEnd w:id="2"/>
      <w:r>
        <w:t>STATEMENT OF FACTS</w:t>
      </w:r>
    </w:p>
    <w:p w14:paraId="77CE65C2"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On December 12, 2023, Daniel Blake was killed in his office at Silver Palms Resort in Gulf Haven, Florida. Sinclair Dep. 13:215-17. On January 26, 2024, Saint Donovan, the Defendant’s business partner, was arrested for this murder.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15:273-77. Following Donovan’s arrest, the Defendant’s attorneys hired Maddox Armana (Armana), a private investigator. Armana Dep. 43:33-38. Armana was only hired because the defense team “suspected the government might come after Ms. Calloway too, and they wanted to be ready.”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43:37-38. </w:t>
      </w:r>
    </w:p>
    <w:p w14:paraId="77CE65C3"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On February 15, 2024, Armana spoke to Sierra Seton (Seton). Stip. 8. Seton was </w:t>
      </w:r>
      <w:r w:rsidR="002E6C32">
        <w:rPr>
          <w:rFonts w:ascii="Times New Roman" w:eastAsia="Times New Roman" w:hAnsi="Times New Roman" w:cs="Times New Roman"/>
          <w:sz w:val="26"/>
          <w:szCs w:val="26"/>
        </w:rPr>
        <w:t>elusive yet</w:t>
      </w:r>
      <w:r>
        <w:rPr>
          <w:rFonts w:ascii="Times New Roman" w:eastAsia="Times New Roman" w:hAnsi="Times New Roman" w:cs="Times New Roman"/>
          <w:sz w:val="26"/>
          <w:szCs w:val="26"/>
        </w:rPr>
        <w:t xml:space="preserve"> held vital information. Armana Dep. 44:60-66. Armana recognized even before meeting her that “Sierra was rare” as she was a real person connected to the internal operations of the shell vendors associated with the case.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However, Seton was “very” difficult to find.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44:68. Armana admitted that “Sierra was not interested in </w:t>
      </w:r>
      <w:r>
        <w:rPr>
          <w:rFonts w:ascii="Times New Roman" w:eastAsia="Times New Roman" w:hAnsi="Times New Roman" w:cs="Times New Roman"/>
          <w:sz w:val="26"/>
          <w:szCs w:val="26"/>
        </w:rPr>
        <w:lastRenderedPageBreak/>
        <w:t xml:space="preserve">being found. There was no current address that was any good, no listed phone that worked, nothing pointed at where Sierra </w:t>
      </w:r>
      <w:proofErr w:type="gramStart"/>
      <w:r>
        <w:rPr>
          <w:rFonts w:ascii="Times New Roman" w:eastAsia="Times New Roman" w:hAnsi="Times New Roman" w:cs="Times New Roman"/>
          <w:sz w:val="26"/>
          <w:szCs w:val="26"/>
        </w:rPr>
        <w:t>actually was</w:t>
      </w:r>
      <w:proofErr w:type="gramEnd"/>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44:68-70. </w:t>
      </w:r>
    </w:p>
    <w:p w14:paraId="77CE65C4"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Armana only found Seton through “a lot of slow, unglamorous work.”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44:73-74. Even then, she was in “the kind of place somebody goes when they’d rather not be found.”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45:82. Armana was concerned that he would only get one interview, so he “wanted to cover as much ground as possible in a single setting.”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45:92-93. Notably, Armana was only concerned with the finances and operations of an organization called Coastal Event Solutions (Coastal), not Daniel Blake’s murder.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45:86-87, 86-87; 127-28. During the interview, Armana took contemporaneous typewritten notes.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46:121. Armana recorded the factual account of what Seton </w:t>
      </w:r>
      <w:r w:rsidR="002E6C32">
        <w:rPr>
          <w:rFonts w:ascii="Times New Roman" w:eastAsia="Times New Roman" w:hAnsi="Times New Roman" w:cs="Times New Roman"/>
          <w:sz w:val="26"/>
          <w:szCs w:val="26"/>
        </w:rPr>
        <w:t>said and</w:t>
      </w:r>
      <w:r>
        <w:rPr>
          <w:rFonts w:ascii="Times New Roman" w:eastAsia="Times New Roman" w:hAnsi="Times New Roman" w:cs="Times New Roman"/>
          <w:sz w:val="26"/>
          <w:szCs w:val="26"/>
        </w:rPr>
        <w:t xml:space="preserve"> separated his own annotations in red text. Armana Dep. 46:141. </w:t>
      </w:r>
    </w:p>
    <w:p w14:paraId="77CE65C5"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After the interview, Seton left the country.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at</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46:151-59. Armana ran Seton’s name through databases, reached out to others, </w:t>
      </w:r>
      <w:proofErr w:type="gramStart"/>
      <w:r>
        <w:rPr>
          <w:rFonts w:ascii="Times New Roman" w:eastAsia="Times New Roman" w:hAnsi="Times New Roman" w:cs="Times New Roman"/>
          <w:sz w:val="26"/>
          <w:szCs w:val="26"/>
        </w:rPr>
        <w:t>looked into</w:t>
      </w:r>
      <w:proofErr w:type="gramEnd"/>
      <w:r>
        <w:rPr>
          <w:rFonts w:ascii="Times New Roman" w:eastAsia="Times New Roman" w:hAnsi="Times New Roman" w:cs="Times New Roman"/>
          <w:sz w:val="26"/>
          <w:szCs w:val="26"/>
        </w:rPr>
        <w:t xml:space="preserve"> travel records, attempted to trace Seton from her last known location in Spain, kept an eye out for return to the U.S., and periodically checked the file.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Despite doing everything in his power to reach her again, Armana failed. In Armana’s own words, “Sierra is gone and unreachable.”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46:159. No source</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could provide the same information that Seton provided.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47:164-66. With her disappearance, “[Armana’s] notes are the only place that account still exists.”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47:167-68. </w:t>
      </w:r>
    </w:p>
    <w:p w14:paraId="77CE65C6"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Simultaneously, Assistant United States Attorney (AUSA) Tatum Sinclair and FBI Special Agent Bryce Nolan investigated both the homicide and associated money-laundering scheme run through a network of shell vendors. Sinclair Dep. 13:216-14:235; </w:t>
      </w:r>
      <w:r>
        <w:rPr>
          <w:rFonts w:ascii="Times New Roman" w:eastAsia="Times New Roman" w:hAnsi="Times New Roman" w:cs="Times New Roman"/>
          <w:sz w:val="26"/>
          <w:szCs w:val="26"/>
        </w:rPr>
        <w:lastRenderedPageBreak/>
        <w:t xml:space="preserve">Nolan Dep. 25:39-26:76. By summer 2024, with Donovan’s trial approaching and the true owner of </w:t>
      </w:r>
      <w:proofErr w:type="spellStart"/>
      <w:r>
        <w:rPr>
          <w:rFonts w:ascii="Times New Roman" w:eastAsia="Times New Roman" w:hAnsi="Times New Roman" w:cs="Times New Roman"/>
          <w:sz w:val="26"/>
          <w:szCs w:val="26"/>
        </w:rPr>
        <w:t>Coastal’s</w:t>
      </w:r>
      <w:proofErr w:type="spellEnd"/>
      <w:r>
        <w:rPr>
          <w:rFonts w:ascii="Times New Roman" w:eastAsia="Times New Roman" w:hAnsi="Times New Roman" w:cs="Times New Roman"/>
          <w:sz w:val="26"/>
          <w:szCs w:val="26"/>
        </w:rPr>
        <w:t xml:space="preserve"> offshore account still unidentified, the government determined the Defendant was the only witness who could explain the shell-vendor structure to a jury. Sinclair Dep. 21:519-31; Nolan Dep. 27:152-28:172. Because the Defendant declined to cooperate voluntarily, the government sought and obtained an order compelling her testimony under 18 U.S.C. §§ 6002, 6003. Ex. 12.</w:t>
      </w:r>
    </w:p>
    <w:p w14:paraId="77CE65C7"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On August 22, 2024, the day before the order was issued, AUSA Sinclair and Special Agent Nolan met and divided their personnel into two walled-off teams. Nolan Dep. 28:182-94. Team Donovan, led by AUSA Sinclair, would receive the Defendant’s compelled testimony and continue prosecuting Donovan.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Team Calloway, led by Nolan, would continue investigating the Defendant, using only evidence independent of that testimony.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Special Agent Nolan preserved these terms in a written memorandum restricting Team Calloway from receiving the content of the Defendant’s statements, any characterization of them, or any lead derived from them. Ex. 15.</w:t>
      </w:r>
    </w:p>
    <w:p w14:paraId="77CE65C8"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Within days of the wall going up, and more than six weeks before the Defendant testified, Special Agent Nolan documented Team Calloway’s investigative plan in writing. Ex. 16. On October 10, 2024, the Defendant testified in </w:t>
      </w:r>
      <w:r>
        <w:rPr>
          <w:rFonts w:ascii="Times New Roman" w:eastAsia="Times New Roman" w:hAnsi="Times New Roman" w:cs="Times New Roman"/>
          <w:i/>
          <w:iCs/>
          <w:sz w:val="26"/>
          <w:szCs w:val="26"/>
        </w:rPr>
        <w:t>United States v. Saint Donovan</w:t>
      </w:r>
      <w:r>
        <w:rPr>
          <w:rFonts w:ascii="Times New Roman" w:eastAsia="Times New Roman" w:hAnsi="Times New Roman" w:cs="Times New Roman"/>
          <w:sz w:val="26"/>
          <w:szCs w:val="26"/>
        </w:rPr>
        <w:t xml:space="preserve"> pursuant to court order and received use and derivative use immunity for her testimony. Stip. 6.</w:t>
      </w:r>
    </w:p>
    <w:p w14:paraId="77CE65C9" w14:textId="77777777" w:rsidR="006A2283" w:rsidRDefault="00AB78D1">
      <w:pPr>
        <w:spacing w:line="480" w:lineRule="auto"/>
        <w:ind w:firstLine="720"/>
        <w:rPr>
          <w:rFonts w:ascii="Times New Roman" w:eastAsia="Times New Roman" w:hAnsi="Times New Roman" w:cs="Times New Roman"/>
          <w:color w:val="FF0000"/>
          <w:sz w:val="26"/>
          <w:szCs w:val="26"/>
        </w:rPr>
        <w:sectPr w:rsidR="006A2283">
          <w:footerReference w:type="default" r:id="rId11"/>
          <w:type w:val="continuous"/>
          <w:pgSz w:w="12240" w:h="15840"/>
          <w:pgMar w:top="1440" w:right="1440" w:bottom="1440" w:left="1440" w:header="720" w:footer="720" w:gutter="0"/>
          <w:pgNumType w:start="1"/>
          <w:cols w:space="720"/>
        </w:sectPr>
      </w:pPr>
      <w:r>
        <w:rPr>
          <w:rFonts w:ascii="Times New Roman" w:eastAsia="Times New Roman" w:hAnsi="Times New Roman" w:cs="Times New Roman"/>
          <w:sz w:val="26"/>
          <w:szCs w:val="26"/>
        </w:rPr>
        <w:t xml:space="preserve">On October 31, 2024, Special Agent Nolan interviewed Kennedy Parker for the first time, pursuant to the investigative plan that had been written down before the Defendant’s testimony. Nolan Dep. 32:327-28; Stip. 7. Ms. Parker described, from her </w:t>
      </w:r>
      <w:r>
        <w:rPr>
          <w:rFonts w:ascii="Times New Roman" w:eastAsia="Times New Roman" w:hAnsi="Times New Roman" w:cs="Times New Roman"/>
          <w:sz w:val="26"/>
          <w:szCs w:val="26"/>
        </w:rPr>
        <w:lastRenderedPageBreak/>
        <w:t>own personal knowledge as an eyewitness, the argument she overheard between Daniel Blake and the Defendant at the December 10, 2023 party, and a December 20, 2023 errand in which the Defendant asked Ms. Parker to move a box marked “Coastal” to an off-site storage unit. Parker Dep. 38:176-41:292. Ms. Parker signed a contemporaneous written statement. Ex. 18. Special Agent Nolan confirmed the unit was rented in the name of Carlos Calloway and obtained a search warrant, executed on November 5, 2024, recovering</w:t>
      </w:r>
      <w:r>
        <w:rPr>
          <w:rFonts w:ascii="Times New Roman" w:eastAsia="Times New Roman" w:hAnsi="Times New Roman" w:cs="Times New Roman"/>
          <w:sz w:val="26"/>
          <w:szCs w:val="26"/>
        </w:rPr>
        <w:t xml:space="preserve"> the Coastal records contained in Exhibit 19. Nolan Dep. 33:352-64; Ex. 19. On September 23, 2025, a grand jury indicted the Defendant on two counts: 1) killing of a witness and 2) money laundering conspiracy. Indictment ¶¶ 1-2.</w:t>
      </w:r>
    </w:p>
    <w:p w14:paraId="77CE65CA" w14:textId="77777777" w:rsidR="006A2283" w:rsidRDefault="00AB78D1">
      <w:pPr>
        <w:pStyle w:val="Heading1"/>
      </w:pPr>
      <w:bookmarkStart w:id="3" w:name="_qzdqzh4db5rq" w:colFirst="0" w:colLast="0"/>
      <w:bookmarkEnd w:id="3"/>
      <w:r>
        <w:t>ARGUMENT</w:t>
      </w:r>
    </w:p>
    <w:p w14:paraId="77CE65CB" w14:textId="77777777" w:rsidR="006A2283" w:rsidRDefault="00AB78D1">
      <w:pPr>
        <w:pStyle w:val="Heading2"/>
        <w:numPr>
          <w:ilvl w:val="0"/>
          <w:numId w:val="2"/>
        </w:numPr>
        <w:spacing w:after="200"/>
      </w:pPr>
      <w:bookmarkStart w:id="4" w:name="_gnj69snelxq7" w:colFirst="0" w:colLast="0"/>
      <w:bookmarkEnd w:id="4"/>
      <w:r>
        <w:t>The Defendant’s Motion to Suppress Evidence should be denied because the undisputed record establishes a legitimate source, wholly independent of the Defendant’s compelled testimony, for both Kennedy Parker’s testimony and Exhibit 19.</w:t>
      </w:r>
    </w:p>
    <w:p w14:paraId="77CE65CC" w14:textId="77777777" w:rsidR="006A2283" w:rsidRDefault="00AB78D1">
      <w:pPr>
        <w:pStyle w:val="Heading3"/>
        <w:numPr>
          <w:ilvl w:val="0"/>
          <w:numId w:val="1"/>
        </w:numPr>
        <w:spacing w:after="200" w:line="240" w:lineRule="auto"/>
        <w:rPr>
          <w:u w:val="none"/>
        </w:rPr>
      </w:pPr>
      <w:bookmarkStart w:id="5" w:name="_1wduqpoq2wxz" w:colFirst="0" w:colLast="0"/>
      <w:bookmarkEnd w:id="5"/>
      <w:r>
        <w:t>The government’s burden is to prove, by a preponderance of the evidence, a legitimate source independent of the compelled testimony and not to disprove every conceivable possibility of taint.</w:t>
      </w:r>
    </w:p>
    <w:p w14:paraId="77CE65CD"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Once a witness demonstrates that she testified under a grant of immunity, the government only bears the burden of proving that the evidence it intends to use “is derived from a legitimate source wholly independent of the compelled testimony.” </w:t>
      </w:r>
      <w:r>
        <w:rPr>
          <w:rFonts w:ascii="Times New Roman" w:eastAsia="Times New Roman" w:hAnsi="Times New Roman" w:cs="Times New Roman"/>
          <w:i/>
          <w:iCs/>
          <w:sz w:val="26"/>
          <w:szCs w:val="26"/>
        </w:rPr>
        <w:t>Kastigar v. United States</w:t>
      </w:r>
      <w:r>
        <w:rPr>
          <w:rFonts w:ascii="Times New Roman" w:eastAsia="Times New Roman" w:hAnsi="Times New Roman" w:cs="Times New Roman"/>
          <w:sz w:val="26"/>
          <w:szCs w:val="26"/>
        </w:rPr>
        <w:t xml:space="preserve">, 406 U.S. 441, 460 (1972). This burden must be satisfied by a preponderance of the evidence. </w:t>
      </w:r>
      <w:r>
        <w:rPr>
          <w:rFonts w:ascii="Times New Roman" w:eastAsia="Times New Roman" w:hAnsi="Times New Roman" w:cs="Times New Roman"/>
          <w:i/>
          <w:iCs/>
          <w:sz w:val="26"/>
          <w:szCs w:val="26"/>
        </w:rPr>
        <w:t>United States v. Byrd</w:t>
      </w:r>
      <w:r>
        <w:rPr>
          <w:rFonts w:ascii="Times New Roman" w:eastAsia="Times New Roman" w:hAnsi="Times New Roman" w:cs="Times New Roman"/>
          <w:sz w:val="26"/>
          <w:szCs w:val="26"/>
        </w:rPr>
        <w:t xml:space="preserve">, 765 F.2d 1524, 1529 (11th Cir. 1985); </w:t>
      </w:r>
      <w:r>
        <w:rPr>
          <w:rFonts w:ascii="Times New Roman" w:eastAsia="Times New Roman" w:hAnsi="Times New Roman" w:cs="Times New Roman"/>
          <w:i/>
          <w:iCs/>
          <w:sz w:val="26"/>
          <w:szCs w:val="26"/>
        </w:rPr>
        <w:t>see also United States v. Schmidgall</w:t>
      </w:r>
      <w:r>
        <w:rPr>
          <w:rFonts w:ascii="Times New Roman" w:eastAsia="Times New Roman" w:hAnsi="Times New Roman" w:cs="Times New Roman"/>
          <w:sz w:val="26"/>
          <w:szCs w:val="26"/>
        </w:rPr>
        <w:t>, 25 F.3d 1523, 1528 (11th Cir. 1994).</w:t>
      </w:r>
    </w:p>
    <w:p w14:paraId="77CE65CE"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In satisfying this burden, the government does not need to show that it erected an “impenetrable barrier” between those who hear compelled testimony and those who </w:t>
      </w:r>
      <w:r>
        <w:rPr>
          <w:rFonts w:ascii="Times New Roman" w:eastAsia="Times New Roman" w:hAnsi="Times New Roman" w:cs="Times New Roman"/>
          <w:sz w:val="26"/>
          <w:szCs w:val="26"/>
        </w:rPr>
        <w:lastRenderedPageBreak/>
        <w:t xml:space="preserve">continue investigating the witness. </w:t>
      </w:r>
      <w:r>
        <w:rPr>
          <w:rFonts w:ascii="Times New Roman" w:eastAsia="Times New Roman" w:hAnsi="Times New Roman" w:cs="Times New Roman"/>
          <w:i/>
          <w:iCs/>
          <w:sz w:val="26"/>
          <w:szCs w:val="26"/>
        </w:rPr>
        <w:t>Byrd</w:t>
      </w:r>
      <w:r>
        <w:rPr>
          <w:rFonts w:ascii="Times New Roman" w:eastAsia="Times New Roman" w:hAnsi="Times New Roman" w:cs="Times New Roman"/>
          <w:sz w:val="26"/>
          <w:szCs w:val="26"/>
        </w:rPr>
        <w:t xml:space="preserve">, 765 F.2d at 1530. Additionally, the government does not need “to negate all abstract ‘possibility’ of taint” or disprove any minute possibility by which exposure to the immunized testimony might have affected an investigation.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1529; </w:t>
      </w:r>
      <w:r>
        <w:rPr>
          <w:rFonts w:ascii="Times New Roman" w:eastAsia="Times New Roman" w:hAnsi="Times New Roman" w:cs="Times New Roman"/>
          <w:i/>
          <w:iCs/>
          <w:sz w:val="26"/>
          <w:szCs w:val="26"/>
        </w:rPr>
        <w:t>see also United States v. Serrano</w:t>
      </w:r>
      <w:r>
        <w:rPr>
          <w:rFonts w:ascii="Times New Roman" w:eastAsia="Times New Roman" w:hAnsi="Times New Roman" w:cs="Times New Roman"/>
          <w:sz w:val="26"/>
          <w:szCs w:val="26"/>
        </w:rPr>
        <w:t>, 870 F.2d 1, 17-18 (1st Cir. 1989) (holding that “a prosecution is not foreclosed merely because the immunized testimony might have tangentially influenced the prosecutor’s thought processes in preparing the indictment and preparing for trial”) (internal quotation marks omitted).</w:t>
      </w:r>
    </w:p>
    <w:p w14:paraId="77CE65CF"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Rather, the government must demonstrate only that “each step of the investigative chain through which the evidence was obtained is untainted.” </w:t>
      </w:r>
      <w:r>
        <w:rPr>
          <w:rFonts w:ascii="Times New Roman" w:eastAsia="Times New Roman" w:hAnsi="Times New Roman" w:cs="Times New Roman"/>
          <w:i/>
          <w:iCs/>
          <w:sz w:val="26"/>
          <w:szCs w:val="26"/>
        </w:rPr>
        <w:t>Schmidgall</w:t>
      </w:r>
      <w:r>
        <w:rPr>
          <w:rFonts w:ascii="Times New Roman" w:eastAsia="Times New Roman" w:hAnsi="Times New Roman" w:cs="Times New Roman"/>
          <w:sz w:val="26"/>
          <w:szCs w:val="26"/>
        </w:rPr>
        <w:t xml:space="preserve">, 25 F.3d at 1528. The Defendant is not entitled to a rule that any investigator who worked alongside a colleague exposed to the immunized testimony is presumptively tainted. </w:t>
      </w:r>
      <w:r>
        <w:rPr>
          <w:rFonts w:ascii="Times New Roman" w:eastAsia="Times New Roman" w:hAnsi="Times New Roman" w:cs="Times New Roman"/>
          <w:i/>
          <w:iCs/>
          <w:sz w:val="26"/>
          <w:szCs w:val="26"/>
        </w:rPr>
        <w:t>See United States v. Velasco</w:t>
      </w:r>
      <w:r>
        <w:rPr>
          <w:rFonts w:ascii="Times New Roman" w:eastAsia="Times New Roman" w:hAnsi="Times New Roman" w:cs="Times New Roman"/>
          <w:sz w:val="26"/>
          <w:szCs w:val="26"/>
        </w:rPr>
        <w:t xml:space="preserve">, 953 F.2d 1467, 1474 (7th Cir. 1992). The concern is not “whether the prosecutor was aware of the contents of the immunized testimony, but whether he used the testimony in any way to build a case against the defendant.” </w:t>
      </w:r>
      <w:r>
        <w:rPr>
          <w:rFonts w:ascii="Times New Roman" w:eastAsia="Times New Roman" w:hAnsi="Times New Roman" w:cs="Times New Roman"/>
          <w:i/>
          <w:iCs/>
          <w:sz w:val="26"/>
          <w:szCs w:val="26"/>
        </w:rPr>
        <w:t>United States v. Caporale</w:t>
      </w:r>
      <w:r>
        <w:rPr>
          <w:rFonts w:ascii="Times New Roman" w:eastAsia="Times New Roman" w:hAnsi="Times New Roman" w:cs="Times New Roman"/>
          <w:sz w:val="26"/>
          <w:szCs w:val="26"/>
        </w:rPr>
        <w:t xml:space="preserve">, 806 F.2d 1487, 1518 (11th Cir. 1986). Measured against these standards, the government’s showing here is more than sufficient. </w:t>
      </w:r>
    </w:p>
    <w:p w14:paraId="77CE65D0" w14:textId="77777777" w:rsidR="006A2283" w:rsidRDefault="00AB78D1">
      <w:pPr>
        <w:pStyle w:val="Heading3"/>
        <w:numPr>
          <w:ilvl w:val="0"/>
          <w:numId w:val="1"/>
        </w:numPr>
        <w:spacing w:line="240" w:lineRule="auto"/>
        <w:rPr>
          <w:color w:val="000000"/>
          <w:u w:val="none"/>
        </w:rPr>
      </w:pPr>
      <w:bookmarkStart w:id="6" w:name="_vxn2sq3hnxbo" w:colFirst="0" w:colLast="0"/>
      <w:bookmarkEnd w:id="6"/>
      <w:r>
        <w:rPr>
          <w:color w:val="000000"/>
        </w:rPr>
        <w:t>Team Calloway identified Kennedy Parker, in writing, before the Defendant testified.</w:t>
      </w:r>
    </w:p>
    <w:p w14:paraId="77CE65D1" w14:textId="77777777" w:rsidR="006A2283" w:rsidRDefault="00AB78D1">
      <w:pPr>
        <w:spacing w:before="200" w:line="480" w:lineRule="auto"/>
        <w:rPr>
          <w:rFonts w:ascii="Times New Roman" w:eastAsia="Times New Roman" w:hAnsi="Times New Roman" w:cs="Times New Roman"/>
          <w:sz w:val="26"/>
          <w:szCs w:val="26"/>
        </w:rPr>
      </w:pPr>
      <w:r>
        <w:tab/>
      </w:r>
      <w:r>
        <w:rPr>
          <w:rFonts w:ascii="Times New Roman" w:eastAsia="Times New Roman" w:hAnsi="Times New Roman" w:cs="Times New Roman"/>
          <w:sz w:val="26"/>
          <w:szCs w:val="26"/>
        </w:rPr>
        <w:t xml:space="preserve">The record forecloses any inference that the Defendant’s testimony prompted the interview of Kennedy Parker. Special Agent Nolan wrote down Team Calloway’s investigative plan during the week of August 25, 2024, before the Donovan trial had even begun, and before the Defendant took the stand. Ex. 16; Nolan Dep. 29:233-34. Team </w:t>
      </w:r>
      <w:r>
        <w:rPr>
          <w:rFonts w:ascii="Times New Roman" w:eastAsia="Times New Roman" w:hAnsi="Times New Roman" w:cs="Times New Roman"/>
          <w:sz w:val="26"/>
          <w:szCs w:val="26"/>
        </w:rPr>
        <w:lastRenderedPageBreak/>
        <w:t>Calloway was specifically instructed to “circle back” to Silver Palms employees not yet interviewed, identifying “K. Parker” by name. Ex. 16. In a separately prepared roster compiled “post-separation, pre-testimony,” Special Agent Nolan ranked every high-frequency Silver Palms events employee for follow-up interviews using a wholly neutral metric of shifts worked in 2023. Ex. 17. This bears no relationship to anything the Defendant discussed under compulsion; Ms. Parker appears on that list too, ranked seve</w:t>
      </w:r>
      <w:r>
        <w:rPr>
          <w:rFonts w:ascii="Times New Roman" w:eastAsia="Times New Roman" w:hAnsi="Times New Roman" w:cs="Times New Roman"/>
          <w:sz w:val="26"/>
          <w:szCs w:val="26"/>
        </w:rPr>
        <w:t xml:space="preserve">nth of over 100 employees based on her 176 shifts. </w:t>
      </w:r>
      <w:r>
        <w:rPr>
          <w:rFonts w:ascii="Times New Roman" w:eastAsia="Times New Roman" w:hAnsi="Times New Roman" w:cs="Times New Roman"/>
          <w:i/>
          <w:iCs/>
          <w:sz w:val="26"/>
          <w:szCs w:val="26"/>
        </w:rPr>
        <w:t>Id.</w:t>
      </w:r>
    </w:p>
    <w:p w14:paraId="77CE65D2"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These two independent, contemporaneous government documents, created weeks before any compelled testimony existed, identify Ms. Parker as an investigative target for reasons entirely unrelated to the content of that testimony.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This is precisely the documentary proof that satisfies the government’s burden under </w:t>
      </w:r>
      <w:r>
        <w:rPr>
          <w:rFonts w:ascii="Times New Roman" w:eastAsia="Times New Roman" w:hAnsi="Times New Roman" w:cs="Times New Roman"/>
          <w:i/>
          <w:iCs/>
          <w:sz w:val="26"/>
          <w:szCs w:val="26"/>
        </w:rPr>
        <w:t>Schmidgall</w:t>
      </w:r>
      <w:r>
        <w:rPr>
          <w:rFonts w:ascii="Times New Roman" w:eastAsia="Times New Roman" w:hAnsi="Times New Roman" w:cs="Times New Roman"/>
          <w:sz w:val="26"/>
          <w:szCs w:val="26"/>
        </w:rPr>
        <w:t xml:space="preserve">; it demonstrates that the investigative chain leading to Parker did not originate in, and cannot have been derived from, testimony that would not exist for another month and a half. </w:t>
      </w:r>
      <w:r>
        <w:rPr>
          <w:rFonts w:ascii="Times New Roman" w:eastAsia="Times New Roman" w:hAnsi="Times New Roman" w:cs="Times New Roman"/>
          <w:i/>
          <w:iCs/>
          <w:sz w:val="26"/>
          <w:szCs w:val="26"/>
        </w:rPr>
        <w:t xml:space="preserve">See Schmidgall </w:t>
      </w:r>
      <w:r>
        <w:rPr>
          <w:rFonts w:ascii="Times New Roman" w:eastAsia="Times New Roman" w:hAnsi="Times New Roman" w:cs="Times New Roman"/>
          <w:sz w:val="26"/>
          <w:szCs w:val="26"/>
        </w:rPr>
        <w:t>25 F.3d at 1528.</w:t>
      </w:r>
    </w:p>
    <w:p w14:paraId="77CE65D3" w14:textId="77777777" w:rsidR="006A2283" w:rsidRDefault="00AB78D1">
      <w:pPr>
        <w:pStyle w:val="Heading3"/>
        <w:numPr>
          <w:ilvl w:val="0"/>
          <w:numId w:val="1"/>
        </w:numPr>
        <w:spacing w:after="200" w:line="240" w:lineRule="auto"/>
        <w:rPr>
          <w:u w:val="none"/>
        </w:rPr>
      </w:pPr>
      <w:bookmarkStart w:id="7" w:name="_mqhliwdeyb9t" w:colFirst="0" w:colLast="0"/>
      <w:bookmarkEnd w:id="7"/>
      <w:r>
        <w:t xml:space="preserve">The order and timing of Ms. Parker’s interview </w:t>
      </w:r>
      <w:proofErr w:type="gramStart"/>
      <w:r>
        <w:t>matches</w:t>
      </w:r>
      <w:proofErr w:type="gramEnd"/>
      <w:r>
        <w:t xml:space="preserve"> the pre-existing, objectively ranked interview plan and not the Defendant’s testimony.</w:t>
      </w:r>
    </w:p>
    <w:p w14:paraId="77CE65D4" w14:textId="77777777" w:rsidR="006A2283" w:rsidRDefault="00AB78D1">
      <w:pPr>
        <w:spacing w:line="480" w:lineRule="auto"/>
        <w:ind w:left="720"/>
        <w:rPr>
          <w:rFonts w:ascii="Times New Roman" w:eastAsia="Times New Roman" w:hAnsi="Times New Roman" w:cs="Times New Roman"/>
          <w:sz w:val="26"/>
          <w:szCs w:val="26"/>
        </w:rPr>
      </w:pPr>
      <w:r>
        <w:rPr>
          <w:rFonts w:ascii="Times New Roman" w:eastAsia="Times New Roman" w:hAnsi="Times New Roman" w:cs="Times New Roman"/>
          <w:sz w:val="26"/>
          <w:szCs w:val="26"/>
        </w:rPr>
        <w:t>Special Agent Nolan testified that he worked through Exhibit 17’s employee list in</w:t>
      </w:r>
    </w:p>
    <w:p w14:paraId="77CE65D5"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essentially the same order it was </w:t>
      </w:r>
      <w:proofErr w:type="gramStart"/>
      <w:r>
        <w:rPr>
          <w:rFonts w:ascii="Times New Roman" w:eastAsia="Times New Roman" w:hAnsi="Times New Roman" w:cs="Times New Roman"/>
          <w:sz w:val="26"/>
          <w:szCs w:val="26"/>
        </w:rPr>
        <w:t>written:</w:t>
      </w:r>
      <w:proofErr w:type="gramEnd"/>
      <w:r>
        <w:rPr>
          <w:rFonts w:ascii="Times New Roman" w:eastAsia="Times New Roman" w:hAnsi="Times New Roman" w:cs="Times New Roman"/>
          <w:sz w:val="26"/>
          <w:szCs w:val="26"/>
        </w:rPr>
        <w:t xml:space="preserve"> Brie Collins (ranked first), Sean Boothe (ranked second), Sunshine Delray (ranked third), and Darnell Hahn (ranked fifth). Nolan Dep. 31:303-06; Ex. 17. Parker, ranked seventh, followed.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That sequence is the product of a neutral, pre-existing ranking system, and not a reaction to anything the Defendant said on the stand. An interview that arrives on schedule at position seven of a pre-written, </w:t>
      </w:r>
      <w:r>
        <w:rPr>
          <w:rFonts w:ascii="Times New Roman" w:eastAsia="Times New Roman" w:hAnsi="Times New Roman" w:cs="Times New Roman"/>
          <w:sz w:val="26"/>
          <w:szCs w:val="26"/>
        </w:rPr>
        <w:lastRenderedPageBreak/>
        <w:t>objectively ranked list, compiled two months before the immunized testimony, is not evidence of taint. Rather, it is evidence of an independent investigation proceeding exactly as documented before the immunized testimony.</w:t>
      </w:r>
    </w:p>
    <w:p w14:paraId="77CE65D6" w14:textId="77777777" w:rsidR="006A2283" w:rsidRDefault="00AB78D1">
      <w:pPr>
        <w:pStyle w:val="Heading3"/>
        <w:numPr>
          <w:ilvl w:val="0"/>
          <w:numId w:val="1"/>
        </w:numPr>
        <w:spacing w:after="200" w:line="240" w:lineRule="auto"/>
        <w:rPr>
          <w:u w:val="none"/>
        </w:rPr>
      </w:pPr>
      <w:bookmarkStart w:id="8" w:name="_lg6r13rurz51" w:colFirst="0" w:colLast="0"/>
      <w:bookmarkEnd w:id="8"/>
      <w:r>
        <w:t>Ms. Parker’s testimony rests entirely on her independent personal knowledge and was unaffected by any exposure to the compelled testimony.</w:t>
      </w:r>
    </w:p>
    <w:p w14:paraId="77CE65D7"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Ms. Parker’s testimony was not shaped or refreshed by exposure to the Defendant’s public testimony or its press coverage. Ms. Parker testified, under oath and without qualification, that she did not follow the Donovan trial and never watched or read any part of the Defendant’s testimony. Parker Dep. 42:307-13. No government agent contacted her before October 31, 2024. Parker Dep. 41:305-06; Stip. 7. Ms. Parker’s testimony included the December 10 argument she personally overheard and the December 20 errand </w:t>
      </w:r>
      <w:r>
        <w:rPr>
          <w:rFonts w:ascii="Times New Roman" w:eastAsia="Times New Roman" w:hAnsi="Times New Roman" w:cs="Times New Roman"/>
          <w:sz w:val="26"/>
          <w:szCs w:val="26"/>
        </w:rPr>
        <w:t xml:space="preserve">she personally ran. </w:t>
      </w:r>
      <w:r>
        <w:rPr>
          <w:rFonts w:ascii="Times New Roman" w:eastAsia="Times New Roman" w:hAnsi="Times New Roman" w:cs="Times New Roman"/>
          <w:sz w:val="24"/>
          <w:szCs w:val="24"/>
        </w:rPr>
        <w:t>Parker Dep. 38:176–41:292</w:t>
      </w:r>
      <w:r>
        <w:rPr>
          <w:rFonts w:ascii="Times New Roman" w:eastAsia="Times New Roman" w:hAnsi="Times New Roman" w:cs="Times New Roman"/>
          <w:sz w:val="26"/>
          <w:szCs w:val="26"/>
        </w:rPr>
        <w:t xml:space="preserve">. </w:t>
      </w:r>
    </w:p>
    <w:p w14:paraId="77CE65D8"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witness’s account of events she witnessed firsthand, nearly a year before any immunity order existed, is a quintessential example of a “legitimate source wholly independent of the compelled testimony.”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406 U.S. at 460. The fact that the Defendant described the same encounter with Ms. Parker in her own compelled testimony does not convert Ms. Parker’s independent, personal knowledge account into a fruit of that testimony. </w:t>
      </w:r>
      <w:r>
        <w:rPr>
          <w:rFonts w:ascii="Times New Roman" w:eastAsia="Times New Roman" w:hAnsi="Times New Roman" w:cs="Times New Roman"/>
          <w:i/>
          <w:iCs/>
          <w:sz w:val="26"/>
          <w:szCs w:val="26"/>
        </w:rPr>
        <w:t>See United States v. Poindexter</w:t>
      </w:r>
      <w:r>
        <w:rPr>
          <w:rFonts w:ascii="Times New Roman" w:eastAsia="Times New Roman" w:hAnsi="Times New Roman" w:cs="Times New Roman"/>
          <w:sz w:val="26"/>
          <w:szCs w:val="26"/>
        </w:rPr>
        <w:t>, 727 F. Supp. 1488, 1499 (D.D.C. 1989).</w:t>
      </w:r>
    </w:p>
    <w:p w14:paraId="77CE65D9" w14:textId="77777777" w:rsidR="006A2283" w:rsidRDefault="00AB78D1">
      <w:pPr>
        <w:pStyle w:val="Heading3"/>
        <w:numPr>
          <w:ilvl w:val="0"/>
          <w:numId w:val="1"/>
        </w:numPr>
        <w:rPr>
          <w:u w:val="none"/>
        </w:rPr>
      </w:pPr>
      <w:bookmarkStart w:id="9" w:name="_6h4fjdnymf52" w:colFirst="0" w:colLast="0"/>
      <w:bookmarkEnd w:id="9"/>
      <w:r>
        <w:t>Exhibit 19 is the direct, lawful product of an untainted investigative chain.</w:t>
      </w:r>
    </w:p>
    <w:p w14:paraId="77CE65DA" w14:textId="77777777" w:rsidR="006A2283" w:rsidRDefault="00AB78D1">
      <w:pPr>
        <w:spacing w:line="480" w:lineRule="auto"/>
        <w:ind w:left="720"/>
        <w:rPr>
          <w:rFonts w:ascii="Times New Roman" w:eastAsia="Times New Roman" w:hAnsi="Times New Roman" w:cs="Times New Roman"/>
          <w:sz w:val="26"/>
          <w:szCs w:val="26"/>
        </w:rPr>
      </w:pPr>
      <w:r>
        <w:rPr>
          <w:rFonts w:ascii="Times New Roman" w:eastAsia="Times New Roman" w:hAnsi="Times New Roman" w:cs="Times New Roman"/>
          <w:sz w:val="26"/>
          <w:szCs w:val="26"/>
        </w:rPr>
        <w:t>Everything the government developed from Ms. Parker’s testimony is untainted</w:t>
      </w:r>
    </w:p>
    <w:p w14:paraId="77CE65DB"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because the testimony itself is untainted. Special Agent Nolan corroborated Ms. Parker’s account, confirmed the storage unit was rented in the name of Carlos Calloway, obtained a warrant, and recovered the Coastal records shown in Exhibit 19 on November 5, 2024. Nolan Dep. 33:352-64. That the storage unit came to light through Ms. Parker’s interview does not make it a fruit of the Defendant’s testimony; it makes it a fruit of Ms. Parker’s independent statement, obtained pursuant to an investigative plan com</w:t>
      </w:r>
      <w:r>
        <w:rPr>
          <w:rFonts w:ascii="Times New Roman" w:eastAsia="Times New Roman" w:hAnsi="Times New Roman" w:cs="Times New Roman"/>
          <w:sz w:val="26"/>
          <w:szCs w:val="26"/>
        </w:rPr>
        <w:t xml:space="preserve">mitted to writing before the testimony existed. Indeed, Special Agent Nolan testified Parker “was on the list of employees I had already planned to come back to since August 2024.” Nolan Dep. 32:346-50. To satisfy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the government needs to prove only that the means used to discover its evidence can be traced to a legitimate, independent source. It has done so here for the whole of the evidence at issue, satisfying the requirement that independence be shown across the investigative claim. </w:t>
      </w:r>
      <w:r>
        <w:rPr>
          <w:rFonts w:ascii="Times New Roman" w:eastAsia="Times New Roman" w:hAnsi="Times New Roman" w:cs="Times New Roman"/>
          <w:i/>
          <w:iCs/>
          <w:sz w:val="26"/>
          <w:szCs w:val="26"/>
        </w:rPr>
        <w:t>See United States v. Hampton</w:t>
      </w:r>
      <w:r>
        <w:rPr>
          <w:rFonts w:ascii="Times New Roman" w:eastAsia="Times New Roman" w:hAnsi="Times New Roman" w:cs="Times New Roman"/>
          <w:sz w:val="26"/>
          <w:szCs w:val="26"/>
        </w:rPr>
        <w:t>, 775 F.2d 1479, 1490 (11th Cir. 1985).</w:t>
      </w:r>
    </w:p>
    <w:p w14:paraId="77CE65DC" w14:textId="77777777" w:rsidR="006A2283" w:rsidRDefault="00AB78D1">
      <w:pPr>
        <w:pStyle w:val="Heading3"/>
        <w:numPr>
          <w:ilvl w:val="0"/>
          <w:numId w:val="1"/>
        </w:numPr>
        <w:spacing w:line="240" w:lineRule="auto"/>
        <w:rPr>
          <w:u w:val="none"/>
        </w:rPr>
      </w:pPr>
      <w:bookmarkStart w:id="10" w:name="_u81qcwglbc8h" w:colFirst="0" w:colLast="0"/>
      <w:bookmarkEnd w:id="10"/>
      <w:r>
        <w:t xml:space="preserve">The investigative wall satisfied </w:t>
      </w:r>
      <w:r>
        <w:rPr>
          <w:i/>
          <w:iCs/>
        </w:rPr>
        <w:t>Kastigar</w:t>
      </w:r>
      <w:r>
        <w:t>’s requirements; perfect insulation is not the standard.</w:t>
      </w:r>
    </w:p>
    <w:p w14:paraId="77CE65DD" w14:textId="77777777" w:rsidR="006A2283" w:rsidRDefault="00AB78D1">
      <w:pPr>
        <w:spacing w:before="200" w:line="480" w:lineRule="auto"/>
        <w:rPr>
          <w:rFonts w:ascii="Times New Roman" w:eastAsia="Times New Roman" w:hAnsi="Times New Roman" w:cs="Times New Roman"/>
          <w:sz w:val="26"/>
          <w:szCs w:val="26"/>
        </w:rPr>
      </w:pPr>
      <w:r>
        <w:tab/>
      </w:r>
      <w:r>
        <w:rPr>
          <w:rFonts w:ascii="Times New Roman" w:eastAsia="Times New Roman" w:hAnsi="Times New Roman" w:cs="Times New Roman"/>
          <w:sz w:val="26"/>
          <w:szCs w:val="26"/>
        </w:rPr>
        <w:t xml:space="preserve">Special Agent Nolan decided to interview Parker while walled off from Sinclair and from the compelled testimony that AUSA Sinclair alone received. Sinclair Dep. 22:572-76. AUSA Sinclair confirmed that he </w:t>
      </w:r>
      <w:proofErr w:type="gramStart"/>
      <w:r>
        <w:rPr>
          <w:rFonts w:ascii="Times New Roman" w:eastAsia="Times New Roman" w:hAnsi="Times New Roman" w:cs="Times New Roman"/>
          <w:sz w:val="26"/>
          <w:szCs w:val="26"/>
        </w:rPr>
        <w:t>had no involvement</w:t>
      </w:r>
      <w:proofErr w:type="gramEnd"/>
      <w:r>
        <w:rPr>
          <w:rFonts w:ascii="Times New Roman" w:eastAsia="Times New Roman" w:hAnsi="Times New Roman" w:cs="Times New Roman"/>
          <w:sz w:val="26"/>
          <w:szCs w:val="26"/>
        </w:rPr>
        <w:t xml:space="preserve"> in the case against the Defendant from August 23, </w:t>
      </w:r>
      <w:proofErr w:type="gramStart"/>
      <w:r>
        <w:rPr>
          <w:rFonts w:ascii="Times New Roman" w:eastAsia="Times New Roman" w:hAnsi="Times New Roman" w:cs="Times New Roman"/>
          <w:sz w:val="26"/>
          <w:szCs w:val="26"/>
        </w:rPr>
        <w:t>2024</w:t>
      </w:r>
      <w:proofErr w:type="gramEnd"/>
      <w:r>
        <w:rPr>
          <w:rFonts w:ascii="Times New Roman" w:eastAsia="Times New Roman" w:hAnsi="Times New Roman" w:cs="Times New Roman"/>
          <w:sz w:val="26"/>
          <w:szCs w:val="26"/>
        </w:rPr>
        <w:t xml:space="preserve"> onward.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22:577-79, 23:600-02. Although AUSA Sinclair and Special Agent Nolan had some contact with each other after August 23, 2024, Special Agent Nolan testified that “[they] never discussed the Silver Palms cases.” Nolan Dep. 32:329-33. The record contains no evidence that the two men discussed the </w:t>
      </w:r>
      <w:r>
        <w:rPr>
          <w:rFonts w:ascii="Times New Roman" w:eastAsia="Times New Roman" w:hAnsi="Times New Roman" w:cs="Times New Roman"/>
          <w:sz w:val="26"/>
          <w:szCs w:val="26"/>
        </w:rPr>
        <w:lastRenderedPageBreak/>
        <w:t xml:space="preserve">substance of the Defendant’s testimony. Forcing these colleagues to sever all personal contact would establish the very “impenetrable barrier” that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does not require. </w:t>
      </w:r>
      <w:r>
        <w:rPr>
          <w:rFonts w:ascii="Times New Roman" w:eastAsia="Times New Roman" w:hAnsi="Times New Roman" w:cs="Times New Roman"/>
          <w:i/>
          <w:iCs/>
          <w:sz w:val="26"/>
          <w:szCs w:val="26"/>
        </w:rPr>
        <w:t>Byrd</w:t>
      </w:r>
      <w:r>
        <w:rPr>
          <w:rFonts w:ascii="Times New Roman" w:eastAsia="Times New Roman" w:hAnsi="Times New Roman" w:cs="Times New Roman"/>
          <w:sz w:val="26"/>
          <w:szCs w:val="26"/>
        </w:rPr>
        <w:t>, 765 F.2d at 1529. For these reasons, the government has met its burden by a preponderance of the evidence, and the Defendant’s Motion to Suppress Evidence should be denied.</w:t>
      </w:r>
    </w:p>
    <w:p w14:paraId="77CE65DE" w14:textId="77777777" w:rsidR="006A2283" w:rsidRDefault="00AB78D1">
      <w:pPr>
        <w:pStyle w:val="Heading2"/>
        <w:numPr>
          <w:ilvl w:val="0"/>
          <w:numId w:val="2"/>
        </w:numPr>
      </w:pPr>
      <w:bookmarkStart w:id="11" w:name="_awe6uqnxiblv" w:colFirst="0" w:colLast="0"/>
      <w:bookmarkEnd w:id="11"/>
      <w:r>
        <w:t xml:space="preserve">The Defendant’s Motion to Quash United States Subpoena Duces Tecum on Maddox Armana </w:t>
      </w:r>
      <w:proofErr w:type="gramStart"/>
      <w:r>
        <w:t>for the production of</w:t>
      </w:r>
      <w:proofErr w:type="gramEnd"/>
      <w:r>
        <w:t xml:space="preserve"> </w:t>
      </w:r>
      <w:proofErr w:type="gramStart"/>
      <w:r>
        <w:t>any and all</w:t>
      </w:r>
      <w:proofErr w:type="gramEnd"/>
      <w:r>
        <w:t xml:space="preserve"> records of Armana’s interview of Sierra Seton on February 15, </w:t>
      </w:r>
      <w:proofErr w:type="gramStart"/>
      <w:r>
        <w:t>2024</w:t>
      </w:r>
      <w:proofErr w:type="gramEnd"/>
      <w:r>
        <w:t xml:space="preserve"> should be denied. </w:t>
      </w:r>
    </w:p>
    <w:p w14:paraId="77CE65DF" w14:textId="77777777" w:rsidR="006A2283" w:rsidRDefault="006A2283">
      <w:pPr>
        <w:spacing w:line="240" w:lineRule="auto"/>
        <w:rPr>
          <w:rFonts w:ascii="Times New Roman" w:eastAsia="Times New Roman" w:hAnsi="Times New Roman" w:cs="Times New Roman"/>
          <w:b/>
          <w:bCs/>
          <w:sz w:val="26"/>
          <w:szCs w:val="26"/>
        </w:rPr>
      </w:pPr>
    </w:p>
    <w:p w14:paraId="77CE65E0" w14:textId="77777777" w:rsidR="006A2283" w:rsidRDefault="00AB78D1">
      <w:pPr>
        <w:spacing w:line="480" w:lineRule="auto"/>
        <w:rPr>
          <w:rFonts w:ascii="Times New Roman" w:eastAsia="Times New Roman" w:hAnsi="Times New Roman" w:cs="Times New Roman"/>
          <w:i/>
          <w:iCs/>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The Federal Rules of Criminal Procedure state that “reports, memoranda, or other documents made by the defendant, or the defendant’s attorney or agent, during the case’s investigation or defense” may not be subject to disclosure. Fed. R. Crim. P. 16(b)(2)(A).</w:t>
      </w:r>
      <w:r>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sz w:val="26"/>
          <w:szCs w:val="26"/>
        </w:rPr>
        <w:t xml:space="preserve">Though Maddox Armana is an investigator, he was not an agent during the alleged investigation or defense.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Armana Dep. 44:40-45. Therefore, there was not a sufficient “investigation or defense” to enable work-product protections. Fed. R. Crim. P. 16(b)(2)(A).</w:t>
      </w:r>
    </w:p>
    <w:p w14:paraId="77CE65E1"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Even if the Court finds the initial burden is met by the Defendant, work-product is not absolutely protected.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Fed. R. Civ. P. 26. Generally, work-product is not protected when the party seeking disclosure has a substantial need for the material and will have undue hardship in obtaining the material otherwise.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Since Seton is a vital piece to the case and nearly impossible to contact, the government has both a substantial need for the material and would experience undue hardship in obtaining the material.</w:t>
      </w:r>
    </w:p>
    <w:p w14:paraId="77CE65E2"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Moreover, Armana’s notes are subject to disclosure under the Federal Rule of Criminal Procedure 26.2. This rule states that after a non-defendant witness has testified </w:t>
      </w:r>
      <w:r>
        <w:rPr>
          <w:rFonts w:ascii="Times New Roman" w:eastAsia="Times New Roman" w:hAnsi="Times New Roman" w:cs="Times New Roman"/>
          <w:sz w:val="26"/>
          <w:szCs w:val="26"/>
        </w:rPr>
        <w:lastRenderedPageBreak/>
        <w:t>on direct examination, on motion of the party who did not call the witness, the Court must order the attorney for the one who called the witness to produce any statement of the witness that they possess and that relates to the content of the witness’s testimony. Fed. R. Crim. P. 26.2(a). Because the Defendant will be calling Armana to testify, with his notes presumably being related to the subject of his testimony, then on the Government’s motion, the Defendant must disclose the notes. Accordingly, in calli</w:t>
      </w:r>
      <w:r>
        <w:rPr>
          <w:rFonts w:ascii="Times New Roman" w:eastAsia="Times New Roman" w:hAnsi="Times New Roman" w:cs="Times New Roman"/>
          <w:sz w:val="26"/>
          <w:szCs w:val="26"/>
        </w:rPr>
        <w:t xml:space="preserve">ng Armana to testify, the Defendant will have waived its work-product protection pursuant to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422 U.S. at 229. For these reasons, the Court should deny the Defendant’s Motion to Quash. </w:t>
      </w:r>
    </w:p>
    <w:p w14:paraId="77CE65E3" w14:textId="77777777" w:rsidR="006A2283" w:rsidRDefault="00AB78D1">
      <w:pPr>
        <w:pStyle w:val="Heading3"/>
        <w:numPr>
          <w:ilvl w:val="0"/>
          <w:numId w:val="3"/>
        </w:numPr>
        <w:spacing w:line="240" w:lineRule="auto"/>
      </w:pPr>
      <w:bookmarkStart w:id="12" w:name="_bfhk5h5i87e" w:colFirst="0" w:colLast="0"/>
      <w:bookmarkEnd w:id="12"/>
      <w:r>
        <w:t>Maddox Armana’s notes are not documents made by the Defendant, or the Defendant’s attorney or agent, during the case’s investigation or defense, and thus are not protected under the work-product doctrine.</w:t>
      </w:r>
    </w:p>
    <w:p w14:paraId="77CE65E4" w14:textId="77777777" w:rsidR="006A2283" w:rsidRDefault="00AB78D1">
      <w:pPr>
        <w:spacing w:before="200"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For Rule 16(b)(2)(A) of the Federal Rules of Criminal Procedure to apply in this case, the Defendant must show that the material is (1) a report, memorandum, or other document (2) made by the defendant, or the defendant’s attorney or agent, (3) during the case’s investigation or defense. There is no dispute that the evidence at issue constitutes a report, memorandum, or other document. The remaining two factors remain at issue. </w:t>
      </w:r>
    </w:p>
    <w:p w14:paraId="77CE65E5"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First, Armana was not an agent for the Defendant pursuant to this rule. The criminal work-product rule, Fed. R. Crim. P. 16(b)(2)(A), is </w:t>
      </w:r>
      <w:proofErr w:type="gramStart"/>
      <w:r>
        <w:rPr>
          <w:rFonts w:ascii="Times New Roman" w:eastAsia="Times New Roman" w:hAnsi="Times New Roman" w:cs="Times New Roman"/>
          <w:sz w:val="26"/>
          <w:szCs w:val="26"/>
        </w:rPr>
        <w:t>similar to</w:t>
      </w:r>
      <w:proofErr w:type="gramEnd"/>
      <w:r>
        <w:rPr>
          <w:rFonts w:ascii="Times New Roman" w:eastAsia="Times New Roman" w:hAnsi="Times New Roman" w:cs="Times New Roman"/>
          <w:sz w:val="26"/>
          <w:szCs w:val="26"/>
        </w:rPr>
        <w:t xml:space="preserve"> that of Fed R. Civ. P. 26(b)(4)(B). Both allow for certain discovery of information by third parties retained or hired by a party or party’s counsel. Fed. R. Crim. P. 16(b)(2); Fed R. Civ. P. 26(b)(4)(B). While the criminal rule speaks of “the defendant’s attorney or agent,” the </w:t>
      </w:r>
      <w:r>
        <w:rPr>
          <w:rFonts w:ascii="Times New Roman" w:eastAsia="Times New Roman" w:hAnsi="Times New Roman" w:cs="Times New Roman"/>
          <w:sz w:val="26"/>
          <w:szCs w:val="26"/>
        </w:rPr>
        <w:lastRenderedPageBreak/>
        <w:t xml:space="preserve">civil rule speaks of “an expert who has been retained or specifically employed by another party.”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w:t>
      </w:r>
    </w:p>
    <w:p w14:paraId="77CE65E6"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An investigator can be an agent of</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the defendant so long as they are an investigator “for the defense.”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422 U.S. at 227. Being an investigator “for the defense” would imply the investigator has been “retained” for the party, the same way that Fed R. Civ. P. 26(b)(4)(B) requires. Therefore, being a “defendant’s agent,” as required in the criminal rule, is equivalent to being “retained by another party” in the civil rule. </w:t>
      </w:r>
    </w:p>
    <w:p w14:paraId="77CE65E7"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Taking Rule 16(b)(2)(A) in its entirety, for Armana to be an “agent” of the defense, he must have been (1) hired by the Defendant and have acted (2) during the investigation of the single, current case as it stands before the court. Defense counsel hired Armana well before the case at bar, in January 2024. Armana Dep. 43:35-56. However, defense counsel only hired Armana in response to Donovan’s arrest.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Defense counsel did not have any specific, reasonable belief to expect the government to bring a case for the current charges (killing of a witness and money laundering conspiracy). Indictment ¶¶ 1-2. Armana stated in his deposition that he was hired because defense counsel thought the government would “come after” the Defendant. Armana Dep. 43:37-38. </w:t>
      </w:r>
      <w:r>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sz w:val="26"/>
          <w:szCs w:val="26"/>
        </w:rPr>
        <w:t xml:space="preserve">A general fear of unspecific charges does not start a case’s investigation or defense without real imminent litigation. </w:t>
      </w:r>
      <w:r>
        <w:rPr>
          <w:rFonts w:ascii="Times New Roman" w:eastAsia="Times New Roman" w:hAnsi="Times New Roman" w:cs="Times New Roman"/>
          <w:i/>
          <w:iCs/>
          <w:sz w:val="26"/>
          <w:szCs w:val="26"/>
        </w:rPr>
        <w:t xml:space="preserve">See Marten, </w:t>
      </w:r>
      <w:r>
        <w:rPr>
          <w:rFonts w:ascii="Times New Roman" w:eastAsia="Times New Roman" w:hAnsi="Times New Roman" w:cs="Times New Roman"/>
          <w:sz w:val="26"/>
          <w:szCs w:val="26"/>
        </w:rPr>
        <w:t xml:space="preserve">U.S. Dist. LEXIS 268 at 10. Accordingly, Armana was not an agent of the defense. </w:t>
      </w:r>
    </w:p>
    <w:p w14:paraId="77CE65E8" w14:textId="77777777" w:rsidR="006A2283" w:rsidRDefault="00AB78D1">
      <w:pPr>
        <w:spacing w:line="480" w:lineRule="auto"/>
        <w:ind w:firstLine="720"/>
        <w:rPr>
          <w:rFonts w:ascii="Times New Roman" w:eastAsia="Times New Roman" w:hAnsi="Times New Roman" w:cs="Times New Roman"/>
          <w:i/>
          <w:iCs/>
          <w:sz w:val="26"/>
          <w:szCs w:val="26"/>
        </w:rPr>
      </w:pPr>
      <w:r>
        <w:rPr>
          <w:rFonts w:ascii="Times New Roman" w:eastAsia="Times New Roman" w:hAnsi="Times New Roman" w:cs="Times New Roman"/>
          <w:sz w:val="26"/>
          <w:szCs w:val="26"/>
        </w:rPr>
        <w:t xml:space="preserve">Secondly, Armana’s notes were not made during this case’s investigation or defense. Rule 16(b)(2)(A) does not expressly define the definition of “during the case’s </w:t>
      </w:r>
      <w:r>
        <w:rPr>
          <w:rFonts w:ascii="Times New Roman" w:eastAsia="Times New Roman" w:hAnsi="Times New Roman" w:cs="Times New Roman"/>
          <w:sz w:val="26"/>
          <w:szCs w:val="26"/>
        </w:rPr>
        <w:lastRenderedPageBreak/>
        <w:t xml:space="preserve">investigation or defense.” Furthermore, there are very few cases construing Rule 16(b)(2)(A). However, in </w:t>
      </w:r>
      <w:r>
        <w:rPr>
          <w:rFonts w:ascii="Times New Roman" w:eastAsia="Times New Roman" w:hAnsi="Times New Roman" w:cs="Times New Roman"/>
          <w:i/>
          <w:iCs/>
          <w:sz w:val="26"/>
          <w:szCs w:val="26"/>
        </w:rPr>
        <w:t xml:space="preserve">Tambourine Comercio Internacional SA v. Solokowsky, </w:t>
      </w:r>
      <w:r>
        <w:rPr>
          <w:rFonts w:ascii="Times New Roman" w:eastAsia="Times New Roman" w:hAnsi="Times New Roman" w:cs="Times New Roman"/>
          <w:sz w:val="26"/>
          <w:szCs w:val="26"/>
        </w:rPr>
        <w:t xml:space="preserve">the 11th Circuit Court of Appeals held that a “case” refers to the case currently at issue, not any other related case. 312 F. </w:t>
      </w:r>
      <w:proofErr w:type="spellStart"/>
      <w:r>
        <w:rPr>
          <w:rFonts w:ascii="Times New Roman" w:eastAsia="Times New Roman" w:hAnsi="Times New Roman" w:cs="Times New Roman"/>
          <w:sz w:val="26"/>
          <w:szCs w:val="26"/>
        </w:rPr>
        <w:t>App’x</w:t>
      </w:r>
      <w:proofErr w:type="spellEnd"/>
      <w:r>
        <w:rPr>
          <w:rFonts w:ascii="Times New Roman" w:eastAsia="Times New Roman" w:hAnsi="Times New Roman" w:cs="Times New Roman"/>
          <w:sz w:val="26"/>
          <w:szCs w:val="26"/>
        </w:rPr>
        <w:t xml:space="preserve"> 263, 286 (11th Cir. 2009). In </w:t>
      </w:r>
      <w:r>
        <w:rPr>
          <w:rFonts w:ascii="Times New Roman" w:eastAsia="Times New Roman" w:hAnsi="Times New Roman" w:cs="Times New Roman"/>
          <w:i/>
          <w:iCs/>
          <w:sz w:val="26"/>
          <w:szCs w:val="26"/>
        </w:rPr>
        <w:t xml:space="preserve">Tambourine, </w:t>
      </w:r>
      <w:r>
        <w:rPr>
          <w:rFonts w:ascii="Times New Roman" w:eastAsia="Times New Roman" w:hAnsi="Times New Roman" w:cs="Times New Roman"/>
          <w:sz w:val="26"/>
          <w:szCs w:val="26"/>
        </w:rPr>
        <w:t xml:space="preserve">the court emphasized that a party cannot “discover facts known or opinions held by an expert </w:t>
      </w:r>
      <w:r>
        <w:rPr>
          <w:rFonts w:ascii="Times New Roman" w:eastAsia="Times New Roman" w:hAnsi="Times New Roman" w:cs="Times New Roman"/>
          <w:i/>
          <w:iCs/>
          <w:sz w:val="26"/>
          <w:szCs w:val="26"/>
        </w:rPr>
        <w:t xml:space="preserve">who has been retained or specifically employed by another party </w:t>
      </w:r>
      <w:r>
        <w:rPr>
          <w:rFonts w:ascii="Times New Roman" w:eastAsia="Times New Roman" w:hAnsi="Times New Roman" w:cs="Times New Roman"/>
          <w:sz w:val="26"/>
          <w:szCs w:val="26"/>
        </w:rPr>
        <w:t xml:space="preserve">in anticipation of litigation or to prepare for trial…”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286. In </w:t>
      </w:r>
      <w:r>
        <w:rPr>
          <w:rFonts w:ascii="Times New Roman" w:eastAsia="Times New Roman" w:hAnsi="Times New Roman" w:cs="Times New Roman"/>
          <w:i/>
          <w:iCs/>
          <w:sz w:val="26"/>
          <w:szCs w:val="26"/>
        </w:rPr>
        <w:t>Tambourine</w:t>
      </w:r>
      <w:r>
        <w:rPr>
          <w:rFonts w:ascii="Times New Roman" w:eastAsia="Times New Roman" w:hAnsi="Times New Roman" w:cs="Times New Roman"/>
          <w:sz w:val="26"/>
          <w:szCs w:val="26"/>
        </w:rPr>
        <w:t xml:space="preserve">, the expert was retained by a party to another case, but not by a party to “this case.” </w:t>
      </w:r>
      <w:r>
        <w:rPr>
          <w:rFonts w:ascii="Times New Roman" w:eastAsia="Times New Roman" w:hAnsi="Times New Roman" w:cs="Times New Roman"/>
          <w:i/>
          <w:iCs/>
          <w:sz w:val="26"/>
          <w:szCs w:val="26"/>
        </w:rPr>
        <w:t xml:space="preserve">Id. </w:t>
      </w:r>
    </w:p>
    <w:p w14:paraId="77CE65E9"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Fed. R. Crim. P. Rule 16(b)(2)(A) states that the material covered is “made by the…agent…</w:t>
      </w:r>
      <w:r>
        <w:rPr>
          <w:rFonts w:ascii="Times New Roman" w:eastAsia="Times New Roman" w:hAnsi="Times New Roman" w:cs="Times New Roman"/>
          <w:i/>
          <w:iCs/>
          <w:sz w:val="26"/>
          <w:szCs w:val="26"/>
        </w:rPr>
        <w:t>during the case’s investigation or defense</w:t>
      </w:r>
      <w:r>
        <w:rPr>
          <w:rFonts w:ascii="Times New Roman" w:eastAsia="Times New Roman" w:hAnsi="Times New Roman" w:cs="Times New Roman"/>
          <w:sz w:val="26"/>
          <w:szCs w:val="26"/>
        </w:rPr>
        <w:t xml:space="preserve">.” (emphasis added). Likewise, Rule 26(b)(4)(B) specifies the expert </w:t>
      </w:r>
      <w:proofErr w:type="gramStart"/>
      <w:r>
        <w:rPr>
          <w:rFonts w:ascii="Times New Roman" w:eastAsia="Times New Roman" w:hAnsi="Times New Roman" w:cs="Times New Roman"/>
          <w:sz w:val="26"/>
          <w:szCs w:val="26"/>
        </w:rPr>
        <w:t>has to</w:t>
      </w:r>
      <w:proofErr w:type="gramEnd"/>
      <w:r>
        <w:rPr>
          <w:rFonts w:ascii="Times New Roman" w:eastAsia="Times New Roman" w:hAnsi="Times New Roman" w:cs="Times New Roman"/>
          <w:sz w:val="26"/>
          <w:szCs w:val="26"/>
        </w:rPr>
        <w:t xml:space="preserve"> be retained by another party “in anticipation of litigation or to prepare for trial…”  Fed. R. Civ. P. 26(b)(4)(B). Since the </w:t>
      </w:r>
      <w:r>
        <w:rPr>
          <w:rFonts w:ascii="Times New Roman" w:eastAsia="Times New Roman" w:hAnsi="Times New Roman" w:cs="Times New Roman"/>
          <w:i/>
          <w:iCs/>
          <w:sz w:val="26"/>
          <w:szCs w:val="26"/>
        </w:rPr>
        <w:t xml:space="preserve">Tambourine </w:t>
      </w:r>
      <w:r>
        <w:rPr>
          <w:rFonts w:ascii="Times New Roman" w:eastAsia="Times New Roman" w:hAnsi="Times New Roman" w:cs="Times New Roman"/>
          <w:sz w:val="26"/>
          <w:szCs w:val="26"/>
        </w:rPr>
        <w:t xml:space="preserve">court held “the litigation” refers to the “instant litigation,” and not litigation involving another party; “the case’s investigation or defense” means the instant investigation or defense. </w:t>
      </w:r>
      <w:r>
        <w:rPr>
          <w:rFonts w:ascii="Times New Roman" w:eastAsia="Times New Roman" w:hAnsi="Times New Roman" w:cs="Times New Roman"/>
          <w:i/>
          <w:iCs/>
          <w:sz w:val="26"/>
          <w:szCs w:val="26"/>
        </w:rPr>
        <w:t>Tambourine,</w:t>
      </w:r>
      <w:r>
        <w:rPr>
          <w:rFonts w:ascii="Times New Roman" w:eastAsia="Times New Roman" w:hAnsi="Times New Roman" w:cs="Times New Roman"/>
          <w:sz w:val="26"/>
          <w:szCs w:val="26"/>
        </w:rPr>
        <w:t xml:space="preserve"> 312 F. </w:t>
      </w:r>
      <w:proofErr w:type="spellStart"/>
      <w:r>
        <w:rPr>
          <w:rFonts w:ascii="Times New Roman" w:eastAsia="Times New Roman" w:hAnsi="Times New Roman" w:cs="Times New Roman"/>
          <w:sz w:val="26"/>
          <w:szCs w:val="26"/>
        </w:rPr>
        <w:t>App’x</w:t>
      </w:r>
      <w:proofErr w:type="spellEnd"/>
      <w:r>
        <w:rPr>
          <w:rFonts w:ascii="Times New Roman" w:eastAsia="Times New Roman" w:hAnsi="Times New Roman" w:cs="Times New Roman"/>
          <w:sz w:val="26"/>
          <w:szCs w:val="26"/>
        </w:rPr>
        <w:t xml:space="preserve"> at 287. Further, “mere assertions by the party resisting discovery that documents or other tangible items were created in anticipation of litigation” is usually insufficient. </w:t>
      </w:r>
      <w:r>
        <w:rPr>
          <w:rFonts w:ascii="Times New Roman" w:eastAsia="Times New Roman" w:hAnsi="Times New Roman" w:cs="Times New Roman"/>
          <w:i/>
          <w:iCs/>
          <w:sz w:val="26"/>
          <w:szCs w:val="26"/>
        </w:rPr>
        <w:t>Marten v. Yellow Freight Sys</w:t>
      </w:r>
      <w:r>
        <w:rPr>
          <w:rFonts w:ascii="Times New Roman" w:eastAsia="Times New Roman" w:hAnsi="Times New Roman" w:cs="Times New Roman"/>
          <w:sz w:val="26"/>
          <w:szCs w:val="26"/>
        </w:rPr>
        <w:t>, No. 96-2013-GTV U.S. Dist. LEXIS 268, 28-19 (1998).</w:t>
      </w:r>
    </w:p>
    <w:p w14:paraId="77CE65EA" w14:textId="77777777" w:rsidR="006A2283" w:rsidRDefault="00AB78D1">
      <w:pPr>
        <w:spacing w:line="480" w:lineRule="auto"/>
        <w:ind w:firstLine="720"/>
        <w:rPr>
          <w:rFonts w:ascii="Times New Roman" w:eastAsia="Times New Roman" w:hAnsi="Times New Roman" w:cs="Times New Roman"/>
          <w:i/>
          <w:iCs/>
          <w:sz w:val="26"/>
          <w:szCs w:val="26"/>
        </w:rPr>
      </w:pPr>
      <w:r>
        <w:rPr>
          <w:rFonts w:ascii="Times New Roman" w:eastAsia="Times New Roman" w:hAnsi="Times New Roman" w:cs="Times New Roman"/>
          <w:sz w:val="26"/>
          <w:szCs w:val="26"/>
        </w:rPr>
        <w:t xml:space="preserve">The Defendant cannot show Armana interviewed Seton for the purpose of the instant litigation as required. </w:t>
      </w:r>
      <w:r>
        <w:rPr>
          <w:rFonts w:ascii="Times New Roman" w:eastAsia="Times New Roman" w:hAnsi="Times New Roman" w:cs="Times New Roman"/>
          <w:i/>
          <w:iCs/>
          <w:sz w:val="26"/>
          <w:szCs w:val="26"/>
        </w:rPr>
        <w:t>See Hickman v. Taylor</w:t>
      </w:r>
      <w:r>
        <w:rPr>
          <w:rFonts w:ascii="Times New Roman" w:eastAsia="Times New Roman" w:hAnsi="Times New Roman" w:cs="Times New Roman"/>
          <w:sz w:val="26"/>
          <w:szCs w:val="26"/>
        </w:rPr>
        <w:t xml:space="preserve">, 329 U.S. 495, 498 (1947). Armana expressly stated that he simply wanted to understand how Coastal Event Solutions </w:t>
      </w:r>
      <w:r>
        <w:rPr>
          <w:rFonts w:ascii="Times New Roman" w:eastAsia="Times New Roman" w:hAnsi="Times New Roman" w:cs="Times New Roman"/>
          <w:sz w:val="26"/>
          <w:szCs w:val="26"/>
        </w:rPr>
        <w:lastRenderedPageBreak/>
        <w:t xml:space="preserve">worked as an organization. Armana Dep. 45:86-87; 89-91. Armada did not say that his goal was about understanding or learning about either of the charges of this case. </w:t>
      </w:r>
      <w:r>
        <w:rPr>
          <w:rFonts w:ascii="Times New Roman" w:eastAsia="Times New Roman" w:hAnsi="Times New Roman" w:cs="Times New Roman"/>
          <w:i/>
          <w:iCs/>
          <w:sz w:val="26"/>
          <w:szCs w:val="26"/>
        </w:rPr>
        <w:t xml:space="preserve">See id. </w:t>
      </w:r>
    </w:p>
    <w:p w14:paraId="77CE65EB"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Defendant merely asserts that Armana acted as an agent, but the evidence shows Armana failed to act during </w:t>
      </w:r>
      <w:r>
        <w:rPr>
          <w:rFonts w:ascii="Times New Roman" w:eastAsia="Times New Roman" w:hAnsi="Times New Roman" w:cs="Times New Roman"/>
          <w:i/>
          <w:iCs/>
          <w:sz w:val="26"/>
          <w:szCs w:val="26"/>
        </w:rPr>
        <w:t xml:space="preserve">this </w:t>
      </w:r>
      <w:r>
        <w:rPr>
          <w:rFonts w:ascii="Times New Roman" w:eastAsia="Times New Roman" w:hAnsi="Times New Roman" w:cs="Times New Roman"/>
          <w:sz w:val="26"/>
          <w:szCs w:val="26"/>
        </w:rPr>
        <w:t>case’s investigation or defense. The fear that the “government might come after” the Defendant is too vague to be protected under the work-product doctrine. Armana Dep. 43:37-38. Thus, Armana’s notes of his interview with Seton are not protected under the work-product doctrine.</w:t>
      </w:r>
    </w:p>
    <w:p w14:paraId="77CE65EC" w14:textId="77777777" w:rsidR="006A2283" w:rsidRDefault="00AB78D1">
      <w:pPr>
        <w:pStyle w:val="Heading3"/>
        <w:numPr>
          <w:ilvl w:val="0"/>
          <w:numId w:val="3"/>
        </w:numPr>
        <w:spacing w:line="240" w:lineRule="auto"/>
      </w:pPr>
      <w:bookmarkStart w:id="13" w:name="_hpzu5jx9do2h" w:colFirst="0" w:colLast="0"/>
      <w:bookmarkEnd w:id="13"/>
      <w:r>
        <w:t xml:space="preserve">Since Armana’s notes (1) were not made with an eye toward litigation, and (2) the government has substantial need and undue hardship, the notes are not protected pursuant to the work-product doctrine.  </w:t>
      </w:r>
    </w:p>
    <w:p w14:paraId="77CE65ED" w14:textId="77777777" w:rsidR="006A2283" w:rsidRDefault="00AB78D1">
      <w:pPr>
        <w:spacing w:before="200"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The Federal Rules of Civil Procedure dictate that work-product can be subject to disclosure when the party seeking discovery shows a substantial need for the material and cannot obtain the equivalent without undue hardship. Fed. R. Civ. P. 26(b)(3); s</w:t>
      </w:r>
      <w:r>
        <w:rPr>
          <w:rFonts w:ascii="Times New Roman" w:eastAsia="Times New Roman" w:hAnsi="Times New Roman" w:cs="Times New Roman"/>
          <w:i/>
          <w:iCs/>
          <w:sz w:val="26"/>
          <w:szCs w:val="26"/>
        </w:rPr>
        <w:t>ee Hickman</w:t>
      </w:r>
      <w:r>
        <w:rPr>
          <w:rFonts w:ascii="Times New Roman" w:eastAsia="Times New Roman" w:hAnsi="Times New Roman" w:cs="Times New Roman"/>
          <w:sz w:val="26"/>
          <w:szCs w:val="26"/>
        </w:rPr>
        <w:t xml:space="preserve">, 329 U.S. at 511. First, the information Seton had is vital to understanding </w:t>
      </w:r>
      <w:proofErr w:type="spellStart"/>
      <w:r>
        <w:rPr>
          <w:rFonts w:ascii="Times New Roman" w:eastAsia="Times New Roman" w:hAnsi="Times New Roman" w:cs="Times New Roman"/>
          <w:sz w:val="26"/>
          <w:szCs w:val="26"/>
        </w:rPr>
        <w:t>Coastal’s</w:t>
      </w:r>
      <w:proofErr w:type="spellEnd"/>
      <w:r>
        <w:rPr>
          <w:rFonts w:ascii="Times New Roman" w:eastAsia="Times New Roman" w:hAnsi="Times New Roman" w:cs="Times New Roman"/>
          <w:sz w:val="26"/>
          <w:szCs w:val="26"/>
        </w:rPr>
        <w:t xml:space="preserve"> structure. Armana Dep. 44:63-66. Second, Seton is now unreachable.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46:158-59. Third, no one else in the world would have the information that Seton has.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47:160-61. Thus, there is a substantial need for the notes, and the equivalent cannot be obtained without undue hardship. </w:t>
      </w:r>
    </w:p>
    <w:p w14:paraId="77CE65EE"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Even work-product such as notes based on oral statements can be discoverable when the party seeking discovery can make a showing above the substantial need standard. </w:t>
      </w:r>
      <w:r>
        <w:rPr>
          <w:rFonts w:ascii="Times New Roman" w:eastAsia="Times New Roman" w:hAnsi="Times New Roman" w:cs="Times New Roman"/>
          <w:i/>
          <w:iCs/>
          <w:sz w:val="26"/>
          <w:szCs w:val="26"/>
        </w:rPr>
        <w:t>Upjohn Co. v. United States</w:t>
      </w:r>
      <w:r>
        <w:rPr>
          <w:rFonts w:ascii="Times New Roman" w:eastAsia="Times New Roman" w:hAnsi="Times New Roman" w:cs="Times New Roman"/>
          <w:sz w:val="26"/>
          <w:szCs w:val="26"/>
        </w:rPr>
        <w:t xml:space="preserve">, 449 U.S. 383, 401 (1981). Whereas the work product in </w:t>
      </w:r>
      <w:r>
        <w:rPr>
          <w:rFonts w:ascii="Times New Roman" w:eastAsia="Times New Roman" w:hAnsi="Times New Roman" w:cs="Times New Roman"/>
          <w:i/>
          <w:iCs/>
          <w:sz w:val="26"/>
          <w:szCs w:val="26"/>
        </w:rPr>
        <w:t xml:space="preserve">Upjohn </w:t>
      </w:r>
      <w:r>
        <w:rPr>
          <w:rFonts w:ascii="Times New Roman" w:eastAsia="Times New Roman" w:hAnsi="Times New Roman" w:cs="Times New Roman"/>
          <w:sz w:val="26"/>
          <w:szCs w:val="26"/>
        </w:rPr>
        <w:t xml:space="preserve">could have been–and some was–discovered without undue hardship, in </w:t>
      </w:r>
      <w:r>
        <w:rPr>
          <w:rFonts w:ascii="Times New Roman" w:eastAsia="Times New Roman" w:hAnsi="Times New Roman" w:cs="Times New Roman"/>
          <w:sz w:val="26"/>
          <w:szCs w:val="26"/>
        </w:rPr>
        <w:lastRenderedPageBreak/>
        <w:t xml:space="preserve">this case, it is virtually impossible to find the equivalent information of Armana’s notes. </w:t>
      </w:r>
      <w:r>
        <w:rPr>
          <w:rFonts w:ascii="Times New Roman" w:eastAsia="Times New Roman" w:hAnsi="Times New Roman" w:cs="Times New Roman"/>
          <w:i/>
          <w:iCs/>
          <w:sz w:val="26"/>
          <w:szCs w:val="26"/>
        </w:rPr>
        <w:t>See id.</w:t>
      </w:r>
      <w:r>
        <w:rPr>
          <w:rFonts w:ascii="Times New Roman" w:eastAsia="Times New Roman" w:hAnsi="Times New Roman" w:cs="Times New Roman"/>
          <w:sz w:val="26"/>
          <w:szCs w:val="26"/>
        </w:rPr>
        <w:t xml:space="preserve"> </w:t>
      </w:r>
    </w:p>
    <w:p w14:paraId="77CE65EF"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 </w:t>
      </w:r>
      <w:r>
        <w:rPr>
          <w:rFonts w:ascii="Times New Roman" w:eastAsia="Times New Roman" w:hAnsi="Times New Roman" w:cs="Times New Roman"/>
          <w:i/>
          <w:iCs/>
          <w:sz w:val="26"/>
          <w:szCs w:val="26"/>
        </w:rPr>
        <w:t xml:space="preserve">Upjohn, </w:t>
      </w:r>
      <w:r>
        <w:rPr>
          <w:rFonts w:ascii="Times New Roman" w:eastAsia="Times New Roman" w:hAnsi="Times New Roman" w:cs="Times New Roman"/>
          <w:sz w:val="26"/>
          <w:szCs w:val="26"/>
        </w:rPr>
        <w:t xml:space="preserve">the defendant provided the IRS with the names of the interviewees of which the work-product material covered.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396. The IRS even contacted and interviewed some of the interviewees on their own.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Conversely, Seton is completely unreachable. Armana Dep. 46:159. Even if Seton was reachable, she would likely not divulge any information.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46:94-99. Armana himself believes, and believed at the time, that he would not have another chance to get the information from Seton that he did during the interview.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w:t>
      </w:r>
    </w:p>
    <w:p w14:paraId="77CE65F0"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Notably, the Supreme Court in </w:t>
      </w:r>
      <w:r>
        <w:rPr>
          <w:rFonts w:ascii="Times New Roman" w:eastAsia="Times New Roman" w:hAnsi="Times New Roman" w:cs="Times New Roman"/>
          <w:i/>
          <w:iCs/>
          <w:sz w:val="26"/>
          <w:szCs w:val="26"/>
        </w:rPr>
        <w:t xml:space="preserve">Upjohn </w:t>
      </w:r>
      <w:r>
        <w:rPr>
          <w:rFonts w:ascii="Times New Roman" w:eastAsia="Times New Roman" w:hAnsi="Times New Roman" w:cs="Times New Roman"/>
          <w:sz w:val="26"/>
          <w:szCs w:val="26"/>
        </w:rPr>
        <w:t xml:space="preserve">emphasized that while some courts afford certain work product absolute immunity, the Court declined to “decide the issue at this time.” </w:t>
      </w:r>
      <w:r>
        <w:rPr>
          <w:rFonts w:ascii="Times New Roman" w:eastAsia="Times New Roman" w:hAnsi="Times New Roman" w:cs="Times New Roman"/>
          <w:i/>
          <w:iCs/>
          <w:sz w:val="26"/>
          <w:szCs w:val="26"/>
        </w:rPr>
        <w:t>Upjohn Co. v. United States</w:t>
      </w:r>
      <w:r>
        <w:rPr>
          <w:rFonts w:ascii="Times New Roman" w:eastAsia="Times New Roman" w:hAnsi="Times New Roman" w:cs="Times New Roman"/>
          <w:sz w:val="26"/>
          <w:szCs w:val="26"/>
        </w:rPr>
        <w:t>, 449 U.S. 383, 401 (1981). The Court was “not prepared at this juncture to say that such material is always protected by the work-product rule…”</w:t>
      </w:r>
      <w:r>
        <w:t xml:space="preserv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Thus, the Court intentionally left open the possibility for necessity to overcome work-product protection even for interview notes.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Additionally, the Court specified it was unimpressed with the showing of necessity and unavailability under the </w:t>
      </w:r>
      <w:r>
        <w:rPr>
          <w:rFonts w:ascii="Times New Roman" w:eastAsia="Times New Roman" w:hAnsi="Times New Roman" w:cs="Times New Roman"/>
          <w:i/>
          <w:iCs/>
          <w:sz w:val="26"/>
          <w:szCs w:val="26"/>
        </w:rPr>
        <w:t xml:space="preserve">Upjohn </w:t>
      </w:r>
      <w:r>
        <w:rPr>
          <w:rFonts w:ascii="Times New Roman" w:eastAsia="Times New Roman" w:hAnsi="Times New Roman" w:cs="Times New Roman"/>
          <w:sz w:val="26"/>
          <w:szCs w:val="26"/>
        </w:rPr>
        <w:t xml:space="preserve">factors.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at</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402. While the Court requires something more than the typical substantial need standard, it does not require an extraordinary amount.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This case has more than a simple showing of substantial need, as the required information is now virtually impossible to find. </w:t>
      </w:r>
    </w:p>
    <w:p w14:paraId="77CE65F1" w14:textId="77777777" w:rsidR="006A2283" w:rsidRDefault="00AB78D1">
      <w:pPr>
        <w:pStyle w:val="Heading3"/>
        <w:numPr>
          <w:ilvl w:val="0"/>
          <w:numId w:val="3"/>
        </w:numPr>
        <w:spacing w:line="240" w:lineRule="auto"/>
      </w:pPr>
      <w:bookmarkStart w:id="14" w:name="_xibsvjfq91uw" w:colFirst="0" w:colLast="0"/>
      <w:bookmarkEnd w:id="14"/>
      <w:r>
        <w:lastRenderedPageBreak/>
        <w:t xml:space="preserve">Even if the Court finds Armana’s notes to be work product prepared with an eye toward litigation, the notes still must be produced pursuant to the </w:t>
      </w:r>
      <w:r>
        <w:rPr>
          <w:i/>
          <w:iCs/>
        </w:rPr>
        <w:t xml:space="preserve">Nobles </w:t>
      </w:r>
      <w:r>
        <w:t xml:space="preserve">waiver and Federal Rule of Criminal Procedure 26.2. </w:t>
      </w:r>
    </w:p>
    <w:p w14:paraId="77CE65F2" w14:textId="77777777" w:rsidR="006A2283" w:rsidRDefault="00AB78D1">
      <w:pPr>
        <w:spacing w:before="200"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The decision in </w:t>
      </w:r>
      <w:r>
        <w:rPr>
          <w:rFonts w:ascii="Times New Roman" w:eastAsia="Times New Roman" w:hAnsi="Times New Roman" w:cs="Times New Roman"/>
          <w:i/>
          <w:iCs/>
          <w:sz w:val="26"/>
          <w:szCs w:val="26"/>
        </w:rPr>
        <w:t xml:space="preserve">Upjohn </w:t>
      </w:r>
      <w:r>
        <w:rPr>
          <w:rFonts w:ascii="Times New Roman" w:eastAsia="Times New Roman" w:hAnsi="Times New Roman" w:cs="Times New Roman"/>
          <w:sz w:val="26"/>
          <w:szCs w:val="26"/>
        </w:rPr>
        <w:t xml:space="preserve">and Federal Rule of Criminal Procedure 26.2 dictate that Armana’s notes are not protected from disclosure. Fed. R. Crim. P. 26.2; </w:t>
      </w:r>
      <w:r>
        <w:rPr>
          <w:rFonts w:ascii="Times New Roman" w:eastAsia="Times New Roman" w:hAnsi="Times New Roman" w:cs="Times New Roman"/>
          <w:i/>
          <w:iCs/>
          <w:sz w:val="26"/>
          <w:szCs w:val="26"/>
        </w:rPr>
        <w:t xml:space="preserve">see also Upjohn, </w:t>
      </w:r>
      <w:r>
        <w:rPr>
          <w:rFonts w:ascii="Times New Roman" w:eastAsia="Times New Roman" w:hAnsi="Times New Roman" w:cs="Times New Roman"/>
          <w:sz w:val="26"/>
          <w:szCs w:val="26"/>
        </w:rPr>
        <w:t xml:space="preserve">449 U.S. at 401. In a criminal case, if a defense investigator testifies, they waive protections of materials related to their testimony. </w:t>
      </w:r>
      <w:r>
        <w:rPr>
          <w:rFonts w:ascii="Times New Roman" w:eastAsia="Times New Roman" w:hAnsi="Times New Roman" w:cs="Times New Roman"/>
          <w:i/>
          <w:iCs/>
          <w:sz w:val="26"/>
          <w:szCs w:val="26"/>
        </w:rPr>
        <w:t>United States v. Nobles</w:t>
      </w:r>
      <w:r>
        <w:rPr>
          <w:rFonts w:ascii="Times New Roman" w:eastAsia="Times New Roman" w:hAnsi="Times New Roman" w:cs="Times New Roman"/>
          <w:sz w:val="26"/>
          <w:szCs w:val="26"/>
        </w:rPr>
        <w:t xml:space="preserve">, 422 U.S. 225, 239 (1975). The Defendant will call Armana to testify as a witness. Stip. 5. Accordingly, the waiver applies. </w:t>
      </w:r>
    </w:p>
    <w:p w14:paraId="77CE65F3" w14:textId="77777777" w:rsidR="006A2283" w:rsidRDefault="00AB78D1">
      <w:pPr>
        <w:spacing w:line="480" w:lineRule="auto"/>
        <w:ind w:firstLine="720"/>
        <w:rPr>
          <w:rFonts w:ascii="Times New Roman" w:eastAsia="Times New Roman" w:hAnsi="Times New Roman" w:cs="Times New Roman"/>
          <w:i/>
          <w:iCs/>
          <w:sz w:val="26"/>
          <w:szCs w:val="26"/>
        </w:rPr>
      </w:pPr>
      <w:r>
        <w:rPr>
          <w:rFonts w:ascii="Times New Roman" w:eastAsia="Times New Roman" w:hAnsi="Times New Roman" w:cs="Times New Roman"/>
          <w:sz w:val="26"/>
          <w:szCs w:val="26"/>
        </w:rPr>
        <w:t xml:space="preserve">As </w:t>
      </w:r>
      <w:r>
        <w:rPr>
          <w:rFonts w:ascii="Times New Roman" w:eastAsia="Times New Roman" w:hAnsi="Times New Roman" w:cs="Times New Roman"/>
          <w:i/>
          <w:iCs/>
          <w:sz w:val="26"/>
          <w:szCs w:val="26"/>
        </w:rPr>
        <w:t xml:space="preserve">Nobles </w:t>
      </w:r>
      <w:r>
        <w:rPr>
          <w:rFonts w:ascii="Times New Roman" w:eastAsia="Times New Roman" w:hAnsi="Times New Roman" w:cs="Times New Roman"/>
          <w:sz w:val="26"/>
          <w:szCs w:val="26"/>
        </w:rPr>
        <w:t xml:space="preserve">explains, “[t]he dual aim of our criminal justice system is ‘that guilt shall not escape or innocence suffer.’” 422 U.S. at 230 (citation omitted). Work-product protection is a qualified protection, not absolute.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239. The waiver rule reflects how work-product doctrine fits into criminal cases–the purpose is not to weaponize the doctrine against one party.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at 236.</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Rather, “[t]he work-product doctrine, recognized by this Court in </w:t>
      </w:r>
      <w:r>
        <w:rPr>
          <w:rFonts w:ascii="Times New Roman" w:eastAsia="Times New Roman" w:hAnsi="Times New Roman" w:cs="Times New Roman"/>
          <w:i/>
          <w:iCs/>
          <w:sz w:val="26"/>
          <w:szCs w:val="26"/>
        </w:rPr>
        <w:t>Hickman v. Taylor</w:t>
      </w:r>
      <w:r>
        <w:rPr>
          <w:rFonts w:ascii="Times New Roman" w:eastAsia="Times New Roman" w:hAnsi="Times New Roman" w:cs="Times New Roman"/>
          <w:sz w:val="26"/>
          <w:szCs w:val="26"/>
        </w:rPr>
        <w:t xml:space="preserve">, 329 U.S. 495 (1947), reflects the strong ‘public policy underlying the orderly prosecution and defense of legal claims.’”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(citations omitted). Work-product protections cannot be weaponized against one party to prevent disclosure of materials that witnesses testify about. </w:t>
      </w:r>
      <w:r>
        <w:rPr>
          <w:rFonts w:ascii="Times New Roman" w:eastAsia="Times New Roman" w:hAnsi="Times New Roman" w:cs="Times New Roman"/>
          <w:i/>
          <w:iCs/>
          <w:sz w:val="26"/>
          <w:szCs w:val="26"/>
        </w:rPr>
        <w:t>Id.</w:t>
      </w:r>
    </w:p>
    <w:p w14:paraId="77CE65F4"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 </w:t>
      </w:r>
      <w:r>
        <w:rPr>
          <w:rFonts w:ascii="Times New Roman" w:eastAsia="Times New Roman" w:hAnsi="Times New Roman" w:cs="Times New Roman"/>
          <w:i/>
          <w:iCs/>
          <w:sz w:val="26"/>
          <w:szCs w:val="26"/>
        </w:rPr>
        <w:t xml:space="preserve">Nobles, </w:t>
      </w:r>
      <w:r>
        <w:rPr>
          <w:rFonts w:ascii="Times New Roman" w:eastAsia="Times New Roman" w:hAnsi="Times New Roman" w:cs="Times New Roman"/>
          <w:sz w:val="26"/>
          <w:szCs w:val="26"/>
        </w:rPr>
        <w:t xml:space="preserve">the defense’s investigator obtained statements from the government’s witnesses. 422 U.S. at 227. The investigator interviewed the witnesses and “preserved the essence of those conversations in a written report.”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The </w:t>
      </w:r>
      <w:r>
        <w:rPr>
          <w:rFonts w:ascii="Times New Roman" w:eastAsia="Times New Roman" w:hAnsi="Times New Roman" w:cs="Times New Roman"/>
          <w:i/>
          <w:iCs/>
          <w:sz w:val="26"/>
          <w:szCs w:val="26"/>
        </w:rPr>
        <w:t xml:space="preserve">Nobles </w:t>
      </w:r>
      <w:r>
        <w:rPr>
          <w:rFonts w:ascii="Times New Roman" w:eastAsia="Times New Roman" w:hAnsi="Times New Roman" w:cs="Times New Roman"/>
          <w:sz w:val="26"/>
          <w:szCs w:val="26"/>
        </w:rPr>
        <w:t xml:space="preserve">defense counsel intended to call their investigator to testify about his interviews, but counsel did not intend to produce the report.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229. The Supreme Court found that defense counsel </w:t>
      </w:r>
      <w:r>
        <w:rPr>
          <w:rFonts w:ascii="Times New Roman" w:eastAsia="Times New Roman" w:hAnsi="Times New Roman" w:cs="Times New Roman"/>
          <w:sz w:val="26"/>
          <w:szCs w:val="26"/>
        </w:rPr>
        <w:lastRenderedPageBreak/>
        <w:t xml:space="preserve">had waived any work-product protection of the report by calling their investigator to testify.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The waiver would apply the same way in this case. </w:t>
      </w:r>
    </w:p>
    <w:p w14:paraId="77CE65F5"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First, Armana is an investigator hired by defense counsel the same way the </w:t>
      </w:r>
      <w:r>
        <w:rPr>
          <w:rFonts w:ascii="Times New Roman" w:eastAsia="Times New Roman" w:hAnsi="Times New Roman" w:cs="Times New Roman"/>
          <w:i/>
          <w:iCs/>
          <w:sz w:val="26"/>
          <w:szCs w:val="26"/>
        </w:rPr>
        <w:t xml:space="preserve">Nobles </w:t>
      </w:r>
      <w:r>
        <w:rPr>
          <w:rFonts w:ascii="Times New Roman" w:eastAsia="Times New Roman" w:hAnsi="Times New Roman" w:cs="Times New Roman"/>
          <w:sz w:val="26"/>
          <w:szCs w:val="26"/>
        </w:rPr>
        <w:t xml:space="preserve">investigator was hired.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227. Second, Armana interviewed a person and has “preserved the essence” of that interview in his written notes, just as the </w:t>
      </w:r>
      <w:r>
        <w:rPr>
          <w:rFonts w:ascii="Times New Roman" w:eastAsia="Times New Roman" w:hAnsi="Times New Roman" w:cs="Times New Roman"/>
          <w:i/>
          <w:iCs/>
          <w:sz w:val="26"/>
          <w:szCs w:val="26"/>
        </w:rPr>
        <w:t xml:space="preserve">Nobles </w:t>
      </w:r>
      <w:r>
        <w:rPr>
          <w:rFonts w:ascii="Times New Roman" w:eastAsia="Times New Roman" w:hAnsi="Times New Roman" w:cs="Times New Roman"/>
          <w:sz w:val="26"/>
          <w:szCs w:val="26"/>
        </w:rPr>
        <w:t xml:space="preserve">investigator created a report based on his interviews.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Third, the Defendant plans to call Armana to testify, just as the </w:t>
      </w:r>
      <w:r>
        <w:rPr>
          <w:rFonts w:ascii="Times New Roman" w:eastAsia="Times New Roman" w:hAnsi="Times New Roman" w:cs="Times New Roman"/>
          <w:i/>
          <w:iCs/>
          <w:sz w:val="26"/>
          <w:szCs w:val="26"/>
        </w:rPr>
        <w:t xml:space="preserve">Nobles </w:t>
      </w:r>
      <w:r>
        <w:rPr>
          <w:rFonts w:ascii="Times New Roman" w:eastAsia="Times New Roman" w:hAnsi="Times New Roman" w:cs="Times New Roman"/>
          <w:sz w:val="26"/>
          <w:szCs w:val="26"/>
        </w:rPr>
        <w:t xml:space="preserve">defense called their investigator to testify.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Since the Defendant will call Armana to testify, they have waived any protection the work-product doctrine would have otherwise provided. Thus, Armana’s notes on his interview with Seton would be subject to disclosure with his testimony. </w:t>
      </w:r>
    </w:p>
    <w:p w14:paraId="77CE65F6"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color w:val="FF0000"/>
          <w:sz w:val="26"/>
          <w:szCs w:val="26"/>
        </w:rPr>
        <w:tab/>
      </w:r>
      <w:r>
        <w:rPr>
          <w:rFonts w:ascii="Times New Roman" w:eastAsia="Times New Roman" w:hAnsi="Times New Roman" w:cs="Times New Roman"/>
          <w:sz w:val="26"/>
          <w:szCs w:val="26"/>
        </w:rPr>
        <w:t xml:space="preserve">Not only does Armana's testimony waive the work-product protection, but it would require the Defendant to produce Armana’s notes under the Federal Rule of Criminal Procedure 26.2. </w:t>
      </w:r>
      <w:r>
        <w:rPr>
          <w:rFonts w:ascii="Times New Roman" w:eastAsia="Times New Roman" w:hAnsi="Times New Roman" w:cs="Times New Roman"/>
          <w:i/>
          <w:iCs/>
          <w:sz w:val="26"/>
          <w:szCs w:val="26"/>
        </w:rPr>
        <w:t xml:space="preserve">See Nobles, </w:t>
      </w:r>
      <w:r>
        <w:rPr>
          <w:rFonts w:ascii="Times New Roman" w:eastAsia="Times New Roman" w:hAnsi="Times New Roman" w:cs="Times New Roman"/>
          <w:sz w:val="26"/>
          <w:szCs w:val="26"/>
        </w:rPr>
        <w:t xml:space="preserve">422 U.S. at </w:t>
      </w:r>
      <w:r w:rsidR="002E6C32">
        <w:rPr>
          <w:rFonts w:ascii="Times New Roman" w:eastAsia="Times New Roman" w:hAnsi="Times New Roman" w:cs="Times New Roman"/>
          <w:sz w:val="26"/>
          <w:szCs w:val="26"/>
        </w:rPr>
        <w:t>229; Fed.</w:t>
      </w:r>
      <w:r>
        <w:rPr>
          <w:rFonts w:ascii="Times New Roman" w:eastAsia="Times New Roman" w:hAnsi="Times New Roman" w:cs="Times New Roman"/>
          <w:sz w:val="26"/>
          <w:szCs w:val="26"/>
        </w:rPr>
        <w:t xml:space="preserve"> R. Crim. P. 26.2(a). Subsection (f) defines a statement as a written statement that the witness makes and signs or otherwise adopts or approves. Fed. R. Crim. P. 26.2(f). Armana’s notes would be a statement as they are written by Armana documenting what Seton said during their interview. Armana Dep. 46:121. Thus, pursuant to 26.2(a), the Defendant must produce Armana’s notes because they relate to the subject matter of Armana’s testimony. Fed. R. Crim. P. 26.2(a). Accordingly, the Defendant’s Motion to Qua</w:t>
      </w:r>
      <w:r>
        <w:rPr>
          <w:rFonts w:ascii="Times New Roman" w:eastAsia="Times New Roman" w:hAnsi="Times New Roman" w:cs="Times New Roman"/>
          <w:sz w:val="26"/>
          <w:szCs w:val="26"/>
        </w:rPr>
        <w:t xml:space="preserve">sh should be denied. </w:t>
      </w:r>
    </w:p>
    <w:p w14:paraId="77CE65F7" w14:textId="77777777" w:rsidR="006A2283" w:rsidRDefault="00AB78D1">
      <w:pPr>
        <w:pStyle w:val="Heading1"/>
        <w:rPr>
          <w:highlight w:val="white"/>
        </w:rPr>
      </w:pPr>
      <w:bookmarkStart w:id="15" w:name="_m91u6m29n7jw" w:colFirst="0" w:colLast="0"/>
      <w:bookmarkEnd w:id="15"/>
      <w:r>
        <w:t>CONCLUSION</w:t>
      </w:r>
    </w:p>
    <w:p w14:paraId="77CE65F8"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Defendant’s Motion to Suppress Evidence should be denied because the government has shown an untainted, independent source for Exhibit 19 and the testimony </w:t>
      </w:r>
      <w:r>
        <w:rPr>
          <w:rFonts w:ascii="Times New Roman" w:eastAsia="Times New Roman" w:hAnsi="Times New Roman" w:cs="Times New Roman"/>
          <w:sz w:val="26"/>
          <w:szCs w:val="26"/>
        </w:rPr>
        <w:lastRenderedPageBreak/>
        <w:t xml:space="preserve">of Kennedy Parker. </w:t>
      </w:r>
      <w:r>
        <w:rPr>
          <w:rFonts w:ascii="Times New Roman" w:eastAsia="Times New Roman" w:hAnsi="Times New Roman" w:cs="Times New Roman"/>
          <w:sz w:val="26"/>
          <w:szCs w:val="26"/>
          <w:highlight w:val="white"/>
        </w:rPr>
        <w:t xml:space="preserve">The order and timing of Ms. Parker’s interview match the pre-existing, objectively ranked interview plan and not the Defendant’s testimony. In addition, the government’s investigative wall satisfied the independent source requirements. </w:t>
      </w:r>
      <w:r>
        <w:rPr>
          <w:rFonts w:ascii="Times New Roman" w:eastAsia="Times New Roman" w:hAnsi="Times New Roman" w:cs="Times New Roman"/>
          <w:sz w:val="26"/>
          <w:szCs w:val="26"/>
        </w:rPr>
        <w:t xml:space="preserve">Accordingly, the testimony of Kennedy Parker and Exhibit 19 are the products of an untainted investigative chain, and the Defendant’s Motion to Suppress Evidence should be denied. </w:t>
      </w:r>
    </w:p>
    <w:p w14:paraId="77CE65F9" w14:textId="77777777" w:rsidR="006A2283" w:rsidRDefault="00AB78D1">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Further, the Defendant’s Motion to Quash Subpoena Duces Tecum should be denied because although Maddox Armana is an investigator, he was not an agent during the alleged investigation or defense. The materials were not created during an investigation or defense.</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Seton’s information is vital to the </w:t>
      </w:r>
      <w:r w:rsidR="002E6C32">
        <w:rPr>
          <w:rFonts w:ascii="Times New Roman" w:eastAsia="Times New Roman" w:hAnsi="Times New Roman" w:cs="Times New Roman"/>
          <w:sz w:val="26"/>
          <w:szCs w:val="26"/>
        </w:rPr>
        <w:t>case and</w:t>
      </w:r>
      <w:r>
        <w:rPr>
          <w:rFonts w:ascii="Times New Roman" w:eastAsia="Times New Roman" w:hAnsi="Times New Roman" w:cs="Times New Roman"/>
          <w:sz w:val="26"/>
          <w:szCs w:val="26"/>
        </w:rPr>
        <w:t xml:space="preserve"> cannot otherwise be discovered without extremely undue hardship. Finally, in calling Armana to testify, the Defendant will have waived their work-product protection</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For these reasons, the Court should deny the Defendant’s Motion to Quash Subpoena Duces Tecum. </w:t>
      </w:r>
    </w:p>
    <w:p w14:paraId="77CE65FA" w14:textId="77777777" w:rsidR="006A2283" w:rsidRDefault="006A2283">
      <w:pPr>
        <w:spacing w:line="480" w:lineRule="auto"/>
        <w:rPr>
          <w:rFonts w:ascii="Times New Roman" w:eastAsia="Times New Roman" w:hAnsi="Times New Roman" w:cs="Times New Roman"/>
          <w:sz w:val="26"/>
          <w:szCs w:val="26"/>
        </w:rPr>
      </w:pPr>
    </w:p>
    <w:p w14:paraId="77CE65FB" w14:textId="77777777" w:rsidR="006A2283" w:rsidRDefault="006A2283">
      <w:pPr>
        <w:spacing w:line="480" w:lineRule="auto"/>
        <w:rPr>
          <w:rFonts w:ascii="Times New Roman" w:eastAsia="Times New Roman" w:hAnsi="Times New Roman" w:cs="Times New Roman"/>
          <w:sz w:val="26"/>
          <w:szCs w:val="26"/>
        </w:rPr>
      </w:pPr>
    </w:p>
    <w:p w14:paraId="77CE65FC" w14:textId="77777777" w:rsidR="006A2283" w:rsidRDefault="006A2283">
      <w:pPr>
        <w:spacing w:line="480" w:lineRule="auto"/>
        <w:rPr>
          <w:rFonts w:ascii="Times New Roman" w:eastAsia="Times New Roman" w:hAnsi="Times New Roman" w:cs="Times New Roman"/>
          <w:sz w:val="26"/>
          <w:szCs w:val="26"/>
        </w:rPr>
      </w:pPr>
    </w:p>
    <w:p w14:paraId="77CE65FD" w14:textId="77777777" w:rsidR="006A2283" w:rsidRDefault="006A2283">
      <w:pPr>
        <w:spacing w:line="480" w:lineRule="auto"/>
        <w:rPr>
          <w:rFonts w:ascii="Times New Roman" w:eastAsia="Times New Roman" w:hAnsi="Times New Roman" w:cs="Times New Roman"/>
          <w:sz w:val="26"/>
          <w:szCs w:val="26"/>
        </w:rPr>
      </w:pPr>
    </w:p>
    <w:p w14:paraId="77CE65FE" w14:textId="77777777" w:rsidR="006A2283" w:rsidRDefault="006A2283">
      <w:pPr>
        <w:spacing w:line="480" w:lineRule="auto"/>
        <w:rPr>
          <w:rFonts w:ascii="Times New Roman" w:eastAsia="Times New Roman" w:hAnsi="Times New Roman" w:cs="Times New Roman"/>
          <w:sz w:val="26"/>
          <w:szCs w:val="26"/>
        </w:rPr>
      </w:pPr>
    </w:p>
    <w:p w14:paraId="77CE65FF" w14:textId="77777777" w:rsidR="006A2283" w:rsidRDefault="00AB78D1">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Dated: September 1, </w:t>
      </w:r>
      <w:proofErr w:type="gramStart"/>
      <w:r>
        <w:rPr>
          <w:rFonts w:ascii="Times New Roman" w:eastAsia="Times New Roman" w:hAnsi="Times New Roman" w:cs="Times New Roman"/>
          <w:sz w:val="26"/>
          <w:szCs w:val="26"/>
        </w:rPr>
        <w:t>2026</w:t>
      </w:r>
      <w:proofErr w:type="gramEnd"/>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 xml:space="preserve">Respectfully submitted, </w:t>
      </w:r>
    </w:p>
    <w:p w14:paraId="77CE6600" w14:textId="77777777" w:rsidR="006A2283" w:rsidRDefault="00AB78D1">
      <w:pPr>
        <w:spacing w:line="48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______________________________</w:t>
      </w:r>
    </w:p>
    <w:p w14:paraId="77CE6601" w14:textId="77777777" w:rsidR="006A2283" w:rsidRDefault="00AB78D1">
      <w:pPr>
        <w:spacing w:after="200"/>
        <w:ind w:left="5040"/>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Team 304</w:t>
      </w:r>
      <w:r>
        <w:rPr>
          <w:rFonts w:ascii="Times New Roman" w:eastAsia="Times New Roman" w:hAnsi="Times New Roman" w:cs="Times New Roman"/>
          <w:sz w:val="26"/>
          <w:szCs w:val="26"/>
        </w:rPr>
        <w:br/>
      </w:r>
      <w:r>
        <w:rPr>
          <w:rFonts w:ascii="Times New Roman" w:eastAsia="Times New Roman" w:hAnsi="Times New Roman" w:cs="Times New Roman"/>
          <w:i/>
          <w:iCs/>
          <w:sz w:val="26"/>
          <w:szCs w:val="26"/>
          <w:highlight w:val="white"/>
        </w:rPr>
        <w:t>Attorneys for the United States of America</w:t>
      </w:r>
    </w:p>
    <w:sectPr w:rsidR="006A2283">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CD0DB" w14:textId="77777777" w:rsidR="00AB78D1" w:rsidRDefault="00AB78D1">
      <w:pPr>
        <w:spacing w:line="240" w:lineRule="auto"/>
      </w:pPr>
      <w:r>
        <w:separator/>
      </w:r>
    </w:p>
  </w:endnote>
  <w:endnote w:type="continuationSeparator" w:id="0">
    <w:p w14:paraId="0BF4645F" w14:textId="77777777" w:rsidR="00AB78D1" w:rsidRDefault="00AB78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218F933-C5E6-4E01-9BF7-EDE1F6A79D72}"/>
  </w:font>
  <w:font w:name="Cambria">
    <w:panose1 w:val="02040503050406030204"/>
    <w:charset w:val="00"/>
    <w:family w:val="roman"/>
    <w:pitch w:val="variable"/>
    <w:sig w:usb0="E00006FF" w:usb1="420024FF" w:usb2="02000000" w:usb3="00000000" w:csb0="0000019F" w:csb1="00000000"/>
    <w:embedRegular r:id="rId2" w:fontKey="{E5B57742-EBA8-4AE5-B602-C97AF45868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6607" w14:textId="77777777" w:rsidR="006A2283" w:rsidRDefault="00AB78D1">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ii</w:t>
    </w:r>
  </w:p>
  <w:p w14:paraId="77CE6608" w14:textId="77777777" w:rsidR="006A2283" w:rsidRDefault="00AB78D1">
    <w:pPr>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fldChar w:fldCharType="begin"/>
    </w:r>
    <w:r>
      <w:rPr>
        <w:rFonts w:ascii="Times New Roman" w:eastAsia="Times New Roman" w:hAnsi="Times New Roman" w:cs="Times New Roman"/>
        <w:sz w:val="26"/>
        <w:szCs w:val="26"/>
      </w:rPr>
      <w:instrText>PAGE</w:instrText>
    </w:r>
    <w:r>
      <w:rPr>
        <w:rFonts w:ascii="Times New Roman" w:eastAsia="Times New Roman" w:hAnsi="Times New Roman" w:cs="Times New Roman"/>
        <w:sz w:val="26"/>
        <w:szCs w:val="26"/>
      </w:rPr>
      <w:fldChar w:fldCharType="separate"/>
    </w:r>
    <w:r w:rsidR="002E6C32">
      <w:rPr>
        <w:rFonts w:ascii="Times New Roman" w:eastAsia="Times New Roman" w:hAnsi="Times New Roman" w:cs="Times New Roman"/>
        <w:noProof/>
        <w:sz w:val="26"/>
        <w:szCs w:val="26"/>
      </w:rPr>
      <w:t>2</w:t>
    </w:r>
    <w:r>
      <w:rPr>
        <w:rFonts w:ascii="Times New Roman" w:eastAsia="Times New Roman" w:hAnsi="Times New Roman" w:cs="Times New Roman"/>
        <w:sz w:val="26"/>
        <w:szCs w:val="2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660A" w14:textId="77777777" w:rsidR="006A2283" w:rsidRDefault="00AB78D1">
    <w:pPr>
      <w:jc w:val="center"/>
      <w:rPr>
        <w:rFonts w:ascii="Times New Roman" w:eastAsia="Times New Roman" w:hAnsi="Times New Roman" w:cs="Times New Roman"/>
        <w:sz w:val="26"/>
        <w:szCs w:val="26"/>
      </w:rPr>
    </w:pPr>
    <w:proofErr w:type="gramStart"/>
    <w:r>
      <w:rPr>
        <w:rFonts w:ascii="Times New Roman" w:eastAsia="Times New Roman" w:hAnsi="Times New Roman" w:cs="Times New Roman"/>
        <w:sz w:val="26"/>
        <w:szCs w:val="26"/>
      </w:rPr>
      <w:t>i</w:t>
    </w:r>
    <w:proofErr w:type="gramEnd"/>
  </w:p>
  <w:p w14:paraId="77CE660B" w14:textId="77777777" w:rsidR="006A2283" w:rsidRDefault="00AB78D1">
    <w:pPr>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fldChar w:fldCharType="begin"/>
    </w:r>
    <w:r>
      <w:rPr>
        <w:rFonts w:ascii="Times New Roman" w:eastAsia="Times New Roman" w:hAnsi="Times New Roman" w:cs="Times New Roman"/>
        <w:sz w:val="26"/>
        <w:szCs w:val="26"/>
      </w:rPr>
      <w:instrText>PAGE</w:instrText>
    </w:r>
    <w:r>
      <w:rPr>
        <w:rFonts w:ascii="Times New Roman" w:eastAsia="Times New Roman" w:hAnsi="Times New Roman" w:cs="Times New Roman"/>
        <w:sz w:val="26"/>
        <w:szCs w:val="26"/>
      </w:rPr>
      <w:fldChar w:fldCharType="separate"/>
    </w:r>
    <w:r w:rsidR="002E6C32">
      <w:rPr>
        <w:rFonts w:ascii="Times New Roman" w:eastAsia="Times New Roman" w:hAnsi="Times New Roman" w:cs="Times New Roman"/>
        <w:noProof/>
        <w:sz w:val="26"/>
        <w:szCs w:val="26"/>
      </w:rPr>
      <w:t>1</w:t>
    </w:r>
    <w:r>
      <w:rPr>
        <w:rFonts w:ascii="Times New Roman" w:eastAsia="Times New Roman" w:hAnsi="Times New Roman" w:cs="Times New Roman"/>
        <w:sz w:val="26"/>
        <w:szCs w:val="2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660C" w14:textId="77777777" w:rsidR="006A2283" w:rsidRDefault="00AB78D1">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iii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660D" w14:textId="77777777" w:rsidR="006A2283" w:rsidRDefault="00AB78D1">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fldChar w:fldCharType="begin"/>
    </w:r>
    <w:r>
      <w:rPr>
        <w:rFonts w:ascii="Times New Roman" w:eastAsia="Times New Roman" w:hAnsi="Times New Roman" w:cs="Times New Roman"/>
        <w:sz w:val="26"/>
        <w:szCs w:val="26"/>
      </w:rPr>
      <w:instrText>PAGE</w:instrText>
    </w:r>
    <w:r>
      <w:rPr>
        <w:rFonts w:ascii="Times New Roman" w:eastAsia="Times New Roman" w:hAnsi="Times New Roman" w:cs="Times New Roman"/>
        <w:sz w:val="26"/>
        <w:szCs w:val="26"/>
      </w:rPr>
      <w:fldChar w:fldCharType="separate"/>
    </w:r>
    <w:r w:rsidR="002E6C32">
      <w:rPr>
        <w:rFonts w:ascii="Times New Roman" w:eastAsia="Times New Roman" w:hAnsi="Times New Roman" w:cs="Times New Roman"/>
        <w:noProof/>
        <w:sz w:val="26"/>
        <w:szCs w:val="26"/>
      </w:rPr>
      <w:t>1</w:t>
    </w:r>
    <w:r>
      <w:rPr>
        <w:rFonts w:ascii="Times New Roman" w:eastAsia="Times New Roman" w:hAnsi="Times New Roman" w:cs="Times New Roman"/>
        <w:sz w:val="26"/>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CEED3" w14:textId="77777777" w:rsidR="00AB78D1" w:rsidRDefault="00AB78D1">
      <w:pPr>
        <w:spacing w:line="240" w:lineRule="auto"/>
      </w:pPr>
      <w:r>
        <w:separator/>
      </w:r>
    </w:p>
  </w:footnote>
  <w:footnote w:type="continuationSeparator" w:id="0">
    <w:p w14:paraId="037C5716" w14:textId="77777777" w:rsidR="00AB78D1" w:rsidRDefault="00AB78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6609" w14:textId="77777777" w:rsidR="006A2283" w:rsidRDefault="00AB78D1">
    <w:pPr>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Team 304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A31AE"/>
    <w:multiLevelType w:val="multilevel"/>
    <w:tmpl w:val="5A0E61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6934142"/>
    <w:multiLevelType w:val="multilevel"/>
    <w:tmpl w:val="A32435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0776ECE"/>
    <w:multiLevelType w:val="multilevel"/>
    <w:tmpl w:val="6A688C8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41609971">
    <w:abstractNumId w:val="1"/>
  </w:num>
  <w:num w:numId="2" w16cid:durableId="1346901058">
    <w:abstractNumId w:val="2"/>
  </w:num>
  <w:num w:numId="3" w16cid:durableId="1071152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283"/>
    <w:rsid w:val="002E6C32"/>
    <w:rsid w:val="004E23FF"/>
    <w:rsid w:val="006A2283"/>
    <w:rsid w:val="006E3812"/>
    <w:rsid w:val="0075481B"/>
    <w:rsid w:val="00AB78D1"/>
    <w:rsid w:val="00D27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E6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480" w:lineRule="auto"/>
      <w:jc w:val="center"/>
      <w:outlineLvl w:val="0"/>
    </w:pPr>
    <w:rPr>
      <w:rFonts w:ascii="Times New Roman" w:eastAsia="Times New Roman" w:hAnsi="Times New Roman" w:cs="Times New Roman"/>
      <w:b/>
      <w:bCs/>
      <w:sz w:val="26"/>
      <w:szCs w:val="26"/>
      <w:u w:val="single"/>
    </w:rPr>
  </w:style>
  <w:style w:type="paragraph" w:styleId="Heading2">
    <w:name w:val="heading 2"/>
    <w:basedOn w:val="Normal"/>
    <w:next w:val="Normal"/>
    <w:uiPriority w:val="9"/>
    <w:unhideWhenUsed/>
    <w:qFormat/>
    <w:pPr>
      <w:keepNext/>
      <w:keepLines/>
      <w:spacing w:line="240" w:lineRule="auto"/>
      <w:ind w:left="720" w:hanging="360"/>
      <w:outlineLvl w:val="1"/>
    </w:pPr>
    <w:rPr>
      <w:rFonts w:ascii="Times New Roman" w:eastAsia="Times New Roman" w:hAnsi="Times New Roman" w:cs="Times New Roman"/>
      <w:b/>
      <w:bCs/>
      <w:sz w:val="26"/>
      <w:szCs w:val="26"/>
    </w:rPr>
  </w:style>
  <w:style w:type="paragraph" w:styleId="Heading3">
    <w:name w:val="heading 3"/>
    <w:basedOn w:val="Normal"/>
    <w:next w:val="Normal"/>
    <w:uiPriority w:val="9"/>
    <w:unhideWhenUsed/>
    <w:qFormat/>
    <w:pPr>
      <w:keepNext/>
      <w:keepLines/>
      <w:spacing w:line="480" w:lineRule="auto"/>
      <w:ind w:left="720" w:hanging="360"/>
      <w:outlineLvl w:val="2"/>
    </w:pPr>
    <w:rPr>
      <w:rFonts w:ascii="Times New Roman" w:eastAsia="Times New Roman" w:hAnsi="Times New Roman" w:cs="Times New Roman"/>
      <w:sz w:val="26"/>
      <w:szCs w:val="26"/>
      <w:u w:val="single"/>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2760E"/>
    <w:pPr>
      <w:tabs>
        <w:tab w:val="center" w:pos="4680"/>
        <w:tab w:val="right" w:pos="9360"/>
      </w:tabs>
      <w:spacing w:line="240" w:lineRule="auto"/>
    </w:pPr>
  </w:style>
  <w:style w:type="character" w:customStyle="1" w:styleId="HeaderChar">
    <w:name w:val="Header Char"/>
    <w:basedOn w:val="DefaultParagraphFont"/>
    <w:link w:val="Header"/>
    <w:uiPriority w:val="99"/>
    <w:rsid w:val="00D2760E"/>
  </w:style>
  <w:style w:type="paragraph" w:styleId="Footer">
    <w:name w:val="footer"/>
    <w:basedOn w:val="Normal"/>
    <w:link w:val="FooterChar"/>
    <w:uiPriority w:val="99"/>
    <w:unhideWhenUsed/>
    <w:rsid w:val="00D2760E"/>
    <w:pPr>
      <w:tabs>
        <w:tab w:val="center" w:pos="4680"/>
        <w:tab w:val="right" w:pos="9360"/>
      </w:tabs>
      <w:spacing w:line="240" w:lineRule="auto"/>
    </w:pPr>
  </w:style>
  <w:style w:type="character" w:customStyle="1" w:styleId="FooterChar">
    <w:name w:val="Footer Char"/>
    <w:basedOn w:val="DefaultParagraphFont"/>
    <w:link w:val="Footer"/>
    <w:uiPriority w:val="99"/>
    <w:rsid w:val="00D27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BB223AE1-D6AE-4061-A23C-A4EF267B89F4}"/>
</file>

<file path=customXml/itemProps2.xml><?xml version="1.0" encoding="utf-8"?>
<ds:datastoreItem xmlns:ds="http://schemas.openxmlformats.org/officeDocument/2006/customXml" ds:itemID="{7A1A970D-4D51-4371-A403-6566D229CC0F}"/>
</file>

<file path=customXml/itemProps3.xml><?xml version="1.0" encoding="utf-8"?>
<ds:datastoreItem xmlns:ds="http://schemas.openxmlformats.org/officeDocument/2006/customXml" ds:itemID="{FBA8BFE3-BAA6-4EEE-A1C3-F5B45A0B76DB}"/>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21</Pages>
  <Words>4876</Words>
  <Characters>27797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2026-09-09T00:33:00Z</dcterms:created>
  <dcterms:modified xsi:type="dcterms:W3CDTF">2026-09-09T00:33:00Z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