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5673E" w:rsidRDefault="008E7212">
      <w:pPr>
        <w:spacing w:line="48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Case No. 2025-CF-00417</w:t>
      </w:r>
    </w:p>
    <w:p w14:paraId="00000002" w14:textId="77777777" w:rsidR="00B5673E" w:rsidRDefault="008E7212">
      <w:pPr>
        <w:spacing w:line="480" w:lineRule="auto"/>
        <w:ind w:firstLine="7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00000003" w14:textId="77777777" w:rsidR="00B5673E" w:rsidRDefault="008E7212">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IN THE </w:t>
      </w:r>
    </w:p>
    <w:p w14:paraId="00000004" w14:textId="77777777" w:rsidR="00B5673E" w:rsidRDefault="008E7212">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UNITED STATES COURT OF APPEALS </w:t>
      </w:r>
    </w:p>
    <w:p w14:paraId="00000005" w14:textId="77777777" w:rsidR="00B5673E" w:rsidRDefault="008E7212">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FOR THE FOURTEENTH CIRCUIT </w:t>
      </w:r>
    </w:p>
    <w:p w14:paraId="00000006" w14:textId="77777777" w:rsidR="00B5673E" w:rsidRDefault="008E7212">
      <w:pPr>
        <w:spacing w:after="160" w:line="480" w:lineRule="auto"/>
        <w:ind w:firstLine="720"/>
        <w:jc w:val="center"/>
        <w:rPr>
          <w:rFonts w:ascii="Times New Roman" w:eastAsia="Times New Roman" w:hAnsi="Times New Roman" w:cs="Times New Roman"/>
          <w:smallCaps/>
          <w:sz w:val="26"/>
          <w:szCs w:val="26"/>
        </w:rPr>
      </w:pPr>
      <w:r>
        <w:rPr>
          <w:rFonts w:ascii="Times New Roman" w:eastAsia="Times New Roman" w:hAnsi="Times New Roman" w:cs="Times New Roman"/>
          <w:smallCaps/>
          <w:sz w:val="26"/>
          <w:szCs w:val="26"/>
        </w:rPr>
        <w:t xml:space="preserve"> </w:t>
      </w:r>
    </w:p>
    <w:p w14:paraId="00000007" w14:textId="77777777" w:rsidR="00B5673E" w:rsidRDefault="008E7212">
      <w:pPr>
        <w:spacing w:after="160" w:line="480" w:lineRule="auto"/>
        <w:jc w:val="center"/>
        <w:rPr>
          <w:rFonts w:ascii="Times New Roman" w:eastAsia="Times New Roman" w:hAnsi="Times New Roman" w:cs="Times New Roman"/>
          <w:smallCaps/>
          <w:sz w:val="26"/>
          <w:szCs w:val="26"/>
        </w:rPr>
      </w:pPr>
      <w:r>
        <w:rPr>
          <w:rFonts w:ascii="Times New Roman" w:eastAsia="Times New Roman" w:hAnsi="Times New Roman" w:cs="Times New Roman"/>
          <w:smallCaps/>
          <w:sz w:val="26"/>
          <w:szCs w:val="26"/>
        </w:rPr>
        <w:t xml:space="preserve">UNITED STATES OF AMERICA, </w:t>
      </w:r>
    </w:p>
    <w:p w14:paraId="00000008" w14:textId="77777777" w:rsidR="00B5673E" w:rsidRDefault="008E7212">
      <w:pPr>
        <w:spacing w:before="200" w:after="200" w:line="480" w:lineRule="auto"/>
        <w:jc w:val="center"/>
        <w:rPr>
          <w:rFonts w:ascii="Times New Roman" w:eastAsia="Times New Roman" w:hAnsi="Times New Roman" w:cs="Times New Roman"/>
          <w:smallCaps/>
          <w:sz w:val="26"/>
          <w:szCs w:val="26"/>
        </w:rPr>
      </w:pPr>
      <w:r>
        <w:rPr>
          <w:rFonts w:ascii="Times New Roman" w:eastAsia="Times New Roman" w:hAnsi="Times New Roman" w:cs="Times New Roman"/>
          <w:smallCaps/>
          <w:sz w:val="26"/>
          <w:szCs w:val="26"/>
        </w:rPr>
        <w:t xml:space="preserve">vs. </w:t>
      </w:r>
    </w:p>
    <w:p w14:paraId="00000009" w14:textId="77777777" w:rsidR="00B5673E" w:rsidRDefault="008E7212">
      <w:pPr>
        <w:spacing w:after="160" w:line="480" w:lineRule="auto"/>
        <w:jc w:val="center"/>
        <w:rPr>
          <w:rFonts w:ascii="Times New Roman" w:eastAsia="Times New Roman" w:hAnsi="Times New Roman" w:cs="Times New Roman"/>
          <w:smallCaps/>
          <w:sz w:val="26"/>
          <w:szCs w:val="26"/>
        </w:rPr>
      </w:pPr>
      <w:r>
        <w:rPr>
          <w:rFonts w:ascii="Times New Roman" w:eastAsia="Times New Roman" w:hAnsi="Times New Roman" w:cs="Times New Roman"/>
          <w:smallCaps/>
          <w:sz w:val="26"/>
          <w:szCs w:val="26"/>
        </w:rPr>
        <w:t>EMILY CALLOWAY,</w:t>
      </w:r>
    </w:p>
    <w:p w14:paraId="0000000A" w14:textId="77777777" w:rsidR="00B5673E" w:rsidRDefault="008E7212">
      <w:pPr>
        <w:spacing w:after="160" w:line="480" w:lineRule="auto"/>
        <w:jc w:val="center"/>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Defendant.</w:t>
      </w:r>
    </w:p>
    <w:p w14:paraId="0000000B" w14:textId="77777777" w:rsidR="00B5673E" w:rsidRDefault="008E7212">
      <w:pPr>
        <w:spacing w:after="160" w:line="480" w:lineRule="auto"/>
        <w:ind w:firstLine="20"/>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 </w:t>
      </w:r>
    </w:p>
    <w:p w14:paraId="0000000C" w14:textId="77777777" w:rsidR="00B5673E" w:rsidRDefault="008E7212">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DEFENDANT’S MOTION TO SUPPRESS EVIDENCE AND MOTION TO QUASH SUBPOENA DUCES TECUM</w:t>
      </w:r>
    </w:p>
    <w:p w14:paraId="0000000D" w14:textId="77777777" w:rsidR="00B5673E" w:rsidRDefault="008E7212">
      <w:pPr>
        <w:spacing w:after="160" w:line="480" w:lineRule="auto"/>
        <w:ind w:firstLine="72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 xml:space="preserve">  </w:t>
      </w:r>
    </w:p>
    <w:p w14:paraId="0000000E" w14:textId="77777777" w:rsidR="00B5673E" w:rsidRDefault="00B5673E">
      <w:pPr>
        <w:spacing w:after="160" w:line="480" w:lineRule="auto"/>
        <w:ind w:firstLine="720"/>
        <w:jc w:val="center"/>
        <w:rPr>
          <w:rFonts w:ascii="Times New Roman" w:eastAsia="Times New Roman" w:hAnsi="Times New Roman" w:cs="Times New Roman"/>
          <w:sz w:val="26"/>
          <w:szCs w:val="26"/>
        </w:rPr>
      </w:pPr>
    </w:p>
    <w:p w14:paraId="0000000F" w14:textId="77777777" w:rsidR="00B5673E" w:rsidRDefault="00B5673E">
      <w:pPr>
        <w:spacing w:after="160" w:line="480" w:lineRule="auto"/>
        <w:ind w:firstLine="720"/>
        <w:jc w:val="center"/>
        <w:rPr>
          <w:rFonts w:ascii="Times New Roman" w:eastAsia="Times New Roman" w:hAnsi="Times New Roman" w:cs="Times New Roman"/>
          <w:sz w:val="26"/>
          <w:szCs w:val="26"/>
        </w:rPr>
      </w:pPr>
    </w:p>
    <w:p w14:paraId="00000010" w14:textId="77777777" w:rsidR="00B5673E" w:rsidRDefault="00B5673E">
      <w:pPr>
        <w:spacing w:after="160" w:line="480" w:lineRule="auto"/>
        <w:rPr>
          <w:rFonts w:ascii="Times New Roman" w:eastAsia="Times New Roman" w:hAnsi="Times New Roman" w:cs="Times New Roman"/>
          <w:sz w:val="26"/>
          <w:szCs w:val="26"/>
        </w:rPr>
      </w:pPr>
    </w:p>
    <w:p w14:paraId="00000011" w14:textId="77777777" w:rsidR="00B5673E" w:rsidRDefault="008E7212">
      <w:pPr>
        <w:spacing w:line="480" w:lineRule="auto"/>
        <w:ind w:firstLine="720"/>
        <w:jc w:val="right"/>
        <w:rPr>
          <w:rFonts w:ascii="Times New Roman" w:eastAsia="Times New Roman" w:hAnsi="Times New Roman" w:cs="Times New Roman"/>
          <w:sz w:val="26"/>
          <w:szCs w:val="26"/>
          <w:u w:val="single"/>
        </w:rPr>
      </w:pPr>
      <w:r>
        <w:rPr>
          <w:rFonts w:ascii="Times New Roman" w:eastAsia="Times New Roman" w:hAnsi="Times New Roman" w:cs="Times New Roman"/>
          <w:sz w:val="26"/>
          <w:szCs w:val="26"/>
          <w:u w:val="single"/>
        </w:rPr>
        <w:t xml:space="preserve">/s/                       </w:t>
      </w:r>
      <w:r>
        <w:rPr>
          <w:rFonts w:ascii="Times New Roman" w:eastAsia="Times New Roman" w:hAnsi="Times New Roman" w:cs="Times New Roman"/>
          <w:sz w:val="26"/>
          <w:szCs w:val="26"/>
          <w:u w:val="single"/>
        </w:rPr>
        <w:tab/>
      </w:r>
      <w:r>
        <w:rPr>
          <w:rFonts w:ascii="Times New Roman" w:eastAsia="Times New Roman" w:hAnsi="Times New Roman" w:cs="Times New Roman"/>
          <w:sz w:val="26"/>
          <w:szCs w:val="26"/>
          <w:u w:val="single"/>
        </w:rPr>
        <w:tab/>
        <w:t>304</w:t>
      </w:r>
    </w:p>
    <w:p w14:paraId="00000012" w14:textId="77777777" w:rsidR="00B5673E" w:rsidRDefault="008E7212">
      <w:pPr>
        <w:spacing w:after="160" w:line="480" w:lineRule="auto"/>
        <w:ind w:firstLine="720"/>
        <w:jc w:val="right"/>
        <w:rPr>
          <w:rFonts w:ascii="Times New Roman" w:eastAsia="Times New Roman" w:hAnsi="Times New Roman" w:cs="Times New Roman"/>
          <w:b/>
          <w:bCs/>
          <w:sz w:val="26"/>
          <w:szCs w:val="26"/>
          <w:highlight w:val="white"/>
          <w:u w:val="single"/>
        </w:rPr>
        <w:sectPr w:rsidR="00B5673E">
          <w:headerReference w:type="first" r:id="rId7"/>
          <w:footerReference w:type="first" r:id="rId8"/>
          <w:pgSz w:w="12240" w:h="15840"/>
          <w:pgMar w:top="1440" w:right="1440" w:bottom="1440" w:left="1440" w:header="720" w:footer="720" w:gutter="0"/>
          <w:pgNumType w:start="1"/>
          <w:cols w:space="720"/>
          <w:titlePg/>
        </w:sectPr>
      </w:pPr>
      <w:r>
        <w:rPr>
          <w:rFonts w:ascii="Times New Roman" w:eastAsia="Times New Roman" w:hAnsi="Times New Roman" w:cs="Times New Roman"/>
          <w:i/>
          <w:iCs/>
          <w:sz w:val="26"/>
          <w:szCs w:val="26"/>
        </w:rPr>
        <w:t>Attorneys for Emily Calloway</w:t>
      </w:r>
    </w:p>
    <w:p w14:paraId="00000013" w14:textId="77777777" w:rsidR="00B5673E" w:rsidRDefault="008E7212">
      <w:pPr>
        <w:spacing w:line="301"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u w:val="single"/>
        </w:rPr>
        <w:lastRenderedPageBreak/>
        <w:t xml:space="preserve">TABLE OF CONTENTS </w:t>
      </w:r>
    </w:p>
    <w:sdt>
      <w:sdtPr>
        <w:id w:val="1553626966"/>
        <w:docPartObj>
          <w:docPartGallery w:val="Table of Contents"/>
          <w:docPartUnique/>
        </w:docPartObj>
      </w:sdtPr>
      <w:sdtEndPr/>
      <w:sdtContent>
        <w:p w14:paraId="00000014" w14:textId="77777777" w:rsidR="00B5673E" w:rsidRDefault="008E7212">
          <w:pPr>
            <w:widowControl w:val="0"/>
            <w:tabs>
              <w:tab w:val="right" w:leader="dot" w:pos="12000"/>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bn09o5cq8w9v">
            <w:r w:rsidR="00B5673E">
              <w:rPr>
                <w:rFonts w:ascii="Times New Roman" w:eastAsia="Times New Roman" w:hAnsi="Times New Roman" w:cs="Times New Roman"/>
                <w:b/>
                <w:bCs/>
                <w:color w:val="000000"/>
                <w:sz w:val="26"/>
                <w:szCs w:val="26"/>
              </w:rPr>
              <w:t>TABLE OF AUTHORITIES</w:t>
            </w:r>
            <w:r w:rsidR="00B5673E">
              <w:rPr>
                <w:rFonts w:ascii="Times New Roman" w:eastAsia="Times New Roman" w:hAnsi="Times New Roman" w:cs="Times New Roman"/>
                <w:b/>
                <w:bCs/>
                <w:color w:val="000000"/>
                <w:sz w:val="26"/>
                <w:szCs w:val="26"/>
              </w:rPr>
              <w:tab/>
              <w:t>3</w:t>
            </w:r>
          </w:hyperlink>
        </w:p>
        <w:p w14:paraId="00000015" w14:textId="77777777" w:rsidR="00B5673E" w:rsidRDefault="00B5673E">
          <w:pPr>
            <w:widowControl w:val="0"/>
            <w:tabs>
              <w:tab w:val="right" w:leader="dot" w:pos="12000"/>
            </w:tabs>
            <w:spacing w:before="60" w:line="240" w:lineRule="auto"/>
            <w:rPr>
              <w:b/>
              <w:bCs/>
              <w:color w:val="000000"/>
            </w:rPr>
          </w:pPr>
          <w:hyperlink w:anchor="_r5cndxwyy6n8">
            <w:r>
              <w:rPr>
                <w:rFonts w:ascii="Times New Roman" w:eastAsia="Times New Roman" w:hAnsi="Times New Roman" w:cs="Times New Roman"/>
                <w:b/>
                <w:bCs/>
                <w:color w:val="000000"/>
                <w:sz w:val="26"/>
                <w:szCs w:val="26"/>
              </w:rPr>
              <w:t>INTRODUCTION</w:t>
            </w:r>
            <w:r>
              <w:rPr>
                <w:rFonts w:ascii="Times New Roman" w:eastAsia="Times New Roman" w:hAnsi="Times New Roman" w:cs="Times New Roman"/>
                <w:b/>
                <w:bCs/>
                <w:color w:val="000000"/>
                <w:sz w:val="26"/>
                <w:szCs w:val="26"/>
              </w:rPr>
              <w:tab/>
              <w:t>1</w:t>
            </w:r>
          </w:hyperlink>
        </w:p>
        <w:p w14:paraId="00000016" w14:textId="77777777" w:rsidR="00B5673E" w:rsidRDefault="00B5673E">
          <w:pPr>
            <w:widowControl w:val="0"/>
            <w:tabs>
              <w:tab w:val="right" w:leader="dot" w:pos="12000"/>
            </w:tabs>
            <w:spacing w:before="60" w:line="240" w:lineRule="auto"/>
            <w:rPr>
              <w:b/>
              <w:bCs/>
              <w:color w:val="000000"/>
            </w:rPr>
          </w:pPr>
          <w:hyperlink w:anchor="_qzdqzh4db5rq">
            <w:r>
              <w:rPr>
                <w:rFonts w:ascii="Times New Roman" w:eastAsia="Times New Roman" w:hAnsi="Times New Roman" w:cs="Times New Roman"/>
                <w:b/>
                <w:bCs/>
                <w:color w:val="000000"/>
                <w:sz w:val="26"/>
                <w:szCs w:val="26"/>
              </w:rPr>
              <w:t>ARGUMENT</w:t>
            </w:r>
            <w:r>
              <w:rPr>
                <w:rFonts w:ascii="Times New Roman" w:eastAsia="Times New Roman" w:hAnsi="Times New Roman" w:cs="Times New Roman"/>
                <w:b/>
                <w:bCs/>
                <w:color w:val="000000"/>
                <w:sz w:val="26"/>
                <w:szCs w:val="26"/>
              </w:rPr>
              <w:tab/>
              <w:t>5</w:t>
            </w:r>
          </w:hyperlink>
        </w:p>
        <w:p w14:paraId="00000017" w14:textId="77777777" w:rsidR="00B5673E" w:rsidRDefault="00B5673E">
          <w:pPr>
            <w:widowControl w:val="0"/>
            <w:tabs>
              <w:tab w:val="right" w:leader="dot" w:pos="12000"/>
            </w:tabs>
            <w:spacing w:before="60" w:line="240" w:lineRule="auto"/>
            <w:ind w:left="360"/>
            <w:rPr>
              <w:color w:val="000000"/>
            </w:rPr>
          </w:pPr>
          <w:hyperlink w:anchor="_7zavsaq25gs">
            <w:r>
              <w:rPr>
                <w:rFonts w:ascii="Times New Roman" w:eastAsia="Times New Roman" w:hAnsi="Times New Roman" w:cs="Times New Roman"/>
                <w:color w:val="000000"/>
                <w:sz w:val="24"/>
                <w:szCs w:val="24"/>
              </w:rPr>
              <w:t>A. Evidence discovered by the United States on November 5, 2024, enclosed herein as Exhibit 19, and the testimony of Kennedy Parker, was obtained in violation of court order and thus should be suppressed pursuant to 18 U.S.C. §§ 6002, 6003.</w:t>
            </w:r>
            <w:r>
              <w:rPr>
                <w:rFonts w:ascii="Times New Roman" w:eastAsia="Times New Roman" w:hAnsi="Times New Roman" w:cs="Times New Roman"/>
                <w:color w:val="000000"/>
                <w:sz w:val="24"/>
                <w:szCs w:val="24"/>
              </w:rPr>
              <w:tab/>
              <w:t>5</w:t>
            </w:r>
          </w:hyperlink>
        </w:p>
        <w:p w14:paraId="00000018" w14:textId="77777777" w:rsidR="00B5673E" w:rsidRDefault="00B5673E">
          <w:pPr>
            <w:widowControl w:val="0"/>
            <w:tabs>
              <w:tab w:val="right" w:leader="dot" w:pos="12000"/>
            </w:tabs>
            <w:spacing w:before="60" w:line="240" w:lineRule="auto"/>
            <w:ind w:left="720"/>
            <w:rPr>
              <w:color w:val="000000"/>
            </w:rPr>
          </w:pPr>
          <w:hyperlink w:anchor="_vxn2sq3hnxbo">
            <w:r>
              <w:rPr>
                <w:rFonts w:ascii="Times New Roman" w:eastAsia="Times New Roman" w:hAnsi="Times New Roman" w:cs="Times New Roman"/>
                <w:color w:val="000000"/>
              </w:rPr>
              <w:t>1. The prosecution bears the burden of proof.</w:t>
            </w:r>
            <w:r>
              <w:rPr>
                <w:rFonts w:ascii="Times New Roman" w:eastAsia="Times New Roman" w:hAnsi="Times New Roman" w:cs="Times New Roman"/>
                <w:color w:val="000000"/>
              </w:rPr>
              <w:tab/>
              <w:t>6</w:t>
            </w:r>
          </w:hyperlink>
        </w:p>
        <w:p w14:paraId="00000019" w14:textId="77777777" w:rsidR="00B5673E" w:rsidRDefault="00B5673E">
          <w:pPr>
            <w:widowControl w:val="0"/>
            <w:tabs>
              <w:tab w:val="right" w:leader="dot" w:pos="12000"/>
            </w:tabs>
            <w:spacing w:before="60" w:line="240" w:lineRule="auto"/>
            <w:ind w:left="720"/>
            <w:rPr>
              <w:color w:val="000000"/>
            </w:rPr>
          </w:pPr>
          <w:hyperlink w:anchor="_bzml86uen2l6">
            <w:r>
              <w:rPr>
                <w:rFonts w:ascii="Times New Roman" w:eastAsia="Times New Roman" w:hAnsi="Times New Roman" w:cs="Times New Roman"/>
                <w:color w:val="000000"/>
              </w:rPr>
              <w:t>2. The prosecution failed to establish a wholly independent source for the evidence at issue.</w:t>
            </w:r>
            <w:r>
              <w:rPr>
                <w:rFonts w:ascii="Times New Roman" w:eastAsia="Times New Roman" w:hAnsi="Times New Roman" w:cs="Times New Roman"/>
                <w:color w:val="000000"/>
              </w:rPr>
              <w:tab/>
              <w:t>6</w:t>
            </w:r>
          </w:hyperlink>
        </w:p>
        <w:p w14:paraId="0000001A" w14:textId="77777777" w:rsidR="00B5673E" w:rsidRDefault="00B5673E">
          <w:pPr>
            <w:widowControl w:val="0"/>
            <w:tabs>
              <w:tab w:val="right" w:leader="dot" w:pos="12000"/>
            </w:tabs>
            <w:spacing w:before="60" w:line="240" w:lineRule="auto"/>
            <w:ind w:left="720"/>
            <w:rPr>
              <w:color w:val="000000"/>
            </w:rPr>
          </w:pPr>
          <w:hyperlink w:anchor="_wh3xcqjcpp63">
            <w:r>
              <w:rPr>
                <w:rFonts w:ascii="Times New Roman" w:eastAsia="Times New Roman" w:hAnsi="Times New Roman" w:cs="Times New Roman"/>
                <w:color w:val="000000"/>
              </w:rPr>
              <w:t>3. The prosecution’s faulty wall-off procedures resulted in a tainted investigation.</w:t>
            </w:r>
            <w:r>
              <w:rPr>
                <w:rFonts w:ascii="Times New Roman" w:eastAsia="Times New Roman" w:hAnsi="Times New Roman" w:cs="Times New Roman"/>
                <w:color w:val="000000"/>
              </w:rPr>
              <w:tab/>
              <w:t>8</w:t>
            </w:r>
          </w:hyperlink>
        </w:p>
        <w:p w14:paraId="0000001B" w14:textId="77777777" w:rsidR="00B5673E" w:rsidRDefault="00B5673E">
          <w:pPr>
            <w:widowControl w:val="0"/>
            <w:tabs>
              <w:tab w:val="right" w:leader="dot" w:pos="12000"/>
            </w:tabs>
            <w:spacing w:before="60" w:line="240" w:lineRule="auto"/>
            <w:ind w:left="360"/>
            <w:rPr>
              <w:color w:val="000000"/>
            </w:rPr>
          </w:pPr>
          <w:hyperlink w:anchor="_65p4wavxta3j">
            <w:r>
              <w:rPr>
                <w:rFonts w:ascii="Times New Roman" w:eastAsia="Times New Roman" w:hAnsi="Times New Roman" w:cs="Times New Roman"/>
                <w:color w:val="000000"/>
                <w:sz w:val="24"/>
                <w:szCs w:val="24"/>
              </w:rPr>
              <w:t>B. Defendant’s Motion to Quash United States Subpoena Duces Tecum on Maddox Armana for the production of any and all records of Armana’s interview of Sierra Seton on February 15, 2024, as protected under the work-product privilege, should be granted.</w:t>
            </w:r>
            <w:r>
              <w:rPr>
                <w:rFonts w:ascii="Times New Roman" w:eastAsia="Times New Roman" w:hAnsi="Times New Roman" w:cs="Times New Roman"/>
                <w:color w:val="000000"/>
                <w:sz w:val="24"/>
                <w:szCs w:val="24"/>
              </w:rPr>
              <w:tab/>
              <w:t>10</w:t>
            </w:r>
          </w:hyperlink>
        </w:p>
        <w:p w14:paraId="0000001C" w14:textId="77777777" w:rsidR="00B5673E" w:rsidRDefault="00B5673E">
          <w:pPr>
            <w:widowControl w:val="0"/>
            <w:tabs>
              <w:tab w:val="right" w:leader="dot" w:pos="12000"/>
            </w:tabs>
            <w:spacing w:before="60" w:line="240" w:lineRule="auto"/>
            <w:ind w:left="720"/>
            <w:rPr>
              <w:color w:val="000000"/>
            </w:rPr>
          </w:pPr>
          <w:hyperlink w:anchor="_omu4phnj5m8r">
            <w:r>
              <w:rPr>
                <w:rFonts w:ascii="Times New Roman" w:eastAsia="Times New Roman" w:hAnsi="Times New Roman" w:cs="Times New Roman"/>
                <w:color w:val="000000"/>
              </w:rPr>
              <w:t>1. Work-product privilege applies to any and all records of Armana’s interview of Seton.</w:t>
            </w:r>
            <w:r>
              <w:rPr>
                <w:rFonts w:ascii="Times New Roman" w:eastAsia="Times New Roman" w:hAnsi="Times New Roman" w:cs="Times New Roman"/>
                <w:color w:val="000000"/>
              </w:rPr>
              <w:tab/>
              <w:t>11</w:t>
            </w:r>
          </w:hyperlink>
        </w:p>
        <w:p w14:paraId="0000001D" w14:textId="77777777" w:rsidR="00B5673E" w:rsidRDefault="00B5673E">
          <w:pPr>
            <w:widowControl w:val="0"/>
            <w:tabs>
              <w:tab w:val="right" w:leader="dot" w:pos="12000"/>
            </w:tabs>
            <w:spacing w:before="60" w:line="240" w:lineRule="auto"/>
            <w:ind w:left="720"/>
            <w:rPr>
              <w:color w:val="000000"/>
            </w:rPr>
          </w:pPr>
          <w:hyperlink w:anchor="_pf66zh29yrsx">
            <w:r>
              <w:rPr>
                <w:rFonts w:ascii="Times New Roman" w:eastAsia="Times New Roman" w:hAnsi="Times New Roman" w:cs="Times New Roman"/>
                <w:color w:val="000000"/>
              </w:rPr>
              <w:t>2. Armana’s role as a witness does not waive work-product privilege.</w:t>
            </w:r>
            <w:r>
              <w:rPr>
                <w:rFonts w:ascii="Times New Roman" w:eastAsia="Times New Roman" w:hAnsi="Times New Roman" w:cs="Times New Roman"/>
                <w:color w:val="000000"/>
              </w:rPr>
              <w:tab/>
              <w:t>12</w:t>
            </w:r>
          </w:hyperlink>
        </w:p>
        <w:p w14:paraId="0000001E" w14:textId="77777777" w:rsidR="00B5673E" w:rsidRDefault="00B5673E">
          <w:pPr>
            <w:widowControl w:val="0"/>
            <w:tabs>
              <w:tab w:val="right" w:leader="dot" w:pos="12000"/>
            </w:tabs>
            <w:spacing w:before="60" w:line="240" w:lineRule="auto"/>
            <w:ind w:left="720"/>
            <w:rPr>
              <w:color w:val="000000"/>
            </w:rPr>
          </w:pPr>
          <w:hyperlink w:anchor="_kxka8s59nva7">
            <w:r>
              <w:rPr>
                <w:rFonts w:ascii="Times New Roman" w:eastAsia="Times New Roman" w:hAnsi="Times New Roman" w:cs="Times New Roman"/>
                <w:color w:val="000000"/>
              </w:rPr>
              <w:t>3. The work-product protection of Armana’s records cannot be overcome even upon a showing of necessity or unavailability of information.</w:t>
            </w:r>
            <w:r>
              <w:rPr>
                <w:rFonts w:ascii="Times New Roman" w:eastAsia="Times New Roman" w:hAnsi="Times New Roman" w:cs="Times New Roman"/>
                <w:color w:val="000000"/>
              </w:rPr>
              <w:tab/>
              <w:t>14</w:t>
            </w:r>
          </w:hyperlink>
        </w:p>
        <w:p w14:paraId="0000001F" w14:textId="77777777" w:rsidR="00B5673E" w:rsidRDefault="00B5673E">
          <w:pPr>
            <w:widowControl w:val="0"/>
            <w:tabs>
              <w:tab w:val="right" w:leader="dot" w:pos="12000"/>
            </w:tabs>
            <w:spacing w:before="60" w:line="240" w:lineRule="auto"/>
            <w:rPr>
              <w:b/>
              <w:bCs/>
              <w:color w:val="000000"/>
            </w:rPr>
          </w:pPr>
          <w:hyperlink w:anchor="_nhetlsm57jaw">
            <w:r>
              <w:rPr>
                <w:rFonts w:ascii="Times New Roman" w:eastAsia="Times New Roman" w:hAnsi="Times New Roman" w:cs="Times New Roman"/>
                <w:b/>
                <w:bCs/>
                <w:color w:val="000000"/>
                <w:sz w:val="26"/>
                <w:szCs w:val="26"/>
              </w:rPr>
              <w:t>CONCLUSION</w:t>
            </w:r>
            <w:r>
              <w:rPr>
                <w:rFonts w:ascii="Times New Roman" w:eastAsia="Times New Roman" w:hAnsi="Times New Roman" w:cs="Times New Roman"/>
                <w:b/>
                <w:bCs/>
                <w:color w:val="000000"/>
                <w:sz w:val="26"/>
                <w:szCs w:val="26"/>
              </w:rPr>
              <w:tab/>
              <w:t>18</w:t>
            </w:r>
          </w:hyperlink>
          <w:r w:rsidR="008E7212">
            <w:fldChar w:fldCharType="end"/>
          </w:r>
        </w:p>
      </w:sdtContent>
    </w:sdt>
    <w:p w14:paraId="00000020" w14:textId="77777777" w:rsidR="00B5673E" w:rsidRDefault="00B5673E">
      <w:pPr>
        <w:spacing w:after="160" w:line="480" w:lineRule="auto"/>
        <w:rPr>
          <w:rFonts w:ascii="Times New Roman" w:eastAsia="Times New Roman" w:hAnsi="Times New Roman" w:cs="Times New Roman"/>
          <w:sz w:val="26"/>
          <w:szCs w:val="26"/>
        </w:rPr>
      </w:pPr>
    </w:p>
    <w:p w14:paraId="00000021" w14:textId="77777777" w:rsidR="00B5673E" w:rsidRDefault="00B5673E">
      <w:pPr>
        <w:pStyle w:val="Heading1"/>
        <w:keepNext w:val="0"/>
        <w:keepLines w:val="0"/>
        <w:spacing w:before="0" w:after="0" w:line="480" w:lineRule="auto"/>
        <w:rPr>
          <w:rFonts w:ascii="Times New Roman" w:eastAsia="Times New Roman" w:hAnsi="Times New Roman" w:cs="Times New Roman"/>
          <w:b/>
          <w:bCs/>
          <w:sz w:val="26"/>
          <w:szCs w:val="26"/>
          <w:highlight w:val="white"/>
          <w:u w:val="single"/>
        </w:rPr>
      </w:pPr>
      <w:bookmarkStart w:id="0" w:name="_j1qa631lxhhj" w:colFirst="0" w:colLast="0"/>
      <w:bookmarkEnd w:id="0"/>
    </w:p>
    <w:p w14:paraId="00000022" w14:textId="77777777" w:rsidR="00B5673E" w:rsidRDefault="00B5673E">
      <w:pPr>
        <w:pStyle w:val="Heading1"/>
        <w:keepNext w:val="0"/>
        <w:keepLines w:val="0"/>
        <w:spacing w:before="0" w:after="0" w:line="480" w:lineRule="auto"/>
        <w:rPr>
          <w:rFonts w:ascii="Times New Roman" w:eastAsia="Times New Roman" w:hAnsi="Times New Roman" w:cs="Times New Roman"/>
          <w:b/>
          <w:bCs/>
          <w:sz w:val="26"/>
          <w:szCs w:val="26"/>
          <w:highlight w:val="white"/>
          <w:u w:val="single"/>
        </w:rPr>
      </w:pPr>
      <w:bookmarkStart w:id="1" w:name="_x8xf78atj2as" w:colFirst="0" w:colLast="0"/>
      <w:bookmarkEnd w:id="1"/>
    </w:p>
    <w:p w14:paraId="00000023" w14:textId="77777777" w:rsidR="00B5673E" w:rsidRDefault="00B5673E">
      <w:pPr>
        <w:pStyle w:val="Heading1"/>
        <w:keepNext w:val="0"/>
        <w:keepLines w:val="0"/>
        <w:spacing w:before="0" w:after="0" w:line="480" w:lineRule="auto"/>
        <w:rPr>
          <w:rFonts w:ascii="Times New Roman" w:eastAsia="Times New Roman" w:hAnsi="Times New Roman" w:cs="Times New Roman"/>
          <w:b/>
          <w:bCs/>
          <w:sz w:val="26"/>
          <w:szCs w:val="26"/>
          <w:highlight w:val="white"/>
          <w:u w:val="single"/>
        </w:rPr>
      </w:pPr>
      <w:bookmarkStart w:id="2" w:name="_lbbm0lyf63qw" w:colFirst="0" w:colLast="0"/>
      <w:bookmarkEnd w:id="2"/>
    </w:p>
    <w:p w14:paraId="00000024" w14:textId="77777777" w:rsidR="00B5673E" w:rsidRDefault="00B5673E">
      <w:pPr>
        <w:pStyle w:val="Heading1"/>
        <w:keepNext w:val="0"/>
        <w:keepLines w:val="0"/>
        <w:spacing w:before="0" w:after="0" w:line="480" w:lineRule="auto"/>
        <w:rPr>
          <w:rFonts w:ascii="Times New Roman" w:eastAsia="Times New Roman" w:hAnsi="Times New Roman" w:cs="Times New Roman"/>
          <w:b/>
          <w:bCs/>
          <w:sz w:val="26"/>
          <w:szCs w:val="26"/>
          <w:highlight w:val="white"/>
          <w:u w:val="single"/>
        </w:rPr>
      </w:pPr>
      <w:bookmarkStart w:id="3" w:name="_l5s5ud2mmeas" w:colFirst="0" w:colLast="0"/>
      <w:bookmarkEnd w:id="3"/>
    </w:p>
    <w:p w14:paraId="00000025" w14:textId="77777777" w:rsidR="00B5673E" w:rsidRDefault="00B5673E">
      <w:pPr>
        <w:pStyle w:val="Heading1"/>
        <w:keepNext w:val="0"/>
        <w:keepLines w:val="0"/>
        <w:spacing w:before="0" w:after="0" w:line="480" w:lineRule="auto"/>
        <w:rPr>
          <w:rFonts w:ascii="Times New Roman" w:eastAsia="Times New Roman" w:hAnsi="Times New Roman" w:cs="Times New Roman"/>
          <w:b/>
          <w:bCs/>
          <w:sz w:val="26"/>
          <w:szCs w:val="26"/>
          <w:highlight w:val="white"/>
          <w:u w:val="single"/>
        </w:rPr>
      </w:pPr>
      <w:bookmarkStart w:id="4" w:name="_4cpgztesjg79" w:colFirst="0" w:colLast="0"/>
      <w:bookmarkEnd w:id="4"/>
    </w:p>
    <w:p w14:paraId="00000026" w14:textId="77777777" w:rsidR="00B5673E" w:rsidRDefault="00B5673E">
      <w:pPr>
        <w:pStyle w:val="Heading1"/>
        <w:keepNext w:val="0"/>
        <w:keepLines w:val="0"/>
        <w:spacing w:before="0" w:after="0" w:line="480" w:lineRule="auto"/>
        <w:rPr>
          <w:rFonts w:ascii="Times New Roman" w:eastAsia="Times New Roman" w:hAnsi="Times New Roman" w:cs="Times New Roman"/>
          <w:b/>
          <w:bCs/>
          <w:sz w:val="26"/>
          <w:szCs w:val="26"/>
          <w:highlight w:val="white"/>
          <w:u w:val="single"/>
        </w:rPr>
        <w:sectPr w:rsidR="00B5673E">
          <w:footerReference w:type="default" r:id="rId9"/>
          <w:type w:val="continuous"/>
          <w:pgSz w:w="12240" w:h="15840"/>
          <w:pgMar w:top="1440" w:right="1440" w:bottom="1440" w:left="1440" w:header="720" w:footer="720" w:gutter="0"/>
          <w:cols w:space="720"/>
        </w:sectPr>
      </w:pPr>
      <w:bookmarkStart w:id="5" w:name="_ip2x7xo6pwzz" w:colFirst="0" w:colLast="0"/>
      <w:bookmarkEnd w:id="5"/>
    </w:p>
    <w:p w14:paraId="00000027" w14:textId="77777777" w:rsidR="00B5673E" w:rsidRDefault="00B5673E">
      <w:pPr>
        <w:pStyle w:val="Heading1"/>
        <w:keepNext w:val="0"/>
        <w:keepLines w:val="0"/>
        <w:spacing w:before="0" w:after="0" w:line="480" w:lineRule="auto"/>
        <w:rPr>
          <w:rFonts w:ascii="Times New Roman" w:eastAsia="Times New Roman" w:hAnsi="Times New Roman" w:cs="Times New Roman"/>
          <w:b/>
          <w:bCs/>
          <w:sz w:val="26"/>
          <w:szCs w:val="26"/>
          <w:highlight w:val="white"/>
          <w:u w:val="single"/>
        </w:rPr>
      </w:pPr>
      <w:bookmarkStart w:id="6" w:name="_j7a3b5ep3jo2" w:colFirst="0" w:colLast="0"/>
      <w:bookmarkEnd w:id="6"/>
    </w:p>
    <w:p w14:paraId="00000028" w14:textId="77777777" w:rsidR="00B5673E" w:rsidRDefault="00B5673E"/>
    <w:p w14:paraId="00000029" w14:textId="77777777" w:rsidR="00B5673E" w:rsidRDefault="00B5673E"/>
    <w:p w14:paraId="0000002A" w14:textId="77777777" w:rsidR="00B5673E" w:rsidRDefault="00B5673E"/>
    <w:p w14:paraId="6D52E398" w14:textId="77777777" w:rsidR="001352E2" w:rsidRDefault="001352E2"/>
    <w:p w14:paraId="2A5A521B" w14:textId="77777777" w:rsidR="001352E2" w:rsidRDefault="001352E2"/>
    <w:p w14:paraId="0000002B" w14:textId="77777777" w:rsidR="00B5673E" w:rsidRDefault="00B5673E"/>
    <w:p w14:paraId="0000002C" w14:textId="77777777" w:rsidR="00B5673E" w:rsidRDefault="00B5673E"/>
    <w:p w14:paraId="0000002D" w14:textId="77777777" w:rsidR="00B5673E" w:rsidRDefault="008E7212">
      <w:pPr>
        <w:pStyle w:val="Heading1"/>
        <w:spacing w:before="0" w:line="480" w:lineRule="auto"/>
        <w:jc w:val="center"/>
        <w:rPr>
          <w:rFonts w:ascii="Times New Roman" w:eastAsia="Times New Roman" w:hAnsi="Times New Roman" w:cs="Times New Roman"/>
          <w:b/>
          <w:bCs/>
          <w:sz w:val="26"/>
          <w:szCs w:val="26"/>
          <w:u w:val="single"/>
        </w:rPr>
      </w:pPr>
      <w:bookmarkStart w:id="7" w:name="_bn09o5cq8w9v" w:colFirst="0" w:colLast="0"/>
      <w:bookmarkEnd w:id="7"/>
      <w:r>
        <w:rPr>
          <w:rFonts w:ascii="Times New Roman" w:eastAsia="Times New Roman" w:hAnsi="Times New Roman" w:cs="Times New Roman"/>
          <w:b/>
          <w:bCs/>
          <w:sz w:val="26"/>
          <w:szCs w:val="26"/>
          <w:u w:val="single"/>
        </w:rPr>
        <w:lastRenderedPageBreak/>
        <w:t>TABLE OF AUTHORITIES</w:t>
      </w:r>
    </w:p>
    <w:p w14:paraId="0000002E" w14:textId="77777777" w:rsidR="00B5673E" w:rsidRDefault="008E7212">
      <w:pPr>
        <w:spacing w:line="480" w:lineRule="auto"/>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u w:val="single"/>
        </w:rPr>
        <w:t>Cases</w:t>
      </w:r>
      <w:r>
        <w:rPr>
          <w:rFonts w:ascii="Times New Roman" w:eastAsia="Times New Roman" w:hAnsi="Times New Roman" w:cs="Times New Roman"/>
          <w:b/>
          <w:bCs/>
          <w:sz w:val="26"/>
          <w:szCs w:val="26"/>
          <w:highlight w:val="white"/>
        </w:rPr>
        <w:t>:</w:t>
      </w:r>
    </w:p>
    <w:p w14:paraId="0000002F" w14:textId="77777777" w:rsidR="00B5673E" w:rsidRDefault="008E7212">
      <w:pPr>
        <w:spacing w:line="480" w:lineRule="auto"/>
        <w:rPr>
          <w:rFonts w:ascii="Times New Roman" w:eastAsia="Times New Roman" w:hAnsi="Times New Roman" w:cs="Times New Roman"/>
          <w:i/>
          <w:iCs/>
          <w:sz w:val="26"/>
          <w:szCs w:val="26"/>
        </w:rPr>
      </w:pPr>
      <w:r>
        <w:rPr>
          <w:rFonts w:ascii="Times New Roman" w:eastAsia="Times New Roman" w:hAnsi="Times New Roman" w:cs="Times New Roman"/>
          <w:i/>
          <w:iCs/>
          <w:sz w:val="26"/>
          <w:szCs w:val="26"/>
        </w:rPr>
        <w:t>American Oversight v. United States Department of Justice</w:t>
      </w:r>
      <w:r>
        <w:rPr>
          <w:rFonts w:ascii="Times New Roman" w:eastAsia="Times New Roman" w:hAnsi="Times New Roman" w:cs="Times New Roman"/>
          <w:sz w:val="26"/>
          <w:szCs w:val="26"/>
        </w:rPr>
        <w:t>, 45 F.4th 579 (2d Cir. 2022)</w:t>
      </w:r>
    </w:p>
    <w:p w14:paraId="00000030"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Hickman v. Taylor</w:t>
      </w:r>
      <w:r>
        <w:rPr>
          <w:rFonts w:ascii="Times New Roman" w:eastAsia="Times New Roman" w:hAnsi="Times New Roman" w:cs="Times New Roman"/>
          <w:sz w:val="26"/>
          <w:szCs w:val="26"/>
        </w:rPr>
        <w:t>, 329 U.S. 495 (1947)</w:t>
      </w:r>
    </w:p>
    <w:p w14:paraId="00000031"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Holmgren v. State Farm Mut. Auto. Ins. Co.</w:t>
      </w:r>
      <w:r>
        <w:rPr>
          <w:rFonts w:ascii="Times New Roman" w:eastAsia="Times New Roman" w:hAnsi="Times New Roman" w:cs="Times New Roman"/>
          <w:sz w:val="26"/>
          <w:szCs w:val="26"/>
        </w:rPr>
        <w:t>, 976 F.2d 573 (9th Cir. 1992)</w:t>
      </w:r>
    </w:p>
    <w:p w14:paraId="00000032"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Cendant Corp. Securities Litigation</w:t>
      </w:r>
      <w:r>
        <w:rPr>
          <w:rFonts w:ascii="Times New Roman" w:eastAsia="Times New Roman" w:hAnsi="Times New Roman" w:cs="Times New Roman"/>
          <w:sz w:val="26"/>
          <w:szCs w:val="26"/>
        </w:rPr>
        <w:t>, 343 F.3d 658 (3d Cir. 2003)</w:t>
      </w:r>
    </w:p>
    <w:p w14:paraId="00000033"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Columbia/HCA Healthcare Corp. Billing Practices Litigation</w:t>
      </w:r>
      <w:r>
        <w:rPr>
          <w:rFonts w:ascii="Times New Roman" w:eastAsia="Times New Roman" w:hAnsi="Times New Roman" w:cs="Times New Roman"/>
          <w:sz w:val="26"/>
          <w:szCs w:val="26"/>
        </w:rPr>
        <w:t xml:space="preserve">, 293 F.3d 289 (6th Cir. 2002) </w:t>
      </w:r>
    </w:p>
    <w:p w14:paraId="00000034"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Grand Jury Subpoena</w:t>
      </w:r>
      <w:r>
        <w:rPr>
          <w:rFonts w:ascii="Times New Roman" w:eastAsia="Times New Roman" w:hAnsi="Times New Roman" w:cs="Times New Roman"/>
          <w:sz w:val="26"/>
          <w:szCs w:val="26"/>
        </w:rPr>
        <w:t xml:space="preserve">, 870 F.3d 312 (4th Cir. 2017) </w:t>
      </w:r>
    </w:p>
    <w:p w14:paraId="00000035"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Murphy</w:t>
      </w:r>
      <w:r>
        <w:rPr>
          <w:rFonts w:ascii="Times New Roman" w:eastAsia="Times New Roman" w:hAnsi="Times New Roman" w:cs="Times New Roman"/>
          <w:sz w:val="26"/>
          <w:szCs w:val="26"/>
        </w:rPr>
        <w:t xml:space="preserve">, 560 F.2d 326 (8th Cir. 1977) </w:t>
      </w:r>
    </w:p>
    <w:p w14:paraId="00000036"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San Juan Dupont Plaza Hotel Fire Litigation</w:t>
      </w:r>
      <w:r>
        <w:rPr>
          <w:rFonts w:ascii="Times New Roman" w:eastAsia="Times New Roman" w:hAnsi="Times New Roman" w:cs="Times New Roman"/>
          <w:sz w:val="26"/>
          <w:szCs w:val="26"/>
        </w:rPr>
        <w:t xml:space="preserve">, 859 F.2d 1007 (1st Cir. 1988) </w:t>
      </w:r>
    </w:p>
    <w:p w14:paraId="00000037"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Sealed Case</w:t>
      </w:r>
      <w:r>
        <w:rPr>
          <w:rFonts w:ascii="Times New Roman" w:eastAsia="Times New Roman" w:hAnsi="Times New Roman" w:cs="Times New Roman"/>
          <w:sz w:val="26"/>
          <w:szCs w:val="26"/>
        </w:rPr>
        <w:t xml:space="preserve">, 676 F.2d 793 (D.C. Cir. 1982) </w:t>
      </w:r>
    </w:p>
    <w:p w14:paraId="00000038"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Johnson v. Gross</w:t>
      </w:r>
      <w:r>
        <w:rPr>
          <w:rFonts w:ascii="Times New Roman" w:eastAsia="Times New Roman" w:hAnsi="Times New Roman" w:cs="Times New Roman"/>
          <w:sz w:val="26"/>
          <w:szCs w:val="26"/>
        </w:rPr>
        <w:t>, 611 Fed.Appx. 544 (11th Cir. 2015)</w:t>
      </w:r>
    </w:p>
    <w:p w14:paraId="00000039"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Kastigar v. United States</w:t>
      </w:r>
      <w:r>
        <w:rPr>
          <w:rFonts w:ascii="Times New Roman" w:eastAsia="Times New Roman" w:hAnsi="Times New Roman" w:cs="Times New Roman"/>
          <w:sz w:val="26"/>
          <w:szCs w:val="26"/>
        </w:rPr>
        <w:t>, 406 U.S. 441 (1972).</w:t>
      </w:r>
    </w:p>
    <w:p w14:paraId="0000003A"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Nevada v. J-M Mfg. Co., Inc.</w:t>
      </w:r>
      <w:r>
        <w:rPr>
          <w:rFonts w:ascii="Times New Roman" w:eastAsia="Times New Roman" w:hAnsi="Times New Roman" w:cs="Times New Roman"/>
          <w:sz w:val="26"/>
          <w:szCs w:val="26"/>
        </w:rPr>
        <w:t>, 555 Fed.Appx. 782 (10th Cir. 2014)</w:t>
      </w:r>
    </w:p>
    <w:p w14:paraId="0000003B"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Ullmann v. United States</w:t>
      </w:r>
      <w:r>
        <w:rPr>
          <w:rFonts w:ascii="Times New Roman" w:eastAsia="Times New Roman" w:hAnsi="Times New Roman" w:cs="Times New Roman"/>
          <w:sz w:val="26"/>
          <w:szCs w:val="26"/>
        </w:rPr>
        <w:t>, 350 U.S. 422 (1956)</w:t>
      </w:r>
    </w:p>
    <w:p w14:paraId="0000003C"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Bartel</w:t>
      </w:r>
      <w:r>
        <w:rPr>
          <w:rFonts w:ascii="Times New Roman" w:eastAsia="Times New Roman" w:hAnsi="Times New Roman" w:cs="Times New Roman"/>
          <w:sz w:val="26"/>
          <w:szCs w:val="26"/>
        </w:rPr>
        <w:t>, 19 F.3d 1105 (1994)</w:t>
      </w:r>
    </w:p>
    <w:p w14:paraId="0000003D"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Hampton</w:t>
      </w:r>
      <w:r>
        <w:rPr>
          <w:rFonts w:ascii="Times New Roman" w:eastAsia="Times New Roman" w:hAnsi="Times New Roman" w:cs="Times New Roman"/>
          <w:sz w:val="26"/>
          <w:szCs w:val="26"/>
        </w:rPr>
        <w:t>, 775 F.2d 1479 (1985)</w:t>
      </w:r>
    </w:p>
    <w:p w14:paraId="0000003E"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Harris</w:t>
      </w:r>
      <w:r>
        <w:rPr>
          <w:rFonts w:ascii="Times New Roman" w:eastAsia="Times New Roman" w:hAnsi="Times New Roman" w:cs="Times New Roman"/>
          <w:sz w:val="26"/>
          <w:szCs w:val="26"/>
        </w:rPr>
        <w:t>, 973 F.2d 333 (1992)</w:t>
      </w:r>
    </w:p>
    <w:p w14:paraId="0000003F"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Hubbell</w:t>
      </w:r>
      <w:r>
        <w:rPr>
          <w:rFonts w:ascii="Times New Roman" w:eastAsia="Times New Roman" w:hAnsi="Times New Roman" w:cs="Times New Roman"/>
          <w:sz w:val="26"/>
          <w:szCs w:val="26"/>
        </w:rPr>
        <w:t>, 530 U.S. 27 (2000)</w:t>
      </w:r>
    </w:p>
    <w:p w14:paraId="00000040"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United States v. Nobles</w:t>
      </w:r>
      <w:r>
        <w:rPr>
          <w:rFonts w:ascii="Times New Roman" w:eastAsia="Times New Roman" w:hAnsi="Times New Roman" w:cs="Times New Roman"/>
          <w:sz w:val="26"/>
          <w:szCs w:val="26"/>
        </w:rPr>
        <w:t>, 422 U.S. 225 (1975)</w:t>
      </w:r>
    </w:p>
    <w:p w14:paraId="00000041"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lastRenderedPageBreak/>
        <w:t>United States v. Schmidgall</w:t>
      </w:r>
      <w:r>
        <w:rPr>
          <w:rFonts w:ascii="Times New Roman" w:eastAsia="Times New Roman" w:hAnsi="Times New Roman" w:cs="Times New Roman"/>
          <w:sz w:val="26"/>
          <w:szCs w:val="26"/>
        </w:rPr>
        <w:t>, 25 F.3d 1523 (1994)</w:t>
      </w:r>
    </w:p>
    <w:p w14:paraId="00000042"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Upjohn Co. v. United States</w:t>
      </w:r>
      <w:r>
        <w:rPr>
          <w:rFonts w:ascii="Times New Roman" w:eastAsia="Times New Roman" w:hAnsi="Times New Roman" w:cs="Times New Roman"/>
          <w:sz w:val="26"/>
          <w:szCs w:val="26"/>
        </w:rPr>
        <w:t xml:space="preserve">, 449 U.S. 383 (1981) </w:t>
      </w:r>
    </w:p>
    <w:p w14:paraId="00000043" w14:textId="77777777" w:rsidR="00B5673E" w:rsidRDefault="008E7212">
      <w:pPr>
        <w:spacing w:line="480" w:lineRule="auto"/>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u w:val="single"/>
        </w:rPr>
        <w:t>Statutes</w:t>
      </w:r>
      <w:r>
        <w:rPr>
          <w:rFonts w:ascii="Times New Roman" w:eastAsia="Times New Roman" w:hAnsi="Times New Roman" w:cs="Times New Roman"/>
          <w:b/>
          <w:bCs/>
          <w:sz w:val="26"/>
          <w:szCs w:val="26"/>
          <w:highlight w:val="white"/>
        </w:rPr>
        <w:t>:</w:t>
      </w:r>
    </w:p>
    <w:p w14:paraId="00000044"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18 U.S.C. § 6002</w:t>
      </w:r>
    </w:p>
    <w:p w14:paraId="00000045"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18 U.S.C. § 6003</w:t>
      </w:r>
    </w:p>
    <w:p w14:paraId="00000046" w14:textId="77777777" w:rsidR="00B5673E" w:rsidRDefault="008E7212">
      <w:pPr>
        <w:spacing w:line="480" w:lineRule="auto"/>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u w:val="single"/>
        </w:rPr>
        <w:t>Constitutional Provisions</w:t>
      </w:r>
      <w:r>
        <w:rPr>
          <w:rFonts w:ascii="Times New Roman" w:eastAsia="Times New Roman" w:hAnsi="Times New Roman" w:cs="Times New Roman"/>
          <w:b/>
          <w:bCs/>
          <w:sz w:val="26"/>
          <w:szCs w:val="26"/>
          <w:highlight w:val="white"/>
        </w:rPr>
        <w:t xml:space="preserve">: </w:t>
      </w:r>
    </w:p>
    <w:p w14:paraId="00000047" w14:textId="77777777" w:rsidR="00B5673E" w:rsidRDefault="008E7212">
      <w:pPr>
        <w:spacing w:line="48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U.S. Const. amend. V.</w:t>
      </w:r>
    </w:p>
    <w:p w14:paraId="00000048" w14:textId="77777777" w:rsidR="00B5673E" w:rsidRDefault="008E7212">
      <w:pPr>
        <w:spacing w:line="480" w:lineRule="auto"/>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u w:val="single"/>
        </w:rPr>
        <w:t>Other Authorities</w:t>
      </w:r>
      <w:r>
        <w:rPr>
          <w:rFonts w:ascii="Times New Roman" w:eastAsia="Times New Roman" w:hAnsi="Times New Roman" w:cs="Times New Roman"/>
          <w:b/>
          <w:bCs/>
          <w:sz w:val="26"/>
          <w:szCs w:val="26"/>
          <w:highlight w:val="white"/>
        </w:rPr>
        <w:t>:</w:t>
      </w:r>
    </w:p>
    <w:p w14:paraId="00000049"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Fed. R. Civ. P. 26(b)(3)</w:t>
      </w:r>
    </w:p>
    <w:p w14:paraId="0000004A" w14:textId="77777777" w:rsidR="00B5673E" w:rsidRDefault="008E7212">
      <w:pPr>
        <w:spacing w:line="480" w:lineRule="auto"/>
        <w:rPr>
          <w:rFonts w:ascii="Times New Roman" w:eastAsia="Times New Roman" w:hAnsi="Times New Roman" w:cs="Times New Roman"/>
          <w:sz w:val="26"/>
          <w:szCs w:val="26"/>
        </w:rPr>
        <w:sectPr w:rsidR="00B5673E">
          <w:footerReference w:type="default" r:id="rId10"/>
          <w:type w:val="continuous"/>
          <w:pgSz w:w="12240" w:h="15840"/>
          <w:pgMar w:top="1440" w:right="1440" w:bottom="1440" w:left="1440" w:header="720" w:footer="720" w:gutter="0"/>
          <w:cols w:space="720"/>
        </w:sectPr>
      </w:pPr>
      <w:r>
        <w:rPr>
          <w:rFonts w:ascii="Times New Roman" w:eastAsia="Times New Roman" w:hAnsi="Times New Roman" w:cs="Times New Roman"/>
          <w:sz w:val="26"/>
          <w:szCs w:val="26"/>
        </w:rPr>
        <w:t>Fed. R. Crim. P. 16(b)(2)</w:t>
      </w:r>
    </w:p>
    <w:p w14:paraId="0000004B" w14:textId="77777777" w:rsidR="00B5673E" w:rsidRDefault="008E7212">
      <w:pPr>
        <w:pStyle w:val="Heading1"/>
        <w:spacing w:before="0" w:after="0" w:line="480" w:lineRule="auto"/>
        <w:jc w:val="center"/>
        <w:rPr>
          <w:rFonts w:ascii="Times New Roman" w:eastAsia="Times New Roman" w:hAnsi="Times New Roman" w:cs="Times New Roman"/>
          <w:b/>
          <w:bCs/>
          <w:sz w:val="26"/>
          <w:szCs w:val="26"/>
          <w:u w:val="single"/>
        </w:rPr>
      </w:pPr>
      <w:bookmarkStart w:id="8" w:name="_r5cndxwyy6n8" w:colFirst="0" w:colLast="0"/>
      <w:bookmarkEnd w:id="8"/>
      <w:r>
        <w:rPr>
          <w:rFonts w:ascii="Times New Roman" w:eastAsia="Times New Roman" w:hAnsi="Times New Roman" w:cs="Times New Roman"/>
          <w:b/>
          <w:bCs/>
          <w:sz w:val="26"/>
          <w:szCs w:val="26"/>
          <w:u w:val="single"/>
        </w:rPr>
        <w:lastRenderedPageBreak/>
        <w:t>INTRODUCTION</w:t>
      </w:r>
    </w:p>
    <w:p w14:paraId="0000004C"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Defendant (“Emily Calloway”) respectfully requests that this court grant the Defendant’s Motion to Suppress Evidence and Motion to Quash Subpoena Duces Tecum. The prosecution has not met its burden to establish that Ms. Calloway’s immunized testimony did not taint their investigation. Additionally, production of any and all records of Armana’s interview of Sierra Seton on February 15, 2024 cannot be compelled under work-product privilege. </w:t>
      </w:r>
    </w:p>
    <w:p w14:paraId="0000004D" w14:textId="77777777" w:rsidR="00B5673E" w:rsidRDefault="008E7212">
      <w:pPr>
        <w:spacing w:line="480" w:lineRule="auto"/>
        <w:jc w:val="center"/>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STATEMENT OF FACTS</w:t>
      </w:r>
    </w:p>
    <w:p w14:paraId="0000004E"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Emily Calloway owns Silver Palms Resort in Gulf Haven, Florida. Sinclair Dep. 9:53; Parker Dep. 35:57-58. Ms. Calloway stands charged with the killing of a witness under 18 U.S.C. § 1512(a)(1)(C) and money laundering conspiracy under 18 U.S.C. § 1956. Indictment. </w:t>
      </w:r>
    </w:p>
    <w:p w14:paraId="0000004F"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 December 12, 2023, a Silver Palms Resort accountant named Daniel Blake was found dead in his office. Sinclair Dep. 13:216. Ms. Calloway’s business partner, Saint Donovan, was arrested for homicide on January 26, 2024.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15:276-77. Ms. Calloway’s attorneys began preparing a defense in anticipation of charges being brought against her too. Armana Dep. 43:35-38. They hired Maddox Armana, a licensed private investigator, to better understand the financial aspect of the prosecution’s case.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44:40-45. Armana worked entirely under defense counsel’s supervision and at their direction.</w:t>
      </w:r>
      <w:r>
        <w:rPr>
          <w:rFonts w:ascii="Times New Roman" w:eastAsia="Times New Roman" w:hAnsi="Times New Roman" w:cs="Times New Roman"/>
          <w:i/>
          <w:iCs/>
          <w:sz w:val="26"/>
          <w:szCs w:val="26"/>
        </w:rPr>
        <w:t xml:space="preserve"> Id. </w:t>
      </w:r>
      <w:r>
        <w:rPr>
          <w:rFonts w:ascii="Times New Roman" w:eastAsia="Times New Roman" w:hAnsi="Times New Roman" w:cs="Times New Roman"/>
          <w:sz w:val="26"/>
          <w:szCs w:val="26"/>
        </w:rPr>
        <w:t xml:space="preserve">at 43:29-32. </w:t>
      </w:r>
    </w:p>
    <w:p w14:paraId="00000050" w14:textId="0C544C2A"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During the investigation into associated companies, Armana identified Sierra Seton as Coastal Event </w:t>
      </w:r>
      <w:r w:rsidR="001352E2">
        <w:rPr>
          <w:rFonts w:ascii="Times New Roman" w:eastAsia="Times New Roman" w:hAnsi="Times New Roman" w:cs="Times New Roman"/>
          <w:sz w:val="26"/>
          <w:szCs w:val="26"/>
        </w:rPr>
        <w:t>Solutions’</w:t>
      </w:r>
      <w:r>
        <w:rPr>
          <w:rFonts w:ascii="Times New Roman" w:eastAsia="Times New Roman" w:hAnsi="Times New Roman" w:cs="Times New Roman"/>
          <w:sz w:val="26"/>
          <w:szCs w:val="26"/>
        </w:rPr>
        <w:t xml:space="preserve"> operations manager.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44:53-58. Armana pulled </w:t>
      </w:r>
      <w:r>
        <w:rPr>
          <w:rFonts w:ascii="Times New Roman" w:eastAsia="Times New Roman" w:hAnsi="Times New Roman" w:cs="Times New Roman"/>
          <w:sz w:val="26"/>
          <w:szCs w:val="26"/>
        </w:rPr>
        <w:lastRenderedPageBreak/>
        <w:t xml:space="preserve">old records and spoke to people connected to Ms. Seton, eventually finding a current address.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44:74-78. Less than three weeks after joining the investigation, Armana interviewed Ms. Seton on February 15, 2024. Stip. 8; Armana Dep.</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at 46:146. </w:t>
      </w:r>
    </w:p>
    <w:p w14:paraId="00000051"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only record of this interview is Armana’s contemporaneously typed notes, in which Armana paraphrased Ms. Seton’s statements. Exhibit 21; Armana Dep. 46:121, 47:167-68. Armana also included personal thoughts, theories, and responses. Armana Dep. 46:121-24, 46:141-43; Exhibit 21. All interview notes became part of the attorneys’ case file. Armana Dep. 43:30-32. These notes are at issue in the Defendant’s Motion to Quash.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Notice of Hearing. Since Armana’s recorder died right before the interview, there is no audio or video of the conversation.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45:112-113. Additionally, Ms. Seton left the country in March 2024, without being interviewed again. Armana Dep. 46:146-47; Sinclair Dep. 18:393-94. </w:t>
      </w:r>
    </w:p>
    <w:p w14:paraId="00000052"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Assistant United States Attorney (AUSA) Tatum Sinclair and Special Agent Bryce Nolan investigated Saint Donovan for homicide and money laundering. Nolan Dep. 25:39-43. AUSA Sinclair knew that Coastal Event Solutions was connected to Donovan’s case since October 2023. Sinclair Dep. 11:117-23. However, he did not attempt to interview Ms. Seton until she had already left the country in spring 2024.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18:392-93. Without Ms. Seton, the prosecution sought a new witness, Emily Calloway, to explain Mr. Donovan’s financial system.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Sinclair Dep. 21:528-31. </w:t>
      </w:r>
    </w:p>
    <w:p w14:paraId="00000053"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To prove the case of </w:t>
      </w:r>
      <w:r>
        <w:rPr>
          <w:rFonts w:ascii="Times New Roman" w:eastAsia="Times New Roman" w:hAnsi="Times New Roman" w:cs="Times New Roman"/>
          <w:i/>
          <w:iCs/>
          <w:sz w:val="26"/>
          <w:szCs w:val="26"/>
        </w:rPr>
        <w:t>United States v. Saint Donovan</w:t>
      </w:r>
      <w:r>
        <w:rPr>
          <w:rFonts w:ascii="Times New Roman" w:eastAsia="Times New Roman" w:hAnsi="Times New Roman" w:cs="Times New Roman"/>
          <w:sz w:val="26"/>
          <w:szCs w:val="26"/>
        </w:rPr>
        <w:t xml:space="preserve">, the prosecution compelled Emily Calloway to testify.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Order Granting Immunity to Emily Calloway. The court order stated that no testimony or other information given by Ms. Calloway may be used </w:t>
      </w:r>
      <w:r>
        <w:rPr>
          <w:rFonts w:ascii="Times New Roman" w:eastAsia="Times New Roman" w:hAnsi="Times New Roman" w:cs="Times New Roman"/>
          <w:sz w:val="26"/>
          <w:szCs w:val="26"/>
        </w:rPr>
        <w:lastRenderedPageBreak/>
        <w:t xml:space="preserve">against her in any criminal prosecution except for perjury, giving a false statement, or otherwise failing to comply with the order.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00000054"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Following the court order, the investigation split into two teams. Sinclair Dep. 22:548. Special Agent Nolan and AUSA Sinclair did not assign a new prosecutor without knowledge of the case to lead the investigation into Ms. Calloway. Nolan Dep. 29:195-99. Rather, Special Agent Nolan continued investigating Ms. Calloway. Sinclair Dep. 22:550-51. AUSA Sinclair continued investigating Mr. Donovan, and he was exposed to Ms. Calloway’s immunized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22:548-50. The prosecution contends the team investigating Ms. Calloway was walled off from the immunized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22:551-52. </w:t>
      </w:r>
    </w:p>
    <w:p w14:paraId="00000055"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 October 10, 2024, Ms. Calloway testified pursuant to court order and received use and derivative use immunity for her testimony in compliance with 18 U.S.C. §§ 6002, 6003. Stip. 6. Ms. Calloway testified that on December 10, 2023, she spoke with the victim, Daniel Blake, at a staff Christmas party. Excerpt of the Testimony of Emily Calloway. Ms. Calloway testified that her employee Kennedy Parker came over to check on her after this conversation.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Ms. Calloway gave details of her conversation with Ms. Parker and described Ms. Parker’s job duties.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00000056"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Ms. Calloway testified in an open courtroom. Sinclair Dep. 23:593. Special Agent Nolan was aware that Ms. Calloway’s testimony was widely covered by local news outlets. Nolan Dep. 32:322-24. The local newspaper covered Ms. Calloway’s testimony in detail, including the name of the employee that Ms. Calloway mentioned in her </w:t>
      </w:r>
      <w:r>
        <w:rPr>
          <w:rFonts w:ascii="Times New Roman" w:eastAsia="Times New Roman" w:hAnsi="Times New Roman" w:cs="Times New Roman"/>
          <w:sz w:val="26"/>
          <w:szCs w:val="26"/>
        </w:rPr>
        <w:lastRenderedPageBreak/>
        <w:t>testimony - Kennedy Parker. Exhibit 14. The story was on the front page of the newspaper for weeks. Sinclair Dep. 23:595-96.</w:t>
      </w:r>
    </w:p>
    <w:p w14:paraId="00000057"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AUSA Sinclair and Special Agent Nolan are old friends who have always had a strong friendship. Sinclair Dep. 13:227; Nolan Dep. 24:31-32. Growing up, they worked together as lifeguards at Silver Palms. Nolan Dep 24:32. After Ms. Calloway testified under a grant of immunity, the pair continued to spend time together, keeping a tight practice schedule for their performance in the Silver Palms Alumni Karaoke contest.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Sinclair Dep. 22:583-85. </w:t>
      </w:r>
    </w:p>
    <w:p w14:paraId="00000058"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Twenty-one days after Ms. Calloway’s testimony, the prosecution interviewed Kennedy Parker for the first time on October 31, 2024. Stip. 7; Parker Dep. 42:314-15. Ms. Parker testified that no law enforcement agent asked to speak with her when Mr. Blake was first killed. Parker Dep. 39: 227-28. AUSA Sinclair testified that he doesn’t “have any independent memory of thinking Kennedy Parker mattered one way or the other before” the investigation teams split. Sinclair Dep. 22:573-75. </w:t>
      </w:r>
    </w:p>
    <w:p w14:paraId="00000059"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her interview, Ms. Parker stated that Ms. Calloway asked Ms. Parker to transport a banker’s box to a storage unit. Parker Dep. 40:255-60, 276-81. The prosecution then obtained a search warrant for the storage unit. Nolan Dep. 33:353-54. On November 5, 2024, the prosecution seized a box containing evidence incriminating Ms. Calloway, including a document enclosed herein as Exhibit 19, which is at issue in the Defendant’s Motion to Suppress.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33:355-60; Notice of Hearing. </w:t>
      </w:r>
    </w:p>
    <w:p w14:paraId="0000005A" w14:textId="77777777" w:rsidR="00B5673E" w:rsidRDefault="008E7212">
      <w:pPr>
        <w:pStyle w:val="Heading1"/>
        <w:spacing w:before="0" w:after="0" w:line="480" w:lineRule="auto"/>
        <w:jc w:val="center"/>
        <w:rPr>
          <w:rFonts w:ascii="Times New Roman" w:eastAsia="Times New Roman" w:hAnsi="Times New Roman" w:cs="Times New Roman"/>
          <w:b/>
          <w:bCs/>
          <w:sz w:val="26"/>
          <w:szCs w:val="26"/>
          <w:u w:val="single"/>
        </w:rPr>
      </w:pPr>
      <w:bookmarkStart w:id="9" w:name="_qzdqzh4db5rq" w:colFirst="0" w:colLast="0"/>
      <w:bookmarkEnd w:id="9"/>
      <w:r>
        <w:rPr>
          <w:rFonts w:ascii="Times New Roman" w:eastAsia="Times New Roman" w:hAnsi="Times New Roman" w:cs="Times New Roman"/>
          <w:b/>
          <w:bCs/>
          <w:sz w:val="26"/>
          <w:szCs w:val="26"/>
          <w:u w:val="single"/>
        </w:rPr>
        <w:lastRenderedPageBreak/>
        <w:t>ARGUMENT</w:t>
      </w:r>
    </w:p>
    <w:p w14:paraId="0000005B" w14:textId="77777777" w:rsidR="00B5673E" w:rsidRDefault="008E7212">
      <w:pPr>
        <w:pStyle w:val="Heading2"/>
        <w:numPr>
          <w:ilvl w:val="0"/>
          <w:numId w:val="3"/>
        </w:numPr>
        <w:spacing w:before="0" w:after="0" w:line="240" w:lineRule="auto"/>
        <w:rPr>
          <w:rFonts w:ascii="Times New Roman" w:eastAsia="Times New Roman" w:hAnsi="Times New Roman" w:cs="Times New Roman"/>
          <w:b/>
          <w:bCs/>
          <w:sz w:val="26"/>
          <w:szCs w:val="26"/>
        </w:rPr>
      </w:pPr>
      <w:bookmarkStart w:id="10" w:name="_7zavsaq25gs" w:colFirst="0" w:colLast="0"/>
      <w:bookmarkEnd w:id="10"/>
      <w:r>
        <w:rPr>
          <w:rFonts w:ascii="Times New Roman" w:eastAsia="Times New Roman" w:hAnsi="Times New Roman" w:cs="Times New Roman"/>
          <w:b/>
          <w:bCs/>
          <w:sz w:val="26"/>
          <w:szCs w:val="26"/>
        </w:rPr>
        <w:t xml:space="preserve">Evidence discovered by the United States on November 5, 2024, enclosed herein as Exhibit 19, and the testimony of Kennedy Parker, was obtained in violation of court order and thus should be suppressed pursuant to 18 U.S.C. §§ 6002, 6003. </w:t>
      </w:r>
    </w:p>
    <w:p w14:paraId="0000005C" w14:textId="77777777" w:rsidR="00B5673E" w:rsidRDefault="00B5673E">
      <w:pPr>
        <w:spacing w:line="240" w:lineRule="auto"/>
        <w:rPr>
          <w:rFonts w:ascii="Times New Roman" w:eastAsia="Times New Roman" w:hAnsi="Times New Roman" w:cs="Times New Roman"/>
          <w:b/>
          <w:bCs/>
          <w:sz w:val="26"/>
          <w:szCs w:val="26"/>
        </w:rPr>
      </w:pPr>
    </w:p>
    <w:p w14:paraId="0000005D"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The Fifth Amendment states, “no person…shall be compelled in any criminal case to be a witness against himself.” U.S. Const. amend. V. The drafters of the Constitution “made a judgment and expressed it in our fundamental law, that it were</w:t>
      </w:r>
      <w:r>
        <w:rPr>
          <w:rFonts w:ascii="Times New Roman" w:eastAsia="Times New Roman" w:hAnsi="Times New Roman" w:cs="Times New Roman"/>
          <w:sz w:val="26"/>
          <w:szCs w:val="26"/>
        </w:rPr>
        <w:t xml:space="preserve"> better for an occasional crime to go unpunished than that the prosecution should be free to build up a criminal case …with the assistance of enforced disclosures by the accused.” </w:t>
      </w:r>
      <w:r>
        <w:rPr>
          <w:rFonts w:ascii="Times New Roman" w:eastAsia="Times New Roman" w:hAnsi="Times New Roman" w:cs="Times New Roman"/>
          <w:i/>
          <w:iCs/>
          <w:sz w:val="26"/>
          <w:szCs w:val="26"/>
        </w:rPr>
        <w:t>Ullmann v. United States</w:t>
      </w:r>
      <w:r>
        <w:rPr>
          <w:rFonts w:ascii="Times New Roman" w:eastAsia="Times New Roman" w:hAnsi="Times New Roman" w:cs="Times New Roman"/>
          <w:sz w:val="26"/>
          <w:szCs w:val="26"/>
        </w:rPr>
        <w:t xml:space="preserve">, 350 U.S. 422, 427 (1956). The Supreme Court “has been zealous to safeguard the values that underlie the privilege.” </w:t>
      </w:r>
      <w:r>
        <w:rPr>
          <w:rFonts w:ascii="Times New Roman" w:eastAsia="Times New Roman" w:hAnsi="Times New Roman" w:cs="Times New Roman"/>
          <w:i/>
          <w:iCs/>
          <w:sz w:val="26"/>
          <w:szCs w:val="26"/>
        </w:rPr>
        <w:t>Kastigar v. United States</w:t>
      </w:r>
      <w:r>
        <w:rPr>
          <w:rFonts w:ascii="Times New Roman" w:eastAsia="Times New Roman" w:hAnsi="Times New Roman" w:cs="Times New Roman"/>
          <w:sz w:val="26"/>
          <w:szCs w:val="26"/>
        </w:rPr>
        <w:t>, 406 U.S. 441, 445 (1972).</w:t>
      </w:r>
    </w:p>
    <w:p w14:paraId="0000005E"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Only if necessary for the public interest may the prosecution compel testimony from a witness asserting their Fifth Amendment rights.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18 U.S.C. § 6003. However, the Supreme Court has made clear that “the power to compel testimony is not absolute.”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444. No compelled testimony or information derived directly or indirectly from compelled testimony can be used against a witness in a criminal case. 18 U.S.C. § 6002. The only exceptions are prosecutions for “perjury, giving a false statement, or otherwise failing to comply with the order.”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The Supreme Court has upheld the constitutionality of 18 U.S.C. § 6002 because “the scope of use and derivative use immunity” it provides “is coextensive with the scope of the constitutional privilege against self-incrimination.” </w:t>
      </w:r>
      <w:r>
        <w:rPr>
          <w:rFonts w:ascii="Times New Roman" w:eastAsia="Times New Roman" w:hAnsi="Times New Roman" w:cs="Times New Roman"/>
          <w:i/>
          <w:iCs/>
          <w:sz w:val="26"/>
          <w:szCs w:val="26"/>
        </w:rPr>
        <w:t>United States v. Hubbell</w:t>
      </w:r>
      <w:r>
        <w:rPr>
          <w:rFonts w:ascii="Times New Roman" w:eastAsia="Times New Roman" w:hAnsi="Times New Roman" w:cs="Times New Roman"/>
          <w:sz w:val="26"/>
          <w:szCs w:val="26"/>
        </w:rPr>
        <w:t xml:space="preserve">, 530 U.S. 27, 38 (2000). </w:t>
      </w:r>
    </w:p>
    <w:p w14:paraId="0000005F" w14:textId="77777777" w:rsidR="00B5673E" w:rsidRDefault="008E7212">
      <w:pPr>
        <w:pStyle w:val="Heading3"/>
        <w:numPr>
          <w:ilvl w:val="0"/>
          <w:numId w:val="1"/>
        </w:numPr>
        <w:spacing w:before="0" w:after="0" w:line="480" w:lineRule="auto"/>
        <w:rPr>
          <w:rFonts w:ascii="Times New Roman" w:eastAsia="Times New Roman" w:hAnsi="Times New Roman" w:cs="Times New Roman"/>
          <w:color w:val="000000"/>
          <w:sz w:val="26"/>
          <w:szCs w:val="26"/>
        </w:rPr>
      </w:pPr>
      <w:bookmarkStart w:id="11" w:name="_vxn2sq3hnxbo" w:colFirst="0" w:colLast="0"/>
      <w:bookmarkEnd w:id="11"/>
      <w:r>
        <w:rPr>
          <w:rFonts w:ascii="Times New Roman" w:eastAsia="Times New Roman" w:hAnsi="Times New Roman" w:cs="Times New Roman"/>
          <w:color w:val="000000"/>
          <w:sz w:val="26"/>
          <w:szCs w:val="26"/>
          <w:u w:val="single"/>
        </w:rPr>
        <w:lastRenderedPageBreak/>
        <w:t>The prosecution bears the burden of proof.</w:t>
      </w:r>
    </w:p>
    <w:p w14:paraId="00000060"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A person who testified under a grant of immunity “is not dependent for the preservation of his rights upon the integrity and good faith of the prosecuting authorities.”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460. Rather, once a defendant demonstrates that she testified under a grant of immunity, the prosecution bears the burden of showing an entirely independent and legitimate source for any disputed evidence.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The prosecution must make this showing by a preponderance of the evidence. </w:t>
      </w:r>
      <w:r>
        <w:rPr>
          <w:rFonts w:ascii="Times New Roman" w:eastAsia="Times New Roman" w:hAnsi="Times New Roman" w:cs="Times New Roman"/>
          <w:i/>
          <w:iCs/>
          <w:sz w:val="26"/>
          <w:szCs w:val="26"/>
        </w:rPr>
        <w:t>United States v. Bartel</w:t>
      </w:r>
      <w:r>
        <w:rPr>
          <w:rFonts w:ascii="Times New Roman" w:eastAsia="Times New Roman" w:hAnsi="Times New Roman" w:cs="Times New Roman"/>
          <w:sz w:val="26"/>
          <w:szCs w:val="26"/>
        </w:rPr>
        <w:t xml:space="preserve">, 19 F.3d 1105, 1112 (1994). </w:t>
      </w:r>
    </w:p>
    <w:p w14:paraId="00000061"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Emily Calloway testified pursuant to court order and received use and derivative use immunity for her testimony. Stip. 6. Accordingly, the prosecution bears the burden of proving that “the evidence it proposes to use is derived from a legitimate source wholly independent of the compelled testimony.”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460.  </w:t>
      </w:r>
    </w:p>
    <w:p w14:paraId="00000062" w14:textId="77777777" w:rsidR="00B5673E" w:rsidRDefault="008E7212">
      <w:pPr>
        <w:pStyle w:val="Heading3"/>
        <w:numPr>
          <w:ilvl w:val="0"/>
          <w:numId w:val="1"/>
        </w:numPr>
        <w:spacing w:before="0" w:line="240" w:lineRule="auto"/>
        <w:rPr>
          <w:rFonts w:ascii="Times New Roman" w:eastAsia="Times New Roman" w:hAnsi="Times New Roman" w:cs="Times New Roman"/>
          <w:color w:val="000000"/>
          <w:sz w:val="26"/>
          <w:szCs w:val="26"/>
        </w:rPr>
      </w:pPr>
      <w:bookmarkStart w:id="12" w:name="_bzml86uen2l6" w:colFirst="0" w:colLast="0"/>
      <w:bookmarkEnd w:id="12"/>
      <w:r>
        <w:rPr>
          <w:rFonts w:ascii="Times New Roman" w:eastAsia="Times New Roman" w:hAnsi="Times New Roman" w:cs="Times New Roman"/>
          <w:color w:val="000000"/>
          <w:sz w:val="26"/>
          <w:szCs w:val="26"/>
          <w:u w:val="single"/>
        </w:rPr>
        <w:t>The prosecution failed to establish a wholly independent source for the evidence at issue.</w:t>
      </w:r>
    </w:p>
    <w:p w14:paraId="00000063" w14:textId="77777777" w:rsidR="00B5673E" w:rsidRDefault="008E7212">
      <w:pPr>
        <w:spacing w:before="200"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To establish that their evidence was obtained from a wholly independent source, the prosecution must demonstrate that “each step of the investigative chain through which the evidence was obtained is untainted.” </w:t>
      </w:r>
      <w:r>
        <w:rPr>
          <w:rFonts w:ascii="Times New Roman" w:eastAsia="Times New Roman" w:hAnsi="Times New Roman" w:cs="Times New Roman"/>
          <w:i/>
          <w:iCs/>
          <w:sz w:val="26"/>
          <w:szCs w:val="26"/>
        </w:rPr>
        <w:t>United States v. Schmidgall</w:t>
      </w:r>
      <w:r>
        <w:rPr>
          <w:rFonts w:ascii="Times New Roman" w:eastAsia="Times New Roman" w:hAnsi="Times New Roman" w:cs="Times New Roman"/>
          <w:sz w:val="26"/>
          <w:szCs w:val="26"/>
        </w:rPr>
        <w:t xml:space="preserve">, 25 F.3d 1523, 1528 (1994). This requires “an affirmative showing that none of the evidence presented … was derived directly or indirectly from the immunized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The prosecution cannot use information obtained from a witness revealed in the compelled disclosures.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406 U.S. at 460. Merely</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establishing independent sources for a portion of the evidence does not satisfy the prosecution’s burden. </w:t>
      </w:r>
      <w:hyperlink r:id="rId11">
        <w:r w:rsidR="00B5673E">
          <w:rPr>
            <w:rFonts w:ascii="Times New Roman" w:eastAsia="Times New Roman" w:hAnsi="Times New Roman" w:cs="Times New Roman"/>
            <w:i/>
            <w:iCs/>
            <w:sz w:val="26"/>
            <w:szCs w:val="26"/>
          </w:rPr>
          <w:t>United States v. Hampton</w:t>
        </w:r>
      </w:hyperlink>
      <w:hyperlink r:id="rId12">
        <w:r w:rsidR="00B5673E">
          <w:rPr>
            <w:rFonts w:ascii="Times New Roman" w:eastAsia="Times New Roman" w:hAnsi="Times New Roman" w:cs="Times New Roman"/>
            <w:sz w:val="26"/>
            <w:szCs w:val="26"/>
          </w:rPr>
          <w:t>, 775 F.2d 1479</w:t>
        </w:r>
      </w:hyperlink>
      <w:r>
        <w:rPr>
          <w:rFonts w:ascii="Times New Roman" w:eastAsia="Times New Roman" w:hAnsi="Times New Roman" w:cs="Times New Roman"/>
          <w:sz w:val="26"/>
          <w:szCs w:val="26"/>
        </w:rPr>
        <w:t xml:space="preserve">, 1489 </w:t>
      </w:r>
      <w:r>
        <w:rPr>
          <w:rFonts w:ascii="Times New Roman" w:eastAsia="Times New Roman" w:hAnsi="Times New Roman" w:cs="Times New Roman"/>
          <w:sz w:val="26"/>
          <w:szCs w:val="26"/>
        </w:rPr>
        <w:lastRenderedPageBreak/>
        <w:t xml:space="preserve">(1985). Moreover, the prosecution may not alter its investigative strategy due to an immunized statement. </w:t>
      </w:r>
      <w:r>
        <w:rPr>
          <w:rFonts w:ascii="Times New Roman" w:eastAsia="Times New Roman" w:hAnsi="Times New Roman" w:cs="Times New Roman"/>
          <w:i/>
          <w:iCs/>
          <w:sz w:val="26"/>
          <w:szCs w:val="26"/>
        </w:rPr>
        <w:t>United States v. Harris</w:t>
      </w:r>
      <w:r>
        <w:rPr>
          <w:rFonts w:ascii="Times New Roman" w:eastAsia="Times New Roman" w:hAnsi="Times New Roman" w:cs="Times New Roman"/>
          <w:sz w:val="26"/>
          <w:szCs w:val="26"/>
        </w:rPr>
        <w:t xml:space="preserve">, 973 F.2d 333, 336 (1992). Immunized testimony “that may lead to incriminating evidence is privileged even if the information itself is not inculpatory.” </w:t>
      </w:r>
      <w:r>
        <w:rPr>
          <w:rFonts w:ascii="Times New Roman" w:eastAsia="Times New Roman" w:hAnsi="Times New Roman" w:cs="Times New Roman"/>
          <w:i/>
          <w:iCs/>
          <w:sz w:val="26"/>
          <w:szCs w:val="26"/>
        </w:rPr>
        <w:t>Hubbell</w:t>
      </w:r>
      <w:r>
        <w:rPr>
          <w:rFonts w:ascii="Times New Roman" w:eastAsia="Times New Roman" w:hAnsi="Times New Roman" w:cs="Times New Roman"/>
          <w:sz w:val="26"/>
          <w:szCs w:val="26"/>
        </w:rPr>
        <w:t xml:space="preserve">, 530 U.S. at 38. </w:t>
      </w:r>
    </w:p>
    <w:p w14:paraId="00000064"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prosecution has failed to demonstrate that they obtained Ms. Parker’s testimony and Exhibit 19 from a wholly independent source. Rather, there is evidence that the prosecution’s investigation into Ms. Calloway was tainted by her immunized testimony. AUSA Sinclair testified that he did not “have any independent memory of thinking Kennedy Parker mattered one way or the other” before the investigation teams split. Sinclair Dep. 22:573-75. </w:t>
      </w:r>
    </w:p>
    <w:p w14:paraId="00000065"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Twenty-one days after Ms. Calloway mentioned Kennedy Parker in her immunized testimony, the prosecution interviewed Kennedy Parker for the first time on October 31, 2024. Stip. 7; Parker Dep. 42:314-15. Ms. Parker testified that no law enforcement agent asked to speak with her when Mr. Blake was first killed. Parker Dep. 39:227-28. This evidence suggests that the prosecution was not aware of Ms. Parker’s importance to their case until Ms. Calloway’s immunized testimony. As a result, her testimony is tainted</w:t>
      </w:r>
      <w:r>
        <w:rPr>
          <w:rFonts w:ascii="Times New Roman" w:eastAsia="Times New Roman" w:hAnsi="Times New Roman" w:cs="Times New Roman"/>
          <w:sz w:val="26"/>
          <w:szCs w:val="26"/>
        </w:rPr>
        <w:t xml:space="preserve"> and should be excluded. </w:t>
      </w:r>
    </w:p>
    <w:p w14:paraId="00000066"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Only upon speaking with Ms. Parker did the prosecution learn about the banker’s box that Ms. Calloway asked Ms. Parker to place in a storage unit.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40:256, 259-61, 279. Only then did the prosecution obtain a search warrant for said storage unit, which allowed them to seize incriminating records, herein enclosed as Exhibit 19. Nolan Dep. 33:353-60. As a result, Exhibit 19 should be excluded as improper fruit of the immunized </w:t>
      </w:r>
      <w:r>
        <w:rPr>
          <w:rFonts w:ascii="Times New Roman" w:eastAsia="Times New Roman" w:hAnsi="Times New Roman" w:cs="Times New Roman"/>
          <w:sz w:val="26"/>
          <w:szCs w:val="26"/>
        </w:rPr>
        <w:lastRenderedPageBreak/>
        <w:t xml:space="preserve">testimony. Even if the Court is unsure whether the evidence is tainted, the Defendant’s Motion to Suppress should be granted as the prosecution failed to meet its burden of affirmatively demonstrating that each step of the investigative chain is untainted.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Schmidgall</w:t>
      </w:r>
      <w:r>
        <w:rPr>
          <w:rFonts w:ascii="Times New Roman" w:eastAsia="Times New Roman" w:hAnsi="Times New Roman" w:cs="Times New Roman"/>
          <w:sz w:val="26"/>
          <w:szCs w:val="26"/>
        </w:rPr>
        <w:t xml:space="preserve">, 25 F.3d at 1528. </w:t>
      </w:r>
    </w:p>
    <w:p w14:paraId="00000067" w14:textId="77777777" w:rsidR="00B5673E" w:rsidRDefault="008E7212">
      <w:pPr>
        <w:pStyle w:val="Heading3"/>
        <w:numPr>
          <w:ilvl w:val="0"/>
          <w:numId w:val="1"/>
        </w:numPr>
        <w:spacing w:before="0" w:after="0" w:line="480" w:lineRule="auto"/>
        <w:rPr>
          <w:rFonts w:ascii="Times New Roman" w:eastAsia="Times New Roman" w:hAnsi="Times New Roman" w:cs="Times New Roman"/>
          <w:color w:val="000000"/>
          <w:sz w:val="26"/>
          <w:szCs w:val="26"/>
        </w:rPr>
      </w:pPr>
      <w:bookmarkStart w:id="13" w:name="_wh3xcqjcpp63" w:colFirst="0" w:colLast="0"/>
      <w:bookmarkEnd w:id="13"/>
      <w:r>
        <w:rPr>
          <w:rFonts w:ascii="Times New Roman" w:eastAsia="Times New Roman" w:hAnsi="Times New Roman" w:cs="Times New Roman"/>
          <w:color w:val="000000"/>
          <w:sz w:val="26"/>
          <w:szCs w:val="26"/>
          <w:u w:val="single"/>
        </w:rPr>
        <w:t>The prosecution’s faulty wall-off procedures resulted in a tainted investigation.</w:t>
      </w:r>
    </w:p>
    <w:p w14:paraId="00000068" w14:textId="18FAAF5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prosecution must take adequate precautions to protect the investigatory team from any ill effects of the immunized testimony. </w:t>
      </w:r>
      <w:r>
        <w:rPr>
          <w:rFonts w:ascii="Times New Roman" w:eastAsia="Times New Roman" w:hAnsi="Times New Roman" w:cs="Times New Roman"/>
          <w:i/>
          <w:iCs/>
          <w:sz w:val="26"/>
          <w:szCs w:val="26"/>
        </w:rPr>
        <w:t>Harris</w:t>
      </w:r>
      <w:r>
        <w:rPr>
          <w:rFonts w:ascii="Times New Roman" w:eastAsia="Times New Roman" w:hAnsi="Times New Roman" w:cs="Times New Roman"/>
          <w:sz w:val="26"/>
          <w:szCs w:val="26"/>
        </w:rPr>
        <w:t xml:space="preserve">, 973 F.2d. at 337. Accordingly, immunized testimony cannot even indirectly affect the investigation.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338. Usually, the prosecution insulates those familiar with the immunized statement from subsequent prosecution of the compelled witness or seals the incriminating documents.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337. The risk that it may be difficult or impossible to establish a completely independent source for all the evidence presented “is a risk that falls upon the prosecution, and not upon the previously immunized defendant.” </w:t>
      </w:r>
      <w:r>
        <w:rPr>
          <w:rFonts w:ascii="Times New Roman" w:eastAsia="Times New Roman" w:hAnsi="Times New Roman" w:cs="Times New Roman"/>
          <w:i/>
          <w:iCs/>
          <w:sz w:val="26"/>
          <w:szCs w:val="26"/>
        </w:rPr>
        <w:t>Hampton</w:t>
      </w:r>
      <w:hyperlink r:id="rId13">
        <w:r w:rsidR="00B5673E">
          <w:rPr>
            <w:rFonts w:ascii="Times New Roman" w:eastAsia="Times New Roman" w:hAnsi="Times New Roman" w:cs="Times New Roman"/>
            <w:sz w:val="26"/>
            <w:szCs w:val="26"/>
          </w:rPr>
          <w:t xml:space="preserve">, 775 F.2d </w:t>
        </w:r>
      </w:hyperlink>
      <w:r>
        <w:rPr>
          <w:rFonts w:ascii="Times New Roman" w:eastAsia="Times New Roman" w:hAnsi="Times New Roman" w:cs="Times New Roman"/>
          <w:sz w:val="26"/>
          <w:szCs w:val="26"/>
        </w:rPr>
        <w:t>at 1491.</w:t>
      </w:r>
    </w:p>
    <w:p w14:paraId="00000069"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Crucial flaws exist in the prosecution’s wall-off procedure. AUSA Sinclair learned from the immunized testimony that Kennedy Parker was an important witness against Ms. Calloway.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Sinclair Dep. 22:548-50. Yet, after the investigation teams split, Special Agent Nolan and AUSA Sinclair continued to spend significant time together.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22:583-85. In addition, rather than sealing the immunized testimony, it was broadcast on local news and television channels for weeks.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23:595-96; Exhibit 14. Special Agent Nolan, who led the investigation into Ms. Calloway, was aware of this coverage. Nolan Dep. 32:322-24. By failing to both properly insulate the investigation team and seal incriminating documents, the prosecution has not made the required affirmative </w:t>
      </w:r>
      <w:r>
        <w:rPr>
          <w:rFonts w:ascii="Times New Roman" w:eastAsia="Times New Roman" w:hAnsi="Times New Roman" w:cs="Times New Roman"/>
          <w:sz w:val="26"/>
          <w:szCs w:val="26"/>
        </w:rPr>
        <w:lastRenderedPageBreak/>
        <w:t xml:space="preserve">showing that each step of the investigation was untainted.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Schmidgall</w:t>
      </w:r>
      <w:r>
        <w:rPr>
          <w:rFonts w:ascii="Times New Roman" w:eastAsia="Times New Roman" w:hAnsi="Times New Roman" w:cs="Times New Roman"/>
          <w:sz w:val="26"/>
          <w:szCs w:val="26"/>
        </w:rPr>
        <w:t>, 25 F.3d at 1528.</w:t>
      </w:r>
    </w:p>
    <w:p w14:paraId="0000006A" w14:textId="0ABC966B"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While the prosecution argues that Special Agent Nolan was not exposed to Ms. Calloway’s testimony, this denial alone is insufficient to satisfy their heavy burden.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1530. Even if the prosecutor has never seen the immunized </w:t>
      </w:r>
      <w:r w:rsidR="001352E2">
        <w:rPr>
          <w:rFonts w:ascii="Times New Roman" w:eastAsia="Times New Roman" w:hAnsi="Times New Roman" w:cs="Times New Roman"/>
          <w:sz w:val="26"/>
          <w:szCs w:val="26"/>
        </w:rPr>
        <w:t>testimony and</w:t>
      </w:r>
      <w:r>
        <w:rPr>
          <w:rFonts w:ascii="Times New Roman" w:eastAsia="Times New Roman" w:hAnsi="Times New Roman" w:cs="Times New Roman"/>
          <w:sz w:val="26"/>
          <w:szCs w:val="26"/>
        </w:rPr>
        <w:t xml:space="preserve"> believes “in good faith that no one associated with the federal prosecution has utilized it,” that is not enough. </w:t>
      </w:r>
      <w:r>
        <w:rPr>
          <w:rFonts w:ascii="Times New Roman" w:eastAsia="Times New Roman" w:hAnsi="Times New Roman" w:cs="Times New Roman"/>
          <w:i/>
          <w:iCs/>
          <w:sz w:val="26"/>
          <w:szCs w:val="26"/>
        </w:rPr>
        <w:t>Hampton</w:t>
      </w:r>
      <w:r>
        <w:rPr>
          <w:rFonts w:ascii="Times New Roman" w:eastAsia="Times New Roman" w:hAnsi="Times New Roman" w:cs="Times New Roman"/>
          <w:sz w:val="26"/>
          <w:szCs w:val="26"/>
        </w:rPr>
        <w:t xml:space="preserve">, 775 F.2d at 1490. The “focus of the inquiry” is not whether the prosecutor was aware of the actual contents of the immunized testimony, but rather whether the prosecution used it in any way to build a case against the defendant. </w:t>
      </w:r>
      <w:r>
        <w:rPr>
          <w:rFonts w:ascii="Times New Roman" w:eastAsia="Times New Roman" w:hAnsi="Times New Roman" w:cs="Times New Roman"/>
          <w:i/>
          <w:iCs/>
          <w:sz w:val="26"/>
          <w:szCs w:val="26"/>
        </w:rPr>
        <w:t>Harris</w:t>
      </w:r>
      <w:r>
        <w:rPr>
          <w:rFonts w:ascii="Times New Roman" w:eastAsia="Times New Roman" w:hAnsi="Times New Roman" w:cs="Times New Roman"/>
          <w:sz w:val="26"/>
          <w:szCs w:val="26"/>
        </w:rPr>
        <w:t xml:space="preserve">, 973 F.2d. at 338. </w:t>
      </w:r>
    </w:p>
    <w:p w14:paraId="0000006B" w14:textId="77777777" w:rsidR="00B5673E" w:rsidRDefault="008E7212">
      <w:pPr>
        <w:spacing w:line="48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sz w:val="26"/>
          <w:szCs w:val="26"/>
        </w:rPr>
        <w:t>In sum, not only has the prosecution failed to show an untainted, independent source for the evidence at issue, but there is affirmative evidence to suggest that the evidence at issue was influenced by Ms. Calloway’s testimony. Ms. Parker was interviewed shortly after Ms. Calloway’s testimony. The prosecutor was not walled off, and the testimony was available to the public. The information Ms. Parker provided to the prosecution was not obtained by coincidence; it was the result of a failed wall-off procedur</w:t>
      </w:r>
      <w:r>
        <w:rPr>
          <w:rFonts w:ascii="Times New Roman" w:eastAsia="Times New Roman" w:hAnsi="Times New Roman" w:cs="Times New Roman"/>
          <w:sz w:val="26"/>
          <w:szCs w:val="26"/>
        </w:rPr>
        <w:t xml:space="preserve">e. The information gained from Ms. Calloway and consequently Ms. Parker allowed the prosecution to build their case. Accordingly, the Defendant’s Motion to Suppress Evidence should be granted. </w:t>
      </w:r>
    </w:p>
    <w:p w14:paraId="0000006C" w14:textId="77777777" w:rsidR="00B5673E" w:rsidRDefault="008E7212">
      <w:pPr>
        <w:pStyle w:val="Heading2"/>
        <w:numPr>
          <w:ilvl w:val="0"/>
          <w:numId w:val="3"/>
        </w:numPr>
        <w:spacing w:before="0" w:line="240" w:lineRule="auto"/>
        <w:rPr>
          <w:rFonts w:ascii="Times New Roman" w:eastAsia="Times New Roman" w:hAnsi="Times New Roman" w:cs="Times New Roman"/>
          <w:b/>
          <w:bCs/>
          <w:sz w:val="26"/>
          <w:szCs w:val="26"/>
        </w:rPr>
      </w:pPr>
      <w:bookmarkStart w:id="14" w:name="_65p4wavxta3j" w:colFirst="0" w:colLast="0"/>
      <w:bookmarkEnd w:id="14"/>
      <w:r>
        <w:rPr>
          <w:rFonts w:ascii="Times New Roman" w:eastAsia="Times New Roman" w:hAnsi="Times New Roman" w:cs="Times New Roman"/>
          <w:b/>
          <w:bCs/>
          <w:sz w:val="26"/>
          <w:szCs w:val="26"/>
        </w:rPr>
        <w:lastRenderedPageBreak/>
        <w:t>Defendant’s Motion to Quash United States Subpoena Duces Tecum on Maddox Armana for the production of any and all records of Armana’s interview of Sierra Seton on February 15, 2024, as protected under the work-product privilege, should be granted.</w:t>
      </w:r>
    </w:p>
    <w:p w14:paraId="0000006D" w14:textId="77777777" w:rsidR="00B5673E" w:rsidRDefault="008E7212">
      <w:pPr>
        <w:spacing w:before="200"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The Defendant’s Motion to Quash United States Subpoena Duces Tecum should be granted as all records of Maddox Armana’s interview with Sierra Seton constitute privileged work product not subject to disclosure. The Federal Rules of Criminal Procedure protect the following work product from disclosure: “reports, memoranda, or other documents made by the defendant, or the defendant's attorney or agent, during the case's investigation or defense.” Fed. R. Crim. P. 16(b)(2). This protection specifically extends t</w:t>
      </w:r>
      <w:r>
        <w:rPr>
          <w:rFonts w:ascii="Times New Roman" w:eastAsia="Times New Roman" w:hAnsi="Times New Roman" w:cs="Times New Roman"/>
          <w:sz w:val="26"/>
          <w:szCs w:val="26"/>
        </w:rPr>
        <w:t xml:space="preserve">o investigators, as agents of the attorney. </w:t>
      </w:r>
      <w:r>
        <w:rPr>
          <w:rFonts w:ascii="Times New Roman" w:eastAsia="Times New Roman" w:hAnsi="Times New Roman" w:cs="Times New Roman"/>
          <w:i/>
          <w:iCs/>
          <w:sz w:val="26"/>
          <w:szCs w:val="26"/>
        </w:rPr>
        <w:t>United States v. Nobles</w:t>
      </w:r>
      <w:r>
        <w:rPr>
          <w:rFonts w:ascii="Times New Roman" w:eastAsia="Times New Roman" w:hAnsi="Times New Roman" w:cs="Times New Roman"/>
          <w:sz w:val="26"/>
          <w:szCs w:val="26"/>
        </w:rPr>
        <w:t xml:space="preserve">, 422 U.S. 225, 238 (1975). </w:t>
      </w:r>
    </w:p>
    <w:p w14:paraId="0000006E"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While witness testimony may waive work-product privilege in certain circumstances, those exceptions do not apply here.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240. Additionally, work-product privilege offers special protections for materials revealing an attorney’s mental impressions.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239; </w:t>
      </w:r>
      <w:r>
        <w:rPr>
          <w:rFonts w:ascii="Times New Roman" w:eastAsia="Times New Roman" w:hAnsi="Times New Roman" w:cs="Times New Roman"/>
          <w:i/>
          <w:iCs/>
          <w:sz w:val="26"/>
          <w:szCs w:val="26"/>
        </w:rPr>
        <w:t>Hickman v. Taylor</w:t>
      </w:r>
      <w:r>
        <w:rPr>
          <w:rFonts w:ascii="Times New Roman" w:eastAsia="Times New Roman" w:hAnsi="Times New Roman" w:cs="Times New Roman"/>
          <w:sz w:val="26"/>
          <w:szCs w:val="26"/>
        </w:rPr>
        <w:t xml:space="preserve">, 329 U.S. 495, 511 (1947); </w:t>
      </w:r>
      <w:r>
        <w:rPr>
          <w:rFonts w:ascii="Times New Roman" w:eastAsia="Times New Roman" w:hAnsi="Times New Roman" w:cs="Times New Roman"/>
          <w:i/>
          <w:iCs/>
          <w:sz w:val="26"/>
          <w:szCs w:val="26"/>
        </w:rPr>
        <w:t>Upjohn Co. v. United States</w:t>
      </w:r>
      <w:r>
        <w:rPr>
          <w:rFonts w:ascii="Times New Roman" w:eastAsia="Times New Roman" w:hAnsi="Times New Roman" w:cs="Times New Roman"/>
          <w:sz w:val="26"/>
          <w:szCs w:val="26"/>
        </w:rPr>
        <w:t xml:space="preserve">, 449 U.S. 383, 400 (1981); Fed. R. Civ. P. 26(b)(3). Even substantial necessity and unavailability of information cannot overcome the heightened protection of these materials. </w:t>
      </w:r>
      <w:r>
        <w:rPr>
          <w:rFonts w:ascii="Times New Roman" w:eastAsia="Times New Roman" w:hAnsi="Times New Roman" w:cs="Times New Roman"/>
          <w:i/>
          <w:iCs/>
          <w:sz w:val="26"/>
          <w:szCs w:val="26"/>
        </w:rPr>
        <w:t>Upjohn Co.</w:t>
      </w:r>
      <w:r>
        <w:rPr>
          <w:rFonts w:ascii="Times New Roman" w:eastAsia="Times New Roman" w:hAnsi="Times New Roman" w:cs="Times New Roman"/>
          <w:sz w:val="26"/>
          <w:szCs w:val="26"/>
        </w:rPr>
        <w:t xml:space="preserve">, 449 U.S. at 401. </w:t>
      </w:r>
    </w:p>
    <w:p w14:paraId="0000006F"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Maddox Armana created all interview records during the investigation of Ms. Calloway’s defense. Armana Dep. 44:47-50. As a private investigator hired by defense counsel, Armana operated entirely as the attorneys’ agent.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43:29-32. Per the Federal </w:t>
      </w:r>
      <w:r>
        <w:rPr>
          <w:rFonts w:ascii="Times New Roman" w:eastAsia="Times New Roman" w:hAnsi="Times New Roman" w:cs="Times New Roman"/>
          <w:sz w:val="26"/>
          <w:szCs w:val="26"/>
        </w:rPr>
        <w:lastRenderedPageBreak/>
        <w:t xml:space="preserve">Rules of Criminal Procedure and Supreme Court doctrine, all records of the interview are protected work product.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Fed. R. Crim. P. 16(b)(2);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238. </w:t>
      </w:r>
    </w:p>
    <w:p w14:paraId="00000070"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Additionally, Armana can serve as a witness and testify without waiving work-product privilege. </w:t>
      </w:r>
      <w:r>
        <w:rPr>
          <w:rFonts w:ascii="Times New Roman" w:eastAsia="Times New Roman" w:hAnsi="Times New Roman" w:cs="Times New Roman"/>
          <w:i/>
          <w:iCs/>
          <w:sz w:val="26"/>
          <w:szCs w:val="26"/>
        </w:rPr>
        <w:t>See generally</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225 (holding that work-product privilege does not apply when testimony about the privileged information would present a partial view of a crucial credibility issue to the jury). Even if the prosecution can show the information from Ms. Seton is otherwise unavailable and highly necessary, the records still cannot be disclosed.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Upjohn Co.</w:t>
      </w:r>
      <w:r>
        <w:rPr>
          <w:rFonts w:ascii="Times New Roman" w:eastAsia="Times New Roman" w:hAnsi="Times New Roman" w:cs="Times New Roman"/>
          <w:sz w:val="26"/>
          <w:szCs w:val="26"/>
        </w:rPr>
        <w:t xml:space="preserve">, 449 U.S. at 401. These interview records involve the mental impressions of a defense investigator, so they receive the highest level of protection under work-product privilege. </w:t>
      </w:r>
      <w:r>
        <w:rPr>
          <w:rFonts w:ascii="Times New Roman" w:eastAsia="Times New Roman" w:hAnsi="Times New Roman" w:cs="Times New Roman"/>
          <w:i/>
          <w:iCs/>
          <w:sz w:val="26"/>
          <w:szCs w:val="26"/>
        </w:rPr>
        <w:t>Id.</w:t>
      </w:r>
    </w:p>
    <w:p w14:paraId="00000071" w14:textId="77777777" w:rsidR="00B5673E" w:rsidRDefault="008E7212">
      <w:pPr>
        <w:pStyle w:val="Heading3"/>
        <w:numPr>
          <w:ilvl w:val="0"/>
          <w:numId w:val="2"/>
        </w:numPr>
        <w:spacing w:before="0" w:after="0" w:line="240" w:lineRule="auto"/>
        <w:rPr>
          <w:rFonts w:ascii="Times New Roman" w:eastAsia="Times New Roman" w:hAnsi="Times New Roman" w:cs="Times New Roman"/>
          <w:color w:val="000000"/>
          <w:sz w:val="26"/>
          <w:szCs w:val="26"/>
        </w:rPr>
      </w:pPr>
      <w:bookmarkStart w:id="15" w:name="_omu4phnj5m8r" w:colFirst="0" w:colLast="0"/>
      <w:bookmarkEnd w:id="15"/>
      <w:r>
        <w:rPr>
          <w:rFonts w:ascii="Times New Roman" w:eastAsia="Times New Roman" w:hAnsi="Times New Roman" w:cs="Times New Roman"/>
          <w:color w:val="000000"/>
          <w:sz w:val="26"/>
          <w:szCs w:val="26"/>
          <w:u w:val="single"/>
        </w:rPr>
        <w:t>Work-product privilege applies to any and all records of Armana’s interview of Seton.</w:t>
      </w:r>
    </w:p>
    <w:p w14:paraId="00000072" w14:textId="77777777" w:rsidR="00B5673E" w:rsidRDefault="00B5673E">
      <w:pPr>
        <w:spacing w:line="240" w:lineRule="auto"/>
        <w:rPr>
          <w:rFonts w:ascii="Times New Roman" w:eastAsia="Times New Roman" w:hAnsi="Times New Roman" w:cs="Times New Roman"/>
          <w:sz w:val="26"/>
          <w:szCs w:val="26"/>
        </w:rPr>
      </w:pPr>
    </w:p>
    <w:p w14:paraId="00000073" w14:textId="77777777" w:rsidR="00B5673E" w:rsidRDefault="008E7212">
      <w:pPr>
        <w:spacing w:line="480" w:lineRule="auto"/>
        <w:ind w:firstLine="720"/>
        <w:rPr>
          <w:rFonts w:ascii="Times New Roman" w:eastAsia="Times New Roman" w:hAnsi="Times New Roman" w:cs="Times New Roman"/>
          <w:i/>
          <w:iCs/>
          <w:sz w:val="26"/>
          <w:szCs w:val="26"/>
        </w:rPr>
      </w:pPr>
      <w:r>
        <w:rPr>
          <w:rFonts w:ascii="Times New Roman" w:eastAsia="Times New Roman" w:hAnsi="Times New Roman" w:cs="Times New Roman"/>
          <w:sz w:val="26"/>
          <w:szCs w:val="26"/>
        </w:rPr>
        <w:t xml:space="preserve">As an investigator, Armana’s records of the interview are protected work product.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238. Work-product privilege protects documents created by the defendant’s attorney in the course of their investigation.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Fed. R. Crim. P. 16(b)(2). In </w:t>
      </w:r>
      <w:r>
        <w:rPr>
          <w:rFonts w:ascii="Times New Roman" w:eastAsia="Times New Roman" w:hAnsi="Times New Roman" w:cs="Times New Roman"/>
          <w:i/>
          <w:iCs/>
          <w:sz w:val="26"/>
          <w:szCs w:val="26"/>
        </w:rPr>
        <w:t>United States v. Nobles</w:t>
      </w:r>
      <w:r>
        <w:rPr>
          <w:rFonts w:ascii="Times New Roman" w:eastAsia="Times New Roman" w:hAnsi="Times New Roman" w:cs="Times New Roman"/>
          <w:sz w:val="26"/>
          <w:szCs w:val="26"/>
        </w:rPr>
        <w:t xml:space="preserve">, the Supreme Court held that work-product privilege also applies to investigators. 422 U.S. at 239. There, counsel hired an investigator to help prepare a defense.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 The investigator interviewed two eyewitnesses, preserving the conversations in a report.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trial, the defense refused to submit the report, claiming it was privileged.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228. The Supreme Court recognized how frequently attorneys rely on investigators to compile case materials.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238. Because of this relationship, the </w:t>
      </w:r>
      <w:r>
        <w:rPr>
          <w:rFonts w:ascii="Times New Roman" w:eastAsia="Times New Roman" w:hAnsi="Times New Roman" w:cs="Times New Roman"/>
          <w:sz w:val="26"/>
          <w:szCs w:val="26"/>
        </w:rPr>
        <w:lastRenderedPageBreak/>
        <w:t xml:space="preserve">Court held that work-product privilege must extend to investigators, as necessary agents of the attorney. </w:t>
      </w:r>
      <w:r>
        <w:rPr>
          <w:rFonts w:ascii="Times New Roman" w:eastAsia="Times New Roman" w:hAnsi="Times New Roman" w:cs="Times New Roman"/>
          <w:i/>
          <w:iCs/>
          <w:sz w:val="26"/>
          <w:szCs w:val="26"/>
        </w:rPr>
        <w:t xml:space="preserve">Id. </w:t>
      </w:r>
    </w:p>
    <w:p w14:paraId="00000074"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Comparably, Maddox Armana is a licensed private investigator hired by defense counsel in anticipation of the criminal charges against Defendant. Armana Dep. 43:7, 43:35-38. Armana worked entirely at the direction of counsel to assist with preparing a defense.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43:29-32. In the course of the investigation, Armana interviewed Sierra Seton.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45:86-93. Armana created all records of the interview contemporaneously.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46:121-24. Per the Federal Rules and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Armana’s report is protected from disclosure as an investigator’s work product.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Fed. R. Civ. P. 26(b)(3);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238. </w:t>
      </w:r>
    </w:p>
    <w:p w14:paraId="00000075" w14:textId="77777777" w:rsidR="00B5673E" w:rsidRDefault="008E7212">
      <w:pPr>
        <w:pStyle w:val="Heading3"/>
        <w:numPr>
          <w:ilvl w:val="0"/>
          <w:numId w:val="2"/>
        </w:numPr>
        <w:spacing w:before="0" w:line="480" w:lineRule="auto"/>
        <w:rPr>
          <w:rFonts w:ascii="Times New Roman" w:eastAsia="Times New Roman" w:hAnsi="Times New Roman" w:cs="Times New Roman"/>
          <w:color w:val="000000"/>
          <w:sz w:val="26"/>
          <w:szCs w:val="26"/>
        </w:rPr>
      </w:pPr>
      <w:bookmarkStart w:id="16" w:name="_pf66zh29yrsx" w:colFirst="0" w:colLast="0"/>
      <w:bookmarkEnd w:id="16"/>
      <w:r>
        <w:rPr>
          <w:rFonts w:ascii="Times New Roman" w:eastAsia="Times New Roman" w:hAnsi="Times New Roman" w:cs="Times New Roman"/>
          <w:color w:val="000000"/>
          <w:sz w:val="26"/>
          <w:szCs w:val="26"/>
          <w:u w:val="single"/>
        </w:rPr>
        <w:t xml:space="preserve">Armana’s role as a witness does not waive work-product privilege. </w:t>
      </w:r>
    </w:p>
    <w:p w14:paraId="00000076"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While work-product privilege may be waived in certain circumstances, Armana’s interview records remain protected. </w:t>
      </w:r>
      <w:r>
        <w:rPr>
          <w:rFonts w:ascii="Times New Roman" w:eastAsia="Times New Roman" w:hAnsi="Times New Roman" w:cs="Times New Roman"/>
          <w:i/>
          <w:iCs/>
          <w:sz w:val="26"/>
          <w:szCs w:val="26"/>
        </w:rPr>
        <w:t>See Nobles</w:t>
      </w:r>
      <w:r>
        <w:rPr>
          <w:rFonts w:ascii="Times New Roman" w:eastAsia="Times New Roman" w:hAnsi="Times New Roman" w:cs="Times New Roman"/>
          <w:sz w:val="26"/>
          <w:szCs w:val="26"/>
        </w:rPr>
        <w:t xml:space="preserve">, 422 U.S. at 239. 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the Supreme Court held that the investigator waived work-product privilege through his testimony at trial.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The investigator interviewed prosecution eyewitnesses and created a report.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 At trial, witnesses refreshed their recollections of the interview with the report.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228. The defense attorneys even allowed prosecutors to see portions of the report.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During their case-in-chief, defense counsel called the investigator specifically to impeach the prosecution witnesses.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 The trial court prohibited the investigator from testifying about the interviews unless he disclosed the relevant portions of his report.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229. On review, the Supreme Court held that without disclosure of the report, the jury would receive only a partial view of the credibility issue from his testimony.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241. </w:t>
      </w:r>
      <w:r>
        <w:rPr>
          <w:rFonts w:ascii="Times New Roman" w:eastAsia="Times New Roman" w:hAnsi="Times New Roman" w:cs="Times New Roman"/>
          <w:sz w:val="26"/>
          <w:szCs w:val="26"/>
        </w:rPr>
        <w:lastRenderedPageBreak/>
        <w:t>Thus, the Court held that the investigator’s testimony would constitute a waiver of work-product privilege.</w:t>
      </w:r>
      <w:r>
        <w:rPr>
          <w:rFonts w:ascii="Times New Roman" w:eastAsia="Times New Roman" w:hAnsi="Times New Roman" w:cs="Times New Roman"/>
          <w:i/>
          <w:iCs/>
          <w:sz w:val="26"/>
          <w:szCs w:val="26"/>
        </w:rPr>
        <w:t xml:space="preserve"> Id.</w:t>
      </w:r>
      <w:r>
        <w:rPr>
          <w:rFonts w:ascii="Times New Roman" w:eastAsia="Times New Roman" w:hAnsi="Times New Roman" w:cs="Times New Roman"/>
          <w:sz w:val="26"/>
          <w:szCs w:val="26"/>
        </w:rPr>
        <w:t xml:space="preserve"> at 239. </w:t>
      </w:r>
    </w:p>
    <w:p w14:paraId="00000077"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Unlike the </w:t>
      </w:r>
      <w:r>
        <w:rPr>
          <w:rFonts w:ascii="Times New Roman" w:eastAsia="Times New Roman" w:hAnsi="Times New Roman" w:cs="Times New Roman"/>
          <w:i/>
          <w:iCs/>
          <w:sz w:val="26"/>
          <w:szCs w:val="26"/>
        </w:rPr>
        <w:t xml:space="preserve">Nobles </w:t>
      </w:r>
      <w:r>
        <w:rPr>
          <w:rFonts w:ascii="Times New Roman" w:eastAsia="Times New Roman" w:hAnsi="Times New Roman" w:cs="Times New Roman"/>
          <w:sz w:val="26"/>
          <w:szCs w:val="26"/>
        </w:rPr>
        <w:t xml:space="preserve">investigator, Armana can testify without waiving work-product privilege. </w:t>
      </w:r>
      <w:r>
        <w:rPr>
          <w:rFonts w:ascii="Times New Roman" w:eastAsia="Times New Roman" w:hAnsi="Times New Roman" w:cs="Times New Roman"/>
          <w:i/>
          <w:iCs/>
          <w:sz w:val="26"/>
          <w:szCs w:val="26"/>
        </w:rPr>
        <w:t xml:space="preserve">See id. </w:t>
      </w: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defense counsel showed the prosecution and witnesses portions of the report before ever calling their investigator to testify.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228. Conversely, the prosecution has not seen Armana's notes, and they remain under seal and are protected. Stip. 8; Armana Dep. 46:135-36. No explicit or implicit waiver of privilege occurred. </w:t>
      </w:r>
      <w:r>
        <w:rPr>
          <w:rFonts w:ascii="Times New Roman" w:eastAsia="Times New Roman" w:hAnsi="Times New Roman" w:cs="Times New Roman"/>
          <w:i/>
          <w:iCs/>
          <w:sz w:val="26"/>
          <w:szCs w:val="26"/>
        </w:rPr>
        <w:t xml:space="preserve">See </w:t>
      </w:r>
      <w:r>
        <w:rPr>
          <w:rFonts w:ascii="Times New Roman" w:eastAsia="Times New Roman" w:hAnsi="Times New Roman" w:cs="Times New Roman"/>
          <w:sz w:val="26"/>
          <w:szCs w:val="26"/>
        </w:rPr>
        <w:t>Stip. 8; Armana Dep. 46:135-36</w:t>
      </w:r>
      <w:r>
        <w:rPr>
          <w:rFonts w:ascii="Times New Roman" w:eastAsia="Times New Roman" w:hAnsi="Times New Roman" w:cs="Times New Roman"/>
          <w:i/>
          <w:iCs/>
          <w:sz w:val="26"/>
          <w:szCs w:val="26"/>
        </w:rPr>
        <w:t>.</w:t>
      </w:r>
      <w:r>
        <w:rPr>
          <w:rFonts w:ascii="Times New Roman" w:eastAsia="Times New Roman" w:hAnsi="Times New Roman" w:cs="Times New Roman"/>
          <w:sz w:val="26"/>
          <w:szCs w:val="26"/>
        </w:rPr>
        <w:t xml:space="preserve"> Moreover, the Supreme Court based the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decision on the specific testimony from the investigator.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240. Defense counsel 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only called the investigator to impeach essential prosecution witnesses.</w:t>
      </w:r>
      <w:r>
        <w:rPr>
          <w:rFonts w:ascii="Times New Roman" w:eastAsia="Times New Roman" w:hAnsi="Times New Roman" w:cs="Times New Roman"/>
          <w:i/>
          <w:iCs/>
          <w:sz w:val="26"/>
          <w:szCs w:val="26"/>
        </w:rPr>
        <w:t xml:space="preserve"> Id. </w:t>
      </w:r>
      <w:r>
        <w:rPr>
          <w:rFonts w:ascii="Times New Roman" w:eastAsia="Times New Roman" w:hAnsi="Times New Roman" w:cs="Times New Roman"/>
          <w:sz w:val="26"/>
          <w:szCs w:val="26"/>
        </w:rPr>
        <w:t xml:space="preserve">at 239. As the Supreme Court acknowledged, the strongest defense available to the defendant centered around discrediting these eyewitnesses.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 Thus, the entire case hinged on what the jury believed was specifically said during the interviews.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The Supreme Court found that since the witnesses were confronted with the report on cross-examination, fairness dictates that the investigator should be as well.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240. </w:t>
      </w:r>
    </w:p>
    <w:p w14:paraId="00000078"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While 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the fairness concerns weighed in favor of disclosure; here, they indicate a need to protect the privileged material. </w:t>
      </w:r>
      <w:r>
        <w:rPr>
          <w:rFonts w:ascii="Times New Roman" w:eastAsia="Times New Roman" w:hAnsi="Times New Roman" w:cs="Times New Roman"/>
          <w:i/>
          <w:iCs/>
          <w:sz w:val="26"/>
          <w:szCs w:val="26"/>
        </w:rPr>
        <w:t>See id.</w:t>
      </w:r>
      <w:r>
        <w:rPr>
          <w:rFonts w:ascii="Times New Roman" w:eastAsia="Times New Roman" w:hAnsi="Times New Roman" w:cs="Times New Roman"/>
          <w:sz w:val="26"/>
          <w:szCs w:val="26"/>
        </w:rPr>
        <w:t xml:space="preserve"> at 241. Armana’s testimony does not mount a central defense for the Defendant nor attack the credibility of key eyewitnesses.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Armana Dep. 45:86-91. No factual debate would be solved by disclosing the interview notes. </w:t>
      </w:r>
      <w:r>
        <w:rPr>
          <w:rFonts w:ascii="Times New Roman" w:eastAsia="Times New Roman" w:hAnsi="Times New Roman" w:cs="Times New Roman"/>
          <w:i/>
          <w:iCs/>
          <w:sz w:val="26"/>
          <w:szCs w:val="26"/>
        </w:rPr>
        <w:t xml:space="preserve">See </w:t>
      </w:r>
      <w:r>
        <w:rPr>
          <w:rFonts w:ascii="Times New Roman" w:eastAsia="Times New Roman" w:hAnsi="Times New Roman" w:cs="Times New Roman"/>
          <w:sz w:val="26"/>
          <w:szCs w:val="26"/>
        </w:rPr>
        <w:t xml:space="preserve">Exhibit 21; Armana Dep. 45:86-91. Due to the formatting, the notes have little probative value as to what Seton actually said.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lastRenderedPageBreak/>
        <w:t xml:space="preserve">Exhibit 21. All records from the interview are paraphrased and annotated, making them purely a reflection of Armana’s thought process.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Disclosure would jeopardize the legal strategies and mental impressions of the defense team without any benefit to the resolution of this case.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Exhibit 21; Armana Dep. 46:141-43. Without the fairness issues of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Armana can serve as a witness without waiving work-product privilege of the interview records. </w:t>
      </w:r>
      <w:r>
        <w:rPr>
          <w:rFonts w:ascii="Times New Roman" w:eastAsia="Times New Roman" w:hAnsi="Times New Roman" w:cs="Times New Roman"/>
          <w:i/>
          <w:iCs/>
          <w:sz w:val="26"/>
          <w:szCs w:val="26"/>
        </w:rPr>
        <w:t xml:space="preserve">See </w:t>
      </w:r>
      <w:r>
        <w:rPr>
          <w:rFonts w:ascii="Times New Roman" w:eastAsia="Times New Roman" w:hAnsi="Times New Roman" w:cs="Times New Roman"/>
          <w:sz w:val="26"/>
          <w:szCs w:val="26"/>
        </w:rPr>
        <w:t xml:space="preserve">422 U.S. at 241.  </w:t>
      </w:r>
    </w:p>
    <w:p w14:paraId="00000079" w14:textId="77777777" w:rsidR="00B5673E" w:rsidRDefault="008E7212">
      <w:pPr>
        <w:pStyle w:val="Heading3"/>
        <w:numPr>
          <w:ilvl w:val="0"/>
          <w:numId w:val="2"/>
        </w:numPr>
        <w:spacing w:before="0" w:line="240" w:lineRule="auto"/>
        <w:rPr>
          <w:rFonts w:ascii="Times New Roman" w:eastAsia="Times New Roman" w:hAnsi="Times New Roman" w:cs="Times New Roman"/>
          <w:color w:val="000000"/>
          <w:sz w:val="26"/>
          <w:szCs w:val="26"/>
        </w:rPr>
      </w:pPr>
      <w:bookmarkStart w:id="17" w:name="_kxka8s59nva7" w:colFirst="0" w:colLast="0"/>
      <w:bookmarkEnd w:id="17"/>
      <w:r>
        <w:rPr>
          <w:rFonts w:ascii="Times New Roman" w:eastAsia="Times New Roman" w:hAnsi="Times New Roman" w:cs="Times New Roman"/>
          <w:color w:val="000000"/>
          <w:sz w:val="26"/>
          <w:szCs w:val="26"/>
          <w:u w:val="single"/>
        </w:rPr>
        <w:t>The work-product protection of Armana’s records cannot be overcome even upon a showing of necessity or unavailability of information.</w:t>
      </w:r>
    </w:p>
    <w:p w14:paraId="0000007A" w14:textId="77777777" w:rsidR="00B5673E" w:rsidRDefault="00B5673E">
      <w:pPr>
        <w:spacing w:line="240" w:lineRule="auto"/>
        <w:ind w:left="1440"/>
        <w:rPr>
          <w:rFonts w:ascii="Times New Roman" w:eastAsia="Times New Roman" w:hAnsi="Times New Roman" w:cs="Times New Roman"/>
          <w:sz w:val="26"/>
          <w:szCs w:val="26"/>
        </w:rPr>
      </w:pPr>
    </w:p>
    <w:p w14:paraId="0000007B"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Work-product privilege best protects the mental impressions of attorneys and their agents.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239; </w:t>
      </w:r>
      <w:r>
        <w:rPr>
          <w:rFonts w:ascii="Times New Roman" w:eastAsia="Times New Roman" w:hAnsi="Times New Roman" w:cs="Times New Roman"/>
          <w:i/>
          <w:iCs/>
          <w:sz w:val="26"/>
          <w:szCs w:val="26"/>
        </w:rPr>
        <w:t>Hickman</w:t>
      </w:r>
      <w:r>
        <w:rPr>
          <w:rFonts w:ascii="Times New Roman" w:eastAsia="Times New Roman" w:hAnsi="Times New Roman" w:cs="Times New Roman"/>
          <w:sz w:val="26"/>
          <w:szCs w:val="26"/>
        </w:rPr>
        <w:t xml:space="preserve">, 329 U.S. at 511; </w:t>
      </w:r>
      <w:r>
        <w:rPr>
          <w:rFonts w:ascii="Times New Roman" w:eastAsia="Times New Roman" w:hAnsi="Times New Roman" w:cs="Times New Roman"/>
          <w:i/>
          <w:iCs/>
          <w:sz w:val="26"/>
          <w:szCs w:val="26"/>
        </w:rPr>
        <w:t xml:space="preserve">Upjohn Co., </w:t>
      </w:r>
      <w:r>
        <w:rPr>
          <w:rFonts w:ascii="Times New Roman" w:eastAsia="Times New Roman" w:hAnsi="Times New Roman" w:cs="Times New Roman"/>
          <w:sz w:val="26"/>
          <w:szCs w:val="26"/>
        </w:rPr>
        <w:t xml:space="preserve">449 U.S. at 400; Fed. R. Civ. P. 26(b)(3). While work-product privilege began as a civil concept, the Supreme Court also found it vital to the proper functioning of the criminal system.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238. Given the lack of Supreme Court precedent regarding work-product privilege in criminal matters, the foundational civil doctrine provides more insight. </w:t>
      </w:r>
    </w:p>
    <w:p w14:paraId="0000007C"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Under the Federal Rules of Civil Procedure, a showing of substantial need and inability to get equivalent information without undue hardship can overcome work-product privilege in certain circumstances. Fed. R. Civ. P. 26(b)(3). However, this does not apply to interview notes. </w:t>
      </w:r>
      <w:r>
        <w:rPr>
          <w:rFonts w:ascii="Times New Roman" w:eastAsia="Times New Roman" w:hAnsi="Times New Roman" w:cs="Times New Roman"/>
          <w:i/>
          <w:iCs/>
          <w:sz w:val="26"/>
          <w:szCs w:val="26"/>
        </w:rPr>
        <w:t>See Upjohn Co.</w:t>
      </w:r>
      <w:r>
        <w:rPr>
          <w:rFonts w:ascii="Times New Roman" w:eastAsia="Times New Roman" w:hAnsi="Times New Roman" w:cs="Times New Roman"/>
          <w:sz w:val="26"/>
          <w:szCs w:val="26"/>
        </w:rPr>
        <w:t>, 449 U.S. at 400</w:t>
      </w:r>
      <w:r>
        <w:rPr>
          <w:rFonts w:ascii="Times New Roman" w:eastAsia="Times New Roman" w:hAnsi="Times New Roman" w:cs="Times New Roman"/>
          <w:i/>
          <w:iCs/>
          <w:sz w:val="26"/>
          <w:szCs w:val="26"/>
        </w:rPr>
        <w:t xml:space="preserve">; see also Hickman, </w:t>
      </w:r>
      <w:r>
        <w:rPr>
          <w:rFonts w:ascii="Times New Roman" w:eastAsia="Times New Roman" w:hAnsi="Times New Roman" w:cs="Times New Roman"/>
          <w:sz w:val="26"/>
          <w:szCs w:val="26"/>
        </w:rPr>
        <w:t xml:space="preserve">329 U.S. at 513. Both the Supreme Court and the Federal Rules of Civil Procedure dictate that work product revealing an attorney's mental impressions must be afforded special protection.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Upjohn Co.</w:t>
      </w:r>
      <w:r>
        <w:rPr>
          <w:rFonts w:ascii="Times New Roman" w:eastAsia="Times New Roman" w:hAnsi="Times New Roman" w:cs="Times New Roman"/>
          <w:sz w:val="26"/>
          <w:szCs w:val="26"/>
        </w:rPr>
        <w:t xml:space="preserve">, 449 U.S. at 400; Fed. R. Civ. P. 26(b)(3). A mere showing of </w:t>
      </w:r>
      <w:r>
        <w:rPr>
          <w:rFonts w:ascii="Times New Roman" w:eastAsia="Times New Roman" w:hAnsi="Times New Roman" w:cs="Times New Roman"/>
          <w:sz w:val="26"/>
          <w:szCs w:val="26"/>
        </w:rPr>
        <w:lastRenderedPageBreak/>
        <w:t xml:space="preserve">necessity or unavailability is not enough to compel disclosure of these particular materials. </w:t>
      </w:r>
      <w:r>
        <w:rPr>
          <w:rFonts w:ascii="Times New Roman" w:eastAsia="Times New Roman" w:hAnsi="Times New Roman" w:cs="Times New Roman"/>
          <w:i/>
          <w:iCs/>
          <w:sz w:val="26"/>
          <w:szCs w:val="26"/>
        </w:rPr>
        <w:t>Upjohn Co.</w:t>
      </w:r>
      <w:r>
        <w:rPr>
          <w:rFonts w:ascii="Times New Roman" w:eastAsia="Times New Roman" w:hAnsi="Times New Roman" w:cs="Times New Roman"/>
          <w:sz w:val="26"/>
          <w:szCs w:val="26"/>
        </w:rPr>
        <w:t xml:space="preserve">, 449 U.S. at 402. </w:t>
      </w:r>
    </w:p>
    <w:p w14:paraId="0000007D"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Upjohn Co. v. United States</w:t>
      </w:r>
      <w:r>
        <w:rPr>
          <w:rFonts w:ascii="Times New Roman" w:eastAsia="Times New Roman" w:hAnsi="Times New Roman" w:cs="Times New Roman"/>
          <w:sz w:val="26"/>
          <w:szCs w:val="26"/>
        </w:rPr>
        <w:t xml:space="preserve">, the prosecution’s showing of substantial need was insufficient to compel disclosure of work product.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Upjohn’s attorneys interviewed employees as part of an internal investigation into foreign payments.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387. The IRS later issued a summons for the attorneys’ notes from these interviews.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Upjohn’s counsel refused to provide the requested information, asserting work-product privilege.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388. The prosecution claimed the employees were otherwise unreachable as they were “scattered across the globe” and would likely refuse to answer questions.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399. </w:t>
      </w:r>
    </w:p>
    <w:p w14:paraId="0000007E"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However, the Court held that notes of a witness’s oral statements are a particular reflection of an attorney’s mental impressions and process.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400. These notes inherently reveal the legal team’s inferences and what they saw fit to preserve from the conversation.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While the Supreme Court declined to rule on absolute immunity from all showings of necessity, it held that these mental impressions must receive heightened protection.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401. Even a “showing of </w:t>
      </w:r>
      <w:r>
        <w:rPr>
          <w:rFonts w:ascii="Times New Roman" w:eastAsia="Times New Roman" w:hAnsi="Times New Roman" w:cs="Times New Roman"/>
          <w:i/>
          <w:iCs/>
          <w:sz w:val="26"/>
          <w:szCs w:val="26"/>
        </w:rPr>
        <w:t>substantial</w:t>
      </w:r>
      <w:r>
        <w:rPr>
          <w:rFonts w:ascii="Times New Roman" w:eastAsia="Times New Roman" w:hAnsi="Times New Roman" w:cs="Times New Roman"/>
          <w:sz w:val="26"/>
          <w:szCs w:val="26"/>
        </w:rPr>
        <w:t xml:space="preserve"> need and inability to obtain the equivalent without undue hardship” is insufficient to overcome privilege for these materials.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(emphasis added). </w:t>
      </w:r>
    </w:p>
    <w:p w14:paraId="0000007F" w14:textId="77777777" w:rsidR="00B5673E" w:rsidRDefault="008E7212">
      <w:pPr>
        <w:spacing w:line="480" w:lineRule="auto"/>
        <w:ind w:firstLine="720"/>
        <w:rPr>
          <w:rFonts w:ascii="Times New Roman" w:eastAsia="Times New Roman" w:hAnsi="Times New Roman" w:cs="Times New Roman"/>
          <w:i/>
          <w:iCs/>
          <w:sz w:val="26"/>
          <w:szCs w:val="26"/>
        </w:rPr>
      </w:pPr>
      <w:r>
        <w:rPr>
          <w:rFonts w:ascii="Times New Roman" w:eastAsia="Times New Roman" w:hAnsi="Times New Roman" w:cs="Times New Roman"/>
          <w:sz w:val="26"/>
          <w:szCs w:val="26"/>
        </w:rPr>
        <w:t xml:space="preserve">Following Supreme Court doctrine, appellate courts in the Second, Fourth, Sixth, Eighth, Tenth, and Eleventh circuits have afforded this “opinion” work product nearly absolute protection from disclosure.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American Oversight v. United States Department of Justice</w:t>
      </w:r>
      <w:r>
        <w:rPr>
          <w:rFonts w:ascii="Times New Roman" w:eastAsia="Times New Roman" w:hAnsi="Times New Roman" w:cs="Times New Roman"/>
          <w:sz w:val="26"/>
          <w:szCs w:val="26"/>
        </w:rPr>
        <w:t xml:space="preserve">, 45 F.4th 579, 590-91 (2d Cir. 2022) (holding that precedent affords absolute immunity to opinion work product); </w:t>
      </w:r>
      <w:r>
        <w:rPr>
          <w:rFonts w:ascii="Times New Roman" w:eastAsia="Times New Roman" w:hAnsi="Times New Roman" w:cs="Times New Roman"/>
          <w:i/>
          <w:iCs/>
          <w:sz w:val="26"/>
          <w:szCs w:val="26"/>
        </w:rPr>
        <w:t>In re Grand Jury Subpoena</w:t>
      </w:r>
      <w:r>
        <w:rPr>
          <w:rFonts w:ascii="Times New Roman" w:eastAsia="Times New Roman" w:hAnsi="Times New Roman" w:cs="Times New Roman"/>
          <w:sz w:val="26"/>
          <w:szCs w:val="26"/>
        </w:rPr>
        <w:t xml:space="preserve">, 870 F.3d 312, 316 (4th </w:t>
      </w:r>
      <w:r>
        <w:rPr>
          <w:rFonts w:ascii="Times New Roman" w:eastAsia="Times New Roman" w:hAnsi="Times New Roman" w:cs="Times New Roman"/>
          <w:sz w:val="26"/>
          <w:szCs w:val="26"/>
        </w:rPr>
        <w:lastRenderedPageBreak/>
        <w:t xml:space="preserve">Cir. 2017) (asserting that opinion work product enjoys a nearly absolute immunity); </w:t>
      </w:r>
      <w:r>
        <w:rPr>
          <w:rFonts w:ascii="Times New Roman" w:eastAsia="Times New Roman" w:hAnsi="Times New Roman" w:cs="Times New Roman"/>
          <w:i/>
          <w:iCs/>
          <w:sz w:val="26"/>
          <w:szCs w:val="26"/>
        </w:rPr>
        <w:t>In re Columbia/HCA Healthcare Corp. Billing Practices Litigation</w:t>
      </w:r>
      <w:r>
        <w:rPr>
          <w:rFonts w:ascii="Times New Roman" w:eastAsia="Times New Roman" w:hAnsi="Times New Roman" w:cs="Times New Roman"/>
          <w:sz w:val="26"/>
          <w:szCs w:val="26"/>
        </w:rPr>
        <w:t xml:space="preserve">, 293 F.3d 289, 294 (6th Cir. 2002) (finding that opinion work product cannot be disclosed absent waiver); </w:t>
      </w:r>
      <w:r>
        <w:rPr>
          <w:rFonts w:ascii="Times New Roman" w:eastAsia="Times New Roman" w:hAnsi="Times New Roman" w:cs="Times New Roman"/>
          <w:i/>
          <w:iCs/>
          <w:sz w:val="26"/>
          <w:szCs w:val="26"/>
        </w:rPr>
        <w:t>In re Murphy</w:t>
      </w:r>
      <w:r>
        <w:rPr>
          <w:rFonts w:ascii="Times New Roman" w:eastAsia="Times New Roman" w:hAnsi="Times New Roman" w:cs="Times New Roman"/>
          <w:sz w:val="26"/>
          <w:szCs w:val="26"/>
        </w:rPr>
        <w:t xml:space="preserve">, 560 F.2d 326, 336 (8th Cir. 1977) (holding that opinion work product receives nearly absolute immunity); </w:t>
      </w:r>
      <w:r>
        <w:rPr>
          <w:rFonts w:ascii="Times New Roman" w:eastAsia="Times New Roman" w:hAnsi="Times New Roman" w:cs="Times New Roman"/>
          <w:i/>
          <w:iCs/>
          <w:sz w:val="26"/>
          <w:szCs w:val="26"/>
        </w:rPr>
        <w:t>Nevada v. J-M Mfg. Co., Inc.</w:t>
      </w:r>
      <w:r>
        <w:rPr>
          <w:rFonts w:ascii="Times New Roman" w:eastAsia="Times New Roman" w:hAnsi="Times New Roman" w:cs="Times New Roman"/>
          <w:sz w:val="26"/>
          <w:szCs w:val="26"/>
        </w:rPr>
        <w:t xml:space="preserve">, 555 Fed.Appx. 782, 784 (10th Cir. 2014) (suggesting that opinion work product is absolutely privileged); </w:t>
      </w:r>
      <w:r>
        <w:rPr>
          <w:rFonts w:ascii="Times New Roman" w:eastAsia="Times New Roman" w:hAnsi="Times New Roman" w:cs="Times New Roman"/>
          <w:i/>
          <w:iCs/>
          <w:sz w:val="26"/>
          <w:szCs w:val="26"/>
        </w:rPr>
        <w:t>Johnson v. Gross</w:t>
      </w:r>
      <w:r>
        <w:rPr>
          <w:rFonts w:ascii="Times New Roman" w:eastAsia="Times New Roman" w:hAnsi="Times New Roman" w:cs="Times New Roman"/>
          <w:sz w:val="26"/>
          <w:szCs w:val="26"/>
        </w:rPr>
        <w:t xml:space="preserve">, 611 Fed.Appx. 544, 548 (11th Cir. 2015) (finding that opinion work product is nearly absolutely immune and only discoverable in very rare and extraordinary circumstances). </w:t>
      </w:r>
    </w:p>
    <w:p w14:paraId="00000080"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Other circuits vary on exactly how extraordinary the circumstances must be to overcome the special protection of these materials.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In re San Juan Dupont Plaza Hotel Fire Litigation</w:t>
      </w:r>
      <w:r>
        <w:rPr>
          <w:rFonts w:ascii="Times New Roman" w:eastAsia="Times New Roman" w:hAnsi="Times New Roman" w:cs="Times New Roman"/>
          <w:sz w:val="26"/>
          <w:szCs w:val="26"/>
        </w:rPr>
        <w:t xml:space="preserve">, 859 F.2d 1007, 1015 (1st Cir. 1988) (noting only that opinion work-product enjoys heightened protection without determining the degree); </w:t>
      </w:r>
      <w:r>
        <w:rPr>
          <w:rFonts w:ascii="Times New Roman" w:eastAsia="Times New Roman" w:hAnsi="Times New Roman" w:cs="Times New Roman"/>
          <w:i/>
          <w:iCs/>
          <w:sz w:val="26"/>
          <w:szCs w:val="26"/>
        </w:rPr>
        <w:t>In re Cendant Corp. Securities Litigation</w:t>
      </w:r>
      <w:r>
        <w:rPr>
          <w:rFonts w:ascii="Times New Roman" w:eastAsia="Times New Roman" w:hAnsi="Times New Roman" w:cs="Times New Roman"/>
          <w:sz w:val="26"/>
          <w:szCs w:val="26"/>
        </w:rPr>
        <w:t xml:space="preserve">, 343 F.3d 658, 664 (3d Cir. 2003) (requiring a heightened showing of extraordinary circumstances); </w:t>
      </w:r>
      <w:r>
        <w:rPr>
          <w:rFonts w:ascii="Times New Roman" w:eastAsia="Times New Roman" w:hAnsi="Times New Roman" w:cs="Times New Roman"/>
          <w:i/>
          <w:iCs/>
          <w:sz w:val="26"/>
          <w:szCs w:val="26"/>
        </w:rPr>
        <w:t>Holmgren v. State Farm Mut. Auto. Ins. Co.</w:t>
      </w:r>
      <w:r>
        <w:rPr>
          <w:rFonts w:ascii="Times New Roman" w:eastAsia="Times New Roman" w:hAnsi="Times New Roman" w:cs="Times New Roman"/>
          <w:sz w:val="26"/>
          <w:szCs w:val="26"/>
        </w:rPr>
        <w:t xml:space="preserve">, 976 F.2d 573, 577 (9th Cir. 1992) (allowing disclosure when mental impressions are at issue in a case and the need for the material is compelling); </w:t>
      </w:r>
      <w:r>
        <w:rPr>
          <w:rFonts w:ascii="Times New Roman" w:eastAsia="Times New Roman" w:hAnsi="Times New Roman" w:cs="Times New Roman"/>
          <w:i/>
          <w:iCs/>
          <w:sz w:val="26"/>
          <w:szCs w:val="26"/>
        </w:rPr>
        <w:t>In re Sealed Case</w:t>
      </w:r>
      <w:r>
        <w:rPr>
          <w:rFonts w:ascii="Times New Roman" w:eastAsia="Times New Roman" w:hAnsi="Times New Roman" w:cs="Times New Roman"/>
          <w:sz w:val="26"/>
          <w:szCs w:val="26"/>
        </w:rPr>
        <w:t xml:space="preserve">, 676 F.2d 793, 811 (D.C. Cir. 1982) (requiring an extraordinary showing of necessity to overcome the “more absolute” protection of opinion work-product). Ultimately, the Supreme Court in </w:t>
      </w:r>
      <w:r>
        <w:rPr>
          <w:rFonts w:ascii="Times New Roman" w:eastAsia="Times New Roman" w:hAnsi="Times New Roman" w:cs="Times New Roman"/>
          <w:i/>
          <w:iCs/>
          <w:sz w:val="26"/>
          <w:szCs w:val="26"/>
        </w:rPr>
        <w:t>Upjohn</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Co.</w:t>
      </w:r>
      <w:r>
        <w:rPr>
          <w:rFonts w:ascii="Times New Roman" w:eastAsia="Times New Roman" w:hAnsi="Times New Roman" w:cs="Times New Roman"/>
          <w:sz w:val="26"/>
          <w:szCs w:val="26"/>
        </w:rPr>
        <w:t xml:space="preserve"> held that the prosecution did not make a sufficient showing of necessity to compel disclosure of the especially protected interview notes. </w:t>
      </w:r>
      <w:r>
        <w:rPr>
          <w:rFonts w:ascii="Times New Roman" w:eastAsia="Times New Roman" w:hAnsi="Times New Roman" w:cs="Times New Roman"/>
          <w:i/>
          <w:iCs/>
          <w:sz w:val="26"/>
          <w:szCs w:val="26"/>
        </w:rPr>
        <w:t>Upjohn Co.</w:t>
      </w:r>
      <w:r>
        <w:rPr>
          <w:rFonts w:ascii="Times New Roman" w:eastAsia="Times New Roman" w:hAnsi="Times New Roman" w:cs="Times New Roman"/>
          <w:sz w:val="26"/>
          <w:szCs w:val="26"/>
        </w:rPr>
        <w:t xml:space="preserve">, 449 U.S. at 402. </w:t>
      </w:r>
    </w:p>
    <w:p w14:paraId="00000081" w14:textId="5D97B002"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Much like in </w:t>
      </w:r>
      <w:r>
        <w:rPr>
          <w:rFonts w:ascii="Times New Roman" w:eastAsia="Times New Roman" w:hAnsi="Times New Roman" w:cs="Times New Roman"/>
          <w:i/>
          <w:iCs/>
          <w:sz w:val="26"/>
          <w:szCs w:val="26"/>
        </w:rPr>
        <w:t>Upjohn Co.</w:t>
      </w:r>
      <w:r>
        <w:rPr>
          <w:rFonts w:ascii="Times New Roman" w:eastAsia="Times New Roman" w:hAnsi="Times New Roman" w:cs="Times New Roman"/>
          <w:sz w:val="26"/>
          <w:szCs w:val="26"/>
        </w:rPr>
        <w:t xml:space="preserve">, the documents in question here are interview notes. </w:t>
      </w:r>
      <w:r>
        <w:rPr>
          <w:rFonts w:ascii="Times New Roman" w:eastAsia="Times New Roman" w:hAnsi="Times New Roman" w:cs="Times New Roman"/>
          <w:i/>
          <w:iCs/>
          <w:sz w:val="26"/>
          <w:szCs w:val="26"/>
        </w:rPr>
        <w:t xml:space="preserve">See id. </w:t>
      </w:r>
      <w:r>
        <w:rPr>
          <w:rFonts w:ascii="Times New Roman" w:eastAsia="Times New Roman" w:hAnsi="Times New Roman" w:cs="Times New Roman"/>
          <w:sz w:val="26"/>
          <w:szCs w:val="26"/>
        </w:rPr>
        <w:t>at 387. Armana’s notes include Ms. Seton’s answers</w:t>
      </w:r>
      <w:r w:rsidR="001352E2">
        <w:rPr>
          <w:rFonts w:ascii="Times New Roman" w:eastAsia="Times New Roman" w:hAnsi="Times New Roman" w:cs="Times New Roman"/>
          <w:sz w:val="26"/>
          <w:szCs w:val="26"/>
        </w:rPr>
        <w:t>, as paraphrased by Armana</w:t>
      </w:r>
      <w:r>
        <w:rPr>
          <w:rFonts w:ascii="Times New Roman" w:eastAsia="Times New Roman" w:hAnsi="Times New Roman" w:cs="Times New Roman"/>
          <w:sz w:val="26"/>
          <w:szCs w:val="26"/>
        </w:rPr>
        <w:t xml:space="preserve">. Exhibit 21. They also feature Armana’s personal thoughts and responses to these statements.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As an agent of defense counsel, Armana’s interview notes are protected work product.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238. Since these notes preserve both Armana’s mental process and a witness’s oral statements, they receive special protection from disclosure. </w:t>
      </w:r>
      <w:r>
        <w:rPr>
          <w:rFonts w:ascii="Times New Roman" w:eastAsia="Times New Roman" w:hAnsi="Times New Roman" w:cs="Times New Roman"/>
          <w:i/>
          <w:iCs/>
          <w:sz w:val="26"/>
          <w:szCs w:val="26"/>
        </w:rPr>
        <w:t>Upjohn Co.</w:t>
      </w:r>
      <w:r>
        <w:rPr>
          <w:rFonts w:ascii="Times New Roman" w:eastAsia="Times New Roman" w:hAnsi="Times New Roman" w:cs="Times New Roman"/>
          <w:sz w:val="26"/>
          <w:szCs w:val="26"/>
        </w:rPr>
        <w:t xml:space="preserve">, 449 U.S. at 401. Even if the prosecution asserts that Ms. Seton is out of the country and refuses to answer questions, these exact claims were insufficient to compel discovery in </w:t>
      </w:r>
      <w:r>
        <w:rPr>
          <w:rFonts w:ascii="Times New Roman" w:eastAsia="Times New Roman" w:hAnsi="Times New Roman" w:cs="Times New Roman"/>
          <w:i/>
          <w:iCs/>
          <w:sz w:val="26"/>
          <w:szCs w:val="26"/>
        </w:rPr>
        <w:t>Upjohn</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00000082" w14:textId="77777777" w:rsidR="00B5673E" w:rsidRDefault="008E7212">
      <w:pPr>
        <w:spacing w:line="480" w:lineRule="auto"/>
        <w:ind w:firstLine="720"/>
        <w:rPr>
          <w:rFonts w:ascii="Times New Roman" w:eastAsia="Times New Roman" w:hAnsi="Times New Roman" w:cs="Times New Roman"/>
          <w:b/>
          <w:bCs/>
          <w:sz w:val="26"/>
          <w:szCs w:val="26"/>
        </w:rPr>
      </w:pPr>
      <w:r>
        <w:rPr>
          <w:rFonts w:ascii="Times New Roman" w:eastAsia="Times New Roman" w:hAnsi="Times New Roman" w:cs="Times New Roman"/>
          <w:sz w:val="26"/>
          <w:szCs w:val="26"/>
        </w:rPr>
        <w:t>Importantly, Armana began working on the case after Saint Donovan’s arrest at the very end of January 2024, while the prosecution team knew about Coastal Event Solutions since October 2023. Sinclair Dep. 11:117-23; Armana Dep. 43:35-37. Armana interviewed Ms. Seton within a matter of weeks of being hired. Stip. 8; Armana Dep.</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at 46:146. Given this timeline, an interview was more than possible for the prosecution team. Armana located and interviewed Seton with no more time or effort than would be expected of a diligent investigator.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Armana Dep. 44:73-76. The prosecution cannot use claims of unavailability to compensate for an insufficient investigation. Regardless, even a showing of substantial necessity or unavailability of information is insufficient to overcome the special work-product privilege for interview notes. </w:t>
      </w:r>
      <w:r>
        <w:rPr>
          <w:rFonts w:ascii="Times New Roman" w:eastAsia="Times New Roman" w:hAnsi="Times New Roman" w:cs="Times New Roman"/>
          <w:i/>
          <w:iCs/>
          <w:sz w:val="26"/>
          <w:szCs w:val="26"/>
        </w:rPr>
        <w:t>Upjohn Co.</w:t>
      </w:r>
      <w:r>
        <w:rPr>
          <w:rFonts w:ascii="Times New Roman" w:eastAsia="Times New Roman" w:hAnsi="Times New Roman" w:cs="Times New Roman"/>
          <w:sz w:val="26"/>
          <w:szCs w:val="26"/>
        </w:rPr>
        <w:t xml:space="preserve">, 449 U.S. at 401. Accordingly, the Defendant’s Motion to Quash Subpoena Duces Tecum should be granted. </w:t>
      </w:r>
    </w:p>
    <w:p w14:paraId="00000083" w14:textId="77777777" w:rsidR="00B5673E" w:rsidRDefault="008E7212">
      <w:pPr>
        <w:pStyle w:val="Heading1"/>
        <w:spacing w:before="0" w:after="0" w:line="480" w:lineRule="auto"/>
        <w:jc w:val="center"/>
        <w:rPr>
          <w:rFonts w:ascii="Times New Roman" w:eastAsia="Times New Roman" w:hAnsi="Times New Roman" w:cs="Times New Roman"/>
          <w:b/>
          <w:bCs/>
          <w:sz w:val="26"/>
          <w:szCs w:val="26"/>
          <w:u w:val="single"/>
        </w:rPr>
      </w:pPr>
      <w:bookmarkStart w:id="18" w:name="_nhetlsm57jaw" w:colFirst="0" w:colLast="0"/>
      <w:bookmarkEnd w:id="18"/>
      <w:r>
        <w:rPr>
          <w:rFonts w:ascii="Times New Roman" w:eastAsia="Times New Roman" w:hAnsi="Times New Roman" w:cs="Times New Roman"/>
          <w:b/>
          <w:bCs/>
          <w:sz w:val="26"/>
          <w:szCs w:val="26"/>
          <w:u w:val="single"/>
        </w:rPr>
        <w:lastRenderedPageBreak/>
        <w:t>CONCLUSION</w:t>
      </w:r>
    </w:p>
    <w:p w14:paraId="00000084" w14:textId="77777777" w:rsidR="00B5673E" w:rsidRDefault="008E7212">
      <w:pPr>
        <w:spacing w:line="48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The Defendant’s Motion to Suppress Evidence should be granted because the prosecution has failed to show an untainted, independent source for Exhibit 19 and the testimony of Kennedy Parker. Ms. Parker was interviewed shortly after Ms. Calloway’s testimony, indicating that the investigation was influenced by the immunized testimony. Further, Ms. Calloway’s testimony was available to the public and the investigation teams. The information gained from Ms. Calloway and consequently Ms. Parker allowed the prosec</w:t>
      </w:r>
      <w:r>
        <w:rPr>
          <w:rFonts w:ascii="Times New Roman" w:eastAsia="Times New Roman" w:hAnsi="Times New Roman" w:cs="Times New Roman"/>
          <w:sz w:val="26"/>
          <w:szCs w:val="26"/>
        </w:rPr>
        <w:t xml:space="preserve">ution to build the case against the Defendant. Accordingly, the Defendant’s Motion to Suppress Evidence should be granted. </w:t>
      </w:r>
    </w:p>
    <w:p w14:paraId="00000085" w14:textId="77777777" w:rsidR="00B5673E" w:rsidRDefault="008E7212">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Additionally, the Defendant’s Motion to Quash Subpoena Duces Tecum should also be granted. As a defense investigator, Maddox Armana’s interview notes receive the highest level of work-product privilege. Disclosure cannot be compelled even upon a showing of substantial need or unavailability of information. Therefore, the Defendant’s Motion to Quash Subpoena Duces Tecum should also be granted.   </w:t>
      </w:r>
    </w:p>
    <w:p w14:paraId="00000086" w14:textId="77777777" w:rsidR="00B5673E" w:rsidRDefault="00B5673E">
      <w:pPr>
        <w:spacing w:line="480" w:lineRule="auto"/>
        <w:rPr>
          <w:rFonts w:ascii="Times New Roman" w:eastAsia="Times New Roman" w:hAnsi="Times New Roman" w:cs="Times New Roman"/>
          <w:sz w:val="26"/>
          <w:szCs w:val="26"/>
          <w:highlight w:val="white"/>
        </w:rPr>
      </w:pPr>
    </w:p>
    <w:p w14:paraId="00000087" w14:textId="77777777" w:rsidR="00B5673E" w:rsidRDefault="00B5673E">
      <w:pPr>
        <w:spacing w:line="480" w:lineRule="auto"/>
        <w:rPr>
          <w:rFonts w:ascii="Times New Roman" w:eastAsia="Times New Roman" w:hAnsi="Times New Roman" w:cs="Times New Roman"/>
          <w:sz w:val="26"/>
          <w:szCs w:val="26"/>
          <w:highlight w:val="white"/>
        </w:rPr>
      </w:pPr>
    </w:p>
    <w:p w14:paraId="00000088" w14:textId="77777777" w:rsidR="00B5673E" w:rsidRDefault="00B5673E">
      <w:pPr>
        <w:spacing w:line="480" w:lineRule="auto"/>
        <w:rPr>
          <w:rFonts w:ascii="Times New Roman" w:eastAsia="Times New Roman" w:hAnsi="Times New Roman" w:cs="Times New Roman"/>
          <w:sz w:val="26"/>
          <w:szCs w:val="26"/>
          <w:highlight w:val="white"/>
        </w:rPr>
      </w:pPr>
    </w:p>
    <w:p w14:paraId="00000089" w14:textId="77777777" w:rsidR="00B5673E" w:rsidRDefault="008E7212">
      <w:pPr>
        <w:spacing w:line="480" w:lineRule="auto"/>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Dated: September 1, 2026</w:t>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t>Respectfully submitted,</w:t>
      </w:r>
      <w:r>
        <w:rPr>
          <w:rFonts w:ascii="Times New Roman" w:eastAsia="Times New Roman" w:hAnsi="Times New Roman" w:cs="Times New Roman"/>
          <w:sz w:val="26"/>
          <w:szCs w:val="26"/>
          <w:highlight w:val="white"/>
        </w:rPr>
        <w:br/>
      </w:r>
      <w:r>
        <w:rPr>
          <w:rFonts w:ascii="Times New Roman" w:eastAsia="Times New Roman" w:hAnsi="Times New Roman" w:cs="Times New Roman"/>
          <w:sz w:val="26"/>
          <w:szCs w:val="26"/>
          <w:highlight w:val="white"/>
        </w:rPr>
        <w:br/>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highlight w:val="white"/>
        </w:rPr>
        <w:tab/>
      </w:r>
      <w:r>
        <w:rPr>
          <w:rFonts w:ascii="Times New Roman" w:eastAsia="Times New Roman" w:hAnsi="Times New Roman" w:cs="Times New Roman"/>
          <w:sz w:val="26"/>
          <w:szCs w:val="26"/>
        </w:rPr>
        <w:t>______________________________</w:t>
      </w:r>
    </w:p>
    <w:p w14:paraId="0000008A" w14:textId="77777777" w:rsidR="00B5673E" w:rsidRDefault="008E7212">
      <w:pPr>
        <w:spacing w:after="200"/>
        <w:ind w:left="5040"/>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Team 304</w:t>
      </w:r>
      <w:r>
        <w:rPr>
          <w:rFonts w:ascii="Times New Roman" w:eastAsia="Times New Roman" w:hAnsi="Times New Roman" w:cs="Times New Roman"/>
          <w:sz w:val="26"/>
          <w:szCs w:val="26"/>
        </w:rPr>
        <w:br/>
      </w:r>
      <w:r>
        <w:rPr>
          <w:rFonts w:ascii="Times New Roman" w:eastAsia="Times New Roman" w:hAnsi="Times New Roman" w:cs="Times New Roman"/>
          <w:i/>
          <w:iCs/>
          <w:sz w:val="26"/>
          <w:szCs w:val="26"/>
          <w:highlight w:val="white"/>
        </w:rPr>
        <w:t>Attorneys for Defendant</w:t>
      </w:r>
    </w:p>
    <w:sectPr w:rsidR="00B5673E">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209D9" w14:textId="77777777" w:rsidR="008E7212" w:rsidRDefault="008E7212">
      <w:pPr>
        <w:spacing w:line="240" w:lineRule="auto"/>
      </w:pPr>
      <w:r>
        <w:separator/>
      </w:r>
    </w:p>
  </w:endnote>
  <w:endnote w:type="continuationSeparator" w:id="0">
    <w:p w14:paraId="240F39D6" w14:textId="77777777" w:rsidR="008E7212" w:rsidRDefault="008E72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4443491-F8EC-4D0F-9510-520310794BD2}"/>
  </w:font>
  <w:font w:name="Cambria">
    <w:panose1 w:val="02040503050406030204"/>
    <w:charset w:val="00"/>
    <w:family w:val="roman"/>
    <w:pitch w:val="variable"/>
    <w:sig w:usb0="E00006FF" w:usb1="420024FF" w:usb2="02000000" w:usb3="00000000" w:csb0="0000019F" w:csb1="00000000"/>
    <w:embedRegular r:id="rId2" w:fontKey="{4E9BB8AC-87A0-449B-B615-1B619471A4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D" w14:textId="77777777" w:rsidR="00B5673E" w:rsidRDefault="008E7212">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0" w14:textId="77777777" w:rsidR="00B5673E" w:rsidRDefault="008E7212">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1" w14:textId="77777777" w:rsidR="00B5673E" w:rsidRDefault="008E7212">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iii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F" w14:textId="2181D1DB" w:rsidR="00B5673E" w:rsidRDefault="008E7212">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fldChar w:fldCharType="begin"/>
    </w:r>
    <w:r>
      <w:rPr>
        <w:rFonts w:ascii="Times New Roman" w:eastAsia="Times New Roman" w:hAnsi="Times New Roman" w:cs="Times New Roman"/>
        <w:sz w:val="26"/>
        <w:szCs w:val="26"/>
      </w:rPr>
      <w:instrText>PAGE</w:instrText>
    </w:r>
    <w:r>
      <w:rPr>
        <w:rFonts w:ascii="Times New Roman" w:eastAsia="Times New Roman" w:hAnsi="Times New Roman" w:cs="Times New Roman"/>
        <w:sz w:val="26"/>
        <w:szCs w:val="26"/>
      </w:rPr>
      <w:fldChar w:fldCharType="separate"/>
    </w:r>
    <w:r w:rsidR="001352E2">
      <w:rPr>
        <w:rFonts w:ascii="Times New Roman" w:eastAsia="Times New Roman" w:hAnsi="Times New Roman" w:cs="Times New Roman"/>
        <w:noProof/>
        <w:sz w:val="26"/>
        <w:szCs w:val="26"/>
      </w:rPr>
      <w:t>1</w:t>
    </w:r>
    <w:r>
      <w:rPr>
        <w:rFonts w:ascii="Times New Roman" w:eastAsia="Times New Roman" w:hAnsi="Times New Roman" w:cs="Times New Roman"/>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067C7" w14:textId="77777777" w:rsidR="008E7212" w:rsidRDefault="008E7212">
      <w:pPr>
        <w:spacing w:line="240" w:lineRule="auto"/>
      </w:pPr>
      <w:r>
        <w:separator/>
      </w:r>
    </w:p>
  </w:footnote>
  <w:footnote w:type="continuationSeparator" w:id="0">
    <w:p w14:paraId="17E1E9DE" w14:textId="77777777" w:rsidR="008E7212" w:rsidRDefault="008E72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C" w14:textId="77777777" w:rsidR="00B5673E" w:rsidRDefault="008E7212">
    <w:pPr>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Team 304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967"/>
    <w:multiLevelType w:val="multilevel"/>
    <w:tmpl w:val="706A1A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F3477AC"/>
    <w:multiLevelType w:val="multilevel"/>
    <w:tmpl w:val="4F9C8A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FA448ED"/>
    <w:multiLevelType w:val="multilevel"/>
    <w:tmpl w:val="BA8883E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141089">
    <w:abstractNumId w:val="1"/>
  </w:num>
  <w:num w:numId="2" w16cid:durableId="1643538992">
    <w:abstractNumId w:val="0"/>
  </w:num>
  <w:num w:numId="3" w16cid:durableId="1074622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73E"/>
    <w:rsid w:val="001352E2"/>
    <w:rsid w:val="00740BC1"/>
    <w:rsid w:val="0075481B"/>
    <w:rsid w:val="008E7212"/>
    <w:rsid w:val="00B5673E"/>
    <w:rsid w:val="00DB6815"/>
    <w:rsid w:val="00E36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1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B6815"/>
    <w:pPr>
      <w:tabs>
        <w:tab w:val="center" w:pos="4680"/>
        <w:tab w:val="right" w:pos="9360"/>
      </w:tabs>
      <w:spacing w:line="240" w:lineRule="auto"/>
    </w:pPr>
  </w:style>
  <w:style w:type="character" w:customStyle="1" w:styleId="HeaderChar">
    <w:name w:val="Header Char"/>
    <w:basedOn w:val="DefaultParagraphFont"/>
    <w:link w:val="Header"/>
    <w:uiPriority w:val="99"/>
    <w:rsid w:val="00DB6815"/>
  </w:style>
  <w:style w:type="paragraph" w:styleId="Footer">
    <w:name w:val="footer"/>
    <w:basedOn w:val="Normal"/>
    <w:link w:val="FooterChar"/>
    <w:uiPriority w:val="99"/>
    <w:unhideWhenUsed/>
    <w:rsid w:val="00DB6815"/>
    <w:pPr>
      <w:tabs>
        <w:tab w:val="center" w:pos="4680"/>
        <w:tab w:val="right" w:pos="9360"/>
      </w:tabs>
      <w:spacing w:line="240" w:lineRule="auto"/>
    </w:pPr>
  </w:style>
  <w:style w:type="character" w:customStyle="1" w:styleId="FooterChar">
    <w:name w:val="Footer Char"/>
    <w:basedOn w:val="DefaultParagraphFont"/>
    <w:link w:val="Footer"/>
    <w:uiPriority w:val="99"/>
    <w:rsid w:val="00DB6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lus.lexis.com/document?pddocfullpath=%2fshared%2fdocument%2fcases%2furn%3acontentItem%3a3S4X-CSB0-0039-P2RF-00000-00&amp;pdmfid=1530671&amp;pdcontentcomponentid=6395&amp;pdproductcontenttypeid=urn:pct:30&amp;pdisdoclinkaccess=true&amp;pdischatbotdoc=true&amp;passagetext=teaser-QmFzZWQgdXBvbiBhIHJldmlldyBvZiB0aGUgZW50aXJlIHJlY29yZA%3D%3D"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lus.lexis.com/document?pddocfullpath=%2fshared%2fdocument%2fcases%2furn%3acontentItem%3a3S4X-CSB0-0039-P2RF-00000-00&amp;pdmfid=1530671&amp;pdcontentcomponentid=6395&amp;pdproductcontenttypeid=urn:pct:30&amp;pdisdoclinkaccess=true&amp;pdischatbotdoc=true&amp;passagetext=teaser-QmFzZWQgdXBvbiBhIHJldmlldyBvZiB0aGUgZW50aXJlIHJlY29yZA%3D%3D"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us.lexis.com/document?pddocfullpath=%2fshared%2fdocument%2fcases%2furn%3acontentItem%3a3S4X-CSB0-0039-P2RF-00000-00&amp;pdmfid=1530671&amp;pdcontentcomponentid=6395&amp;pdproductcontenttypeid=urn:pct:30&amp;pdisdoclinkaccess=true&amp;pdischatbotdoc=true&amp;passagetext=teaser-QmFzZWQgdXBvbiBhIHJldmlldyBvZiB0aGUgZW50aXJlIHJlY29yZA%3D%3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85076E35-59EA-4158-9611-2C5C9579490A}"/>
</file>

<file path=customXml/itemProps2.xml><?xml version="1.0" encoding="utf-8"?>
<ds:datastoreItem xmlns:ds="http://schemas.openxmlformats.org/officeDocument/2006/customXml" ds:itemID="{5DA2CA1A-BBC4-4E31-941D-A83101ED81CC}"/>
</file>

<file path=customXml/itemProps3.xml><?xml version="1.0" encoding="utf-8"?>
<ds:datastoreItem xmlns:ds="http://schemas.openxmlformats.org/officeDocument/2006/customXml" ds:itemID="{1B96D191-CA9B-4105-B526-86BEEAF5BA1B}"/>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5097</Words>
  <Characters>29057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2026-09-09T00:32:00Z</dcterms:created>
  <dcterms:modified xsi:type="dcterms:W3CDTF">2026-09-09T00:32:00Z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