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77777777" w:rsidR="00A63F18" w:rsidRPr="00C3393C" w:rsidRDefault="00A47554" w:rsidP="00723F3B">
      <w:pPr>
        <w:keepLines/>
        <w:spacing w:after="160" w:line="480" w:lineRule="auto"/>
        <w:contextualSpacing/>
        <w:jc w:val="right"/>
        <w:rPr>
          <w:sz w:val="28"/>
          <w:szCs w:val="28"/>
        </w:rPr>
      </w:pPr>
      <w:r w:rsidRPr="00C3393C">
        <w:rPr>
          <w:sz w:val="28"/>
          <w:szCs w:val="28"/>
        </w:rPr>
        <w:t>TEAM: 303</w:t>
      </w:r>
    </w:p>
    <w:p w14:paraId="00000002" w14:textId="77777777" w:rsidR="00A63F18" w:rsidRPr="00C3393C" w:rsidRDefault="00A47554" w:rsidP="00501F23">
      <w:pPr>
        <w:keepLines/>
        <w:spacing w:after="160" w:line="480" w:lineRule="auto"/>
        <w:contextualSpacing/>
        <w:jc w:val="center"/>
        <w:rPr>
          <w:b/>
          <w:bCs/>
          <w:sz w:val="28"/>
          <w:szCs w:val="28"/>
        </w:rPr>
      </w:pPr>
      <w:r w:rsidRPr="00C3393C">
        <w:rPr>
          <w:sz w:val="28"/>
          <w:szCs w:val="28"/>
        </w:rPr>
        <w:t>Case No: 2025-CF-00417</w:t>
      </w:r>
    </w:p>
    <w:p w14:paraId="00000003" w14:textId="505AC028" w:rsidR="00A63F18" w:rsidRPr="00C3393C" w:rsidRDefault="001E3524" w:rsidP="00501F23">
      <w:pPr>
        <w:keepLines/>
        <w:spacing w:after="160" w:line="480" w:lineRule="auto"/>
        <w:contextualSpacing/>
        <w:jc w:val="center"/>
        <w:rPr>
          <w:b/>
          <w:bCs/>
          <w:sz w:val="28"/>
          <w:szCs w:val="28"/>
        </w:rPr>
      </w:pPr>
      <w:r>
        <w:pict w14:anchorId="030FD29C">
          <v:rect id="_x0000_s2053" alt="" style="width:468pt;height:1.1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w10:wrap type="none"/>
            <w10:anchorlock/>
          </v:rect>
        </w:pict>
      </w:r>
    </w:p>
    <w:p w14:paraId="00000004" w14:textId="77777777" w:rsidR="00A63F18" w:rsidRPr="00C3393C" w:rsidRDefault="00A47554" w:rsidP="00501F23">
      <w:pPr>
        <w:keepLines/>
        <w:spacing w:after="160" w:line="480" w:lineRule="auto"/>
        <w:contextualSpacing/>
        <w:jc w:val="center"/>
        <w:rPr>
          <w:sz w:val="28"/>
          <w:szCs w:val="28"/>
        </w:rPr>
      </w:pPr>
      <w:r w:rsidRPr="00C3393C">
        <w:rPr>
          <w:sz w:val="28"/>
          <w:szCs w:val="28"/>
        </w:rPr>
        <w:t xml:space="preserve">UNITED STATES DISTRICT COURT </w:t>
      </w:r>
    </w:p>
    <w:p w14:paraId="00000005" w14:textId="77777777" w:rsidR="00A63F18" w:rsidRPr="00C3393C" w:rsidRDefault="00A47554" w:rsidP="00501F23">
      <w:pPr>
        <w:keepLines/>
        <w:spacing w:after="160" w:line="480" w:lineRule="auto"/>
        <w:contextualSpacing/>
        <w:jc w:val="center"/>
        <w:rPr>
          <w:sz w:val="28"/>
          <w:szCs w:val="28"/>
        </w:rPr>
      </w:pPr>
      <w:r w:rsidRPr="00C3393C">
        <w:rPr>
          <w:sz w:val="28"/>
          <w:szCs w:val="28"/>
        </w:rPr>
        <w:t xml:space="preserve">MIDDLE DISTRICT OF FLORIDA </w:t>
      </w:r>
    </w:p>
    <w:p w14:paraId="00000006" w14:textId="77777777" w:rsidR="00A63F18" w:rsidRPr="00C3393C" w:rsidRDefault="00A47554" w:rsidP="00501F23">
      <w:pPr>
        <w:keepLines/>
        <w:widowControl w:val="0"/>
        <w:spacing w:after="160" w:line="480" w:lineRule="auto"/>
        <w:contextualSpacing/>
        <w:jc w:val="center"/>
        <w:rPr>
          <w:sz w:val="28"/>
          <w:szCs w:val="28"/>
        </w:rPr>
      </w:pPr>
      <w:r w:rsidRPr="00C3393C">
        <w:rPr>
          <w:sz w:val="28"/>
          <w:szCs w:val="28"/>
        </w:rPr>
        <w:t>October 1, 2026</w:t>
      </w:r>
    </w:p>
    <w:p w14:paraId="00000007" w14:textId="448AA7BB" w:rsidR="00A63F18" w:rsidRPr="00C3393C" w:rsidRDefault="001E3524" w:rsidP="00501F23">
      <w:pPr>
        <w:keepLines/>
        <w:widowControl w:val="0"/>
        <w:spacing w:after="160" w:line="480" w:lineRule="auto"/>
        <w:contextualSpacing/>
        <w:jc w:val="center"/>
        <w:rPr>
          <w:sz w:val="28"/>
          <w:szCs w:val="28"/>
        </w:rPr>
      </w:pPr>
      <w:r>
        <w:pict w14:anchorId="5829E69D">
          <v:rect id="_x0000_s2052" alt="" style="width:468pt;height:1.1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w10:wrap type="none"/>
            <w10:anchorlock/>
          </v:rect>
        </w:pict>
      </w:r>
    </w:p>
    <w:p w14:paraId="00000008" w14:textId="77777777" w:rsidR="00A63F18" w:rsidRPr="00C3393C" w:rsidRDefault="00A47554" w:rsidP="00501F23">
      <w:pPr>
        <w:keepLines/>
        <w:spacing w:line="480" w:lineRule="auto"/>
        <w:contextualSpacing/>
        <w:jc w:val="center"/>
        <w:rPr>
          <w:sz w:val="28"/>
          <w:szCs w:val="28"/>
        </w:rPr>
      </w:pPr>
      <w:r w:rsidRPr="00C3393C">
        <w:rPr>
          <w:sz w:val="28"/>
          <w:szCs w:val="28"/>
        </w:rPr>
        <w:t>UNITED STATES OF AMERICA,</w:t>
      </w:r>
    </w:p>
    <w:p w14:paraId="0000000A" w14:textId="03FADF3E" w:rsidR="00A63F18" w:rsidRPr="00C3393C" w:rsidRDefault="00A47554" w:rsidP="00501F23">
      <w:pPr>
        <w:keepLines/>
        <w:spacing w:line="480" w:lineRule="auto"/>
        <w:contextualSpacing/>
        <w:jc w:val="center"/>
        <w:rPr>
          <w:i/>
          <w:iCs/>
          <w:sz w:val="28"/>
          <w:szCs w:val="28"/>
        </w:rPr>
      </w:pPr>
      <w:r w:rsidRPr="00C3393C">
        <w:rPr>
          <w:i/>
          <w:iCs/>
          <w:sz w:val="28"/>
          <w:szCs w:val="28"/>
        </w:rPr>
        <w:t>Plaintiff,</w:t>
      </w:r>
    </w:p>
    <w:p w14:paraId="0000000B" w14:textId="77777777" w:rsidR="00A63F18" w:rsidRPr="00C3393C" w:rsidRDefault="00A47554" w:rsidP="00501F23">
      <w:pPr>
        <w:keepLines/>
        <w:spacing w:after="160" w:line="480" w:lineRule="auto"/>
        <w:contextualSpacing/>
        <w:jc w:val="center"/>
        <w:rPr>
          <w:sz w:val="28"/>
          <w:szCs w:val="28"/>
        </w:rPr>
      </w:pPr>
      <w:r w:rsidRPr="00C3393C">
        <w:rPr>
          <w:sz w:val="28"/>
          <w:szCs w:val="28"/>
        </w:rPr>
        <w:t xml:space="preserve">v. </w:t>
      </w:r>
    </w:p>
    <w:p w14:paraId="0000000C" w14:textId="77777777" w:rsidR="00A63F18" w:rsidRPr="00C3393C" w:rsidRDefault="00A47554" w:rsidP="00501F23">
      <w:pPr>
        <w:keepNext/>
        <w:keepLines/>
        <w:spacing w:after="160" w:line="480" w:lineRule="auto"/>
        <w:contextualSpacing/>
        <w:jc w:val="center"/>
        <w:rPr>
          <w:sz w:val="28"/>
          <w:szCs w:val="28"/>
        </w:rPr>
      </w:pPr>
      <w:r w:rsidRPr="00C3393C">
        <w:rPr>
          <w:sz w:val="28"/>
          <w:szCs w:val="28"/>
        </w:rPr>
        <w:t>EMILY CALLOWAY,</w:t>
      </w:r>
    </w:p>
    <w:p w14:paraId="0000000D" w14:textId="77777777" w:rsidR="00A63F18" w:rsidRPr="00C3393C" w:rsidRDefault="00A47554" w:rsidP="00501F23">
      <w:pPr>
        <w:keepNext/>
        <w:keepLines/>
        <w:spacing w:after="160" w:line="480" w:lineRule="auto"/>
        <w:contextualSpacing/>
        <w:jc w:val="center"/>
        <w:rPr>
          <w:i/>
          <w:iCs/>
          <w:sz w:val="28"/>
          <w:szCs w:val="28"/>
        </w:rPr>
      </w:pPr>
      <w:r w:rsidRPr="00C3393C">
        <w:rPr>
          <w:i/>
          <w:iCs/>
          <w:sz w:val="28"/>
          <w:szCs w:val="28"/>
        </w:rPr>
        <w:t>Defendant</w:t>
      </w:r>
    </w:p>
    <w:p w14:paraId="0000000E" w14:textId="76D99A5D" w:rsidR="00A63F18" w:rsidRPr="00C3393C" w:rsidRDefault="001E3524" w:rsidP="00501F23">
      <w:pPr>
        <w:keepLines/>
        <w:spacing w:after="160" w:line="480" w:lineRule="auto"/>
        <w:contextualSpacing/>
        <w:jc w:val="center"/>
        <w:rPr>
          <w:i/>
          <w:iCs/>
          <w:sz w:val="28"/>
          <w:szCs w:val="28"/>
        </w:rPr>
      </w:pPr>
      <w:r>
        <w:pict w14:anchorId="5FE292D8">
          <v:rect id="_x0000_s2051" alt="" style="width:468pt;height:1.1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w10:wrap type="none"/>
            <w10:anchorlock/>
          </v:rect>
        </w:pict>
      </w:r>
    </w:p>
    <w:p w14:paraId="79C76146" w14:textId="77777777" w:rsidR="00C3393C" w:rsidRDefault="00A47554" w:rsidP="00501F23">
      <w:pPr>
        <w:keepLines/>
        <w:spacing w:after="160" w:line="480" w:lineRule="auto"/>
        <w:contextualSpacing/>
        <w:jc w:val="center"/>
        <w:rPr>
          <w:b/>
          <w:bCs/>
          <w:sz w:val="28"/>
          <w:szCs w:val="28"/>
        </w:rPr>
      </w:pPr>
      <w:r w:rsidRPr="00C3393C">
        <w:rPr>
          <w:b/>
          <w:bCs/>
          <w:sz w:val="28"/>
          <w:szCs w:val="28"/>
        </w:rPr>
        <w:t>NON-MOVANT’S MEMORANDUM OF LAW</w:t>
      </w:r>
      <w:r w:rsidR="00C3393C">
        <w:rPr>
          <w:b/>
          <w:bCs/>
          <w:sz w:val="28"/>
          <w:szCs w:val="28"/>
        </w:rPr>
        <w:t xml:space="preserve"> </w:t>
      </w:r>
    </w:p>
    <w:p w14:paraId="00000010" w14:textId="77C68E1D" w:rsidR="00A63F18" w:rsidRPr="00C3393C" w:rsidRDefault="00A47554" w:rsidP="00501F23">
      <w:pPr>
        <w:keepLines/>
        <w:spacing w:after="160" w:line="480" w:lineRule="auto"/>
        <w:contextualSpacing/>
        <w:jc w:val="center"/>
        <w:rPr>
          <w:b/>
          <w:bCs/>
          <w:sz w:val="28"/>
          <w:szCs w:val="28"/>
        </w:rPr>
      </w:pPr>
      <w:r w:rsidRPr="00C3393C">
        <w:rPr>
          <w:b/>
          <w:bCs/>
          <w:sz w:val="28"/>
          <w:szCs w:val="28"/>
        </w:rPr>
        <w:t xml:space="preserve">IN OPPOSITION TO MOVANT’S </w:t>
      </w:r>
      <w:r w:rsidR="00344448" w:rsidRPr="00C3393C">
        <w:rPr>
          <w:b/>
          <w:bCs/>
          <w:sz w:val="28"/>
          <w:szCs w:val="28"/>
        </w:rPr>
        <w:t>MOTION TO</w:t>
      </w:r>
      <w:r w:rsidRPr="00C3393C">
        <w:rPr>
          <w:b/>
          <w:bCs/>
          <w:sz w:val="28"/>
          <w:szCs w:val="28"/>
        </w:rPr>
        <w:t xml:space="preserve"> SUPPRESS EVIDENCE</w:t>
      </w:r>
      <w:r w:rsidR="00A81F11">
        <w:rPr>
          <w:b/>
          <w:bCs/>
          <w:sz w:val="28"/>
          <w:szCs w:val="28"/>
        </w:rPr>
        <w:t xml:space="preserve"> </w:t>
      </w:r>
      <w:r w:rsidRPr="00C3393C">
        <w:rPr>
          <w:b/>
          <w:bCs/>
          <w:sz w:val="28"/>
          <w:szCs w:val="28"/>
        </w:rPr>
        <w:t xml:space="preserve">AND QUASH NON-MOVANT’S SUBPOENA </w:t>
      </w:r>
    </w:p>
    <w:p w14:paraId="00000011" w14:textId="1503DDA5" w:rsidR="00A63F18" w:rsidRPr="00C3393C" w:rsidRDefault="001E3524" w:rsidP="00501F23">
      <w:pPr>
        <w:keepLines/>
        <w:spacing w:after="160" w:line="480" w:lineRule="auto"/>
        <w:jc w:val="center"/>
        <w:rPr>
          <w:b/>
          <w:bCs/>
          <w:sz w:val="28"/>
          <w:szCs w:val="28"/>
        </w:rPr>
      </w:pPr>
      <w:r>
        <w:pict w14:anchorId="38939A89">
          <v:rect id="_x0000_s2050" alt="" style="width:468pt;height:1.1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w10:wrap type="none"/>
            <w10:anchorlock/>
          </v:rect>
        </w:pict>
      </w:r>
    </w:p>
    <w:p w14:paraId="00000012" w14:textId="77777777" w:rsidR="00A63F18" w:rsidRPr="00C3393C" w:rsidRDefault="00A47554">
      <w:pPr>
        <w:keepLines/>
        <w:jc w:val="right"/>
        <w:rPr>
          <w:b/>
          <w:bCs/>
          <w:sz w:val="28"/>
          <w:szCs w:val="28"/>
          <w:u w:val="single"/>
        </w:rPr>
      </w:pPr>
      <w:r w:rsidRPr="00C3393C">
        <w:rPr>
          <w:b/>
          <w:bCs/>
          <w:sz w:val="28"/>
          <w:szCs w:val="28"/>
          <w:u w:val="single"/>
        </w:rPr>
        <w:t>/s/                            303</w:t>
      </w:r>
    </w:p>
    <w:p w14:paraId="2F2D0974" w14:textId="1C5F8261" w:rsidR="00501F23" w:rsidRPr="006026F9" w:rsidRDefault="00A47554" w:rsidP="006026F9">
      <w:pPr>
        <w:keepLines/>
        <w:jc w:val="right"/>
        <w:rPr>
          <w:b/>
          <w:i/>
          <w:sz w:val="28"/>
          <w:szCs w:val="28"/>
          <w:lang w:val="en-US"/>
        </w:rPr>
      </w:pPr>
      <w:r w:rsidRPr="10271BBC">
        <w:rPr>
          <w:b/>
          <w:i/>
          <w:sz w:val="28"/>
          <w:szCs w:val="28"/>
          <w:lang w:val="en-US"/>
        </w:rPr>
        <w:t xml:space="preserve">Attorneys for the </w:t>
      </w:r>
      <w:proofErr w:type="gramStart"/>
      <w:r w:rsidRPr="10271BBC">
        <w:rPr>
          <w:b/>
          <w:i/>
          <w:sz w:val="28"/>
          <w:szCs w:val="28"/>
          <w:lang w:val="en-US"/>
        </w:rPr>
        <w:t>Non-Movant</w:t>
      </w:r>
      <w:proofErr w:type="gramEnd"/>
    </w:p>
    <w:p w14:paraId="63477B74" w14:textId="59870E6B" w:rsidR="003F254D" w:rsidRDefault="00A53600" w:rsidP="006026F9">
      <w:pPr>
        <w:rPr>
          <w:b/>
          <w:bCs/>
          <w:i/>
          <w:iCs/>
          <w:sz w:val="28"/>
          <w:szCs w:val="28"/>
        </w:rPr>
        <w:sectPr w:rsidR="003F254D" w:rsidSect="0022308C">
          <w:footerReference w:type="even" r:id="rId7"/>
          <w:footerReference w:type="default" r:id="rId8"/>
          <w:pgSz w:w="12240" w:h="15840"/>
          <w:pgMar w:top="1440" w:right="1440" w:bottom="1440" w:left="1440" w:header="720" w:footer="720" w:gutter="0"/>
          <w:pgNumType w:start="1"/>
          <w:cols w:space="720"/>
          <w:titlePg/>
          <w:docGrid w:linePitch="326"/>
        </w:sectPr>
      </w:pPr>
      <w:r>
        <w:rPr>
          <w:b/>
          <w:bCs/>
          <w:i/>
          <w:iCs/>
          <w:sz w:val="28"/>
          <w:szCs w:val="28"/>
        </w:rPr>
        <w:br w:type="page"/>
      </w:r>
    </w:p>
    <w:p w14:paraId="26D5E53E" w14:textId="49F7191B" w:rsidR="0003178E" w:rsidRDefault="00A47554" w:rsidP="006026F9">
      <w:pPr>
        <w:pStyle w:val="Heading1"/>
        <w:rPr>
          <w:szCs w:val="28"/>
        </w:rPr>
      </w:pPr>
      <w:bookmarkStart w:id="0" w:name="_Toc239144589"/>
      <w:r w:rsidRPr="00C3393C">
        <w:rPr>
          <w:szCs w:val="28"/>
        </w:rPr>
        <w:lastRenderedPageBreak/>
        <w:t>TABLE OF CONTENTS</w:t>
      </w:r>
      <w:bookmarkEnd w:id="0"/>
    </w:p>
    <w:p w14:paraId="592E9032" w14:textId="2B2681EE" w:rsidR="007E3FD7" w:rsidRPr="00371AA1" w:rsidRDefault="0003178E" w:rsidP="008D1FFB">
      <w:pPr>
        <w:pStyle w:val="TOC1"/>
        <w:rPr>
          <w:rFonts w:asciiTheme="minorHAnsi" w:eastAsiaTheme="minorEastAsia" w:hAnsiTheme="minorHAnsi" w:cstheme="minorBidi"/>
          <w:kern w:val="2"/>
          <w:sz w:val="28"/>
          <w:szCs w:val="28"/>
          <w:lang w:val="en-US"/>
          <w14:ligatures w14:val="standardContextual"/>
        </w:rPr>
      </w:pPr>
      <w:r>
        <w:fldChar w:fldCharType="begin"/>
      </w:r>
      <w:r>
        <w:instrText xml:space="preserve"> TOC \o "1-3" \h \z \u </w:instrText>
      </w:r>
      <w:r>
        <w:fldChar w:fldCharType="separate"/>
      </w:r>
      <w:hyperlink w:anchor="_Toc239144589" w:history="1">
        <w:r w:rsidR="007E3FD7" w:rsidRPr="00371AA1">
          <w:rPr>
            <w:rStyle w:val="Hyperlink"/>
            <w:b w:val="0"/>
            <w:bCs w:val="0"/>
            <w:sz w:val="28"/>
            <w:szCs w:val="28"/>
          </w:rPr>
          <w:t>TABLE OF CONTENTS</w:t>
        </w:r>
        <w:r w:rsidR="007E3FD7" w:rsidRPr="00371AA1">
          <w:rPr>
            <w:webHidden/>
            <w:sz w:val="28"/>
            <w:szCs w:val="28"/>
          </w:rPr>
          <w:tab/>
        </w:r>
        <w:r w:rsidR="007E3FD7" w:rsidRPr="00371AA1">
          <w:rPr>
            <w:webHidden/>
            <w:sz w:val="28"/>
            <w:szCs w:val="28"/>
          </w:rPr>
          <w:fldChar w:fldCharType="begin"/>
        </w:r>
        <w:r w:rsidR="007E3FD7" w:rsidRPr="00371AA1">
          <w:rPr>
            <w:webHidden/>
            <w:sz w:val="28"/>
            <w:szCs w:val="28"/>
          </w:rPr>
          <w:instrText xml:space="preserve"> PAGEREF _Toc239144589 \h </w:instrText>
        </w:r>
        <w:r w:rsidR="007E3FD7" w:rsidRPr="00371AA1">
          <w:rPr>
            <w:webHidden/>
            <w:sz w:val="28"/>
            <w:szCs w:val="28"/>
          </w:rPr>
        </w:r>
        <w:r w:rsidR="007E3FD7" w:rsidRPr="00371AA1">
          <w:rPr>
            <w:webHidden/>
            <w:sz w:val="28"/>
            <w:szCs w:val="28"/>
          </w:rPr>
          <w:fldChar w:fldCharType="separate"/>
        </w:r>
        <w:r w:rsidR="00FB6402">
          <w:rPr>
            <w:webHidden/>
            <w:sz w:val="28"/>
            <w:szCs w:val="28"/>
          </w:rPr>
          <w:t>i</w:t>
        </w:r>
        <w:r w:rsidR="007E3FD7" w:rsidRPr="00371AA1">
          <w:rPr>
            <w:webHidden/>
            <w:sz w:val="28"/>
            <w:szCs w:val="28"/>
          </w:rPr>
          <w:fldChar w:fldCharType="end"/>
        </w:r>
      </w:hyperlink>
    </w:p>
    <w:p w14:paraId="6A5EB09E" w14:textId="38A6C83D" w:rsidR="007E3FD7" w:rsidRPr="00371AA1" w:rsidRDefault="007E3FD7" w:rsidP="008D1FFB">
      <w:pPr>
        <w:pStyle w:val="TOC1"/>
        <w:rPr>
          <w:rFonts w:asciiTheme="minorHAnsi" w:eastAsiaTheme="minorEastAsia" w:hAnsiTheme="minorHAnsi" w:cstheme="minorBidi"/>
          <w:kern w:val="2"/>
          <w:sz w:val="28"/>
          <w:szCs w:val="28"/>
          <w:lang w:val="en-US"/>
          <w14:ligatures w14:val="standardContextual"/>
        </w:rPr>
      </w:pPr>
      <w:hyperlink w:anchor="_Toc239144590" w:history="1">
        <w:r w:rsidRPr="00371AA1">
          <w:rPr>
            <w:rStyle w:val="Hyperlink"/>
            <w:b w:val="0"/>
            <w:bCs w:val="0"/>
            <w:sz w:val="28"/>
            <w:szCs w:val="28"/>
          </w:rPr>
          <w:t>TABLE OF AUTHORITIES</w:t>
        </w:r>
        <w:r w:rsidRPr="00371AA1">
          <w:rPr>
            <w:webHidden/>
            <w:sz w:val="28"/>
            <w:szCs w:val="28"/>
          </w:rPr>
          <w:tab/>
        </w:r>
        <w:r w:rsidRPr="00371AA1">
          <w:rPr>
            <w:webHidden/>
            <w:sz w:val="28"/>
            <w:szCs w:val="28"/>
          </w:rPr>
          <w:fldChar w:fldCharType="begin"/>
        </w:r>
        <w:r w:rsidRPr="00371AA1">
          <w:rPr>
            <w:webHidden/>
            <w:sz w:val="28"/>
            <w:szCs w:val="28"/>
          </w:rPr>
          <w:instrText xml:space="preserve"> PAGEREF _Toc239144590 \h </w:instrText>
        </w:r>
        <w:r w:rsidRPr="00371AA1">
          <w:rPr>
            <w:webHidden/>
            <w:sz w:val="28"/>
            <w:szCs w:val="28"/>
          </w:rPr>
        </w:r>
        <w:r w:rsidRPr="00371AA1">
          <w:rPr>
            <w:webHidden/>
            <w:sz w:val="28"/>
            <w:szCs w:val="28"/>
          </w:rPr>
          <w:fldChar w:fldCharType="separate"/>
        </w:r>
        <w:r w:rsidR="00FB6402">
          <w:rPr>
            <w:webHidden/>
            <w:sz w:val="28"/>
            <w:szCs w:val="28"/>
          </w:rPr>
          <w:t>ii</w:t>
        </w:r>
        <w:r w:rsidRPr="00371AA1">
          <w:rPr>
            <w:webHidden/>
            <w:sz w:val="28"/>
            <w:szCs w:val="28"/>
          </w:rPr>
          <w:fldChar w:fldCharType="end"/>
        </w:r>
      </w:hyperlink>
    </w:p>
    <w:p w14:paraId="4DAA912A" w14:textId="0795FF7D" w:rsidR="007E3FD7" w:rsidRPr="00371AA1" w:rsidRDefault="007E3FD7" w:rsidP="008D1FFB">
      <w:pPr>
        <w:pStyle w:val="TOC1"/>
        <w:rPr>
          <w:rFonts w:asciiTheme="minorHAnsi" w:eastAsiaTheme="minorEastAsia" w:hAnsiTheme="minorHAnsi" w:cstheme="minorBidi"/>
          <w:kern w:val="2"/>
          <w:sz w:val="28"/>
          <w:szCs w:val="28"/>
          <w:lang w:val="en-US"/>
          <w14:ligatures w14:val="standardContextual"/>
        </w:rPr>
      </w:pPr>
      <w:hyperlink w:anchor="_Toc239144591" w:history="1">
        <w:r w:rsidRPr="00371AA1">
          <w:rPr>
            <w:rStyle w:val="Hyperlink"/>
            <w:b w:val="0"/>
            <w:bCs w:val="0"/>
            <w:sz w:val="28"/>
            <w:szCs w:val="28"/>
          </w:rPr>
          <w:t>INTRODUCTION</w:t>
        </w:r>
        <w:r w:rsidRPr="00371AA1">
          <w:rPr>
            <w:webHidden/>
            <w:sz w:val="28"/>
            <w:szCs w:val="28"/>
          </w:rPr>
          <w:tab/>
        </w:r>
        <w:r w:rsidRPr="00371AA1">
          <w:rPr>
            <w:webHidden/>
            <w:sz w:val="28"/>
            <w:szCs w:val="28"/>
          </w:rPr>
          <w:fldChar w:fldCharType="begin"/>
        </w:r>
        <w:r w:rsidRPr="00371AA1">
          <w:rPr>
            <w:webHidden/>
            <w:sz w:val="28"/>
            <w:szCs w:val="28"/>
          </w:rPr>
          <w:instrText xml:space="preserve"> PAGEREF _Toc239144591 \h </w:instrText>
        </w:r>
        <w:r w:rsidRPr="00371AA1">
          <w:rPr>
            <w:webHidden/>
            <w:sz w:val="28"/>
            <w:szCs w:val="28"/>
          </w:rPr>
        </w:r>
        <w:r w:rsidRPr="00371AA1">
          <w:rPr>
            <w:webHidden/>
            <w:sz w:val="28"/>
            <w:szCs w:val="28"/>
          </w:rPr>
          <w:fldChar w:fldCharType="separate"/>
        </w:r>
        <w:r w:rsidR="00FB6402">
          <w:rPr>
            <w:webHidden/>
            <w:sz w:val="28"/>
            <w:szCs w:val="28"/>
          </w:rPr>
          <w:t>1</w:t>
        </w:r>
        <w:r w:rsidRPr="00371AA1">
          <w:rPr>
            <w:webHidden/>
            <w:sz w:val="28"/>
            <w:szCs w:val="28"/>
          </w:rPr>
          <w:fldChar w:fldCharType="end"/>
        </w:r>
      </w:hyperlink>
    </w:p>
    <w:p w14:paraId="238FC416" w14:textId="155767B9" w:rsidR="007E3FD7" w:rsidRPr="00371AA1" w:rsidRDefault="007E3FD7" w:rsidP="008D1FFB">
      <w:pPr>
        <w:pStyle w:val="TOC1"/>
        <w:rPr>
          <w:rFonts w:asciiTheme="minorHAnsi" w:eastAsiaTheme="minorEastAsia" w:hAnsiTheme="minorHAnsi" w:cstheme="minorBidi"/>
          <w:kern w:val="2"/>
          <w:sz w:val="28"/>
          <w:szCs w:val="28"/>
          <w:lang w:val="en-US"/>
          <w14:ligatures w14:val="standardContextual"/>
        </w:rPr>
      </w:pPr>
      <w:hyperlink w:anchor="_Toc239144592" w:history="1">
        <w:r w:rsidRPr="00371AA1">
          <w:rPr>
            <w:rStyle w:val="Hyperlink"/>
            <w:b w:val="0"/>
            <w:bCs w:val="0"/>
            <w:sz w:val="28"/>
            <w:szCs w:val="28"/>
          </w:rPr>
          <w:t>STATEMENT OF THE FACTS</w:t>
        </w:r>
        <w:r w:rsidRPr="00371AA1">
          <w:rPr>
            <w:webHidden/>
            <w:sz w:val="28"/>
            <w:szCs w:val="28"/>
          </w:rPr>
          <w:tab/>
        </w:r>
        <w:r w:rsidRPr="00371AA1">
          <w:rPr>
            <w:webHidden/>
            <w:sz w:val="28"/>
            <w:szCs w:val="28"/>
          </w:rPr>
          <w:fldChar w:fldCharType="begin"/>
        </w:r>
        <w:r w:rsidRPr="00371AA1">
          <w:rPr>
            <w:webHidden/>
            <w:sz w:val="28"/>
            <w:szCs w:val="28"/>
          </w:rPr>
          <w:instrText xml:space="preserve"> PAGEREF _Toc239144592 \h </w:instrText>
        </w:r>
        <w:r w:rsidRPr="00371AA1">
          <w:rPr>
            <w:webHidden/>
            <w:sz w:val="28"/>
            <w:szCs w:val="28"/>
          </w:rPr>
        </w:r>
        <w:r w:rsidRPr="00371AA1">
          <w:rPr>
            <w:webHidden/>
            <w:sz w:val="28"/>
            <w:szCs w:val="28"/>
          </w:rPr>
          <w:fldChar w:fldCharType="separate"/>
        </w:r>
        <w:r w:rsidR="00FB6402">
          <w:rPr>
            <w:webHidden/>
            <w:sz w:val="28"/>
            <w:szCs w:val="28"/>
          </w:rPr>
          <w:t>2</w:t>
        </w:r>
        <w:r w:rsidRPr="00371AA1">
          <w:rPr>
            <w:webHidden/>
            <w:sz w:val="28"/>
            <w:szCs w:val="28"/>
          </w:rPr>
          <w:fldChar w:fldCharType="end"/>
        </w:r>
      </w:hyperlink>
    </w:p>
    <w:p w14:paraId="5D6252F0" w14:textId="1BC55806" w:rsidR="007E3FD7" w:rsidRPr="00371AA1" w:rsidRDefault="007E3FD7" w:rsidP="008D1FFB">
      <w:pPr>
        <w:pStyle w:val="TOC1"/>
        <w:rPr>
          <w:rFonts w:asciiTheme="minorHAnsi" w:eastAsiaTheme="minorEastAsia" w:hAnsiTheme="minorHAnsi" w:cstheme="minorBidi"/>
          <w:kern w:val="2"/>
          <w:sz w:val="28"/>
          <w:szCs w:val="28"/>
          <w:lang w:val="en-US"/>
          <w14:ligatures w14:val="standardContextual"/>
        </w:rPr>
      </w:pPr>
      <w:hyperlink w:anchor="_Toc239144593" w:history="1">
        <w:r w:rsidRPr="00371AA1">
          <w:rPr>
            <w:rStyle w:val="Hyperlink"/>
            <w:b w:val="0"/>
            <w:bCs w:val="0"/>
            <w:sz w:val="28"/>
            <w:szCs w:val="28"/>
          </w:rPr>
          <w:t>ARGUMENT</w:t>
        </w:r>
        <w:r w:rsidRPr="00371AA1">
          <w:rPr>
            <w:webHidden/>
            <w:sz w:val="28"/>
            <w:szCs w:val="28"/>
          </w:rPr>
          <w:tab/>
        </w:r>
        <w:r w:rsidRPr="00371AA1">
          <w:rPr>
            <w:webHidden/>
            <w:sz w:val="28"/>
            <w:szCs w:val="28"/>
          </w:rPr>
          <w:fldChar w:fldCharType="begin"/>
        </w:r>
        <w:r w:rsidRPr="00371AA1">
          <w:rPr>
            <w:webHidden/>
            <w:sz w:val="28"/>
            <w:szCs w:val="28"/>
          </w:rPr>
          <w:instrText xml:space="preserve"> PAGEREF _Toc239144593 \h </w:instrText>
        </w:r>
        <w:r w:rsidRPr="00371AA1">
          <w:rPr>
            <w:webHidden/>
            <w:sz w:val="28"/>
            <w:szCs w:val="28"/>
          </w:rPr>
        </w:r>
        <w:r w:rsidRPr="00371AA1">
          <w:rPr>
            <w:webHidden/>
            <w:sz w:val="28"/>
            <w:szCs w:val="28"/>
          </w:rPr>
          <w:fldChar w:fldCharType="separate"/>
        </w:r>
        <w:r w:rsidR="00FB6402">
          <w:rPr>
            <w:webHidden/>
            <w:sz w:val="28"/>
            <w:szCs w:val="28"/>
          </w:rPr>
          <w:t>4</w:t>
        </w:r>
        <w:r w:rsidRPr="00371AA1">
          <w:rPr>
            <w:webHidden/>
            <w:sz w:val="28"/>
            <w:szCs w:val="28"/>
          </w:rPr>
          <w:fldChar w:fldCharType="end"/>
        </w:r>
      </w:hyperlink>
    </w:p>
    <w:p w14:paraId="20149DF3" w14:textId="1CB3A053" w:rsidR="007E3FD7" w:rsidRPr="00371AA1" w:rsidRDefault="007E3FD7">
      <w:pPr>
        <w:pStyle w:val="TOC2"/>
        <w:tabs>
          <w:tab w:val="left" w:pos="720"/>
          <w:tab w:val="right" w:leader="dot" w:pos="9350"/>
        </w:tabs>
        <w:rPr>
          <w:rFonts w:asciiTheme="minorHAnsi" w:eastAsiaTheme="minorEastAsia" w:hAnsiTheme="minorHAnsi" w:cstheme="minorBidi"/>
          <w:b/>
          <w:kern w:val="2"/>
          <w:sz w:val="28"/>
          <w:szCs w:val="28"/>
          <w:lang w:val="en-US"/>
          <w14:ligatures w14:val="standardContextual"/>
        </w:rPr>
      </w:pPr>
      <w:hyperlink w:anchor="_Toc239144594" w:history="1">
        <w:r w:rsidRPr="00371AA1">
          <w:rPr>
            <w:rStyle w:val="Hyperlink"/>
            <w:noProof/>
            <w:sz w:val="28"/>
            <w:szCs w:val="28"/>
          </w:rPr>
          <w:t>I.</w:t>
        </w:r>
        <w:r w:rsidRPr="00371AA1">
          <w:rPr>
            <w:rFonts w:asciiTheme="minorHAnsi" w:eastAsiaTheme="minorEastAsia" w:hAnsiTheme="minorHAnsi" w:cstheme="minorBidi"/>
            <w:b/>
            <w:bCs/>
            <w:noProof/>
            <w:kern w:val="2"/>
            <w:sz w:val="28"/>
            <w:szCs w:val="28"/>
            <w:lang w:val="en-US"/>
            <w14:ligatures w14:val="standardContextual"/>
          </w:rPr>
          <w:tab/>
        </w:r>
        <w:r w:rsidRPr="00371AA1">
          <w:rPr>
            <w:rStyle w:val="Hyperlink"/>
            <w:b/>
            <w:bCs/>
            <w:noProof/>
            <w:sz w:val="28"/>
            <w:szCs w:val="28"/>
            <w:u w:val="none"/>
          </w:rPr>
          <w:t>Exhibit 19 and the Testimony of Kennedy Parker should not be suppressed because the Government can demonstrate a wholly independent source that led them to Kennedy Parker and thus are entitled to complete their investigation.</w:t>
        </w:r>
        <w:r w:rsidRPr="00371AA1">
          <w:rPr>
            <w:b/>
            <w:bCs/>
            <w:noProof/>
            <w:webHidden/>
            <w:sz w:val="28"/>
            <w:szCs w:val="28"/>
          </w:rPr>
          <w:tab/>
        </w:r>
        <w:r w:rsidRPr="00371AA1">
          <w:rPr>
            <w:b/>
            <w:bCs/>
            <w:noProof/>
            <w:webHidden/>
            <w:sz w:val="28"/>
            <w:szCs w:val="28"/>
          </w:rPr>
          <w:fldChar w:fldCharType="begin"/>
        </w:r>
        <w:r w:rsidRPr="00371AA1">
          <w:rPr>
            <w:b/>
            <w:bCs/>
            <w:noProof/>
            <w:webHidden/>
            <w:sz w:val="28"/>
            <w:szCs w:val="28"/>
          </w:rPr>
          <w:instrText xml:space="preserve"> PAGEREF _Toc239144594 \h </w:instrText>
        </w:r>
        <w:r w:rsidRPr="00371AA1">
          <w:rPr>
            <w:b/>
            <w:bCs/>
            <w:noProof/>
            <w:webHidden/>
            <w:sz w:val="28"/>
            <w:szCs w:val="28"/>
          </w:rPr>
        </w:r>
        <w:r w:rsidRPr="00371AA1">
          <w:rPr>
            <w:b/>
            <w:bCs/>
            <w:noProof/>
            <w:webHidden/>
            <w:sz w:val="28"/>
            <w:szCs w:val="28"/>
          </w:rPr>
          <w:fldChar w:fldCharType="separate"/>
        </w:r>
        <w:r w:rsidR="00FB6402">
          <w:rPr>
            <w:b/>
            <w:bCs/>
            <w:noProof/>
            <w:webHidden/>
            <w:sz w:val="28"/>
            <w:szCs w:val="28"/>
          </w:rPr>
          <w:t>4</w:t>
        </w:r>
        <w:r w:rsidRPr="00371AA1">
          <w:rPr>
            <w:b/>
            <w:bCs/>
            <w:noProof/>
            <w:webHidden/>
            <w:sz w:val="28"/>
            <w:szCs w:val="28"/>
          </w:rPr>
          <w:fldChar w:fldCharType="end"/>
        </w:r>
      </w:hyperlink>
    </w:p>
    <w:p w14:paraId="51FC482C" w14:textId="37B4E5BA" w:rsidR="007E3FD7" w:rsidRPr="005B045D" w:rsidRDefault="007E3FD7">
      <w:pPr>
        <w:pStyle w:val="TOC3"/>
        <w:tabs>
          <w:tab w:val="left" w:pos="960"/>
          <w:tab w:val="right" w:leader="dot" w:pos="9350"/>
        </w:tabs>
        <w:rPr>
          <w:rFonts w:asciiTheme="minorHAnsi" w:eastAsiaTheme="minorEastAsia" w:hAnsiTheme="minorHAnsi" w:cstheme="minorBidi"/>
          <w:kern w:val="2"/>
          <w:sz w:val="28"/>
          <w:szCs w:val="28"/>
          <w:lang w:val="en-US"/>
          <w14:ligatures w14:val="standardContextual"/>
        </w:rPr>
      </w:pPr>
      <w:hyperlink w:anchor="_Toc239144595" w:history="1">
        <w:r w:rsidRPr="005B045D">
          <w:rPr>
            <w:rStyle w:val="Hyperlink"/>
            <w:sz w:val="28"/>
            <w:szCs w:val="28"/>
            <w:u w:val="none"/>
          </w:rPr>
          <w:t>A.</w:t>
        </w:r>
        <w:r w:rsidRPr="005B045D">
          <w:rPr>
            <w:rFonts w:asciiTheme="minorHAnsi" w:eastAsiaTheme="minorEastAsia" w:hAnsiTheme="minorHAnsi" w:cstheme="minorBidi"/>
            <w:kern w:val="2"/>
            <w:sz w:val="28"/>
            <w:szCs w:val="28"/>
            <w:lang w:val="en-US"/>
            <w14:ligatures w14:val="standardContextual"/>
          </w:rPr>
          <w:tab/>
        </w:r>
        <w:r w:rsidRPr="005B045D">
          <w:rPr>
            <w:rStyle w:val="Hyperlink"/>
            <w:sz w:val="28"/>
            <w:szCs w:val="28"/>
            <w:u w:val="none"/>
          </w:rPr>
          <w:t>Calloway is entitled to use and derivative-use immunity.</w:t>
        </w:r>
        <w:r w:rsidRPr="005B045D">
          <w:rPr>
            <w:webHidden/>
            <w:sz w:val="28"/>
            <w:szCs w:val="28"/>
          </w:rPr>
          <w:tab/>
        </w:r>
        <w:r w:rsidRPr="005B045D">
          <w:rPr>
            <w:webHidden/>
            <w:sz w:val="28"/>
            <w:szCs w:val="28"/>
          </w:rPr>
          <w:fldChar w:fldCharType="begin"/>
        </w:r>
        <w:r w:rsidRPr="005B045D">
          <w:rPr>
            <w:webHidden/>
            <w:sz w:val="28"/>
            <w:szCs w:val="28"/>
          </w:rPr>
          <w:instrText xml:space="preserve"> PAGEREF _Toc239144595 \h </w:instrText>
        </w:r>
        <w:r w:rsidRPr="005B045D">
          <w:rPr>
            <w:webHidden/>
            <w:sz w:val="28"/>
            <w:szCs w:val="28"/>
          </w:rPr>
        </w:r>
        <w:r w:rsidRPr="005B045D">
          <w:rPr>
            <w:webHidden/>
            <w:sz w:val="28"/>
            <w:szCs w:val="28"/>
          </w:rPr>
          <w:fldChar w:fldCharType="separate"/>
        </w:r>
        <w:r w:rsidR="00FB6402">
          <w:rPr>
            <w:noProof/>
            <w:webHidden/>
            <w:sz w:val="28"/>
            <w:szCs w:val="28"/>
          </w:rPr>
          <w:t>5</w:t>
        </w:r>
        <w:r w:rsidRPr="005B045D">
          <w:rPr>
            <w:webHidden/>
            <w:sz w:val="28"/>
            <w:szCs w:val="28"/>
          </w:rPr>
          <w:fldChar w:fldCharType="end"/>
        </w:r>
      </w:hyperlink>
    </w:p>
    <w:p w14:paraId="5669921B" w14:textId="26E72D4E" w:rsidR="007E3FD7" w:rsidRPr="005B045D" w:rsidRDefault="007E3FD7">
      <w:pPr>
        <w:pStyle w:val="TOC3"/>
        <w:tabs>
          <w:tab w:val="left" w:pos="960"/>
          <w:tab w:val="right" w:leader="dot" w:pos="9350"/>
        </w:tabs>
        <w:rPr>
          <w:rFonts w:asciiTheme="minorHAnsi" w:eastAsiaTheme="minorEastAsia" w:hAnsiTheme="minorHAnsi" w:cstheme="minorBidi"/>
          <w:kern w:val="2"/>
          <w:sz w:val="28"/>
          <w:szCs w:val="28"/>
          <w:lang w:val="en-US"/>
          <w14:ligatures w14:val="standardContextual"/>
        </w:rPr>
      </w:pPr>
      <w:hyperlink w:anchor="_Toc239144596" w:history="1">
        <w:r w:rsidRPr="005B045D">
          <w:rPr>
            <w:rStyle w:val="Hyperlink"/>
            <w:sz w:val="28"/>
            <w:szCs w:val="28"/>
            <w:u w:val="none"/>
          </w:rPr>
          <w:t>B.</w:t>
        </w:r>
        <w:r w:rsidRPr="005B045D">
          <w:rPr>
            <w:rFonts w:asciiTheme="minorHAnsi" w:eastAsiaTheme="minorEastAsia" w:hAnsiTheme="minorHAnsi" w:cstheme="minorBidi"/>
            <w:kern w:val="2"/>
            <w:sz w:val="28"/>
            <w:szCs w:val="28"/>
            <w:lang w:val="en-US"/>
            <w14:ligatures w14:val="standardContextual"/>
          </w:rPr>
          <w:tab/>
        </w:r>
        <w:r w:rsidRPr="005B045D">
          <w:rPr>
            <w:rStyle w:val="Hyperlink"/>
            <w:sz w:val="28"/>
            <w:szCs w:val="28"/>
            <w:u w:val="none"/>
          </w:rPr>
          <w:t>The exhibit and testimony are derived from a wholly independent source</w:t>
        </w:r>
        <w:r w:rsidR="00400061">
          <w:rPr>
            <w:rStyle w:val="Hyperlink"/>
            <w:sz w:val="28"/>
            <w:szCs w:val="28"/>
            <w:u w:val="none"/>
          </w:rPr>
          <w:t>…</w:t>
        </w:r>
        <w:r w:rsidRPr="005B045D">
          <w:rPr>
            <w:webHidden/>
            <w:sz w:val="28"/>
            <w:szCs w:val="28"/>
          </w:rPr>
          <w:tab/>
        </w:r>
        <w:r w:rsidRPr="005B045D">
          <w:rPr>
            <w:webHidden/>
            <w:sz w:val="28"/>
            <w:szCs w:val="28"/>
          </w:rPr>
          <w:fldChar w:fldCharType="begin"/>
        </w:r>
        <w:r w:rsidRPr="005B045D">
          <w:rPr>
            <w:webHidden/>
            <w:sz w:val="28"/>
            <w:szCs w:val="28"/>
          </w:rPr>
          <w:instrText xml:space="preserve"> PAGEREF _Toc239144596 \h </w:instrText>
        </w:r>
        <w:r w:rsidRPr="005B045D">
          <w:rPr>
            <w:webHidden/>
            <w:sz w:val="28"/>
            <w:szCs w:val="28"/>
          </w:rPr>
        </w:r>
        <w:r w:rsidRPr="005B045D">
          <w:rPr>
            <w:webHidden/>
            <w:sz w:val="28"/>
            <w:szCs w:val="28"/>
          </w:rPr>
          <w:fldChar w:fldCharType="separate"/>
        </w:r>
        <w:r w:rsidR="00FB6402">
          <w:rPr>
            <w:noProof/>
            <w:webHidden/>
            <w:sz w:val="28"/>
            <w:szCs w:val="28"/>
          </w:rPr>
          <w:t>6</w:t>
        </w:r>
        <w:r w:rsidRPr="005B045D">
          <w:rPr>
            <w:webHidden/>
            <w:sz w:val="28"/>
            <w:szCs w:val="28"/>
          </w:rPr>
          <w:fldChar w:fldCharType="end"/>
        </w:r>
      </w:hyperlink>
    </w:p>
    <w:p w14:paraId="2B16F2A5" w14:textId="5F38696B" w:rsidR="007E3FD7" w:rsidRPr="005B045D" w:rsidRDefault="007E3FD7">
      <w:pPr>
        <w:pStyle w:val="TOC3"/>
        <w:tabs>
          <w:tab w:val="left" w:pos="960"/>
          <w:tab w:val="right" w:leader="dot" w:pos="9350"/>
        </w:tabs>
        <w:rPr>
          <w:rFonts w:asciiTheme="minorHAnsi" w:eastAsiaTheme="minorEastAsia" w:hAnsiTheme="minorHAnsi" w:cstheme="minorBidi"/>
          <w:kern w:val="2"/>
          <w:sz w:val="28"/>
          <w:szCs w:val="28"/>
          <w:lang w:val="en-US"/>
          <w14:ligatures w14:val="standardContextual"/>
        </w:rPr>
      </w:pPr>
      <w:hyperlink w:anchor="_Toc239144597" w:history="1">
        <w:r w:rsidRPr="005B045D">
          <w:rPr>
            <w:rStyle w:val="Hyperlink"/>
            <w:sz w:val="28"/>
            <w:szCs w:val="28"/>
            <w:u w:val="none"/>
          </w:rPr>
          <w:t>C.</w:t>
        </w:r>
        <w:r w:rsidRPr="005B045D">
          <w:rPr>
            <w:rFonts w:asciiTheme="minorHAnsi" w:eastAsiaTheme="minorEastAsia" w:hAnsiTheme="minorHAnsi" w:cstheme="minorBidi"/>
            <w:kern w:val="2"/>
            <w:sz w:val="28"/>
            <w:szCs w:val="28"/>
            <w:lang w:val="en-US"/>
            <w14:ligatures w14:val="standardContextual"/>
          </w:rPr>
          <w:tab/>
        </w:r>
        <w:r w:rsidRPr="005B045D">
          <w:rPr>
            <w:rStyle w:val="Hyperlink"/>
            <w:sz w:val="28"/>
            <w:szCs w:val="28"/>
            <w:u w:val="none"/>
          </w:rPr>
          <w:t>When an investigation is not finished, the Government can continue it; in this case, the investigation proceeded according to procedure.</w:t>
        </w:r>
        <w:r w:rsidRPr="005B045D">
          <w:rPr>
            <w:webHidden/>
            <w:sz w:val="28"/>
            <w:szCs w:val="28"/>
          </w:rPr>
          <w:tab/>
        </w:r>
        <w:r w:rsidRPr="005B045D">
          <w:rPr>
            <w:webHidden/>
            <w:sz w:val="28"/>
            <w:szCs w:val="28"/>
          </w:rPr>
          <w:fldChar w:fldCharType="begin"/>
        </w:r>
        <w:r w:rsidRPr="005B045D">
          <w:rPr>
            <w:webHidden/>
            <w:sz w:val="28"/>
            <w:szCs w:val="28"/>
          </w:rPr>
          <w:instrText xml:space="preserve"> PAGEREF _Toc239144597 \h </w:instrText>
        </w:r>
        <w:r w:rsidRPr="005B045D">
          <w:rPr>
            <w:webHidden/>
            <w:sz w:val="28"/>
            <w:szCs w:val="28"/>
          </w:rPr>
        </w:r>
        <w:r w:rsidRPr="005B045D">
          <w:rPr>
            <w:webHidden/>
            <w:sz w:val="28"/>
            <w:szCs w:val="28"/>
          </w:rPr>
          <w:fldChar w:fldCharType="separate"/>
        </w:r>
        <w:r w:rsidR="00FB6402">
          <w:rPr>
            <w:noProof/>
            <w:webHidden/>
            <w:sz w:val="28"/>
            <w:szCs w:val="28"/>
          </w:rPr>
          <w:t>10</w:t>
        </w:r>
        <w:r w:rsidRPr="005B045D">
          <w:rPr>
            <w:webHidden/>
            <w:sz w:val="28"/>
            <w:szCs w:val="28"/>
          </w:rPr>
          <w:fldChar w:fldCharType="end"/>
        </w:r>
      </w:hyperlink>
    </w:p>
    <w:p w14:paraId="2A677FCE" w14:textId="013D7D8C" w:rsidR="007E3FD7" w:rsidRPr="00371AA1" w:rsidRDefault="007E3FD7" w:rsidP="275E1E06">
      <w:pPr>
        <w:pStyle w:val="TOC2"/>
        <w:tabs>
          <w:tab w:val="left" w:pos="720"/>
          <w:tab w:val="right" w:leader="dot" w:pos="9350"/>
        </w:tabs>
        <w:rPr>
          <w:rFonts w:asciiTheme="minorHAnsi" w:eastAsiaTheme="minorEastAsia" w:hAnsiTheme="minorHAnsi" w:cstheme="minorBidi"/>
          <w:noProof/>
          <w:kern w:val="2"/>
          <w:sz w:val="28"/>
          <w:szCs w:val="28"/>
          <w:lang w:val="en-US"/>
          <w14:ligatures w14:val="standardContextual"/>
        </w:rPr>
      </w:pPr>
      <w:hyperlink w:anchor="_Toc239144598" w:history="1">
        <w:r w:rsidRPr="00371AA1">
          <w:rPr>
            <w:rStyle w:val="Hyperlink"/>
            <w:noProof/>
            <w:sz w:val="28"/>
            <w:szCs w:val="28"/>
          </w:rPr>
          <w:t>II.</w:t>
        </w:r>
        <w:r w:rsidRPr="00371AA1">
          <w:rPr>
            <w:rFonts w:asciiTheme="minorHAnsi" w:eastAsiaTheme="minorEastAsia" w:hAnsiTheme="minorHAnsi" w:cstheme="minorBidi"/>
            <w:noProof/>
            <w:kern w:val="2"/>
            <w:sz w:val="28"/>
            <w:szCs w:val="28"/>
            <w:lang w:val="en-US"/>
            <w14:ligatures w14:val="standardContextual"/>
          </w:rPr>
          <w:tab/>
        </w:r>
        <w:r w:rsidRPr="00371AA1">
          <w:rPr>
            <w:rStyle w:val="Hyperlink"/>
            <w:b/>
            <w:bCs/>
            <w:noProof/>
            <w:sz w:val="28"/>
            <w:szCs w:val="28"/>
            <w:u w:val="none"/>
          </w:rPr>
          <w:t>Defendant’s Motion to Quash United States Subpoena Duces Tecum on Maddox Armana for the production of any and all records of Armana’s interview of Sierra Seton on February 15, 2024, should be denied because the work-product doctrine is not absolute and because the Government faces undue hardship in producing the witness.</w:t>
        </w:r>
        <w:r w:rsidRPr="00371AA1">
          <w:rPr>
            <w:b/>
            <w:bCs/>
            <w:noProof/>
            <w:webHidden/>
            <w:sz w:val="28"/>
            <w:szCs w:val="28"/>
          </w:rPr>
          <w:tab/>
        </w:r>
        <w:r w:rsidRPr="00371AA1">
          <w:rPr>
            <w:b/>
            <w:bCs/>
            <w:noProof/>
            <w:webHidden/>
            <w:sz w:val="28"/>
            <w:szCs w:val="28"/>
          </w:rPr>
          <w:fldChar w:fldCharType="begin"/>
        </w:r>
        <w:r w:rsidRPr="00371AA1">
          <w:rPr>
            <w:b/>
            <w:bCs/>
            <w:noProof/>
            <w:webHidden/>
            <w:sz w:val="28"/>
            <w:szCs w:val="28"/>
          </w:rPr>
          <w:instrText xml:space="preserve"> PAGEREF _Toc239144598 \h </w:instrText>
        </w:r>
        <w:r w:rsidRPr="00371AA1">
          <w:rPr>
            <w:b/>
            <w:bCs/>
            <w:noProof/>
            <w:webHidden/>
            <w:sz w:val="28"/>
            <w:szCs w:val="28"/>
          </w:rPr>
        </w:r>
        <w:r w:rsidRPr="00371AA1">
          <w:rPr>
            <w:b/>
            <w:bCs/>
            <w:noProof/>
            <w:webHidden/>
            <w:sz w:val="28"/>
            <w:szCs w:val="28"/>
          </w:rPr>
          <w:fldChar w:fldCharType="separate"/>
        </w:r>
        <w:r w:rsidR="00FB6402">
          <w:rPr>
            <w:b/>
            <w:bCs/>
            <w:noProof/>
            <w:webHidden/>
            <w:sz w:val="28"/>
            <w:szCs w:val="28"/>
          </w:rPr>
          <w:t>12</w:t>
        </w:r>
        <w:r w:rsidRPr="00371AA1">
          <w:rPr>
            <w:b/>
            <w:bCs/>
            <w:noProof/>
            <w:webHidden/>
            <w:sz w:val="28"/>
            <w:szCs w:val="28"/>
          </w:rPr>
          <w:fldChar w:fldCharType="end"/>
        </w:r>
      </w:hyperlink>
    </w:p>
    <w:p w14:paraId="5F9ECFD6" w14:textId="1804CC8E" w:rsidR="007E3FD7" w:rsidRPr="00371AA1" w:rsidRDefault="007E3FD7">
      <w:pPr>
        <w:pStyle w:val="TOC3"/>
        <w:tabs>
          <w:tab w:val="left" w:pos="960"/>
          <w:tab w:val="right" w:leader="dot" w:pos="9350"/>
        </w:tabs>
        <w:rPr>
          <w:rFonts w:asciiTheme="minorHAnsi" w:eastAsiaTheme="minorEastAsia" w:hAnsiTheme="minorHAnsi" w:cstheme="minorBidi"/>
          <w:kern w:val="2"/>
          <w:sz w:val="28"/>
          <w:szCs w:val="28"/>
          <w:lang w:val="en-US"/>
          <w14:ligatures w14:val="standardContextual"/>
        </w:rPr>
      </w:pPr>
      <w:hyperlink w:anchor="_Toc239144599" w:history="1">
        <w:r w:rsidRPr="00371AA1">
          <w:rPr>
            <w:rStyle w:val="Hyperlink"/>
            <w:sz w:val="28"/>
            <w:szCs w:val="28"/>
            <w:u w:val="none"/>
          </w:rPr>
          <w:t>A.</w:t>
        </w:r>
        <w:r w:rsidRPr="00371AA1">
          <w:rPr>
            <w:rFonts w:asciiTheme="minorHAnsi" w:eastAsiaTheme="minorEastAsia" w:hAnsiTheme="minorHAnsi" w:cstheme="minorBidi"/>
            <w:kern w:val="2"/>
            <w:sz w:val="28"/>
            <w:szCs w:val="28"/>
            <w:lang w:val="en-US"/>
            <w14:ligatures w14:val="standardContextual"/>
          </w:rPr>
          <w:tab/>
        </w:r>
        <w:r w:rsidRPr="00371AA1">
          <w:rPr>
            <w:rStyle w:val="Hyperlink"/>
            <w:sz w:val="28"/>
            <w:szCs w:val="28"/>
            <w:u w:val="none"/>
          </w:rPr>
          <w:t>The Court should deny Defendant’s motion to quash because the work-product privilege is not absolute.</w:t>
        </w:r>
        <w:r w:rsidRPr="00371AA1">
          <w:rPr>
            <w:webHidden/>
            <w:sz w:val="28"/>
            <w:szCs w:val="28"/>
          </w:rPr>
          <w:tab/>
        </w:r>
        <w:r w:rsidRPr="00371AA1">
          <w:rPr>
            <w:webHidden/>
            <w:sz w:val="28"/>
            <w:szCs w:val="28"/>
          </w:rPr>
          <w:fldChar w:fldCharType="begin"/>
        </w:r>
        <w:r w:rsidRPr="00371AA1">
          <w:rPr>
            <w:webHidden/>
            <w:sz w:val="28"/>
            <w:szCs w:val="28"/>
          </w:rPr>
          <w:instrText xml:space="preserve"> PAGEREF _Toc239144599 \h </w:instrText>
        </w:r>
        <w:r w:rsidRPr="00371AA1">
          <w:rPr>
            <w:webHidden/>
            <w:sz w:val="28"/>
            <w:szCs w:val="28"/>
          </w:rPr>
        </w:r>
        <w:r w:rsidRPr="00371AA1">
          <w:rPr>
            <w:webHidden/>
            <w:sz w:val="28"/>
            <w:szCs w:val="28"/>
          </w:rPr>
          <w:fldChar w:fldCharType="separate"/>
        </w:r>
        <w:r w:rsidR="00FB6402">
          <w:rPr>
            <w:noProof/>
            <w:webHidden/>
            <w:sz w:val="28"/>
            <w:szCs w:val="28"/>
          </w:rPr>
          <w:t>12</w:t>
        </w:r>
        <w:r w:rsidRPr="00371AA1">
          <w:rPr>
            <w:webHidden/>
            <w:sz w:val="28"/>
            <w:szCs w:val="28"/>
          </w:rPr>
          <w:fldChar w:fldCharType="end"/>
        </w:r>
      </w:hyperlink>
    </w:p>
    <w:p w14:paraId="6A9821F3" w14:textId="1EE241B4" w:rsidR="007E3FD7" w:rsidRPr="00371AA1" w:rsidRDefault="007E3FD7">
      <w:pPr>
        <w:pStyle w:val="TOC3"/>
        <w:tabs>
          <w:tab w:val="left" w:pos="960"/>
          <w:tab w:val="right" w:leader="dot" w:pos="9350"/>
        </w:tabs>
        <w:rPr>
          <w:rFonts w:asciiTheme="minorHAnsi" w:eastAsiaTheme="minorEastAsia" w:hAnsiTheme="minorHAnsi" w:cstheme="minorBidi"/>
          <w:kern w:val="2"/>
          <w:sz w:val="28"/>
          <w:szCs w:val="28"/>
          <w:lang w:val="en-US"/>
          <w14:ligatures w14:val="standardContextual"/>
        </w:rPr>
      </w:pPr>
      <w:hyperlink w:anchor="_Toc239144600" w:history="1">
        <w:r w:rsidRPr="00371AA1">
          <w:rPr>
            <w:rStyle w:val="Hyperlink"/>
            <w:sz w:val="28"/>
            <w:szCs w:val="28"/>
            <w:u w:val="none"/>
          </w:rPr>
          <w:t>B.</w:t>
        </w:r>
        <w:r w:rsidRPr="00371AA1">
          <w:rPr>
            <w:rFonts w:asciiTheme="minorHAnsi" w:eastAsiaTheme="minorEastAsia" w:hAnsiTheme="minorHAnsi" w:cstheme="minorBidi"/>
            <w:kern w:val="2"/>
            <w:sz w:val="28"/>
            <w:szCs w:val="28"/>
            <w:lang w:val="en-US"/>
            <w14:ligatures w14:val="standardContextual"/>
          </w:rPr>
          <w:tab/>
        </w:r>
        <w:r w:rsidRPr="00371AA1">
          <w:rPr>
            <w:rStyle w:val="Hyperlink"/>
            <w:sz w:val="28"/>
            <w:szCs w:val="28"/>
            <w:u w:val="none"/>
          </w:rPr>
          <w:t>The Court should deny Defendant’s motion to quash in accordance with the work product doctrine exception and the Government has demonstrated substantial need and undue hardship because Seton is unavailable and her information cannot be obtained elsewhere.</w:t>
        </w:r>
        <w:r w:rsidRPr="00371AA1">
          <w:rPr>
            <w:webHidden/>
            <w:sz w:val="28"/>
            <w:szCs w:val="28"/>
          </w:rPr>
          <w:tab/>
        </w:r>
        <w:r w:rsidRPr="00371AA1">
          <w:rPr>
            <w:webHidden/>
            <w:sz w:val="28"/>
            <w:szCs w:val="28"/>
          </w:rPr>
          <w:fldChar w:fldCharType="begin"/>
        </w:r>
        <w:r w:rsidRPr="00371AA1">
          <w:rPr>
            <w:webHidden/>
            <w:sz w:val="28"/>
            <w:szCs w:val="28"/>
          </w:rPr>
          <w:instrText xml:space="preserve"> PAGEREF _Toc239144600 \h </w:instrText>
        </w:r>
        <w:r w:rsidRPr="00371AA1">
          <w:rPr>
            <w:webHidden/>
            <w:sz w:val="28"/>
            <w:szCs w:val="28"/>
          </w:rPr>
        </w:r>
        <w:r w:rsidRPr="00371AA1">
          <w:rPr>
            <w:webHidden/>
            <w:sz w:val="28"/>
            <w:szCs w:val="28"/>
          </w:rPr>
          <w:fldChar w:fldCharType="separate"/>
        </w:r>
        <w:r w:rsidR="00FB6402">
          <w:rPr>
            <w:noProof/>
            <w:webHidden/>
            <w:sz w:val="28"/>
            <w:szCs w:val="28"/>
          </w:rPr>
          <w:t>17</w:t>
        </w:r>
        <w:r w:rsidRPr="00371AA1">
          <w:rPr>
            <w:webHidden/>
            <w:sz w:val="28"/>
            <w:szCs w:val="28"/>
          </w:rPr>
          <w:fldChar w:fldCharType="end"/>
        </w:r>
      </w:hyperlink>
    </w:p>
    <w:p w14:paraId="695B65FB" w14:textId="263B9A51" w:rsidR="007E3FD7" w:rsidRPr="008D1FFB" w:rsidRDefault="007E3FD7" w:rsidP="008D1FFB">
      <w:pPr>
        <w:pStyle w:val="TOC1"/>
        <w:rPr>
          <w:rFonts w:asciiTheme="minorHAnsi" w:eastAsiaTheme="minorEastAsia" w:hAnsiTheme="minorHAnsi" w:cstheme="minorBidi"/>
          <w:kern w:val="2"/>
          <w:lang w:val="en-US"/>
          <w14:ligatures w14:val="standardContextual"/>
        </w:rPr>
      </w:pPr>
      <w:hyperlink w:anchor="_Toc239144601" w:history="1">
        <w:r w:rsidRPr="008D1FFB">
          <w:rPr>
            <w:rStyle w:val="Hyperlink"/>
            <w:b w:val="0"/>
            <w:bCs w:val="0"/>
          </w:rPr>
          <w:t>CONCLUSION</w:t>
        </w:r>
        <w:r w:rsidRPr="008D1FFB">
          <w:rPr>
            <w:webHidden/>
          </w:rPr>
          <w:tab/>
        </w:r>
        <w:r w:rsidRPr="008D1FFB">
          <w:rPr>
            <w:webHidden/>
          </w:rPr>
          <w:fldChar w:fldCharType="begin"/>
        </w:r>
        <w:r w:rsidRPr="008D1FFB">
          <w:rPr>
            <w:webHidden/>
          </w:rPr>
          <w:instrText xml:space="preserve"> PAGEREF _Toc239144601 \h </w:instrText>
        </w:r>
        <w:r w:rsidRPr="008D1FFB">
          <w:rPr>
            <w:webHidden/>
          </w:rPr>
        </w:r>
        <w:r w:rsidRPr="008D1FFB">
          <w:rPr>
            <w:webHidden/>
          </w:rPr>
          <w:fldChar w:fldCharType="separate"/>
        </w:r>
        <w:r w:rsidR="00FB6402">
          <w:rPr>
            <w:webHidden/>
          </w:rPr>
          <w:t>21</w:t>
        </w:r>
        <w:r w:rsidRPr="008D1FFB">
          <w:rPr>
            <w:webHidden/>
          </w:rPr>
          <w:fldChar w:fldCharType="end"/>
        </w:r>
      </w:hyperlink>
    </w:p>
    <w:p w14:paraId="0BB18601" w14:textId="72642DF0" w:rsidR="0003178E" w:rsidRPr="0003178E" w:rsidRDefault="0003178E" w:rsidP="0003178E">
      <w:r>
        <w:fldChar w:fldCharType="end"/>
      </w:r>
    </w:p>
    <w:p w14:paraId="00000016" w14:textId="77777777" w:rsidR="00A63F18" w:rsidRPr="00C3393C" w:rsidRDefault="00A47554">
      <w:pPr>
        <w:keepLines/>
        <w:spacing w:after="160" w:line="480" w:lineRule="auto"/>
        <w:jc w:val="both"/>
        <w:rPr>
          <w:sz w:val="28"/>
          <w:szCs w:val="28"/>
        </w:rPr>
      </w:pPr>
      <w:r w:rsidRPr="00C3393C">
        <w:rPr>
          <w:sz w:val="28"/>
          <w:szCs w:val="28"/>
        </w:rPr>
        <w:br w:type="page"/>
      </w:r>
    </w:p>
    <w:p w14:paraId="0A53F05B" w14:textId="34567EAF" w:rsidR="00A63F18" w:rsidRDefault="00A47554" w:rsidP="003F254D">
      <w:pPr>
        <w:pStyle w:val="Heading1"/>
      </w:pPr>
      <w:bookmarkStart w:id="1" w:name="_Toc239144590"/>
      <w:r>
        <w:lastRenderedPageBreak/>
        <w:t>TABLE OF AUTHORITIES</w:t>
      </w:r>
      <w:bookmarkEnd w:id="1"/>
    </w:p>
    <w:p w14:paraId="1EA6C65E" w14:textId="77777777" w:rsidR="00A510F5" w:rsidRPr="00FB0DA7" w:rsidRDefault="00A510F5" w:rsidP="00FE65D4">
      <w:pPr>
        <w:pStyle w:val="TOAHeading"/>
        <w:tabs>
          <w:tab w:val="right" w:leader="dot" w:pos="9350"/>
        </w:tabs>
        <w:spacing w:line="480" w:lineRule="auto"/>
        <w:rPr>
          <w:rFonts w:ascii="Times New Roman" w:eastAsiaTheme="minorEastAsia" w:hAnsi="Times New Roman" w:cs="Times New Roman"/>
          <w:b w:val="0"/>
          <w:bCs w:val="0"/>
          <w:noProof/>
          <w:sz w:val="28"/>
          <w:szCs w:val="28"/>
        </w:rPr>
      </w:pPr>
      <w:r w:rsidRPr="00FB0DA7">
        <w:rPr>
          <w:rFonts w:ascii="Times New Roman" w:hAnsi="Times New Roman" w:cs="Times New Roman"/>
          <w:sz w:val="28"/>
          <w:szCs w:val="28"/>
        </w:rPr>
        <w:fldChar w:fldCharType="begin"/>
      </w:r>
      <w:r w:rsidRPr="00FB0DA7">
        <w:rPr>
          <w:rFonts w:ascii="Times New Roman" w:hAnsi="Times New Roman" w:cs="Times New Roman"/>
          <w:sz w:val="28"/>
          <w:szCs w:val="28"/>
        </w:rPr>
        <w:instrText xml:space="preserve"> TOA \h \c "1" \p </w:instrText>
      </w:r>
      <w:r w:rsidRPr="00FB0DA7">
        <w:rPr>
          <w:rFonts w:ascii="Times New Roman" w:hAnsi="Times New Roman" w:cs="Times New Roman"/>
          <w:sz w:val="28"/>
          <w:szCs w:val="28"/>
        </w:rPr>
        <w:fldChar w:fldCharType="separate"/>
      </w:r>
      <w:r w:rsidRPr="00FB0DA7">
        <w:rPr>
          <w:rFonts w:ascii="Times New Roman" w:hAnsi="Times New Roman" w:cs="Times New Roman"/>
          <w:noProof/>
          <w:sz w:val="28"/>
          <w:szCs w:val="28"/>
        </w:rPr>
        <w:t>Cases</w:t>
      </w:r>
    </w:p>
    <w:p w14:paraId="7F14CBC7" w14:textId="66F13948" w:rsidR="00A510F5" w:rsidRPr="00FB0DA7" w:rsidRDefault="00A510F5" w:rsidP="00FE65D4">
      <w:pPr>
        <w:pStyle w:val="TableofAuthorities"/>
        <w:tabs>
          <w:tab w:val="right" w:leader="dot" w:pos="9350"/>
        </w:tabs>
        <w:spacing w:line="480" w:lineRule="auto"/>
        <w:rPr>
          <w:rFonts w:ascii="Times New Roman" w:hAnsi="Times New Roman"/>
          <w:noProof/>
          <w:sz w:val="28"/>
          <w:szCs w:val="28"/>
        </w:rPr>
      </w:pPr>
      <w:r w:rsidRPr="00FB0DA7">
        <w:rPr>
          <w:rFonts w:ascii="Times New Roman" w:hAnsi="Times New Roman"/>
          <w:i/>
          <w:iCs/>
          <w:noProof/>
          <w:sz w:val="28"/>
          <w:szCs w:val="28"/>
        </w:rPr>
        <w:t>Burrow v. Forjas Taurus S.A.</w:t>
      </w:r>
      <w:r w:rsidRPr="00FB0DA7">
        <w:rPr>
          <w:rFonts w:ascii="Times New Roman" w:hAnsi="Times New Roman"/>
          <w:noProof/>
          <w:sz w:val="28"/>
          <w:szCs w:val="28"/>
        </w:rPr>
        <w:t>, 334 F. Supp. 3d 1222 (S.D. Fla. 2018)</w:t>
      </w:r>
      <w:r w:rsidRPr="00FB0DA7">
        <w:rPr>
          <w:rFonts w:ascii="Times New Roman" w:hAnsi="Times New Roman"/>
          <w:noProof/>
          <w:sz w:val="28"/>
          <w:szCs w:val="28"/>
        </w:rPr>
        <w:tab/>
        <w:t>20</w:t>
      </w:r>
    </w:p>
    <w:p w14:paraId="6848955E" w14:textId="77777777" w:rsidR="00C62627" w:rsidRDefault="00A510F5" w:rsidP="00FE65D4">
      <w:pPr>
        <w:pStyle w:val="TableofAuthorities"/>
        <w:tabs>
          <w:tab w:val="right" w:leader="dot" w:pos="9350"/>
        </w:tabs>
        <w:spacing w:line="480" w:lineRule="auto"/>
        <w:rPr>
          <w:rFonts w:ascii="Times New Roman" w:hAnsi="Times New Roman"/>
          <w:noProof/>
          <w:sz w:val="28"/>
          <w:szCs w:val="28"/>
        </w:rPr>
      </w:pPr>
      <w:r w:rsidRPr="00FB0DA7">
        <w:rPr>
          <w:rFonts w:ascii="Times New Roman" w:hAnsi="Times New Roman"/>
          <w:i/>
          <w:iCs/>
          <w:noProof/>
          <w:sz w:val="28"/>
          <w:szCs w:val="28"/>
        </w:rPr>
        <w:t>Dir., Off. of Thrift Supervision v. Vinson &amp; Elkins, LLP</w:t>
      </w:r>
      <w:r w:rsidRPr="00FB0DA7">
        <w:rPr>
          <w:rFonts w:ascii="Times New Roman" w:hAnsi="Times New Roman"/>
          <w:noProof/>
          <w:sz w:val="28"/>
          <w:szCs w:val="28"/>
        </w:rPr>
        <w:t xml:space="preserve">, </w:t>
      </w:r>
    </w:p>
    <w:p w14:paraId="5BDA8402" w14:textId="1B1AA56A" w:rsidR="00A510F5" w:rsidRPr="00FB0DA7" w:rsidRDefault="00A510F5" w:rsidP="00FE65D4">
      <w:pPr>
        <w:pStyle w:val="TableofAuthorities"/>
        <w:tabs>
          <w:tab w:val="right" w:leader="dot" w:pos="9350"/>
        </w:tabs>
        <w:spacing w:line="480" w:lineRule="auto"/>
        <w:rPr>
          <w:rFonts w:ascii="Times New Roman" w:hAnsi="Times New Roman"/>
          <w:noProof/>
          <w:sz w:val="28"/>
          <w:szCs w:val="28"/>
        </w:rPr>
      </w:pPr>
      <w:r w:rsidRPr="00FB0DA7">
        <w:rPr>
          <w:rFonts w:ascii="Times New Roman" w:hAnsi="Times New Roman"/>
          <w:noProof/>
          <w:sz w:val="28"/>
          <w:szCs w:val="28"/>
        </w:rPr>
        <w:t>124 F.3d 1304 (D.C. Cir.</w:t>
      </w:r>
      <w:r w:rsidR="00C62627">
        <w:rPr>
          <w:rFonts w:ascii="Times New Roman" w:hAnsi="Times New Roman"/>
          <w:noProof/>
          <w:sz w:val="28"/>
          <w:szCs w:val="28"/>
        </w:rPr>
        <w:t xml:space="preserve"> </w:t>
      </w:r>
      <w:r w:rsidRPr="00FB0DA7">
        <w:rPr>
          <w:rFonts w:ascii="Times New Roman" w:hAnsi="Times New Roman"/>
          <w:noProof/>
          <w:sz w:val="28"/>
          <w:szCs w:val="28"/>
        </w:rPr>
        <w:t>1997)</w:t>
      </w:r>
      <w:r w:rsidRPr="00FB0DA7">
        <w:rPr>
          <w:rFonts w:ascii="Times New Roman" w:hAnsi="Times New Roman"/>
          <w:noProof/>
          <w:sz w:val="28"/>
          <w:szCs w:val="28"/>
        </w:rPr>
        <w:tab/>
        <w:t>16</w:t>
      </w:r>
    </w:p>
    <w:p w14:paraId="15D10C87" w14:textId="77777777" w:rsidR="00F6546E" w:rsidRDefault="00A510F5" w:rsidP="00FE65D4">
      <w:pPr>
        <w:pStyle w:val="TableofAuthorities"/>
        <w:tabs>
          <w:tab w:val="right" w:leader="dot" w:pos="9350"/>
        </w:tabs>
        <w:spacing w:line="480" w:lineRule="auto"/>
        <w:rPr>
          <w:rFonts w:ascii="Times New Roman" w:hAnsi="Times New Roman"/>
          <w:noProof/>
          <w:sz w:val="28"/>
          <w:szCs w:val="28"/>
        </w:rPr>
      </w:pPr>
      <w:r w:rsidRPr="00FB0DA7">
        <w:rPr>
          <w:rFonts w:ascii="Times New Roman" w:hAnsi="Times New Roman"/>
          <w:i/>
          <w:iCs/>
          <w:noProof/>
          <w:sz w:val="28"/>
          <w:szCs w:val="28"/>
        </w:rPr>
        <w:t>F.T.C. v. Boehringer Ingelheim Pharm., Inc.</w:t>
      </w:r>
      <w:r w:rsidRPr="00FB0DA7">
        <w:rPr>
          <w:rFonts w:ascii="Times New Roman" w:hAnsi="Times New Roman"/>
          <w:noProof/>
          <w:sz w:val="28"/>
          <w:szCs w:val="28"/>
        </w:rPr>
        <w:t xml:space="preserve">, </w:t>
      </w:r>
    </w:p>
    <w:p w14:paraId="69071E29" w14:textId="5358EEE1" w:rsidR="00A510F5" w:rsidRPr="00FB0DA7" w:rsidRDefault="00A510F5" w:rsidP="00FE65D4">
      <w:pPr>
        <w:pStyle w:val="TableofAuthorities"/>
        <w:tabs>
          <w:tab w:val="right" w:leader="dot" w:pos="9350"/>
        </w:tabs>
        <w:spacing w:line="480" w:lineRule="auto"/>
        <w:rPr>
          <w:rFonts w:ascii="Times New Roman" w:hAnsi="Times New Roman"/>
          <w:noProof/>
          <w:sz w:val="28"/>
          <w:szCs w:val="28"/>
        </w:rPr>
      </w:pPr>
      <w:r w:rsidRPr="00FB0DA7">
        <w:rPr>
          <w:rFonts w:ascii="Times New Roman" w:hAnsi="Times New Roman"/>
          <w:noProof/>
          <w:sz w:val="28"/>
          <w:szCs w:val="28"/>
        </w:rPr>
        <w:t>778 F.3d 142 (D.C. Cir. 2015)</w:t>
      </w:r>
      <w:r w:rsidRPr="00FB0DA7">
        <w:rPr>
          <w:rFonts w:ascii="Times New Roman" w:hAnsi="Times New Roman"/>
          <w:noProof/>
          <w:sz w:val="28"/>
          <w:szCs w:val="28"/>
        </w:rPr>
        <w:tab/>
        <w:t>16</w:t>
      </w:r>
    </w:p>
    <w:p w14:paraId="48A8F231" w14:textId="77777777" w:rsidR="00354B66" w:rsidRDefault="00A510F5" w:rsidP="00FE65D4">
      <w:pPr>
        <w:pStyle w:val="TableofAuthorities"/>
        <w:tabs>
          <w:tab w:val="right" w:leader="dot" w:pos="9350"/>
        </w:tabs>
        <w:spacing w:line="480" w:lineRule="auto"/>
        <w:rPr>
          <w:rFonts w:ascii="Times New Roman" w:hAnsi="Times New Roman"/>
          <w:noProof/>
          <w:sz w:val="28"/>
          <w:szCs w:val="28"/>
        </w:rPr>
      </w:pPr>
      <w:r w:rsidRPr="00FB0DA7">
        <w:rPr>
          <w:rFonts w:ascii="Times New Roman" w:hAnsi="Times New Roman"/>
          <w:i/>
          <w:iCs/>
          <w:noProof/>
          <w:sz w:val="28"/>
          <w:szCs w:val="28"/>
        </w:rPr>
        <w:t>Frontier Refining, Inc. v. Gorman-Rupp Co., Inc.</w:t>
      </w:r>
      <w:r w:rsidRPr="00FB0DA7">
        <w:rPr>
          <w:rFonts w:ascii="Times New Roman" w:hAnsi="Times New Roman"/>
          <w:noProof/>
          <w:sz w:val="28"/>
          <w:szCs w:val="28"/>
        </w:rPr>
        <w:t xml:space="preserve">, </w:t>
      </w:r>
    </w:p>
    <w:p w14:paraId="511CF824" w14:textId="4F389495" w:rsidR="00A510F5" w:rsidRPr="00FB0DA7" w:rsidRDefault="00A510F5" w:rsidP="00FE65D4">
      <w:pPr>
        <w:pStyle w:val="TableofAuthorities"/>
        <w:tabs>
          <w:tab w:val="right" w:leader="dot" w:pos="9350"/>
        </w:tabs>
        <w:spacing w:line="480" w:lineRule="auto"/>
        <w:rPr>
          <w:rFonts w:ascii="Times New Roman" w:hAnsi="Times New Roman"/>
          <w:noProof/>
          <w:sz w:val="28"/>
          <w:szCs w:val="28"/>
        </w:rPr>
      </w:pPr>
      <w:r w:rsidRPr="00FB0DA7">
        <w:rPr>
          <w:rFonts w:ascii="Times New Roman" w:hAnsi="Times New Roman"/>
          <w:noProof/>
          <w:sz w:val="28"/>
          <w:szCs w:val="28"/>
        </w:rPr>
        <w:t>136 F.3d 695 (10th Cir. 1998)</w:t>
      </w:r>
      <w:r w:rsidRPr="00FB0DA7">
        <w:rPr>
          <w:rFonts w:ascii="Times New Roman" w:hAnsi="Times New Roman"/>
          <w:noProof/>
          <w:sz w:val="28"/>
          <w:szCs w:val="28"/>
        </w:rPr>
        <w:tab/>
        <w:t>19</w:t>
      </w:r>
    </w:p>
    <w:p w14:paraId="5F685079" w14:textId="4F2F5ED7" w:rsidR="00A510F5" w:rsidRPr="00FB0DA7" w:rsidRDefault="00A510F5" w:rsidP="00FE65D4">
      <w:pPr>
        <w:pStyle w:val="TableofAuthorities"/>
        <w:tabs>
          <w:tab w:val="right" w:leader="dot" w:pos="9350"/>
        </w:tabs>
        <w:spacing w:line="480" w:lineRule="auto"/>
        <w:rPr>
          <w:rFonts w:ascii="Times New Roman" w:hAnsi="Times New Roman"/>
          <w:noProof/>
          <w:sz w:val="28"/>
          <w:szCs w:val="28"/>
        </w:rPr>
      </w:pPr>
      <w:r w:rsidRPr="00FB0DA7">
        <w:rPr>
          <w:rFonts w:ascii="Times New Roman" w:hAnsi="Times New Roman"/>
          <w:i/>
          <w:iCs/>
          <w:noProof/>
          <w:sz w:val="28"/>
          <w:szCs w:val="28"/>
        </w:rPr>
        <w:t>Hickman v. Taylor</w:t>
      </w:r>
      <w:r w:rsidRPr="00FB0DA7">
        <w:rPr>
          <w:rFonts w:ascii="Times New Roman" w:hAnsi="Times New Roman"/>
          <w:noProof/>
          <w:sz w:val="28"/>
          <w:szCs w:val="28"/>
        </w:rPr>
        <w:t>, 329 U.S. 495 (1947)</w:t>
      </w:r>
      <w:r w:rsidRPr="00FB0DA7">
        <w:rPr>
          <w:rFonts w:ascii="Times New Roman" w:hAnsi="Times New Roman"/>
          <w:noProof/>
          <w:sz w:val="28"/>
          <w:szCs w:val="28"/>
        </w:rPr>
        <w:tab/>
        <w:t>15</w:t>
      </w:r>
    </w:p>
    <w:p w14:paraId="3FE4122A" w14:textId="5448F82A" w:rsidR="00A510F5" w:rsidRPr="00FB0DA7" w:rsidRDefault="00A510F5" w:rsidP="00FE65D4">
      <w:pPr>
        <w:pStyle w:val="TableofAuthorities"/>
        <w:tabs>
          <w:tab w:val="right" w:leader="dot" w:pos="9350"/>
        </w:tabs>
        <w:spacing w:line="480" w:lineRule="auto"/>
        <w:rPr>
          <w:rFonts w:ascii="Times New Roman" w:hAnsi="Times New Roman"/>
          <w:noProof/>
          <w:sz w:val="28"/>
          <w:szCs w:val="28"/>
        </w:rPr>
      </w:pPr>
      <w:r w:rsidRPr="00FB0DA7">
        <w:rPr>
          <w:rFonts w:ascii="Times New Roman" w:hAnsi="Times New Roman"/>
          <w:i/>
          <w:iCs/>
          <w:noProof/>
          <w:sz w:val="28"/>
          <w:szCs w:val="28"/>
        </w:rPr>
        <w:t>In re Doe</w:t>
      </w:r>
      <w:r w:rsidRPr="00FB0DA7">
        <w:rPr>
          <w:rFonts w:ascii="Times New Roman" w:hAnsi="Times New Roman"/>
          <w:noProof/>
          <w:sz w:val="28"/>
          <w:szCs w:val="28"/>
        </w:rPr>
        <w:t>, 662 F.2d 1073 (4d Cir. 1981)</w:t>
      </w:r>
      <w:r w:rsidRPr="00FB0DA7">
        <w:rPr>
          <w:rFonts w:ascii="Times New Roman" w:hAnsi="Times New Roman"/>
          <w:noProof/>
          <w:sz w:val="28"/>
          <w:szCs w:val="28"/>
        </w:rPr>
        <w:tab/>
        <w:t>19</w:t>
      </w:r>
    </w:p>
    <w:p w14:paraId="2B99B7CA" w14:textId="31D1FE56" w:rsidR="00A510F5" w:rsidRPr="00FB0DA7" w:rsidRDefault="00A510F5" w:rsidP="00FE65D4">
      <w:pPr>
        <w:pStyle w:val="TableofAuthorities"/>
        <w:tabs>
          <w:tab w:val="right" w:leader="dot" w:pos="9350"/>
        </w:tabs>
        <w:spacing w:line="480" w:lineRule="auto"/>
        <w:rPr>
          <w:rFonts w:ascii="Times New Roman" w:hAnsi="Times New Roman"/>
          <w:noProof/>
          <w:sz w:val="28"/>
          <w:szCs w:val="28"/>
        </w:rPr>
      </w:pPr>
      <w:r w:rsidRPr="00FB0DA7">
        <w:rPr>
          <w:rFonts w:ascii="Times New Roman" w:hAnsi="Times New Roman"/>
          <w:i/>
          <w:iCs/>
          <w:noProof/>
          <w:sz w:val="28"/>
          <w:szCs w:val="28"/>
        </w:rPr>
        <w:t>In re Murphy</w:t>
      </w:r>
      <w:r w:rsidRPr="00FB0DA7">
        <w:rPr>
          <w:rFonts w:ascii="Times New Roman" w:hAnsi="Times New Roman"/>
          <w:noProof/>
          <w:sz w:val="28"/>
          <w:szCs w:val="28"/>
        </w:rPr>
        <w:t>, 560 F.2d 326 (8th Cir. 1977)</w:t>
      </w:r>
      <w:r w:rsidRPr="00FB0DA7">
        <w:rPr>
          <w:rFonts w:ascii="Times New Roman" w:hAnsi="Times New Roman"/>
          <w:noProof/>
          <w:sz w:val="28"/>
          <w:szCs w:val="28"/>
        </w:rPr>
        <w:tab/>
        <w:t>15</w:t>
      </w:r>
    </w:p>
    <w:p w14:paraId="432C94C1" w14:textId="40B4D48B" w:rsidR="00A510F5" w:rsidRPr="00FB0DA7" w:rsidRDefault="00A510F5" w:rsidP="00FE65D4">
      <w:pPr>
        <w:pStyle w:val="TableofAuthorities"/>
        <w:tabs>
          <w:tab w:val="right" w:leader="dot" w:pos="9350"/>
        </w:tabs>
        <w:spacing w:line="480" w:lineRule="auto"/>
        <w:rPr>
          <w:rFonts w:ascii="Times New Roman" w:hAnsi="Times New Roman"/>
          <w:noProof/>
          <w:sz w:val="28"/>
          <w:szCs w:val="28"/>
        </w:rPr>
      </w:pPr>
      <w:r w:rsidRPr="00FB0DA7">
        <w:rPr>
          <w:rFonts w:ascii="Times New Roman" w:hAnsi="Times New Roman"/>
          <w:i/>
          <w:iCs/>
          <w:noProof/>
          <w:sz w:val="28"/>
          <w:szCs w:val="28"/>
        </w:rPr>
        <w:t>In re Sealed Case</w:t>
      </w:r>
      <w:r w:rsidRPr="00FB0DA7">
        <w:rPr>
          <w:rFonts w:ascii="Times New Roman" w:hAnsi="Times New Roman"/>
          <w:noProof/>
          <w:sz w:val="28"/>
          <w:szCs w:val="28"/>
        </w:rPr>
        <w:t>, 146 F.3d 881 (D.C. Cir. 1998)</w:t>
      </w:r>
      <w:r w:rsidRPr="00FB0DA7">
        <w:rPr>
          <w:rFonts w:ascii="Times New Roman" w:hAnsi="Times New Roman"/>
          <w:noProof/>
          <w:sz w:val="28"/>
          <w:szCs w:val="28"/>
        </w:rPr>
        <w:tab/>
        <w:t>16</w:t>
      </w:r>
    </w:p>
    <w:p w14:paraId="205377D2" w14:textId="67563638" w:rsidR="00A510F5" w:rsidRPr="00FB0DA7" w:rsidRDefault="00A510F5" w:rsidP="00FE65D4">
      <w:pPr>
        <w:pStyle w:val="TableofAuthorities"/>
        <w:tabs>
          <w:tab w:val="right" w:leader="dot" w:pos="9350"/>
        </w:tabs>
        <w:spacing w:line="480" w:lineRule="auto"/>
        <w:rPr>
          <w:rFonts w:ascii="Times New Roman" w:hAnsi="Times New Roman"/>
          <w:noProof/>
          <w:sz w:val="28"/>
          <w:szCs w:val="28"/>
        </w:rPr>
      </w:pPr>
      <w:r w:rsidRPr="00FB0DA7">
        <w:rPr>
          <w:rFonts w:ascii="Times New Roman" w:hAnsi="Times New Roman"/>
          <w:i/>
          <w:iCs/>
          <w:noProof/>
          <w:sz w:val="28"/>
          <w:szCs w:val="28"/>
        </w:rPr>
        <w:t xml:space="preserve">Kastigar v. United </w:t>
      </w:r>
      <w:r w:rsidRPr="00FB0DA7">
        <w:rPr>
          <w:rFonts w:ascii="Times New Roman" w:hAnsi="Times New Roman"/>
          <w:noProof/>
          <w:sz w:val="28"/>
          <w:szCs w:val="28"/>
        </w:rPr>
        <w:t>, 406 U.S. 441 (1972)</w:t>
      </w:r>
      <w:r w:rsidRPr="00FB0DA7">
        <w:rPr>
          <w:rFonts w:ascii="Times New Roman" w:hAnsi="Times New Roman"/>
          <w:noProof/>
          <w:sz w:val="28"/>
          <w:szCs w:val="28"/>
        </w:rPr>
        <w:tab/>
        <w:t>6</w:t>
      </w:r>
    </w:p>
    <w:p w14:paraId="1941FFBE" w14:textId="77777777" w:rsidR="00C62627" w:rsidRDefault="00A510F5" w:rsidP="00FE65D4">
      <w:pPr>
        <w:pStyle w:val="TableofAuthorities"/>
        <w:tabs>
          <w:tab w:val="right" w:leader="dot" w:pos="9350"/>
        </w:tabs>
        <w:spacing w:line="480" w:lineRule="auto"/>
        <w:rPr>
          <w:rFonts w:ascii="Times New Roman" w:hAnsi="Times New Roman"/>
          <w:noProof/>
          <w:sz w:val="28"/>
          <w:szCs w:val="28"/>
        </w:rPr>
      </w:pPr>
      <w:r w:rsidRPr="00FB0DA7">
        <w:rPr>
          <w:rFonts w:ascii="Times New Roman" w:hAnsi="Times New Roman"/>
          <w:i/>
          <w:noProof/>
          <w:sz w:val="28"/>
          <w:szCs w:val="28"/>
        </w:rPr>
        <w:t>Mason C. Day Excavating, Inc. v. Lumbermens Mut. Cas. Co.</w:t>
      </w:r>
      <w:r w:rsidRPr="00FB0DA7">
        <w:rPr>
          <w:rFonts w:ascii="Times New Roman" w:hAnsi="Times New Roman"/>
          <w:noProof/>
          <w:sz w:val="28"/>
          <w:szCs w:val="28"/>
        </w:rPr>
        <w:t xml:space="preserve">, </w:t>
      </w:r>
    </w:p>
    <w:p w14:paraId="3D28869C" w14:textId="43972A63" w:rsidR="00A510F5" w:rsidRPr="00FB0DA7" w:rsidRDefault="00A510F5" w:rsidP="00FE65D4">
      <w:pPr>
        <w:pStyle w:val="TableofAuthorities"/>
        <w:tabs>
          <w:tab w:val="right" w:leader="dot" w:pos="9350"/>
        </w:tabs>
        <w:spacing w:line="480" w:lineRule="auto"/>
        <w:rPr>
          <w:rFonts w:ascii="Times New Roman" w:hAnsi="Times New Roman"/>
          <w:noProof/>
          <w:sz w:val="28"/>
          <w:szCs w:val="28"/>
        </w:rPr>
      </w:pPr>
      <w:r w:rsidRPr="00FB0DA7">
        <w:rPr>
          <w:rFonts w:ascii="Times New Roman" w:hAnsi="Times New Roman"/>
          <w:noProof/>
          <w:sz w:val="28"/>
          <w:szCs w:val="28"/>
        </w:rPr>
        <w:t>143 F.R.D. 601 (M.D.N.C. 1992)</w:t>
      </w:r>
      <w:r w:rsidRPr="00FB0DA7">
        <w:rPr>
          <w:rFonts w:ascii="Times New Roman" w:hAnsi="Times New Roman"/>
          <w:noProof/>
          <w:sz w:val="28"/>
          <w:szCs w:val="28"/>
        </w:rPr>
        <w:tab/>
        <w:t>21</w:t>
      </w:r>
    </w:p>
    <w:p w14:paraId="56C0E7E9" w14:textId="5238EDB1" w:rsidR="00A510F5" w:rsidRPr="00FB0DA7" w:rsidRDefault="00A510F5" w:rsidP="00FE65D4">
      <w:pPr>
        <w:pStyle w:val="TableofAuthorities"/>
        <w:tabs>
          <w:tab w:val="right" w:leader="dot" w:pos="9350"/>
        </w:tabs>
        <w:spacing w:line="480" w:lineRule="auto"/>
        <w:rPr>
          <w:rFonts w:ascii="Times New Roman" w:hAnsi="Times New Roman"/>
          <w:noProof/>
          <w:sz w:val="28"/>
          <w:szCs w:val="28"/>
        </w:rPr>
      </w:pPr>
      <w:r w:rsidRPr="00FB6402">
        <w:rPr>
          <w:rFonts w:ascii="Times New Roman" w:hAnsi="Times New Roman"/>
          <w:i/>
          <w:iCs/>
          <w:noProof/>
          <w:sz w:val="28"/>
          <w:szCs w:val="28"/>
        </w:rPr>
        <w:t>Sporck v. Peil,</w:t>
      </w:r>
      <w:r w:rsidRPr="00FB6402">
        <w:rPr>
          <w:rFonts w:ascii="Times New Roman" w:hAnsi="Times New Roman"/>
          <w:noProof/>
          <w:sz w:val="28"/>
          <w:szCs w:val="28"/>
        </w:rPr>
        <w:t xml:space="preserve"> 759 F.2d 312 (3d Cir. 1985)</w:t>
      </w:r>
      <w:r w:rsidRPr="00FB6402">
        <w:rPr>
          <w:rFonts w:ascii="Times New Roman" w:hAnsi="Times New Roman"/>
          <w:noProof/>
          <w:sz w:val="28"/>
          <w:szCs w:val="28"/>
        </w:rPr>
        <w:tab/>
      </w:r>
      <w:r w:rsidRPr="00FB0DA7">
        <w:rPr>
          <w:rFonts w:ascii="Times New Roman" w:hAnsi="Times New Roman"/>
          <w:noProof/>
          <w:sz w:val="28"/>
          <w:szCs w:val="28"/>
        </w:rPr>
        <w:t>15</w:t>
      </w:r>
    </w:p>
    <w:p w14:paraId="418DBC4C" w14:textId="3E063FF7" w:rsidR="00A510F5" w:rsidRPr="00FB0DA7" w:rsidRDefault="00A510F5" w:rsidP="00FE65D4">
      <w:pPr>
        <w:pStyle w:val="TableofAuthorities"/>
        <w:tabs>
          <w:tab w:val="right" w:leader="dot" w:pos="9350"/>
        </w:tabs>
        <w:spacing w:line="480" w:lineRule="auto"/>
        <w:rPr>
          <w:rFonts w:ascii="Times New Roman" w:hAnsi="Times New Roman"/>
          <w:noProof/>
          <w:sz w:val="28"/>
          <w:szCs w:val="28"/>
        </w:rPr>
      </w:pPr>
      <w:r w:rsidRPr="00FB0DA7">
        <w:rPr>
          <w:rFonts w:ascii="Times New Roman" w:hAnsi="Times New Roman"/>
          <w:i/>
          <w:iCs/>
          <w:noProof/>
          <w:sz w:val="28"/>
          <w:szCs w:val="28"/>
        </w:rPr>
        <w:t xml:space="preserve">Strickland v. </w:t>
      </w:r>
      <w:r w:rsidRPr="00FB0DA7">
        <w:rPr>
          <w:rFonts w:ascii="Times New Roman" w:hAnsi="Times New Roman"/>
          <w:noProof/>
          <w:sz w:val="28"/>
          <w:szCs w:val="28"/>
        </w:rPr>
        <w:t>Washington, 466 U.S. 668 (1984)</w:t>
      </w:r>
      <w:r w:rsidRPr="00FB0DA7">
        <w:rPr>
          <w:rFonts w:ascii="Times New Roman" w:hAnsi="Times New Roman"/>
          <w:noProof/>
          <w:sz w:val="28"/>
          <w:szCs w:val="28"/>
        </w:rPr>
        <w:tab/>
        <w:t>13</w:t>
      </w:r>
    </w:p>
    <w:p w14:paraId="757D839A" w14:textId="10D0C3B8" w:rsidR="00A510F5" w:rsidRPr="00FB0DA7" w:rsidRDefault="00A510F5" w:rsidP="00FE65D4">
      <w:pPr>
        <w:pStyle w:val="TableofAuthorities"/>
        <w:tabs>
          <w:tab w:val="right" w:leader="dot" w:pos="9350"/>
        </w:tabs>
        <w:spacing w:line="480" w:lineRule="auto"/>
        <w:rPr>
          <w:rFonts w:ascii="Times New Roman" w:hAnsi="Times New Roman"/>
          <w:noProof/>
          <w:sz w:val="28"/>
          <w:szCs w:val="28"/>
        </w:rPr>
      </w:pPr>
      <w:r w:rsidRPr="00FB0DA7">
        <w:rPr>
          <w:rFonts w:ascii="Times New Roman" w:hAnsi="Times New Roman"/>
          <w:i/>
          <w:iCs/>
          <w:noProof/>
          <w:sz w:val="28"/>
          <w:szCs w:val="28"/>
        </w:rPr>
        <w:t>United States v. Bartell</w:t>
      </w:r>
      <w:r w:rsidRPr="00FB0DA7">
        <w:rPr>
          <w:rFonts w:ascii="Times New Roman" w:hAnsi="Times New Roman"/>
          <w:noProof/>
          <w:sz w:val="28"/>
          <w:szCs w:val="28"/>
        </w:rPr>
        <w:t>, 19 F.3d 1105 (6th Cir. 1994)</w:t>
      </w:r>
      <w:r w:rsidRPr="00FB0DA7">
        <w:rPr>
          <w:rFonts w:ascii="Times New Roman" w:hAnsi="Times New Roman"/>
          <w:noProof/>
          <w:sz w:val="28"/>
          <w:szCs w:val="28"/>
        </w:rPr>
        <w:tab/>
        <w:t>9</w:t>
      </w:r>
    </w:p>
    <w:p w14:paraId="6B2E9C89" w14:textId="37B4BEFF" w:rsidR="00A510F5" w:rsidRPr="00FB0DA7" w:rsidRDefault="00A510F5" w:rsidP="00FE65D4">
      <w:pPr>
        <w:pStyle w:val="TableofAuthorities"/>
        <w:tabs>
          <w:tab w:val="right" w:leader="dot" w:pos="9350"/>
        </w:tabs>
        <w:spacing w:line="480" w:lineRule="auto"/>
        <w:rPr>
          <w:rFonts w:ascii="Times New Roman" w:hAnsi="Times New Roman"/>
          <w:noProof/>
          <w:sz w:val="28"/>
          <w:szCs w:val="28"/>
        </w:rPr>
      </w:pPr>
      <w:r w:rsidRPr="00FB0DA7">
        <w:rPr>
          <w:rFonts w:ascii="Times New Roman" w:hAnsi="Times New Roman"/>
          <w:i/>
          <w:iCs/>
          <w:noProof/>
          <w:sz w:val="28"/>
          <w:szCs w:val="28"/>
        </w:rPr>
        <w:t>United States v. Dynalectric Co.</w:t>
      </w:r>
      <w:r w:rsidRPr="00FB0DA7">
        <w:rPr>
          <w:rFonts w:ascii="Times New Roman" w:hAnsi="Times New Roman"/>
          <w:noProof/>
          <w:sz w:val="28"/>
          <w:szCs w:val="28"/>
        </w:rPr>
        <w:t>, 859 F.2d 1559 (11th Cir. 1988).</w:t>
      </w:r>
      <w:r w:rsidRPr="00FB0DA7">
        <w:rPr>
          <w:rFonts w:ascii="Times New Roman" w:hAnsi="Times New Roman"/>
          <w:noProof/>
          <w:sz w:val="28"/>
          <w:szCs w:val="28"/>
        </w:rPr>
        <w:tab/>
        <w:t>8</w:t>
      </w:r>
    </w:p>
    <w:p w14:paraId="76381BB1" w14:textId="0F28C9D6" w:rsidR="00A510F5" w:rsidRPr="00FB0DA7" w:rsidRDefault="00A510F5" w:rsidP="00FE65D4">
      <w:pPr>
        <w:pStyle w:val="TableofAuthorities"/>
        <w:tabs>
          <w:tab w:val="right" w:leader="dot" w:pos="9350"/>
        </w:tabs>
        <w:spacing w:line="480" w:lineRule="auto"/>
        <w:rPr>
          <w:rFonts w:ascii="Times New Roman" w:hAnsi="Times New Roman"/>
          <w:noProof/>
          <w:sz w:val="28"/>
          <w:szCs w:val="28"/>
        </w:rPr>
      </w:pPr>
      <w:r w:rsidRPr="00FB0DA7">
        <w:rPr>
          <w:rFonts w:ascii="Times New Roman" w:hAnsi="Times New Roman"/>
          <w:i/>
          <w:iCs/>
          <w:noProof/>
          <w:sz w:val="28"/>
          <w:szCs w:val="28"/>
        </w:rPr>
        <w:lastRenderedPageBreak/>
        <w:t>United States v. Hubbell</w:t>
      </w:r>
      <w:r w:rsidRPr="00FB0DA7">
        <w:rPr>
          <w:rFonts w:ascii="Times New Roman" w:hAnsi="Times New Roman"/>
          <w:noProof/>
          <w:sz w:val="28"/>
          <w:szCs w:val="28"/>
        </w:rPr>
        <w:t>, 530 U.S. 27 (2000).</w:t>
      </w:r>
      <w:r w:rsidRPr="00FB0DA7">
        <w:rPr>
          <w:rFonts w:ascii="Times New Roman" w:hAnsi="Times New Roman"/>
          <w:noProof/>
          <w:sz w:val="28"/>
          <w:szCs w:val="28"/>
        </w:rPr>
        <w:tab/>
        <w:t>9</w:t>
      </w:r>
    </w:p>
    <w:p w14:paraId="618B531B" w14:textId="5B8E36F7" w:rsidR="00A510F5" w:rsidRPr="00FB0DA7" w:rsidRDefault="00A510F5" w:rsidP="00FE65D4">
      <w:pPr>
        <w:pStyle w:val="TableofAuthorities"/>
        <w:tabs>
          <w:tab w:val="right" w:leader="dot" w:pos="9350"/>
        </w:tabs>
        <w:spacing w:line="480" w:lineRule="auto"/>
        <w:rPr>
          <w:rFonts w:ascii="Times New Roman" w:hAnsi="Times New Roman"/>
          <w:noProof/>
          <w:sz w:val="28"/>
          <w:szCs w:val="28"/>
        </w:rPr>
      </w:pPr>
      <w:r w:rsidRPr="00FB0DA7">
        <w:rPr>
          <w:rFonts w:ascii="Times New Roman" w:hAnsi="Times New Roman"/>
          <w:i/>
          <w:iCs/>
          <w:noProof/>
          <w:sz w:val="28"/>
          <w:szCs w:val="28"/>
        </w:rPr>
        <w:t>United States v. Kurzer</w:t>
      </w:r>
      <w:r w:rsidRPr="00FB0DA7">
        <w:rPr>
          <w:rFonts w:ascii="Times New Roman" w:hAnsi="Times New Roman"/>
          <w:noProof/>
          <w:sz w:val="28"/>
          <w:szCs w:val="28"/>
        </w:rPr>
        <w:t>, 534 F.2d 511 (2d Cir. 1976)</w:t>
      </w:r>
      <w:r w:rsidRPr="00FB0DA7">
        <w:rPr>
          <w:rFonts w:ascii="Times New Roman" w:hAnsi="Times New Roman"/>
          <w:noProof/>
          <w:sz w:val="28"/>
          <w:szCs w:val="28"/>
        </w:rPr>
        <w:tab/>
        <w:t>8</w:t>
      </w:r>
    </w:p>
    <w:p w14:paraId="39000BC0" w14:textId="68312919" w:rsidR="00A510F5" w:rsidRPr="00FB0DA7" w:rsidRDefault="00A510F5" w:rsidP="00FE65D4">
      <w:pPr>
        <w:pStyle w:val="TableofAuthorities"/>
        <w:tabs>
          <w:tab w:val="right" w:leader="dot" w:pos="9350"/>
        </w:tabs>
        <w:spacing w:line="480" w:lineRule="auto"/>
        <w:rPr>
          <w:rFonts w:ascii="Times New Roman" w:hAnsi="Times New Roman"/>
          <w:noProof/>
          <w:sz w:val="28"/>
          <w:szCs w:val="28"/>
        </w:rPr>
      </w:pPr>
      <w:r w:rsidRPr="00FB0DA7">
        <w:rPr>
          <w:rFonts w:ascii="Times New Roman" w:hAnsi="Times New Roman"/>
          <w:i/>
          <w:iCs/>
          <w:noProof/>
          <w:sz w:val="28"/>
          <w:szCs w:val="28"/>
        </w:rPr>
        <w:t>United States v. Montoya</w:t>
      </w:r>
      <w:r w:rsidRPr="00FB0DA7">
        <w:rPr>
          <w:rFonts w:ascii="Times New Roman" w:hAnsi="Times New Roman"/>
          <w:noProof/>
          <w:sz w:val="28"/>
          <w:szCs w:val="28"/>
        </w:rPr>
        <w:t>, 45 F.3d 1286</w:t>
      </w:r>
      <w:r w:rsidR="005B1257" w:rsidRPr="00FB0DA7">
        <w:rPr>
          <w:rFonts w:ascii="Times New Roman" w:hAnsi="Times New Roman"/>
          <w:noProof/>
          <w:sz w:val="28"/>
          <w:szCs w:val="28"/>
        </w:rPr>
        <w:t xml:space="preserve"> </w:t>
      </w:r>
      <w:r w:rsidRPr="00FB0DA7">
        <w:rPr>
          <w:rFonts w:ascii="Times New Roman" w:hAnsi="Times New Roman"/>
          <w:noProof/>
          <w:sz w:val="28"/>
          <w:szCs w:val="28"/>
        </w:rPr>
        <w:t>(9th Cir. 1995)</w:t>
      </w:r>
      <w:r w:rsidRPr="00FB0DA7">
        <w:rPr>
          <w:rFonts w:ascii="Times New Roman" w:hAnsi="Times New Roman"/>
          <w:noProof/>
          <w:sz w:val="28"/>
          <w:szCs w:val="28"/>
        </w:rPr>
        <w:tab/>
        <w:t>13</w:t>
      </w:r>
    </w:p>
    <w:p w14:paraId="51CF8F87" w14:textId="4102906E" w:rsidR="00A510F5" w:rsidRPr="00FB0DA7" w:rsidRDefault="00A510F5" w:rsidP="00FE65D4">
      <w:pPr>
        <w:pStyle w:val="TableofAuthorities"/>
        <w:tabs>
          <w:tab w:val="right" w:leader="dot" w:pos="9350"/>
        </w:tabs>
        <w:spacing w:line="480" w:lineRule="auto"/>
        <w:rPr>
          <w:rFonts w:ascii="Times New Roman" w:hAnsi="Times New Roman"/>
          <w:noProof/>
          <w:sz w:val="28"/>
          <w:szCs w:val="28"/>
        </w:rPr>
      </w:pPr>
      <w:r w:rsidRPr="00FB0DA7">
        <w:rPr>
          <w:rFonts w:ascii="Times New Roman" w:hAnsi="Times New Roman"/>
          <w:i/>
          <w:iCs/>
          <w:noProof/>
          <w:sz w:val="28"/>
          <w:szCs w:val="28"/>
        </w:rPr>
        <w:t>United States v. Nobles</w:t>
      </w:r>
      <w:r w:rsidRPr="00FB0DA7">
        <w:rPr>
          <w:rFonts w:ascii="Times New Roman" w:hAnsi="Times New Roman"/>
          <w:noProof/>
          <w:sz w:val="28"/>
          <w:szCs w:val="28"/>
        </w:rPr>
        <w:t>, 422 U.S. 225 (1975)</w:t>
      </w:r>
      <w:r w:rsidRPr="00FB0DA7">
        <w:rPr>
          <w:rFonts w:ascii="Times New Roman" w:hAnsi="Times New Roman"/>
          <w:noProof/>
          <w:sz w:val="28"/>
          <w:szCs w:val="28"/>
        </w:rPr>
        <w:tab/>
        <w:t>15</w:t>
      </w:r>
    </w:p>
    <w:p w14:paraId="22C21286" w14:textId="1A6B9877" w:rsidR="00A510F5" w:rsidRPr="00FB0DA7" w:rsidRDefault="00A510F5" w:rsidP="00FE65D4">
      <w:pPr>
        <w:pStyle w:val="TableofAuthorities"/>
        <w:tabs>
          <w:tab w:val="right" w:leader="dot" w:pos="9350"/>
        </w:tabs>
        <w:spacing w:line="480" w:lineRule="auto"/>
        <w:rPr>
          <w:rFonts w:ascii="Times New Roman" w:hAnsi="Times New Roman"/>
          <w:noProof/>
          <w:sz w:val="28"/>
          <w:szCs w:val="28"/>
        </w:rPr>
      </w:pPr>
      <w:r w:rsidRPr="00FB0DA7">
        <w:rPr>
          <w:rFonts w:ascii="Times New Roman" w:hAnsi="Times New Roman"/>
          <w:i/>
          <w:iCs/>
          <w:noProof/>
          <w:sz w:val="28"/>
          <w:szCs w:val="28"/>
        </w:rPr>
        <w:t>United States v. Quatermain, Drax</w:t>
      </w:r>
      <w:r w:rsidRPr="00FB0DA7">
        <w:rPr>
          <w:rFonts w:ascii="Times New Roman" w:hAnsi="Times New Roman"/>
          <w:noProof/>
          <w:sz w:val="28"/>
          <w:szCs w:val="28"/>
        </w:rPr>
        <w:t>, 613 F.2d 38</w:t>
      </w:r>
      <w:r w:rsidR="005B1257" w:rsidRPr="00FB0DA7">
        <w:rPr>
          <w:rFonts w:ascii="Times New Roman" w:hAnsi="Times New Roman"/>
          <w:noProof/>
          <w:sz w:val="28"/>
          <w:szCs w:val="28"/>
        </w:rPr>
        <w:t xml:space="preserve"> </w:t>
      </w:r>
      <w:r w:rsidRPr="00FB0DA7">
        <w:rPr>
          <w:rFonts w:ascii="Times New Roman" w:hAnsi="Times New Roman"/>
          <w:noProof/>
          <w:sz w:val="28"/>
          <w:szCs w:val="28"/>
        </w:rPr>
        <w:t>(3d Cir. 1980).</w:t>
      </w:r>
      <w:r w:rsidRPr="00FB0DA7">
        <w:rPr>
          <w:rFonts w:ascii="Times New Roman" w:hAnsi="Times New Roman"/>
          <w:noProof/>
          <w:sz w:val="28"/>
          <w:szCs w:val="28"/>
        </w:rPr>
        <w:tab/>
        <w:t>7</w:t>
      </w:r>
    </w:p>
    <w:p w14:paraId="0A4D686A" w14:textId="1C86AA8F" w:rsidR="00A510F5" w:rsidRPr="00FB0DA7" w:rsidRDefault="00A510F5" w:rsidP="00FE65D4">
      <w:pPr>
        <w:pStyle w:val="TableofAuthorities"/>
        <w:tabs>
          <w:tab w:val="right" w:leader="dot" w:pos="9350"/>
        </w:tabs>
        <w:spacing w:line="480" w:lineRule="auto"/>
        <w:rPr>
          <w:rFonts w:ascii="Times New Roman" w:hAnsi="Times New Roman"/>
          <w:noProof/>
          <w:sz w:val="28"/>
          <w:szCs w:val="28"/>
        </w:rPr>
      </w:pPr>
      <w:r w:rsidRPr="00FB0DA7">
        <w:rPr>
          <w:rFonts w:ascii="Times New Roman" w:hAnsi="Times New Roman"/>
          <w:i/>
          <w:iCs/>
          <w:noProof/>
          <w:sz w:val="28"/>
          <w:szCs w:val="28"/>
        </w:rPr>
        <w:t>United States v. Smith</w:t>
      </w:r>
      <w:r w:rsidRPr="00FB0DA7">
        <w:rPr>
          <w:rFonts w:ascii="Times New Roman" w:hAnsi="Times New Roman"/>
          <w:noProof/>
          <w:sz w:val="28"/>
          <w:szCs w:val="28"/>
        </w:rPr>
        <w:t>, 452 F.3d 323</w:t>
      </w:r>
      <w:r w:rsidR="005B1257" w:rsidRPr="00FB0DA7">
        <w:rPr>
          <w:rFonts w:ascii="Times New Roman" w:hAnsi="Times New Roman"/>
          <w:noProof/>
          <w:sz w:val="28"/>
          <w:szCs w:val="28"/>
        </w:rPr>
        <w:t xml:space="preserve"> </w:t>
      </w:r>
      <w:r w:rsidRPr="00FB0DA7">
        <w:rPr>
          <w:rFonts w:ascii="Times New Roman" w:hAnsi="Times New Roman"/>
          <w:noProof/>
          <w:sz w:val="28"/>
          <w:szCs w:val="28"/>
        </w:rPr>
        <w:t>(4th Cir. 2006)</w:t>
      </w:r>
      <w:r w:rsidRPr="00FB0DA7">
        <w:rPr>
          <w:rFonts w:ascii="Times New Roman" w:hAnsi="Times New Roman"/>
          <w:noProof/>
          <w:sz w:val="28"/>
          <w:szCs w:val="28"/>
        </w:rPr>
        <w:tab/>
        <w:t>7</w:t>
      </w:r>
    </w:p>
    <w:p w14:paraId="64F44FE7" w14:textId="77777777" w:rsidR="00A510F5" w:rsidRPr="00FB0DA7" w:rsidRDefault="00A510F5" w:rsidP="00FE65D4">
      <w:pPr>
        <w:pStyle w:val="TOAHeading"/>
        <w:tabs>
          <w:tab w:val="right" w:leader="dot" w:pos="9350"/>
        </w:tabs>
        <w:spacing w:line="480" w:lineRule="auto"/>
        <w:rPr>
          <w:rFonts w:ascii="Times New Roman" w:eastAsiaTheme="minorEastAsia" w:hAnsi="Times New Roman" w:cs="Times New Roman"/>
          <w:b w:val="0"/>
          <w:bCs w:val="0"/>
          <w:noProof/>
          <w:sz w:val="28"/>
          <w:szCs w:val="28"/>
        </w:rPr>
      </w:pPr>
      <w:r w:rsidRPr="00FB0DA7">
        <w:rPr>
          <w:rFonts w:ascii="Times New Roman" w:hAnsi="Times New Roman" w:cs="Times New Roman"/>
          <w:sz w:val="28"/>
          <w:szCs w:val="28"/>
        </w:rPr>
        <w:fldChar w:fldCharType="end"/>
      </w:r>
      <w:r w:rsidRPr="00FB0DA7">
        <w:rPr>
          <w:rFonts w:ascii="Times New Roman" w:hAnsi="Times New Roman" w:cs="Times New Roman"/>
          <w:sz w:val="28"/>
          <w:szCs w:val="28"/>
        </w:rPr>
        <w:fldChar w:fldCharType="begin"/>
      </w:r>
      <w:r w:rsidRPr="00FB0DA7">
        <w:rPr>
          <w:rFonts w:ascii="Times New Roman" w:hAnsi="Times New Roman" w:cs="Times New Roman"/>
          <w:sz w:val="28"/>
          <w:szCs w:val="28"/>
        </w:rPr>
        <w:instrText xml:space="preserve"> TOA \h \c "2" \p </w:instrText>
      </w:r>
      <w:r w:rsidRPr="00FB0DA7">
        <w:rPr>
          <w:rFonts w:ascii="Times New Roman" w:hAnsi="Times New Roman" w:cs="Times New Roman"/>
          <w:sz w:val="28"/>
          <w:szCs w:val="28"/>
        </w:rPr>
        <w:fldChar w:fldCharType="separate"/>
      </w:r>
      <w:r w:rsidRPr="00FB0DA7">
        <w:rPr>
          <w:rFonts w:ascii="Times New Roman" w:hAnsi="Times New Roman" w:cs="Times New Roman"/>
          <w:noProof/>
          <w:sz w:val="28"/>
          <w:szCs w:val="28"/>
        </w:rPr>
        <w:t>Statutes</w:t>
      </w:r>
    </w:p>
    <w:p w14:paraId="0BAA2A76" w14:textId="77777777" w:rsidR="00A510F5" w:rsidRPr="00FB0DA7" w:rsidRDefault="00A510F5" w:rsidP="00FE65D4">
      <w:pPr>
        <w:pStyle w:val="TableofAuthorities"/>
        <w:tabs>
          <w:tab w:val="right" w:leader="dot" w:pos="9350"/>
        </w:tabs>
        <w:spacing w:line="480" w:lineRule="auto"/>
        <w:rPr>
          <w:rFonts w:ascii="Times New Roman" w:hAnsi="Times New Roman"/>
          <w:noProof/>
          <w:sz w:val="28"/>
          <w:szCs w:val="28"/>
        </w:rPr>
      </w:pPr>
      <w:r w:rsidRPr="00FB0DA7">
        <w:rPr>
          <w:rFonts w:ascii="Times New Roman" w:hAnsi="Times New Roman"/>
          <w:smallCaps/>
          <w:noProof/>
          <w:sz w:val="28"/>
          <w:szCs w:val="28"/>
        </w:rPr>
        <w:t>Fed. R. Civ. P</w:t>
      </w:r>
      <w:r w:rsidRPr="00FB0DA7">
        <w:rPr>
          <w:rFonts w:ascii="Times New Roman" w:hAnsi="Times New Roman"/>
          <w:noProof/>
          <w:sz w:val="28"/>
          <w:szCs w:val="28"/>
        </w:rPr>
        <w:t>. 26(b)(3)(B).</w:t>
      </w:r>
      <w:r w:rsidRPr="00FB0DA7">
        <w:rPr>
          <w:rFonts w:ascii="Times New Roman" w:hAnsi="Times New Roman"/>
          <w:noProof/>
          <w:sz w:val="28"/>
          <w:szCs w:val="28"/>
        </w:rPr>
        <w:tab/>
        <w:t>15</w:t>
      </w:r>
    </w:p>
    <w:p w14:paraId="38F0161D" w14:textId="1A2BA6AB" w:rsidR="003F254D" w:rsidRPr="003F254D" w:rsidRDefault="00A510F5" w:rsidP="00FE65D4">
      <w:pPr>
        <w:spacing w:line="480" w:lineRule="auto"/>
      </w:pPr>
      <w:r w:rsidRPr="00FB0DA7">
        <w:rPr>
          <w:sz w:val="28"/>
          <w:szCs w:val="28"/>
        </w:rPr>
        <w:fldChar w:fldCharType="end"/>
      </w:r>
    </w:p>
    <w:p w14:paraId="01A51FDF" w14:textId="404C716A" w:rsidR="00E4077A" w:rsidRDefault="00963554" w:rsidP="00963554">
      <w:pPr>
        <w:rPr>
          <w:b/>
          <w:bCs/>
          <w:sz w:val="28"/>
          <w:szCs w:val="28"/>
        </w:rPr>
      </w:pPr>
      <w:r>
        <w:br w:type="page"/>
      </w:r>
    </w:p>
    <w:p w14:paraId="3918B2BA" w14:textId="77777777" w:rsidR="00E4077A" w:rsidRPr="00C3393C" w:rsidRDefault="00E4077A">
      <w:pPr>
        <w:keepLines/>
        <w:spacing w:after="160" w:line="480" w:lineRule="auto"/>
        <w:jc w:val="both"/>
        <w:rPr>
          <w:b/>
          <w:bCs/>
          <w:sz w:val="28"/>
          <w:szCs w:val="28"/>
          <w:u w:val="single"/>
        </w:rPr>
        <w:sectPr w:rsidR="00E4077A" w:rsidRPr="00C3393C" w:rsidSect="005147B7">
          <w:pgSz w:w="12240" w:h="15840"/>
          <w:pgMar w:top="1440" w:right="1440" w:bottom="1440" w:left="1440" w:header="720" w:footer="720" w:gutter="0"/>
          <w:pgNumType w:fmt="lowerRoman" w:start="1"/>
          <w:cols w:space="720"/>
        </w:sectPr>
      </w:pPr>
    </w:p>
    <w:p w14:paraId="00000031" w14:textId="77777777" w:rsidR="00A63F18" w:rsidRPr="00C3393C" w:rsidRDefault="00A47554" w:rsidP="00593C6F">
      <w:pPr>
        <w:pStyle w:val="Heading1"/>
        <w:rPr>
          <w:szCs w:val="28"/>
        </w:rPr>
      </w:pPr>
      <w:bookmarkStart w:id="2" w:name="_Toc239144591"/>
      <w:r w:rsidRPr="00C3393C">
        <w:rPr>
          <w:szCs w:val="28"/>
        </w:rPr>
        <w:lastRenderedPageBreak/>
        <w:t>INTRODUCTION</w:t>
      </w:r>
      <w:bookmarkEnd w:id="2"/>
    </w:p>
    <w:p w14:paraId="00000032" w14:textId="77777777" w:rsidR="00A63F18" w:rsidRPr="00C3393C" w:rsidRDefault="00A47554">
      <w:pPr>
        <w:keepLines/>
        <w:spacing w:line="480" w:lineRule="auto"/>
        <w:ind w:firstLine="720"/>
        <w:jc w:val="both"/>
        <w:rPr>
          <w:sz w:val="28"/>
          <w:szCs w:val="28"/>
          <w:lang w:val="en-US"/>
        </w:rPr>
      </w:pPr>
      <w:r w:rsidRPr="10271BBC">
        <w:rPr>
          <w:sz w:val="28"/>
          <w:szCs w:val="28"/>
          <w:lang w:val="en-US"/>
        </w:rPr>
        <w:t xml:space="preserve">This Court must deny Defendant’s motion to suppress evidence obtained in violation of court order. The Government has met its burden in demonstrating that there exists a wholly independent source that led the Government to Kennedy Parker, and thus the Government is entitled to complete their investigation, pursuant to 18 U.S.C. §§ 6002, 6003. </w:t>
      </w:r>
    </w:p>
    <w:p w14:paraId="00000033" w14:textId="77777777" w:rsidR="00A63F18" w:rsidRPr="00C3393C" w:rsidRDefault="00A47554">
      <w:pPr>
        <w:keepLines/>
        <w:spacing w:line="480" w:lineRule="auto"/>
        <w:ind w:firstLine="720"/>
        <w:jc w:val="both"/>
        <w:rPr>
          <w:sz w:val="28"/>
          <w:szCs w:val="28"/>
        </w:rPr>
      </w:pPr>
      <w:r w:rsidRPr="00C3393C">
        <w:rPr>
          <w:sz w:val="28"/>
          <w:szCs w:val="28"/>
        </w:rPr>
        <w:t xml:space="preserve">Additionally, this Court must deny Defendant’s motion to quash United States Subpoena Duces Tecum on Maddox Armana for the production of any and all records of Armana’s interview of Sierra Seton conducted on February 15, 2024, because the interview falls outside the scope of work-product privilege and because the Government has met its burden in demonstrating substantial need and undue hardship in obtaining the information. </w:t>
      </w:r>
    </w:p>
    <w:p w14:paraId="00000034" w14:textId="77777777" w:rsidR="00A63F18" w:rsidRPr="00C3393C" w:rsidRDefault="00A63F18">
      <w:pPr>
        <w:keepLines/>
        <w:spacing w:line="480" w:lineRule="auto"/>
        <w:jc w:val="both"/>
        <w:rPr>
          <w:sz w:val="28"/>
          <w:szCs w:val="28"/>
        </w:rPr>
      </w:pPr>
    </w:p>
    <w:p w14:paraId="00000035" w14:textId="77777777" w:rsidR="00A63F18" w:rsidRPr="00C3393C" w:rsidRDefault="00A47554">
      <w:pPr>
        <w:keepLines/>
        <w:spacing w:after="160" w:line="480" w:lineRule="auto"/>
        <w:jc w:val="both"/>
        <w:rPr>
          <w:b/>
          <w:bCs/>
          <w:sz w:val="28"/>
          <w:szCs w:val="28"/>
          <w:u w:val="single"/>
        </w:rPr>
      </w:pPr>
      <w:r w:rsidRPr="00C3393C">
        <w:rPr>
          <w:sz w:val="28"/>
          <w:szCs w:val="28"/>
        </w:rPr>
        <w:br w:type="page"/>
      </w:r>
    </w:p>
    <w:p w14:paraId="00000036" w14:textId="77777777" w:rsidR="00A63F18" w:rsidRPr="00C3393C" w:rsidRDefault="00A47554" w:rsidP="00593C6F">
      <w:pPr>
        <w:pStyle w:val="Heading1"/>
        <w:rPr>
          <w:szCs w:val="28"/>
        </w:rPr>
      </w:pPr>
      <w:bookmarkStart w:id="3" w:name="_Toc239144592"/>
      <w:r w:rsidRPr="00C3393C">
        <w:rPr>
          <w:szCs w:val="28"/>
        </w:rPr>
        <w:lastRenderedPageBreak/>
        <w:t>STATEMENT OF THE FACTS</w:t>
      </w:r>
      <w:bookmarkEnd w:id="3"/>
    </w:p>
    <w:p w14:paraId="161F4766" w14:textId="77777777" w:rsidR="00A81F11" w:rsidRDefault="00A47554">
      <w:pPr>
        <w:spacing w:after="160" w:line="480" w:lineRule="auto"/>
        <w:ind w:firstLine="720"/>
        <w:jc w:val="both"/>
        <w:rPr>
          <w:sz w:val="28"/>
          <w:szCs w:val="28"/>
          <w:lang w:val="en-US"/>
        </w:rPr>
      </w:pPr>
      <w:r w:rsidRPr="10271BBC">
        <w:rPr>
          <w:sz w:val="28"/>
          <w:szCs w:val="28"/>
          <w:lang w:val="en-US"/>
        </w:rPr>
        <w:t xml:space="preserve">Emily Calloway (“Calloway”) inherited the locally renowned Silver Palms Hotel from her parents in 2013. Sinclair Dep. 9:53–60. When Calloway began to experience hardship, Calloway and Saint Donovan (“Donovan”) became business partners. </w:t>
      </w:r>
      <w:r w:rsidRPr="10271BBC">
        <w:rPr>
          <w:i/>
          <w:sz w:val="28"/>
          <w:szCs w:val="28"/>
          <w:lang w:val="en-US"/>
        </w:rPr>
        <w:t>Id.</w:t>
      </w:r>
      <w:r w:rsidRPr="10271BBC">
        <w:rPr>
          <w:sz w:val="28"/>
          <w:szCs w:val="28"/>
          <w:lang w:val="en-US"/>
        </w:rPr>
        <w:t xml:space="preserve"> at 9:64–10:90. Calloway managed the day-to-day functions, whereas Donovan managed the financials. </w:t>
      </w:r>
      <w:r w:rsidRPr="10271BBC">
        <w:rPr>
          <w:i/>
          <w:sz w:val="28"/>
          <w:szCs w:val="28"/>
          <w:lang w:val="en-US"/>
        </w:rPr>
        <w:t>Id.</w:t>
      </w:r>
      <w:r w:rsidRPr="10271BBC">
        <w:rPr>
          <w:sz w:val="28"/>
          <w:szCs w:val="28"/>
          <w:lang w:val="en-US"/>
        </w:rPr>
        <w:t xml:space="preserve"> at 10:86–90. </w:t>
      </w:r>
    </w:p>
    <w:p w14:paraId="694DD28C" w14:textId="2C635C79" w:rsidR="0055011F" w:rsidRDefault="00A47554">
      <w:pPr>
        <w:spacing w:after="160" w:line="480" w:lineRule="auto"/>
        <w:ind w:firstLine="720"/>
        <w:jc w:val="both"/>
        <w:rPr>
          <w:sz w:val="28"/>
          <w:szCs w:val="28"/>
          <w:lang w:val="en-US"/>
        </w:rPr>
      </w:pPr>
      <w:r w:rsidRPr="10271BBC">
        <w:rPr>
          <w:sz w:val="28"/>
          <w:szCs w:val="28"/>
          <w:lang w:val="en-US"/>
        </w:rPr>
        <w:t xml:space="preserve">In October of 2023, the Silver Palms accountant, Daniel Blake (“Blake”) filed a police report, alleging that the expense patterns at the Hotel were not adding up. </w:t>
      </w:r>
      <w:r w:rsidRPr="10271BBC">
        <w:rPr>
          <w:i/>
          <w:sz w:val="28"/>
          <w:szCs w:val="28"/>
          <w:lang w:val="en-US"/>
        </w:rPr>
        <w:t>Id.</w:t>
      </w:r>
      <w:r w:rsidRPr="10271BBC">
        <w:rPr>
          <w:sz w:val="28"/>
          <w:szCs w:val="28"/>
          <w:lang w:val="en-US"/>
        </w:rPr>
        <w:t xml:space="preserve"> at 10:103–07. Officers quietly opened an investigation into a possible large-scale money laundering scheme. </w:t>
      </w:r>
      <w:r w:rsidRPr="10271BBC">
        <w:rPr>
          <w:i/>
          <w:sz w:val="28"/>
          <w:szCs w:val="28"/>
          <w:lang w:val="en-US"/>
        </w:rPr>
        <w:t>Id.</w:t>
      </w:r>
      <w:r w:rsidRPr="10271BBC">
        <w:rPr>
          <w:sz w:val="28"/>
          <w:szCs w:val="28"/>
          <w:lang w:val="en-US"/>
        </w:rPr>
        <w:t xml:space="preserve"> at 10–11:155–60. Shortly thereafter, Blake was murdered in his office at the Silver Palms. </w:t>
      </w:r>
      <w:r w:rsidRPr="10271BBC">
        <w:rPr>
          <w:i/>
          <w:sz w:val="28"/>
          <w:szCs w:val="28"/>
          <w:lang w:val="en-US"/>
        </w:rPr>
        <w:t>Id.</w:t>
      </w:r>
      <w:r w:rsidRPr="10271BBC">
        <w:rPr>
          <w:sz w:val="28"/>
          <w:szCs w:val="28"/>
          <w:lang w:val="en-US"/>
        </w:rPr>
        <w:t xml:space="preserve"> at 13:113–17. His files pertaining to the alleged money-laundering scheme were destroyed and are untraceable</w:t>
      </w:r>
      <w:r w:rsidR="0055011F" w:rsidRPr="10271BBC">
        <w:rPr>
          <w:sz w:val="28"/>
          <w:szCs w:val="28"/>
          <w:lang w:val="en-US"/>
        </w:rPr>
        <w:t>, leading only to an empty storage space</w:t>
      </w:r>
      <w:r w:rsidRPr="10271BBC">
        <w:rPr>
          <w:sz w:val="28"/>
          <w:szCs w:val="28"/>
          <w:lang w:val="en-US"/>
        </w:rPr>
        <w:t xml:space="preserve">. </w:t>
      </w:r>
      <w:r w:rsidRPr="10271BBC">
        <w:rPr>
          <w:i/>
          <w:sz w:val="28"/>
          <w:szCs w:val="28"/>
          <w:lang w:val="en-US"/>
        </w:rPr>
        <w:t>Id.</w:t>
      </w:r>
      <w:r w:rsidRPr="10271BBC">
        <w:rPr>
          <w:sz w:val="28"/>
          <w:szCs w:val="28"/>
          <w:lang w:val="en-US"/>
        </w:rPr>
        <w:t xml:space="preserve"> at 14:238–55</w:t>
      </w:r>
      <w:r w:rsidR="00486814" w:rsidRPr="10271BBC">
        <w:rPr>
          <w:sz w:val="28"/>
          <w:szCs w:val="28"/>
          <w:lang w:val="en-US"/>
        </w:rPr>
        <w:t>; Nolan Dep. 26:106–108.</w:t>
      </w:r>
      <w:r w:rsidRPr="10271BBC">
        <w:rPr>
          <w:sz w:val="28"/>
          <w:szCs w:val="28"/>
          <w:lang w:val="en-US"/>
        </w:rPr>
        <w:t xml:space="preserve"> Donovan was later arrested for the murder. Armana Dep. 43:35–38. </w:t>
      </w:r>
    </w:p>
    <w:p w14:paraId="00000037" w14:textId="3535BAD8" w:rsidR="00A63F18" w:rsidRPr="00C3393C" w:rsidRDefault="00A47554">
      <w:pPr>
        <w:spacing w:after="160" w:line="480" w:lineRule="auto"/>
        <w:ind w:firstLine="720"/>
        <w:jc w:val="both"/>
        <w:rPr>
          <w:sz w:val="28"/>
          <w:szCs w:val="28"/>
          <w:vertAlign w:val="superscript"/>
          <w:lang w:val="en-US"/>
        </w:rPr>
      </w:pPr>
      <w:r w:rsidRPr="10271BBC">
        <w:rPr>
          <w:sz w:val="28"/>
          <w:szCs w:val="28"/>
          <w:lang w:val="en-US"/>
        </w:rPr>
        <w:t xml:space="preserve">Calloway’s attorneys retained Maddox Armana (“Armana”), a licensed private investigator, to prepare Calloway’s potential defense. </w:t>
      </w:r>
      <w:r w:rsidRPr="10271BBC">
        <w:rPr>
          <w:i/>
          <w:sz w:val="28"/>
          <w:szCs w:val="28"/>
          <w:lang w:val="en-US"/>
        </w:rPr>
        <w:t>Id.</w:t>
      </w:r>
      <w:r w:rsidRPr="10271BBC">
        <w:rPr>
          <w:sz w:val="28"/>
          <w:szCs w:val="28"/>
          <w:lang w:val="en-US"/>
        </w:rPr>
        <w:t xml:space="preserve"> at 44:47–50. As part of this preparation, Armana interviewed Sierra Seton (“Seton”) on February 15, 2024. Attorney Work Product, Exhibit No. 21. The purpose of this interview was to develop and preserve facts relating to </w:t>
      </w:r>
      <w:proofErr w:type="spellStart"/>
      <w:r w:rsidRPr="10271BBC">
        <w:rPr>
          <w:sz w:val="28"/>
          <w:szCs w:val="28"/>
          <w:lang w:val="en-US"/>
        </w:rPr>
        <w:t>Coastal’s</w:t>
      </w:r>
      <w:proofErr w:type="spellEnd"/>
      <w:r w:rsidRPr="10271BBC">
        <w:rPr>
          <w:sz w:val="28"/>
          <w:szCs w:val="28"/>
          <w:lang w:val="en-US"/>
        </w:rPr>
        <w:t xml:space="preserve"> operations, ownership, personal </w:t>
      </w:r>
      <w:r w:rsidRPr="10271BBC">
        <w:rPr>
          <w:sz w:val="28"/>
          <w:szCs w:val="28"/>
          <w:lang w:val="en-US"/>
        </w:rPr>
        <w:lastRenderedPageBreak/>
        <w:t xml:space="preserve">financial activity, and model. Seton was incredibly difficult to locate. </w:t>
      </w:r>
      <w:r w:rsidRPr="10271BBC">
        <w:rPr>
          <w:i/>
          <w:sz w:val="28"/>
          <w:szCs w:val="28"/>
          <w:lang w:val="en-US"/>
        </w:rPr>
        <w:t>Id.</w:t>
      </w:r>
      <w:r w:rsidRPr="10271BBC">
        <w:rPr>
          <w:sz w:val="28"/>
          <w:szCs w:val="28"/>
          <w:lang w:val="en-US"/>
        </w:rPr>
        <w:t xml:space="preserve"> at 45:86–93. Armana contends Seton did not want to be found. </w:t>
      </w:r>
      <w:r w:rsidRPr="10271BBC">
        <w:rPr>
          <w:i/>
          <w:sz w:val="28"/>
          <w:szCs w:val="28"/>
          <w:lang w:val="en-US"/>
        </w:rPr>
        <w:t>Id.</w:t>
      </w:r>
      <w:r w:rsidRPr="10271BBC">
        <w:rPr>
          <w:sz w:val="28"/>
          <w:szCs w:val="28"/>
          <w:lang w:val="en-US"/>
        </w:rPr>
        <w:t xml:space="preserve"> at 45:95–99. After the interview, Seton disappeared—investigative efforts have only managed to establish that Seton may be somewhere off the coast of Spain. </w:t>
      </w:r>
      <w:r w:rsidRPr="10271BBC">
        <w:rPr>
          <w:i/>
          <w:sz w:val="28"/>
          <w:szCs w:val="28"/>
          <w:lang w:val="en-US"/>
        </w:rPr>
        <w:t>Id.</w:t>
      </w:r>
      <w:r w:rsidRPr="10271BBC">
        <w:rPr>
          <w:sz w:val="28"/>
          <w:szCs w:val="28"/>
          <w:lang w:val="en-US"/>
        </w:rPr>
        <w:t xml:space="preserve"> at 46:146–49. The notes from that interview are the only account that exists about the intricacies of Coastal Event Solutions, LLC. </w:t>
      </w:r>
      <w:r w:rsidRPr="10271BBC">
        <w:rPr>
          <w:i/>
          <w:sz w:val="28"/>
          <w:szCs w:val="28"/>
          <w:lang w:val="en-US"/>
        </w:rPr>
        <w:t>Id.</w:t>
      </w:r>
      <w:r w:rsidRPr="10271BBC">
        <w:rPr>
          <w:sz w:val="28"/>
          <w:szCs w:val="28"/>
          <w:lang w:val="en-US"/>
        </w:rPr>
        <w:t xml:space="preserve"> at 47:166–68.</w:t>
      </w:r>
    </w:p>
    <w:p w14:paraId="00000038" w14:textId="77777777" w:rsidR="00A63F18" w:rsidRPr="00C3393C" w:rsidRDefault="00A47554">
      <w:pPr>
        <w:pBdr>
          <w:top w:val="nil"/>
          <w:left w:val="nil"/>
          <w:bottom w:val="nil"/>
          <w:right w:val="nil"/>
          <w:between w:val="nil"/>
        </w:pBdr>
        <w:spacing w:after="160" w:line="480" w:lineRule="auto"/>
        <w:ind w:firstLine="720"/>
        <w:jc w:val="both"/>
        <w:rPr>
          <w:sz w:val="28"/>
          <w:szCs w:val="28"/>
          <w:lang w:val="en-US"/>
        </w:rPr>
      </w:pPr>
      <w:r w:rsidRPr="10271BBC">
        <w:rPr>
          <w:sz w:val="28"/>
          <w:szCs w:val="28"/>
          <w:lang w:val="en-US"/>
        </w:rPr>
        <w:t xml:space="preserve">Calloway was compelled to testify against Donovan and was given use and derivative use immunity on August 23rd, 2024. Order Granting Immunity to Emily Calloway, Exhibit No. 12. AUSA Tatum Sinclair (“Sinclair”) and FBI Agent Bryce Nolan (“Nolan”) put up a wall in accordance with proper procedure. Internal Memorandum, Exhibit No. 15. This procedure was put into place on August 24, 2024. Nolan Dep. 29:203–13. The formal protocol was written in response to Emily Calloway's compelled testimony. </w:t>
      </w:r>
      <w:r w:rsidRPr="10271BBC">
        <w:rPr>
          <w:i/>
          <w:sz w:val="28"/>
          <w:szCs w:val="28"/>
          <w:lang w:val="en-US"/>
        </w:rPr>
        <w:t>Id</w:t>
      </w:r>
      <w:r w:rsidRPr="10271BBC">
        <w:rPr>
          <w:sz w:val="28"/>
          <w:szCs w:val="28"/>
          <w:lang w:val="en-US"/>
        </w:rPr>
        <w:t xml:space="preserve">. at 28:178–228. Nolan had written an investigative to-do list for August 23–27. </w:t>
      </w:r>
      <w:r w:rsidRPr="10271BBC">
        <w:rPr>
          <w:i/>
          <w:sz w:val="28"/>
          <w:szCs w:val="28"/>
          <w:lang w:val="en-US"/>
        </w:rPr>
        <w:t>Id.</w:t>
      </w:r>
      <w:r w:rsidRPr="10271BBC">
        <w:rPr>
          <w:sz w:val="28"/>
          <w:szCs w:val="28"/>
          <w:lang w:val="en-US"/>
        </w:rPr>
        <w:t xml:space="preserve"> at 29:234. Calloway </w:t>
      </w:r>
      <w:proofErr w:type="gramStart"/>
      <w:r w:rsidRPr="10271BBC">
        <w:rPr>
          <w:sz w:val="28"/>
          <w:szCs w:val="28"/>
          <w:lang w:val="en-US"/>
        </w:rPr>
        <w:t>had spoken</w:t>
      </w:r>
      <w:proofErr w:type="gramEnd"/>
      <w:r w:rsidRPr="10271BBC">
        <w:rPr>
          <w:sz w:val="28"/>
          <w:szCs w:val="28"/>
          <w:lang w:val="en-US"/>
        </w:rPr>
        <w:t xml:space="preserve"> with Sinclair on August 28th, 2024. Sinclair Dep. 21:554–55. Before Calloway's compelled testimony, the Government already possessed a complete roster of all employees who worked shifts in 2023. Nolan Dep. 30:265–71; Exhibit 10. The employee roster was subpoenaed and produced in February 2024. Sinclair Dep. 18:407–10. Kennedy Parker (“Parker”) is in the second column, on the fourteenth row. Employee Roster, Exhibit No. 10</w:t>
      </w:r>
      <w:r w:rsidRPr="10271BBC">
        <w:rPr>
          <w:i/>
          <w:sz w:val="28"/>
          <w:szCs w:val="28"/>
          <w:lang w:val="en-US"/>
        </w:rPr>
        <w:t>.</w:t>
      </w:r>
      <w:r w:rsidRPr="10271BBC">
        <w:rPr>
          <w:sz w:val="28"/>
          <w:szCs w:val="28"/>
          <w:lang w:val="en-US"/>
        </w:rPr>
        <w:t xml:space="preserve"> On October 31st, 2024, Nolan interviewed </w:t>
      </w:r>
      <w:r w:rsidRPr="10271BBC">
        <w:rPr>
          <w:sz w:val="28"/>
          <w:szCs w:val="28"/>
          <w:lang w:val="en-US"/>
        </w:rPr>
        <w:lastRenderedPageBreak/>
        <w:t xml:space="preserve">Parker. Nolan Dep. 32:327–38. Nolan documented Parker’s statement and subsequently discovered the storage unit. </w:t>
      </w:r>
      <w:r w:rsidRPr="10271BBC">
        <w:rPr>
          <w:i/>
          <w:sz w:val="28"/>
          <w:szCs w:val="28"/>
          <w:lang w:val="en-US"/>
        </w:rPr>
        <w:t>Id.</w:t>
      </w:r>
      <w:r w:rsidRPr="10271BBC">
        <w:rPr>
          <w:sz w:val="28"/>
          <w:szCs w:val="28"/>
          <w:lang w:val="en-US"/>
        </w:rPr>
        <w:t xml:space="preserve"> at 32–33:343–50. When Parker’s statement was corroborated, Nolan executed a search warrant that produced the Coastal records. </w:t>
      </w:r>
      <w:r w:rsidRPr="10271BBC">
        <w:rPr>
          <w:i/>
          <w:sz w:val="28"/>
          <w:szCs w:val="28"/>
          <w:lang w:val="en-US"/>
        </w:rPr>
        <w:t>Id.</w:t>
      </w:r>
      <w:r w:rsidRPr="10271BBC">
        <w:rPr>
          <w:sz w:val="28"/>
          <w:szCs w:val="28"/>
          <w:lang w:val="en-US"/>
        </w:rPr>
        <w:t xml:space="preserve"> at 33:351–60. One of the records identified Calloway as the owner of the Cayman account that Coastal had been writing </w:t>
      </w:r>
      <w:proofErr w:type="gramStart"/>
      <w:r w:rsidRPr="10271BBC">
        <w:rPr>
          <w:sz w:val="28"/>
          <w:szCs w:val="28"/>
          <w:lang w:val="en-US"/>
        </w:rPr>
        <w:t>money to</w:t>
      </w:r>
      <w:proofErr w:type="gramEnd"/>
      <w:r w:rsidRPr="10271BBC">
        <w:rPr>
          <w:sz w:val="28"/>
          <w:szCs w:val="28"/>
          <w:lang w:val="en-US"/>
        </w:rPr>
        <w:t xml:space="preserve"> for years. </w:t>
      </w:r>
      <w:r w:rsidRPr="10271BBC">
        <w:rPr>
          <w:i/>
          <w:sz w:val="28"/>
          <w:szCs w:val="28"/>
          <w:lang w:val="en-US"/>
        </w:rPr>
        <w:t>Id.</w:t>
      </w:r>
      <w:r w:rsidRPr="10271BBC">
        <w:rPr>
          <w:sz w:val="28"/>
          <w:szCs w:val="28"/>
          <w:lang w:val="en-US"/>
        </w:rPr>
        <w:t xml:space="preserve"> at 33:362–65. The Coastal records, along with the other evidence collected, were used to indict Calloway. </w:t>
      </w:r>
      <w:r w:rsidRPr="10271BBC">
        <w:rPr>
          <w:i/>
          <w:sz w:val="28"/>
          <w:szCs w:val="28"/>
          <w:lang w:val="en-US"/>
        </w:rPr>
        <w:t>Id.</w:t>
      </w:r>
      <w:r w:rsidRPr="10271BBC">
        <w:rPr>
          <w:sz w:val="28"/>
          <w:szCs w:val="28"/>
          <w:lang w:val="en-US"/>
        </w:rPr>
        <w:t xml:space="preserve"> at 33:376–79.</w:t>
      </w:r>
    </w:p>
    <w:p w14:paraId="00000039" w14:textId="77777777" w:rsidR="00A63F18" w:rsidRPr="00C3393C" w:rsidRDefault="00A47554" w:rsidP="00375E12">
      <w:pPr>
        <w:pStyle w:val="Heading1"/>
        <w:rPr>
          <w:szCs w:val="28"/>
        </w:rPr>
      </w:pPr>
      <w:bookmarkStart w:id="4" w:name="_Toc239144593"/>
      <w:r w:rsidRPr="00C3393C">
        <w:rPr>
          <w:szCs w:val="28"/>
        </w:rPr>
        <w:t>ARGUMENT</w:t>
      </w:r>
      <w:bookmarkEnd w:id="4"/>
    </w:p>
    <w:p w14:paraId="0000003A" w14:textId="4B86C1CC" w:rsidR="00A63F18" w:rsidRPr="00C3393C" w:rsidRDefault="00A47554" w:rsidP="275E1E06">
      <w:pPr>
        <w:pStyle w:val="Heading2"/>
        <w:spacing w:line="240" w:lineRule="auto"/>
      </w:pPr>
      <w:bookmarkStart w:id="5" w:name="_Toc239144594"/>
      <w:r w:rsidRPr="10271BBC">
        <w:rPr>
          <w:lang w:val="en-US"/>
        </w:rPr>
        <w:t xml:space="preserve">Exhibit 19 and the Testimony of Kennedy Parker should not be </w:t>
      </w:r>
      <w:r w:rsidR="00375E12" w:rsidRPr="10271BBC">
        <w:rPr>
          <w:lang w:val="en-US"/>
        </w:rPr>
        <w:t>suppressed because</w:t>
      </w:r>
      <w:r w:rsidRPr="10271BBC">
        <w:rPr>
          <w:lang w:val="en-US"/>
        </w:rPr>
        <w:t xml:space="preserve"> the Government can demonstrate a wholly independent source that led them to </w:t>
      </w:r>
      <w:r w:rsidR="005020AE" w:rsidRPr="10271BBC">
        <w:rPr>
          <w:lang w:val="en-US"/>
        </w:rPr>
        <w:t>Kennedy Parker and</w:t>
      </w:r>
      <w:r w:rsidRPr="10271BBC">
        <w:rPr>
          <w:lang w:val="en-US"/>
        </w:rPr>
        <w:t xml:space="preserve"> thus are</w:t>
      </w:r>
      <w:r w:rsidR="00375E12" w:rsidRPr="10271BBC">
        <w:rPr>
          <w:lang w:val="en-US"/>
        </w:rPr>
        <w:t xml:space="preserve"> </w:t>
      </w:r>
      <w:r w:rsidRPr="10271BBC">
        <w:rPr>
          <w:lang w:val="en-US"/>
        </w:rPr>
        <w:t>entitled to complete their investigation.</w:t>
      </w:r>
      <w:bookmarkEnd w:id="5"/>
    </w:p>
    <w:p w14:paraId="0000003B" w14:textId="6FEE85BE" w:rsidR="00A63F18" w:rsidRPr="00C3393C" w:rsidRDefault="00A47554">
      <w:pPr>
        <w:spacing w:after="160" w:line="480" w:lineRule="auto"/>
        <w:ind w:firstLine="720"/>
        <w:jc w:val="both"/>
        <w:rPr>
          <w:sz w:val="28"/>
          <w:szCs w:val="28"/>
          <w:lang w:val="en-US"/>
        </w:rPr>
      </w:pPr>
      <w:r w:rsidRPr="10271BBC">
        <w:rPr>
          <w:sz w:val="28"/>
          <w:szCs w:val="28"/>
          <w:lang w:val="en-US"/>
        </w:rPr>
        <w:t xml:space="preserve">Exhibit 19 and the testimony of Kennedy Parker (“Parker”) should not be suppressed because they are out of the scope of the compelled testimony—pursuant to 18 U.S.C. § 6002, 6003—from Emily Calloway (“Calloway”). The United States can compel testimony from an unwilling witness who invokes the Fifth Amendment privilege against compulsory self-incrimination by conferring immunity, as provided by 18 U.S.C. § 6002, in exchange for immunity from use and derivative use. </w:t>
      </w:r>
      <w:r w:rsidRPr="10271BBC">
        <w:rPr>
          <w:i/>
          <w:sz w:val="28"/>
          <w:szCs w:val="28"/>
          <w:lang w:val="en-US"/>
        </w:rPr>
        <w:t>Kastigar v. United States</w:t>
      </w:r>
      <w:r w:rsidRPr="10271BBC">
        <w:rPr>
          <w:sz w:val="28"/>
          <w:szCs w:val="28"/>
          <w:lang w:val="en-US"/>
        </w:rPr>
        <w:t>, 406 U.S. 441, 441 (1972).</w:t>
      </w:r>
      <w:r w:rsidR="00F414BC" w:rsidRPr="46B1FCBE">
        <w:rPr>
          <w:sz w:val="28"/>
          <w:szCs w:val="28"/>
        </w:rPr>
        <w:fldChar w:fldCharType="begin"/>
      </w:r>
      <w:r w:rsidR="00F414BC">
        <w:instrText xml:space="preserve"> TA \l "</w:instrText>
      </w:r>
      <w:r w:rsidR="00F414BC" w:rsidRPr="46B1FCBE">
        <w:rPr>
          <w:i/>
          <w:iCs/>
          <w:sz w:val="28"/>
          <w:szCs w:val="28"/>
        </w:rPr>
        <w:instrText xml:space="preserve">Kastigar v. United </w:instrText>
      </w:r>
      <w:r w:rsidR="00F414BC" w:rsidRPr="46B1FCBE">
        <w:rPr>
          <w:sz w:val="28"/>
          <w:szCs w:val="28"/>
        </w:rPr>
        <w:instrText>, 406 U.S. 441, 441 (1972).</w:instrText>
      </w:r>
      <w:r w:rsidR="00F414BC">
        <w:instrText xml:space="preserve">" \s "Kastigar v. United States, 406 U.S. 441, 441 (1972)." \c 1 </w:instrText>
      </w:r>
      <w:r w:rsidR="00F414BC" w:rsidRPr="46B1FCBE">
        <w:rPr>
          <w:sz w:val="28"/>
          <w:szCs w:val="28"/>
        </w:rPr>
        <w:fldChar w:fldCharType="end"/>
      </w:r>
      <w:r w:rsidR="008F5A6A">
        <w:rPr>
          <w:sz w:val="28"/>
          <w:szCs w:val="28"/>
        </w:rPr>
        <w:fldChar w:fldCharType="begin"/>
      </w:r>
      <w:r w:rsidR="008F5A6A">
        <w:instrText xml:space="preserve"> TA \s "Kastigar, 406 U.S. at x" </w:instrText>
      </w:r>
      <w:r w:rsidR="008F5A6A">
        <w:rPr>
          <w:sz w:val="28"/>
          <w:szCs w:val="28"/>
        </w:rPr>
        <w:fldChar w:fldCharType="end"/>
      </w:r>
      <w:r w:rsidRPr="10271BBC">
        <w:rPr>
          <w:sz w:val="28"/>
          <w:szCs w:val="28"/>
          <w:lang w:val="en-US"/>
        </w:rPr>
        <w:t xml:space="preserve"> Given that the Government can demonstrate that Exhibit 19 and the testimony of Parker have separate </w:t>
      </w:r>
      <w:r w:rsidRPr="10271BBC">
        <w:rPr>
          <w:sz w:val="28"/>
          <w:szCs w:val="28"/>
          <w:lang w:val="en-US"/>
        </w:rPr>
        <w:lastRenderedPageBreak/>
        <w:t>foundations, the exhibit and testimony are not barred by use-and-derivative-use immunity.</w:t>
      </w:r>
    </w:p>
    <w:p w14:paraId="0000003C" w14:textId="77777777" w:rsidR="00A63F18" w:rsidRPr="00C3393C" w:rsidRDefault="00A47554" w:rsidP="00A1733D">
      <w:pPr>
        <w:pStyle w:val="Heading3"/>
      </w:pPr>
      <w:bookmarkStart w:id="6" w:name="_Toc239144595"/>
      <w:r w:rsidRPr="00C3393C">
        <w:t>Calloway is entitled to use and derivative-use immunity.</w:t>
      </w:r>
      <w:bookmarkEnd w:id="6"/>
    </w:p>
    <w:p w14:paraId="0000003D" w14:textId="29A9FB78" w:rsidR="00A63F18" w:rsidRPr="00C3393C" w:rsidRDefault="00A47554">
      <w:pPr>
        <w:spacing w:line="480" w:lineRule="auto"/>
        <w:ind w:firstLine="720"/>
        <w:jc w:val="both"/>
        <w:rPr>
          <w:sz w:val="28"/>
          <w:szCs w:val="28"/>
          <w:lang w:val="en-US"/>
        </w:rPr>
      </w:pPr>
      <w:r w:rsidRPr="10271BBC">
        <w:rPr>
          <w:sz w:val="28"/>
          <w:szCs w:val="28"/>
          <w:lang w:val="en-US"/>
        </w:rPr>
        <w:t xml:space="preserve">The United States can compel testimony from an unwilling witness who invokes the Fifth Amendment privilege by conferring immunity, as provided by 18 U.S.C. § 6002. </w:t>
      </w:r>
      <w:r w:rsidRPr="10271BBC">
        <w:rPr>
          <w:i/>
          <w:sz w:val="28"/>
          <w:szCs w:val="28"/>
          <w:lang w:val="en-US"/>
        </w:rPr>
        <w:t>Kastigar v. United States</w:t>
      </w:r>
      <w:r w:rsidRPr="10271BBC">
        <w:rPr>
          <w:sz w:val="28"/>
          <w:szCs w:val="28"/>
          <w:lang w:val="en-US"/>
        </w:rPr>
        <w:t xml:space="preserve">, 406 U.S. 441, 441 (1972). Use of the compelled testimony and evidence derived from the testimony are protected from use in subsequent proceedings to try to convict the unwilling witness. </w:t>
      </w:r>
      <w:r w:rsidRPr="10271BBC">
        <w:rPr>
          <w:i/>
          <w:sz w:val="28"/>
          <w:szCs w:val="28"/>
          <w:lang w:val="en-US"/>
        </w:rPr>
        <w:t xml:space="preserve">Id. </w:t>
      </w:r>
      <w:r w:rsidRPr="10271BBC">
        <w:rPr>
          <w:sz w:val="28"/>
          <w:szCs w:val="28"/>
          <w:lang w:val="en-US"/>
        </w:rPr>
        <w:t xml:space="preserve">Use immunity prevents the prosecution from directly using immunized testimony, while derivative use immunity is broader </w:t>
      </w:r>
      <w:proofErr w:type="gramStart"/>
      <w:r w:rsidRPr="10271BBC">
        <w:rPr>
          <w:sz w:val="28"/>
          <w:szCs w:val="28"/>
          <w:lang w:val="en-US"/>
        </w:rPr>
        <w:t>and also</w:t>
      </w:r>
      <w:proofErr w:type="gramEnd"/>
      <w:r w:rsidRPr="10271BBC">
        <w:rPr>
          <w:sz w:val="28"/>
          <w:szCs w:val="28"/>
          <w:lang w:val="en-US"/>
        </w:rPr>
        <w:t xml:space="preserve"> precludes the use of evidence derived from it.</w:t>
      </w:r>
      <w:r w:rsidRPr="10271BBC">
        <w:rPr>
          <w:i/>
          <w:sz w:val="28"/>
          <w:szCs w:val="28"/>
          <w:lang w:val="en-US"/>
        </w:rPr>
        <w:t xml:space="preserve"> United States v. Smith</w:t>
      </w:r>
      <w:r w:rsidRPr="10271BBC">
        <w:rPr>
          <w:sz w:val="28"/>
          <w:szCs w:val="28"/>
          <w:lang w:val="en-US"/>
        </w:rPr>
        <w:t>, 452 F.3d 323, 336–37 (4th Cir. 2006).</w:t>
      </w:r>
      <w:r w:rsidR="00077E22">
        <w:rPr>
          <w:sz w:val="28"/>
          <w:szCs w:val="28"/>
        </w:rPr>
        <w:fldChar w:fldCharType="begin"/>
      </w:r>
      <w:r w:rsidR="00077E22">
        <w:instrText xml:space="preserve"> TA \l "</w:instrText>
      </w:r>
      <w:r w:rsidR="00077E22" w:rsidRPr="00CE1ACD">
        <w:rPr>
          <w:i/>
          <w:iCs/>
          <w:sz w:val="28"/>
          <w:szCs w:val="28"/>
        </w:rPr>
        <w:instrText>United States v. Smith</w:instrText>
      </w:r>
      <w:r w:rsidR="00077E22" w:rsidRPr="00CE1ACD">
        <w:rPr>
          <w:sz w:val="28"/>
          <w:szCs w:val="28"/>
        </w:rPr>
        <w:instrText>, 452 F.3d 323, 336–37 (4th Cir. 2006).</w:instrText>
      </w:r>
      <w:r w:rsidR="00077E22">
        <w:instrText xml:space="preserve">" \s "United States v. Smith" \c 1 </w:instrText>
      </w:r>
      <w:r w:rsidR="00077E22">
        <w:rPr>
          <w:sz w:val="28"/>
          <w:szCs w:val="28"/>
        </w:rPr>
        <w:fldChar w:fldCharType="end"/>
      </w:r>
      <w:r w:rsidR="00077E22">
        <w:rPr>
          <w:sz w:val="28"/>
          <w:szCs w:val="28"/>
        </w:rPr>
        <w:fldChar w:fldCharType="begin"/>
      </w:r>
      <w:r w:rsidR="00077E22">
        <w:instrText xml:space="preserve"> TA \s "United States v. Smith" </w:instrText>
      </w:r>
      <w:r w:rsidR="00077E22">
        <w:rPr>
          <w:sz w:val="28"/>
          <w:szCs w:val="28"/>
        </w:rPr>
        <w:fldChar w:fldCharType="end"/>
      </w:r>
      <w:r w:rsidRPr="10271BBC">
        <w:rPr>
          <w:sz w:val="28"/>
          <w:szCs w:val="28"/>
          <w:lang w:val="en-US"/>
        </w:rPr>
        <w:t xml:space="preserve"> Under use and derivative use immunity, the witness may still be prosecuted for crimes they testify to if the Government proves that it has other evidence that is derived from a source wholly independent of the compelled testimony. </w:t>
      </w:r>
      <w:r w:rsidRPr="10271BBC">
        <w:rPr>
          <w:i/>
          <w:sz w:val="28"/>
          <w:szCs w:val="28"/>
          <w:lang w:val="en-US"/>
        </w:rPr>
        <w:t xml:space="preserve">United States v. </w:t>
      </w:r>
      <w:proofErr w:type="spellStart"/>
      <w:r w:rsidRPr="10271BBC">
        <w:rPr>
          <w:i/>
          <w:sz w:val="28"/>
          <w:szCs w:val="28"/>
          <w:lang w:val="en-US"/>
        </w:rPr>
        <w:t>Quatermain</w:t>
      </w:r>
      <w:proofErr w:type="spellEnd"/>
      <w:r w:rsidRPr="10271BBC">
        <w:rPr>
          <w:i/>
          <w:sz w:val="28"/>
          <w:szCs w:val="28"/>
          <w:lang w:val="en-US"/>
        </w:rPr>
        <w:t>, Drax</w:t>
      </w:r>
      <w:r w:rsidRPr="10271BBC">
        <w:rPr>
          <w:sz w:val="28"/>
          <w:szCs w:val="28"/>
          <w:lang w:val="en-US"/>
        </w:rPr>
        <w:t>, 613 F.2d 38, 40 (3d Cir. 1980).</w:t>
      </w:r>
      <w:r w:rsidR="00B31627">
        <w:rPr>
          <w:sz w:val="28"/>
          <w:szCs w:val="28"/>
        </w:rPr>
        <w:fldChar w:fldCharType="begin"/>
      </w:r>
      <w:r w:rsidR="00B31627">
        <w:instrText xml:space="preserve"> TA \l "</w:instrText>
      </w:r>
      <w:r w:rsidR="00B31627" w:rsidRPr="00756EDD">
        <w:rPr>
          <w:i/>
          <w:iCs/>
          <w:sz w:val="28"/>
          <w:szCs w:val="28"/>
        </w:rPr>
        <w:instrText>United States v. Quatermain, Drax</w:instrText>
      </w:r>
      <w:r w:rsidR="00B31627" w:rsidRPr="00756EDD">
        <w:rPr>
          <w:sz w:val="28"/>
          <w:szCs w:val="28"/>
        </w:rPr>
        <w:instrText>, 613 F.2d 38, 40 (3d Cir. 1980).</w:instrText>
      </w:r>
      <w:r w:rsidR="00B31627">
        <w:instrText xml:space="preserve">" \s "Quatermain, Drax, 613 F.2d at x." \c 1 </w:instrText>
      </w:r>
      <w:r w:rsidR="00B31627">
        <w:rPr>
          <w:sz w:val="28"/>
          <w:szCs w:val="28"/>
        </w:rPr>
        <w:fldChar w:fldCharType="end"/>
      </w:r>
      <w:r w:rsidR="00B31627">
        <w:rPr>
          <w:sz w:val="28"/>
          <w:szCs w:val="28"/>
        </w:rPr>
        <w:fldChar w:fldCharType="begin"/>
      </w:r>
      <w:r w:rsidR="00B31627">
        <w:instrText xml:space="preserve"> TA \s "Quatermain, Drax, 613 F.2d at x." </w:instrText>
      </w:r>
      <w:r w:rsidR="00B31627">
        <w:rPr>
          <w:sz w:val="28"/>
          <w:szCs w:val="28"/>
        </w:rPr>
        <w:fldChar w:fldCharType="end"/>
      </w:r>
    </w:p>
    <w:p w14:paraId="0000003E" w14:textId="32FE1F8D" w:rsidR="00A63F18" w:rsidRPr="00C3393C" w:rsidRDefault="00A47554">
      <w:pPr>
        <w:spacing w:after="160" w:line="480" w:lineRule="auto"/>
        <w:ind w:firstLine="720"/>
        <w:jc w:val="both"/>
        <w:rPr>
          <w:b/>
          <w:sz w:val="28"/>
          <w:szCs w:val="28"/>
          <w:u w:val="single"/>
          <w:lang w:val="en-US"/>
        </w:rPr>
      </w:pPr>
      <w:r w:rsidRPr="10271BBC">
        <w:rPr>
          <w:sz w:val="28"/>
          <w:szCs w:val="28"/>
          <w:lang w:val="en-US"/>
        </w:rPr>
        <w:t xml:space="preserve">There is no dispute that Calloway is entitled to use and derivative-use immunity. </w:t>
      </w:r>
      <w:proofErr w:type="gramStart"/>
      <w:r w:rsidRPr="10271BBC">
        <w:rPr>
          <w:sz w:val="28"/>
          <w:szCs w:val="28"/>
          <w:lang w:val="en-US"/>
        </w:rPr>
        <w:t>On account of</w:t>
      </w:r>
      <w:proofErr w:type="gramEnd"/>
      <w:r w:rsidRPr="10271BBC">
        <w:rPr>
          <w:sz w:val="28"/>
          <w:szCs w:val="28"/>
          <w:lang w:val="en-US"/>
        </w:rPr>
        <w:t xml:space="preserve"> Calloway’s compulsion to testify, which is well within the prosecution’s rights, she was granted immunity for her statements. Order Granting Immunity to Emily Calloway, Exhibit No. 12. To introduce or discuss anything Calloway stated in her testimony, the non-movant must rely on a wholly independent </w:t>
      </w:r>
      <w:r w:rsidRPr="10271BBC">
        <w:rPr>
          <w:sz w:val="28"/>
          <w:szCs w:val="28"/>
          <w:lang w:val="en-US"/>
        </w:rPr>
        <w:lastRenderedPageBreak/>
        <w:t xml:space="preserve">source. According to controlling case law, in </w:t>
      </w:r>
      <w:r w:rsidRPr="10271BBC">
        <w:rPr>
          <w:i/>
          <w:sz w:val="28"/>
          <w:szCs w:val="28"/>
          <w:lang w:val="en-US"/>
        </w:rPr>
        <w:t>Kastigar</w:t>
      </w:r>
      <w:r w:rsidRPr="10271BBC">
        <w:rPr>
          <w:sz w:val="28"/>
          <w:szCs w:val="28"/>
          <w:lang w:val="en-US"/>
        </w:rPr>
        <w:t xml:space="preserve">, the federal authorities bear the burden of proving that their evidence is not tainted by establishing an independent, legitimate source for the disputed evidence. 406 U.S. at 461. Here, the Government shows that Parker’s testimony and Exhibit 19 are from a legitimate source wholly independent of the compelled testimony. </w:t>
      </w:r>
    </w:p>
    <w:p w14:paraId="0000003F" w14:textId="77777777" w:rsidR="00A63F18" w:rsidRPr="00C3393C" w:rsidRDefault="00A47554" w:rsidP="00A1733D">
      <w:pPr>
        <w:pStyle w:val="Heading3"/>
      </w:pPr>
      <w:bookmarkStart w:id="7" w:name="_Toc239144596"/>
      <w:r w:rsidRPr="10271BBC">
        <w:t>The exhibit and testimony are derived from a wholly independent source.</w:t>
      </w:r>
      <w:bookmarkEnd w:id="7"/>
    </w:p>
    <w:p w14:paraId="00000040" w14:textId="1FEA1397" w:rsidR="00A63F18" w:rsidRPr="00C3393C" w:rsidRDefault="00A47554">
      <w:pPr>
        <w:spacing w:line="480" w:lineRule="auto"/>
        <w:ind w:firstLine="720"/>
        <w:jc w:val="both"/>
        <w:rPr>
          <w:sz w:val="28"/>
          <w:szCs w:val="28"/>
          <w:lang w:val="en-US"/>
        </w:rPr>
      </w:pPr>
      <w:r w:rsidRPr="10271BBC">
        <w:rPr>
          <w:sz w:val="28"/>
          <w:szCs w:val="28"/>
          <w:lang w:val="en-US"/>
        </w:rPr>
        <w:t xml:space="preserve">This court should deny the defendant’s motion to suppress the testimony because both Exhibit 19 and Parker’s testimony are derived from a wholly independent source. For evidence to be used after a defendant has been compelled to testify, the evidence must come from a legitimate source wholly independent of the compelled testimony. </w:t>
      </w:r>
      <w:r w:rsidRPr="10271BBC">
        <w:rPr>
          <w:i/>
          <w:sz w:val="28"/>
          <w:szCs w:val="28"/>
          <w:lang w:val="en-US"/>
        </w:rPr>
        <w:t>Kastigar</w:t>
      </w:r>
      <w:r w:rsidRPr="10271BBC">
        <w:rPr>
          <w:sz w:val="28"/>
          <w:szCs w:val="28"/>
          <w:lang w:val="en-US"/>
        </w:rPr>
        <w:t xml:space="preserve">, 406 U.S. at 461. The Government must show that, even if the defendant had never given the information to Government agents or testified before the grand jury, the prosecution would still have possessed it. </w:t>
      </w:r>
      <w:r w:rsidRPr="10271BBC">
        <w:rPr>
          <w:i/>
          <w:sz w:val="28"/>
          <w:szCs w:val="28"/>
          <w:lang w:val="en-US"/>
        </w:rPr>
        <w:t>United States v. Kurzer</w:t>
      </w:r>
      <w:r w:rsidRPr="10271BBC">
        <w:rPr>
          <w:sz w:val="28"/>
          <w:szCs w:val="28"/>
          <w:lang w:val="en-US"/>
        </w:rPr>
        <w:t>, 534 F.2d 511, 515–17 (2d Cir. 1976).</w:t>
      </w:r>
      <w:r w:rsidR="00FE6DD4">
        <w:rPr>
          <w:sz w:val="28"/>
          <w:szCs w:val="28"/>
        </w:rPr>
        <w:fldChar w:fldCharType="begin"/>
      </w:r>
      <w:r w:rsidR="00FE6DD4">
        <w:instrText xml:space="preserve"> TA \l "</w:instrText>
      </w:r>
      <w:r w:rsidR="00FE6DD4" w:rsidRPr="00AD77D3">
        <w:rPr>
          <w:i/>
          <w:iCs/>
          <w:sz w:val="28"/>
          <w:szCs w:val="28"/>
        </w:rPr>
        <w:instrText>United States v. Kurzer</w:instrText>
      </w:r>
      <w:r w:rsidR="00FE6DD4" w:rsidRPr="00AD77D3">
        <w:rPr>
          <w:sz w:val="28"/>
          <w:szCs w:val="28"/>
        </w:rPr>
        <w:instrText>, 534 F.2d 511, 515–17 (2d Cir. 1976).</w:instrText>
      </w:r>
      <w:r w:rsidR="00FE6DD4">
        <w:instrText xml:space="preserve">" \s "Kurzer, 534 F.2d at x." \c 1 </w:instrText>
      </w:r>
      <w:r w:rsidR="00FE6DD4">
        <w:rPr>
          <w:sz w:val="28"/>
          <w:szCs w:val="28"/>
        </w:rPr>
        <w:fldChar w:fldCharType="end"/>
      </w:r>
      <w:r w:rsidR="003F0F3B">
        <w:rPr>
          <w:sz w:val="28"/>
          <w:szCs w:val="28"/>
        </w:rPr>
        <w:fldChar w:fldCharType="begin"/>
      </w:r>
      <w:r w:rsidR="003F0F3B">
        <w:instrText xml:space="preserve"> TA \s "Kurzer, 534 F.2d at x." </w:instrText>
      </w:r>
      <w:r w:rsidR="003F0F3B">
        <w:rPr>
          <w:sz w:val="28"/>
          <w:szCs w:val="28"/>
        </w:rPr>
        <w:fldChar w:fldCharType="end"/>
      </w:r>
      <w:r w:rsidRPr="10271BBC">
        <w:rPr>
          <w:sz w:val="28"/>
          <w:szCs w:val="28"/>
          <w:lang w:val="en-US"/>
        </w:rPr>
        <w:t xml:space="preserve"> The Government can meet this burden by demonstrating that it previously possessed the information from an independent source. </w:t>
      </w:r>
      <w:r w:rsidRPr="10271BBC">
        <w:rPr>
          <w:i/>
          <w:sz w:val="28"/>
          <w:szCs w:val="28"/>
          <w:lang w:val="en-US"/>
        </w:rPr>
        <w:t xml:space="preserve">United States v. </w:t>
      </w:r>
      <w:proofErr w:type="spellStart"/>
      <w:r w:rsidRPr="10271BBC">
        <w:rPr>
          <w:i/>
          <w:sz w:val="28"/>
          <w:szCs w:val="28"/>
          <w:lang w:val="en-US"/>
        </w:rPr>
        <w:t>Dynalectric</w:t>
      </w:r>
      <w:proofErr w:type="spellEnd"/>
      <w:r w:rsidRPr="10271BBC">
        <w:rPr>
          <w:i/>
          <w:sz w:val="28"/>
          <w:szCs w:val="28"/>
          <w:lang w:val="en-US"/>
        </w:rPr>
        <w:t xml:space="preserve"> Co.</w:t>
      </w:r>
      <w:r w:rsidRPr="10271BBC">
        <w:rPr>
          <w:sz w:val="28"/>
          <w:szCs w:val="28"/>
          <w:lang w:val="en-US"/>
        </w:rPr>
        <w:t>, 859 F.2d 1559, 1579 n.27 (11th Cir. 1988).</w:t>
      </w:r>
      <w:r w:rsidR="00545A89">
        <w:rPr>
          <w:sz w:val="28"/>
          <w:szCs w:val="28"/>
        </w:rPr>
        <w:fldChar w:fldCharType="begin"/>
      </w:r>
      <w:r w:rsidR="00545A89">
        <w:instrText xml:space="preserve"> TA \l "</w:instrText>
      </w:r>
      <w:r w:rsidR="00545A89" w:rsidRPr="00F13BFF">
        <w:rPr>
          <w:i/>
          <w:iCs/>
          <w:sz w:val="28"/>
          <w:szCs w:val="28"/>
        </w:rPr>
        <w:instrText>United States v. Dynalectric Co.</w:instrText>
      </w:r>
      <w:r w:rsidR="00545A89" w:rsidRPr="00F13BFF">
        <w:rPr>
          <w:sz w:val="28"/>
          <w:szCs w:val="28"/>
        </w:rPr>
        <w:instrText>, 859 F.2d 1559, 1579 n.27 (11th Cir. 1988).</w:instrText>
      </w:r>
      <w:r w:rsidR="00545A89">
        <w:instrText xml:space="preserve">" \s "Dynalectric Co., 859 F.2d at x." \c 1 </w:instrText>
      </w:r>
      <w:r w:rsidR="00545A89">
        <w:rPr>
          <w:sz w:val="28"/>
          <w:szCs w:val="28"/>
        </w:rPr>
        <w:fldChar w:fldCharType="end"/>
      </w:r>
      <w:r w:rsidR="00545A89">
        <w:rPr>
          <w:sz w:val="28"/>
          <w:szCs w:val="28"/>
        </w:rPr>
        <w:fldChar w:fldCharType="begin"/>
      </w:r>
      <w:r w:rsidR="00545A89">
        <w:instrText xml:space="preserve"> TA \s "Dynalectric Co., 859 F.2d at x." </w:instrText>
      </w:r>
      <w:r w:rsidR="00545A89">
        <w:rPr>
          <w:sz w:val="28"/>
          <w:szCs w:val="28"/>
        </w:rPr>
        <w:fldChar w:fldCharType="end"/>
      </w:r>
      <w:r w:rsidRPr="10271BBC">
        <w:rPr>
          <w:sz w:val="28"/>
          <w:szCs w:val="28"/>
          <w:lang w:val="en-US"/>
        </w:rPr>
        <w:t xml:space="preserve"> </w:t>
      </w:r>
    </w:p>
    <w:p w14:paraId="00000041" w14:textId="74C4E1EA" w:rsidR="00A63F18" w:rsidRPr="00C3393C" w:rsidRDefault="00A47554">
      <w:pPr>
        <w:spacing w:line="480" w:lineRule="auto"/>
        <w:ind w:firstLine="720"/>
        <w:jc w:val="both"/>
        <w:rPr>
          <w:sz w:val="28"/>
          <w:szCs w:val="28"/>
          <w:lang w:val="en-US"/>
        </w:rPr>
      </w:pPr>
      <w:r w:rsidRPr="10271BBC">
        <w:rPr>
          <w:sz w:val="28"/>
          <w:szCs w:val="28"/>
          <w:lang w:val="en-US"/>
        </w:rPr>
        <w:t xml:space="preserve">For example, in </w:t>
      </w:r>
      <w:r w:rsidRPr="10271BBC">
        <w:rPr>
          <w:i/>
          <w:sz w:val="28"/>
          <w:szCs w:val="28"/>
          <w:lang w:val="en-US"/>
        </w:rPr>
        <w:t>United States v. Bartell</w:t>
      </w:r>
      <w:r w:rsidRPr="10271BBC">
        <w:rPr>
          <w:sz w:val="28"/>
          <w:szCs w:val="28"/>
          <w:lang w:val="en-US"/>
        </w:rPr>
        <w:t xml:space="preserve">, the Sixth Circuit explained that evidence is derived from an independent source when the Government “knew and had obtained” the information before the defendant’s compelled testimony. </w:t>
      </w:r>
      <w:r w:rsidR="00D472E7" w:rsidRPr="10271BBC">
        <w:rPr>
          <w:i/>
          <w:sz w:val="28"/>
          <w:szCs w:val="28"/>
          <w:lang w:val="en-US"/>
        </w:rPr>
        <w:t xml:space="preserve">United </w:t>
      </w:r>
      <w:r w:rsidR="00D472E7" w:rsidRPr="10271BBC">
        <w:rPr>
          <w:i/>
          <w:sz w:val="28"/>
          <w:szCs w:val="28"/>
          <w:lang w:val="en-US"/>
        </w:rPr>
        <w:lastRenderedPageBreak/>
        <w:t>States v. Bartell</w:t>
      </w:r>
      <w:r w:rsidR="00D472E7" w:rsidRPr="10271BBC">
        <w:rPr>
          <w:sz w:val="28"/>
          <w:szCs w:val="28"/>
          <w:lang w:val="en-US"/>
        </w:rPr>
        <w:t xml:space="preserve">, </w:t>
      </w:r>
      <w:r w:rsidRPr="10271BBC">
        <w:rPr>
          <w:sz w:val="28"/>
          <w:szCs w:val="28"/>
          <w:lang w:val="en-US"/>
        </w:rPr>
        <w:t>19 F.3d 1105, 1112 (6th Cir. 1994).</w:t>
      </w:r>
      <w:r w:rsidR="00D472E7">
        <w:rPr>
          <w:sz w:val="28"/>
          <w:szCs w:val="28"/>
        </w:rPr>
        <w:fldChar w:fldCharType="begin"/>
      </w:r>
      <w:r w:rsidR="00D472E7">
        <w:instrText xml:space="preserve"> TA \l "</w:instrText>
      </w:r>
      <w:r w:rsidR="00D472E7" w:rsidRPr="00164C99">
        <w:rPr>
          <w:i/>
          <w:iCs/>
          <w:sz w:val="28"/>
          <w:szCs w:val="28"/>
        </w:rPr>
        <w:instrText>United States v. Bartell</w:instrText>
      </w:r>
      <w:r w:rsidR="00D472E7" w:rsidRPr="00164C99">
        <w:rPr>
          <w:sz w:val="28"/>
          <w:szCs w:val="28"/>
        </w:rPr>
        <w:instrText>, 19 F.3d 1105, 1112 (6th Cir. 1994).</w:instrText>
      </w:r>
      <w:r w:rsidR="00D472E7">
        <w:instrText xml:space="preserve">" \s "Bartell, 19 F.3d at x." \c 1 </w:instrText>
      </w:r>
      <w:r w:rsidR="00D472E7">
        <w:rPr>
          <w:sz w:val="28"/>
          <w:szCs w:val="28"/>
        </w:rPr>
        <w:fldChar w:fldCharType="end"/>
      </w:r>
      <w:r w:rsidR="00BD6263">
        <w:rPr>
          <w:sz w:val="28"/>
          <w:szCs w:val="28"/>
        </w:rPr>
        <w:fldChar w:fldCharType="begin"/>
      </w:r>
      <w:r w:rsidR="00BD6263">
        <w:instrText xml:space="preserve"> TA \s "Bartell, 19 F.3d at x." </w:instrText>
      </w:r>
      <w:r w:rsidR="00BD6263">
        <w:rPr>
          <w:sz w:val="28"/>
          <w:szCs w:val="28"/>
        </w:rPr>
        <w:fldChar w:fldCharType="end"/>
      </w:r>
      <w:r w:rsidRPr="10271BBC">
        <w:rPr>
          <w:sz w:val="28"/>
          <w:szCs w:val="28"/>
          <w:lang w:val="en-US"/>
        </w:rPr>
        <w:t xml:space="preserve"> The agent in Bartell demonstrated this by testifying that the Government had known and had access to the information before the compelled testimony. </w:t>
      </w:r>
      <w:r w:rsidRPr="10271BBC">
        <w:rPr>
          <w:i/>
          <w:sz w:val="28"/>
          <w:szCs w:val="28"/>
          <w:lang w:val="en-US"/>
        </w:rPr>
        <w:t>Id.</w:t>
      </w:r>
      <w:r w:rsidRPr="10271BBC">
        <w:rPr>
          <w:sz w:val="28"/>
          <w:szCs w:val="28"/>
          <w:lang w:val="en-US"/>
        </w:rPr>
        <w:t xml:space="preserve"> Because the agent established prior knowledge of the evidence, both the District Court and the Sixth Circuit deemed it sufficient to show that the evidence was from a wholly independent source. </w:t>
      </w:r>
      <w:r w:rsidRPr="10271BBC">
        <w:rPr>
          <w:i/>
          <w:sz w:val="28"/>
          <w:szCs w:val="28"/>
          <w:lang w:val="en-US"/>
        </w:rPr>
        <w:t>Id.</w:t>
      </w:r>
      <w:r w:rsidRPr="10271BBC">
        <w:rPr>
          <w:sz w:val="28"/>
          <w:szCs w:val="28"/>
          <w:lang w:val="en-US"/>
        </w:rPr>
        <w:t xml:space="preserve"> at 1113. Further, the agent proved that he had obtained the evidence from sources not mentioned in the compelled testimony, which the Sixth Circuit deemed an approved method of demonstrating independent sourcing. </w:t>
      </w:r>
      <w:r w:rsidRPr="10271BBC">
        <w:rPr>
          <w:i/>
          <w:sz w:val="28"/>
          <w:szCs w:val="28"/>
          <w:lang w:val="en-US"/>
        </w:rPr>
        <w:t xml:space="preserve">Id. </w:t>
      </w:r>
    </w:p>
    <w:p w14:paraId="00000042" w14:textId="4A6A9569" w:rsidR="00A63F18" w:rsidRPr="00C3393C" w:rsidRDefault="00A47554">
      <w:pPr>
        <w:spacing w:line="480" w:lineRule="auto"/>
        <w:ind w:firstLine="720"/>
        <w:jc w:val="both"/>
        <w:rPr>
          <w:sz w:val="28"/>
          <w:szCs w:val="28"/>
          <w:lang w:val="en-US"/>
        </w:rPr>
      </w:pPr>
      <w:r w:rsidRPr="10271BBC">
        <w:rPr>
          <w:sz w:val="28"/>
          <w:szCs w:val="28"/>
          <w:lang w:val="en-US"/>
        </w:rPr>
        <w:t xml:space="preserve">Ignorance of information contained within a compelled testimony is not sufficient to establish a legitimate source wholly independent of the testimony. </w:t>
      </w:r>
      <w:r w:rsidRPr="10271BBC">
        <w:rPr>
          <w:i/>
          <w:sz w:val="28"/>
          <w:szCs w:val="28"/>
          <w:lang w:val="en-US"/>
        </w:rPr>
        <w:t>United States v. Hubbell</w:t>
      </w:r>
      <w:r w:rsidRPr="10271BBC">
        <w:rPr>
          <w:sz w:val="28"/>
          <w:szCs w:val="28"/>
          <w:lang w:val="en-US"/>
        </w:rPr>
        <w:t>, 530 U.S. 27, 42–43 (2000).</w:t>
      </w:r>
      <w:r w:rsidR="003E5D1F">
        <w:rPr>
          <w:sz w:val="28"/>
          <w:szCs w:val="28"/>
        </w:rPr>
        <w:fldChar w:fldCharType="begin"/>
      </w:r>
      <w:r w:rsidR="003E5D1F">
        <w:instrText xml:space="preserve"> TA \l "</w:instrText>
      </w:r>
      <w:r w:rsidR="003E5D1F" w:rsidRPr="00C543A7">
        <w:rPr>
          <w:i/>
          <w:iCs/>
          <w:sz w:val="28"/>
          <w:szCs w:val="28"/>
        </w:rPr>
        <w:instrText>United States v. Hubbell</w:instrText>
      </w:r>
      <w:r w:rsidR="003E5D1F" w:rsidRPr="00C543A7">
        <w:rPr>
          <w:sz w:val="28"/>
          <w:szCs w:val="28"/>
        </w:rPr>
        <w:instrText>, 530 U.S. 27, 42–43 (2000).</w:instrText>
      </w:r>
      <w:r w:rsidR="003E5D1F">
        <w:instrText xml:space="preserve">" \s "Hubbell, 530 U.S. at x." \c 1 </w:instrText>
      </w:r>
      <w:r w:rsidR="003E5D1F">
        <w:rPr>
          <w:sz w:val="28"/>
          <w:szCs w:val="28"/>
        </w:rPr>
        <w:fldChar w:fldCharType="end"/>
      </w:r>
      <w:r w:rsidR="003E5D1F">
        <w:rPr>
          <w:sz w:val="28"/>
          <w:szCs w:val="28"/>
        </w:rPr>
        <w:fldChar w:fldCharType="begin"/>
      </w:r>
      <w:r w:rsidR="003E5D1F">
        <w:instrText xml:space="preserve"> TA \s "Hubbell, 530 U.S. at x." </w:instrText>
      </w:r>
      <w:r w:rsidR="003E5D1F">
        <w:rPr>
          <w:sz w:val="28"/>
          <w:szCs w:val="28"/>
        </w:rPr>
        <w:fldChar w:fldCharType="end"/>
      </w:r>
      <w:r w:rsidRPr="10271BBC">
        <w:rPr>
          <w:sz w:val="28"/>
          <w:szCs w:val="28"/>
          <w:lang w:val="en-US"/>
        </w:rPr>
        <w:t xml:space="preserve"> For example, in </w:t>
      </w:r>
      <w:r w:rsidRPr="10271BBC">
        <w:rPr>
          <w:i/>
          <w:sz w:val="28"/>
          <w:szCs w:val="28"/>
          <w:lang w:val="en-US"/>
        </w:rPr>
        <w:t>Hubbell</w:t>
      </w:r>
      <w:r w:rsidRPr="10271BBC">
        <w:rPr>
          <w:sz w:val="28"/>
          <w:szCs w:val="28"/>
          <w:lang w:val="en-US"/>
        </w:rPr>
        <w:t xml:space="preserve">, prosecutors engaged in what the District Court characterized as a “fishing expedition.” </w:t>
      </w:r>
      <w:r w:rsidRPr="10271BBC">
        <w:rPr>
          <w:i/>
          <w:sz w:val="28"/>
          <w:szCs w:val="28"/>
          <w:lang w:val="en-US"/>
        </w:rPr>
        <w:t>Id.</w:t>
      </w:r>
      <w:r w:rsidRPr="10271BBC">
        <w:rPr>
          <w:sz w:val="28"/>
          <w:szCs w:val="28"/>
          <w:lang w:val="en-US"/>
        </w:rPr>
        <w:t xml:space="preserve"> at 42. The Supreme Court added that it is abundantly clear that the prosecutors only discovered the evidence because the defendant was compelled to produce it. </w:t>
      </w:r>
      <w:r w:rsidRPr="10271BBC">
        <w:rPr>
          <w:i/>
          <w:sz w:val="28"/>
          <w:szCs w:val="28"/>
          <w:lang w:val="en-US"/>
        </w:rPr>
        <w:t>Id.</w:t>
      </w:r>
      <w:r w:rsidRPr="10271BBC">
        <w:rPr>
          <w:sz w:val="28"/>
          <w:szCs w:val="28"/>
          <w:lang w:val="en-US"/>
        </w:rPr>
        <w:t xml:space="preserve"> Where it is abundantly clear that the testimonial aspect of the respondent’s production of the subpoenaed documents was the first step in a chain of evidence leading to this prosecution, it is considered a breach of use and derivative use immunity. </w:t>
      </w:r>
      <w:r w:rsidRPr="10271BBC">
        <w:rPr>
          <w:i/>
          <w:sz w:val="28"/>
          <w:szCs w:val="28"/>
          <w:lang w:val="en-US"/>
        </w:rPr>
        <w:t xml:space="preserve">Id. </w:t>
      </w:r>
      <w:r w:rsidRPr="10271BBC">
        <w:rPr>
          <w:sz w:val="28"/>
          <w:szCs w:val="28"/>
          <w:lang w:val="en-US"/>
        </w:rPr>
        <w:t xml:space="preserve">Abundantly clear is when the government had no way of knowing before the subpoenaed documents were produced. </w:t>
      </w:r>
      <w:r w:rsidRPr="10271BBC">
        <w:rPr>
          <w:i/>
          <w:sz w:val="28"/>
          <w:szCs w:val="28"/>
          <w:lang w:val="en-US"/>
        </w:rPr>
        <w:t>Id.</w:t>
      </w:r>
    </w:p>
    <w:p w14:paraId="00000043" w14:textId="68E85445" w:rsidR="00A63F18" w:rsidRPr="00C3393C" w:rsidRDefault="00A47554">
      <w:pPr>
        <w:spacing w:line="480" w:lineRule="auto"/>
        <w:ind w:firstLine="720"/>
        <w:jc w:val="both"/>
        <w:rPr>
          <w:sz w:val="28"/>
          <w:szCs w:val="28"/>
          <w:lang w:val="en-US"/>
        </w:rPr>
      </w:pPr>
      <w:r w:rsidRPr="10271BBC">
        <w:rPr>
          <w:sz w:val="28"/>
          <w:szCs w:val="28"/>
          <w:lang w:val="en-US"/>
        </w:rPr>
        <w:lastRenderedPageBreak/>
        <w:t xml:space="preserve">If the Government learns of an entirely new lead through compelled testimony, it is not an independent source. In </w:t>
      </w:r>
      <w:r w:rsidRPr="10271BBC">
        <w:rPr>
          <w:i/>
          <w:sz w:val="28"/>
          <w:szCs w:val="28"/>
          <w:lang w:val="en-US"/>
        </w:rPr>
        <w:t>Kurzer</w:t>
      </w:r>
      <w:r w:rsidRPr="10271BBC">
        <w:rPr>
          <w:sz w:val="28"/>
          <w:szCs w:val="28"/>
          <w:lang w:val="en-US"/>
        </w:rPr>
        <w:t xml:space="preserve">, the Second Circuit has held that if the Government had never heard of or known of another witness before the defendant’s compelled testimony and only discovered the new witness because of the defendant’s compelled testimony. 534 F.2d at 517. </w:t>
      </w:r>
    </w:p>
    <w:p w14:paraId="00000044" w14:textId="77777777" w:rsidR="00A63F18" w:rsidRPr="00C3393C" w:rsidRDefault="00A47554">
      <w:pPr>
        <w:spacing w:after="160" w:line="480" w:lineRule="auto"/>
        <w:ind w:firstLine="720"/>
        <w:jc w:val="both"/>
        <w:rPr>
          <w:sz w:val="28"/>
          <w:szCs w:val="28"/>
          <w:lang w:val="en-US"/>
        </w:rPr>
      </w:pPr>
      <w:r w:rsidRPr="10271BBC">
        <w:rPr>
          <w:sz w:val="28"/>
          <w:szCs w:val="28"/>
          <w:lang w:val="en-US"/>
        </w:rPr>
        <w:t xml:space="preserve"> Parker is mentioned during Calloway’s compelled testimony. The Government uses Parker’s testimony and subsequently Exhibit 19 </w:t>
      </w:r>
      <w:proofErr w:type="gramStart"/>
      <w:r w:rsidRPr="10271BBC">
        <w:rPr>
          <w:sz w:val="28"/>
          <w:szCs w:val="28"/>
          <w:lang w:val="en-US"/>
        </w:rPr>
        <w:t>in order to</w:t>
      </w:r>
      <w:proofErr w:type="gramEnd"/>
      <w:r w:rsidRPr="10271BBC">
        <w:rPr>
          <w:sz w:val="28"/>
          <w:szCs w:val="28"/>
          <w:lang w:val="en-US"/>
        </w:rPr>
        <w:t xml:space="preserve"> convict Calloway. The Government’s use of Parker is not barred by the mere mention of her in the compelled testimony, given that Parker is from an independent source. Here, the Government’s wholly independent sources include an employee roster and an internal document in which Parker is flagged as a witness prior to Calloway’s compelled testimony. Both these sources led to Parker’s testimony and Exhibit 19. Much like </w:t>
      </w:r>
      <w:r w:rsidRPr="10271BBC">
        <w:rPr>
          <w:i/>
          <w:sz w:val="28"/>
          <w:szCs w:val="28"/>
          <w:lang w:val="en-US"/>
        </w:rPr>
        <w:t>Bartel</w:t>
      </w:r>
      <w:r w:rsidRPr="10271BBC">
        <w:rPr>
          <w:sz w:val="28"/>
          <w:szCs w:val="28"/>
          <w:lang w:val="en-US"/>
        </w:rPr>
        <w:t xml:space="preserve"> where the Government had the evidence before the defendant testified, the Government in this case had the entire employee list before Calloway’s compelled testimony. On the employee list, obtained before the division of teams and the compelled testimony, is Parker. </w:t>
      </w:r>
      <w:r w:rsidRPr="10271BBC">
        <w:rPr>
          <w:i/>
          <w:sz w:val="28"/>
          <w:szCs w:val="28"/>
          <w:lang w:val="en-US"/>
        </w:rPr>
        <w:t>See</w:t>
      </w:r>
      <w:r w:rsidRPr="10271BBC">
        <w:rPr>
          <w:sz w:val="28"/>
          <w:szCs w:val="28"/>
          <w:lang w:val="en-US"/>
        </w:rPr>
        <w:t xml:space="preserve"> Nolan Dep. 29:203–13, 30:265–71 (Both teams met on August 22, 2024, to divide the teams); Sinclair Dep. 18:407–10 (employee roster was subpoenaed in February 2024). </w:t>
      </w:r>
      <w:proofErr w:type="gramStart"/>
      <w:r w:rsidRPr="10271BBC">
        <w:rPr>
          <w:sz w:val="28"/>
          <w:szCs w:val="28"/>
          <w:lang w:val="en-US"/>
        </w:rPr>
        <w:t>The AUSA</w:t>
      </w:r>
      <w:proofErr w:type="gramEnd"/>
      <w:r w:rsidRPr="10271BBC">
        <w:rPr>
          <w:sz w:val="28"/>
          <w:szCs w:val="28"/>
          <w:lang w:val="en-US"/>
        </w:rPr>
        <w:t xml:space="preserve"> also originally flagged Parker for the interview list. Employee Interview — Priority List, Exhibit No. 17. The fact that Parker is listed seventh on the list is not indicative of, nor does </w:t>
      </w:r>
      <w:r w:rsidRPr="10271BBC">
        <w:rPr>
          <w:sz w:val="28"/>
          <w:szCs w:val="28"/>
          <w:lang w:val="en-US"/>
        </w:rPr>
        <w:lastRenderedPageBreak/>
        <w:t xml:space="preserve">it point to, the conclusion that the Government’s investigation had been tainted. </w:t>
      </w:r>
      <w:r w:rsidRPr="10271BBC">
        <w:rPr>
          <w:i/>
          <w:sz w:val="28"/>
          <w:szCs w:val="28"/>
          <w:lang w:val="en-US"/>
        </w:rPr>
        <w:t>Compare</w:t>
      </w:r>
      <w:r w:rsidRPr="10271BBC">
        <w:rPr>
          <w:sz w:val="28"/>
          <w:szCs w:val="28"/>
          <w:lang w:val="en-US"/>
        </w:rPr>
        <w:t xml:space="preserve"> Employee Interview — Priority List, Exhibit No. 17; Calloway Team — To Do, Exhibit No. 16 (where the placement of Parker on the witness list is not consistent). Instead, it affirms that Parker would always have been found and that she had been of interest to the Government even before Calloway’s compelled testimony. As illustrated by </w:t>
      </w:r>
      <w:r w:rsidRPr="10271BBC">
        <w:rPr>
          <w:i/>
          <w:sz w:val="28"/>
          <w:szCs w:val="28"/>
          <w:lang w:val="en-US"/>
        </w:rPr>
        <w:t>Kurzer</w:t>
      </w:r>
      <w:r w:rsidRPr="10271BBC">
        <w:rPr>
          <w:sz w:val="28"/>
          <w:szCs w:val="28"/>
          <w:lang w:val="en-US"/>
        </w:rPr>
        <w:t>, the investigation is tainted when there is a new lead because of compelled testimony; here, the investigation is not tainted—in fact, the reorganization of a prior witness list emphasizes that the Government was already going to interview Parker.</w:t>
      </w:r>
    </w:p>
    <w:p w14:paraId="00000045" w14:textId="77777777" w:rsidR="00A63F18" w:rsidRPr="00C3393C" w:rsidRDefault="00A47554">
      <w:pPr>
        <w:spacing w:after="160" w:line="480" w:lineRule="auto"/>
        <w:ind w:firstLine="720"/>
        <w:jc w:val="both"/>
        <w:rPr>
          <w:sz w:val="28"/>
          <w:szCs w:val="28"/>
          <w:lang w:val="en-US"/>
        </w:rPr>
      </w:pPr>
      <w:r w:rsidRPr="10271BBC">
        <w:rPr>
          <w:sz w:val="28"/>
          <w:szCs w:val="28"/>
          <w:lang w:val="en-US"/>
        </w:rPr>
        <w:t xml:space="preserve">Unlike in </w:t>
      </w:r>
      <w:r w:rsidRPr="10271BBC">
        <w:rPr>
          <w:i/>
          <w:sz w:val="28"/>
          <w:szCs w:val="28"/>
          <w:lang w:val="en-US"/>
        </w:rPr>
        <w:t>Hubbell</w:t>
      </w:r>
      <w:r w:rsidRPr="10271BBC">
        <w:rPr>
          <w:sz w:val="28"/>
          <w:szCs w:val="28"/>
          <w:lang w:val="en-US"/>
        </w:rPr>
        <w:t xml:space="preserve">, where the Government went on a fishing expedition for evidence, using the evidence they found in the compelled production to indict the defendant, Calloway’s testimony did not introduce any new evidence. </w:t>
      </w:r>
      <w:r w:rsidRPr="10271BBC">
        <w:rPr>
          <w:i/>
          <w:sz w:val="28"/>
          <w:szCs w:val="28"/>
          <w:lang w:val="en-US"/>
        </w:rPr>
        <w:t>See</w:t>
      </w:r>
      <w:r w:rsidRPr="10271BBC">
        <w:rPr>
          <w:sz w:val="28"/>
          <w:szCs w:val="28"/>
          <w:lang w:val="en-US"/>
        </w:rPr>
        <w:t xml:space="preserve"> Employee Roster, Exhibit No. 10; </w:t>
      </w:r>
      <w:proofErr w:type="gramStart"/>
      <w:r w:rsidRPr="10271BBC">
        <w:rPr>
          <w:i/>
          <w:sz w:val="28"/>
          <w:szCs w:val="28"/>
          <w:lang w:val="en-US"/>
        </w:rPr>
        <w:t>see also</w:t>
      </w:r>
      <w:proofErr w:type="gramEnd"/>
      <w:r w:rsidRPr="10271BBC">
        <w:rPr>
          <w:i/>
          <w:sz w:val="28"/>
          <w:szCs w:val="28"/>
          <w:lang w:val="en-US"/>
        </w:rPr>
        <w:t xml:space="preserve"> </w:t>
      </w:r>
      <w:r w:rsidRPr="10271BBC">
        <w:rPr>
          <w:sz w:val="28"/>
          <w:szCs w:val="28"/>
          <w:lang w:val="en-US"/>
        </w:rPr>
        <w:t xml:space="preserve">Excerpt of the Testimony of Emily Calloway, Exhibit No. 13. There was no need to fish for evidence here, especially when the evidence was already in the Government’s possession. The Government found Parker through a wholly independent source: the employee roster, which was subpoenaed in February 2024, before Calloway’s testimony. Sinclair Dep. 18:407–10. Parker is in the second column, </w:t>
      </w:r>
      <w:proofErr w:type="gramStart"/>
      <w:r w:rsidRPr="10271BBC">
        <w:rPr>
          <w:sz w:val="28"/>
          <w:szCs w:val="28"/>
          <w:lang w:val="en-US"/>
        </w:rPr>
        <w:t>on</w:t>
      </w:r>
      <w:proofErr w:type="gramEnd"/>
      <w:r w:rsidRPr="10271BBC">
        <w:rPr>
          <w:sz w:val="28"/>
          <w:szCs w:val="28"/>
          <w:lang w:val="en-US"/>
        </w:rPr>
        <w:t xml:space="preserve"> the fourteenth row. Employee Roster, Exhibit No. 10</w:t>
      </w:r>
      <w:r w:rsidRPr="10271BBC">
        <w:rPr>
          <w:i/>
          <w:sz w:val="28"/>
          <w:szCs w:val="28"/>
          <w:lang w:val="en-US"/>
        </w:rPr>
        <w:t>.</w:t>
      </w:r>
      <w:r w:rsidRPr="10271BBC">
        <w:rPr>
          <w:sz w:val="28"/>
          <w:szCs w:val="28"/>
          <w:lang w:val="en-US"/>
        </w:rPr>
        <w:t xml:space="preserve"> In contrast to </w:t>
      </w:r>
      <w:r w:rsidRPr="10271BBC">
        <w:rPr>
          <w:i/>
          <w:sz w:val="28"/>
          <w:szCs w:val="28"/>
          <w:lang w:val="en-US"/>
        </w:rPr>
        <w:t>Hubbell</w:t>
      </w:r>
      <w:r w:rsidRPr="10271BBC">
        <w:rPr>
          <w:sz w:val="28"/>
          <w:szCs w:val="28"/>
          <w:lang w:val="en-US"/>
        </w:rPr>
        <w:t xml:space="preserve">, the Government here can show that the evidence was not tainted by Calloway’s compelled testimony. There was no fishing expedition; </w:t>
      </w:r>
      <w:r w:rsidRPr="10271BBC">
        <w:rPr>
          <w:sz w:val="28"/>
          <w:szCs w:val="28"/>
          <w:lang w:val="en-US"/>
        </w:rPr>
        <w:lastRenderedPageBreak/>
        <w:t xml:space="preserve">Parker’s name, and subsequently her testimony, were readily available </w:t>
      </w:r>
      <w:proofErr w:type="gramStart"/>
      <w:r w:rsidRPr="10271BBC">
        <w:rPr>
          <w:sz w:val="28"/>
          <w:szCs w:val="28"/>
          <w:lang w:val="en-US"/>
        </w:rPr>
        <w:t>in the course of</w:t>
      </w:r>
      <w:proofErr w:type="gramEnd"/>
      <w:r w:rsidRPr="10271BBC">
        <w:rPr>
          <w:sz w:val="28"/>
          <w:szCs w:val="28"/>
          <w:lang w:val="en-US"/>
        </w:rPr>
        <w:t xml:space="preserve"> a normal investigation. </w:t>
      </w:r>
      <w:r w:rsidRPr="10271BBC">
        <w:rPr>
          <w:i/>
          <w:sz w:val="28"/>
          <w:szCs w:val="28"/>
          <w:lang w:val="en-US"/>
        </w:rPr>
        <w:t>Id.</w:t>
      </w:r>
      <w:r w:rsidRPr="10271BBC">
        <w:rPr>
          <w:sz w:val="28"/>
          <w:szCs w:val="28"/>
          <w:lang w:val="en-US"/>
        </w:rPr>
        <w:t xml:space="preserve"> </w:t>
      </w:r>
    </w:p>
    <w:p w14:paraId="00000046" w14:textId="77777777" w:rsidR="00A63F18" w:rsidRPr="00C3393C" w:rsidRDefault="00A47554">
      <w:pPr>
        <w:spacing w:after="160" w:line="480" w:lineRule="auto"/>
        <w:ind w:firstLine="720"/>
        <w:jc w:val="both"/>
        <w:rPr>
          <w:sz w:val="28"/>
          <w:szCs w:val="28"/>
          <w:lang w:val="en-US"/>
        </w:rPr>
      </w:pPr>
      <w:r w:rsidRPr="10271BBC">
        <w:rPr>
          <w:sz w:val="28"/>
          <w:szCs w:val="28"/>
          <w:lang w:val="en-US"/>
        </w:rPr>
        <w:t xml:space="preserve">This instance parallels </w:t>
      </w:r>
      <w:r w:rsidRPr="10271BBC">
        <w:rPr>
          <w:i/>
          <w:sz w:val="28"/>
          <w:szCs w:val="28"/>
          <w:lang w:val="en-US"/>
        </w:rPr>
        <w:t>Kurzer</w:t>
      </w:r>
      <w:r w:rsidRPr="10271BBC">
        <w:rPr>
          <w:sz w:val="28"/>
          <w:szCs w:val="28"/>
          <w:lang w:val="en-US"/>
        </w:rPr>
        <w:t xml:space="preserve">, where knowing the information before the compelled testimony is crucial to showing that it comes from an independent source. The Government shows here that it knew of Parker before the compelled testimony, as noted by Parker's prior inclusion on the Employee Interview List, </w:t>
      </w:r>
      <w:proofErr w:type="gramStart"/>
      <w:r w:rsidRPr="10271BBC">
        <w:rPr>
          <w:sz w:val="28"/>
          <w:szCs w:val="28"/>
          <w:lang w:val="en-US"/>
        </w:rPr>
        <w:t>Exhibit</w:t>
      </w:r>
      <w:proofErr w:type="gramEnd"/>
      <w:r w:rsidRPr="10271BBC">
        <w:rPr>
          <w:sz w:val="28"/>
          <w:szCs w:val="28"/>
          <w:lang w:val="en-US"/>
        </w:rPr>
        <w:t xml:space="preserve"> 16; Employee Interview — Priority List, Exhibit 17. Whereas in </w:t>
      </w:r>
      <w:r w:rsidRPr="10271BBC">
        <w:rPr>
          <w:i/>
          <w:sz w:val="28"/>
          <w:szCs w:val="28"/>
          <w:lang w:val="en-US"/>
        </w:rPr>
        <w:t>Hubbell</w:t>
      </w:r>
      <w:r w:rsidRPr="10271BBC">
        <w:rPr>
          <w:sz w:val="28"/>
          <w:szCs w:val="28"/>
          <w:lang w:val="en-US"/>
        </w:rPr>
        <w:t xml:space="preserve">, the initial hook was tainted and the rest of the evidence was unusable, here the Government reached Parker through the employee roster. Given that Parker is from an independent source, </w:t>
      </w:r>
      <w:proofErr w:type="gramStart"/>
      <w:r w:rsidRPr="10271BBC">
        <w:rPr>
          <w:sz w:val="28"/>
          <w:szCs w:val="28"/>
          <w:lang w:val="en-US"/>
        </w:rPr>
        <w:t>Exhibit</w:t>
      </w:r>
      <w:proofErr w:type="gramEnd"/>
      <w:r w:rsidRPr="10271BBC">
        <w:rPr>
          <w:sz w:val="28"/>
          <w:szCs w:val="28"/>
          <w:lang w:val="en-US"/>
        </w:rPr>
        <w:t xml:space="preserve"> 19, obtained through Parker, is also deemed independently obtained, as the initial hook to reach it is not deemed tainted. The facts of this case lead to the conclusion that Parker's testimony is from a wholly independent source—the employee roster—and the product of a clean investigation. Thus, Parker’s testimony and Exhibit 19 should not be suppressed. </w:t>
      </w:r>
    </w:p>
    <w:p w14:paraId="00000047" w14:textId="77777777" w:rsidR="00A63F18" w:rsidRPr="00C3393C" w:rsidRDefault="00A47554" w:rsidP="00A1733D">
      <w:pPr>
        <w:pStyle w:val="Heading3"/>
      </w:pPr>
      <w:bookmarkStart w:id="8" w:name="_Toc239144597"/>
      <w:r w:rsidRPr="10271BBC">
        <w:t>When an investigation is not finished, the Government can continue it; in this case, the investigation proceeded according to procedure.</w:t>
      </w:r>
      <w:bookmarkEnd w:id="8"/>
    </w:p>
    <w:p w14:paraId="00000048" w14:textId="2A27DB28" w:rsidR="00A63F18" w:rsidRPr="00C3393C" w:rsidRDefault="00A47554">
      <w:pPr>
        <w:spacing w:after="160" w:line="480" w:lineRule="auto"/>
        <w:ind w:firstLine="720"/>
        <w:jc w:val="both"/>
        <w:rPr>
          <w:sz w:val="28"/>
          <w:szCs w:val="28"/>
          <w:lang w:val="en-US"/>
        </w:rPr>
      </w:pPr>
      <w:r w:rsidRPr="10271BBC">
        <w:rPr>
          <w:sz w:val="28"/>
          <w:szCs w:val="28"/>
          <w:lang w:val="en-US"/>
        </w:rPr>
        <w:t xml:space="preserve">The investigation proceeded in due course and leaves no doubt that there is no taint. When the Government can create an adequate record of what information was obtained, from which sources, at what time, and that it followed procedures, the </w:t>
      </w:r>
      <w:r w:rsidRPr="10271BBC">
        <w:rPr>
          <w:sz w:val="28"/>
          <w:szCs w:val="28"/>
          <w:lang w:val="en-US"/>
        </w:rPr>
        <w:lastRenderedPageBreak/>
        <w:t xml:space="preserve">evidence is not tainted. </w:t>
      </w:r>
      <w:r w:rsidRPr="10271BBC">
        <w:rPr>
          <w:i/>
          <w:sz w:val="28"/>
          <w:szCs w:val="28"/>
          <w:lang w:val="en-US"/>
        </w:rPr>
        <w:t>United States v. Montoya</w:t>
      </w:r>
      <w:r w:rsidRPr="10271BBC">
        <w:rPr>
          <w:sz w:val="28"/>
          <w:szCs w:val="28"/>
          <w:lang w:val="en-US"/>
        </w:rPr>
        <w:t>, 45 F.3d 1286, 1295 (9th Cir. 1995).</w:t>
      </w:r>
      <w:r w:rsidR="00A23EAF">
        <w:rPr>
          <w:sz w:val="28"/>
          <w:szCs w:val="28"/>
        </w:rPr>
        <w:fldChar w:fldCharType="begin"/>
      </w:r>
      <w:r w:rsidR="00A23EAF">
        <w:instrText xml:space="preserve"> TA \l "</w:instrText>
      </w:r>
      <w:r w:rsidR="00A23EAF" w:rsidRPr="00CD4EC8">
        <w:rPr>
          <w:i/>
          <w:iCs/>
          <w:sz w:val="28"/>
          <w:szCs w:val="28"/>
        </w:rPr>
        <w:instrText>United States v. Montoya</w:instrText>
      </w:r>
      <w:r w:rsidR="00A23EAF" w:rsidRPr="00CD4EC8">
        <w:rPr>
          <w:sz w:val="28"/>
          <w:szCs w:val="28"/>
        </w:rPr>
        <w:instrText>, 45 F.3d 1286, 1295 (9th Cir. 1995).</w:instrText>
      </w:r>
      <w:r w:rsidR="00A23EAF">
        <w:instrText xml:space="preserve">" \s "Montoya, 45 F.3d at x." \c 1 </w:instrText>
      </w:r>
      <w:r w:rsidR="00A23EAF">
        <w:rPr>
          <w:sz w:val="28"/>
          <w:szCs w:val="28"/>
        </w:rPr>
        <w:fldChar w:fldCharType="end"/>
      </w:r>
      <w:r w:rsidR="004A4061">
        <w:rPr>
          <w:sz w:val="28"/>
          <w:szCs w:val="28"/>
        </w:rPr>
        <w:fldChar w:fldCharType="begin"/>
      </w:r>
      <w:r w:rsidR="004A4061">
        <w:instrText xml:space="preserve"> TA \s "Montoya, 45 F.3d at x." </w:instrText>
      </w:r>
      <w:r w:rsidR="004A4061">
        <w:rPr>
          <w:sz w:val="28"/>
          <w:szCs w:val="28"/>
        </w:rPr>
        <w:fldChar w:fldCharType="end"/>
      </w:r>
      <w:r w:rsidRPr="10271BBC">
        <w:rPr>
          <w:sz w:val="28"/>
          <w:szCs w:val="28"/>
          <w:lang w:val="en-US"/>
        </w:rPr>
        <w:t xml:space="preserve"> </w:t>
      </w:r>
    </w:p>
    <w:p w14:paraId="00000049" w14:textId="38034460" w:rsidR="00A63F18" w:rsidRPr="00C3393C" w:rsidRDefault="00A47554">
      <w:pPr>
        <w:spacing w:after="160" w:line="480" w:lineRule="auto"/>
        <w:ind w:firstLine="720"/>
        <w:jc w:val="both"/>
        <w:rPr>
          <w:sz w:val="28"/>
          <w:szCs w:val="28"/>
          <w:lang w:val="en-US"/>
        </w:rPr>
      </w:pPr>
      <w:r w:rsidRPr="10271BBC">
        <w:rPr>
          <w:sz w:val="28"/>
          <w:szCs w:val="28"/>
          <w:lang w:val="en-US"/>
        </w:rPr>
        <w:t xml:space="preserve">In </w:t>
      </w:r>
      <w:r w:rsidRPr="10271BBC">
        <w:rPr>
          <w:i/>
          <w:sz w:val="28"/>
          <w:szCs w:val="28"/>
          <w:lang w:val="en-US"/>
        </w:rPr>
        <w:t>United States v. Montoya</w:t>
      </w:r>
      <w:r w:rsidRPr="10271BBC">
        <w:rPr>
          <w:sz w:val="28"/>
          <w:szCs w:val="28"/>
          <w:lang w:val="en-US"/>
        </w:rPr>
        <w:t xml:space="preserve">, even though the investigation and indictment occurred after the defendant’s compelled testimony, the evidence was not tainted because the Government proved it had independent sources for </w:t>
      </w:r>
      <w:proofErr w:type="gramStart"/>
      <w:r w:rsidRPr="10271BBC">
        <w:rPr>
          <w:sz w:val="28"/>
          <w:szCs w:val="28"/>
          <w:lang w:val="en-US"/>
        </w:rPr>
        <w:t>all of</w:t>
      </w:r>
      <w:proofErr w:type="gramEnd"/>
      <w:r w:rsidRPr="10271BBC">
        <w:rPr>
          <w:sz w:val="28"/>
          <w:szCs w:val="28"/>
          <w:lang w:val="en-US"/>
        </w:rPr>
        <w:t xml:space="preserve"> its evidence. </w:t>
      </w:r>
      <w:r w:rsidRPr="10271BBC">
        <w:rPr>
          <w:i/>
          <w:sz w:val="28"/>
          <w:szCs w:val="28"/>
          <w:lang w:val="en-US"/>
        </w:rPr>
        <w:t>Id.</w:t>
      </w:r>
      <w:r w:rsidRPr="10271BBC">
        <w:rPr>
          <w:sz w:val="28"/>
          <w:szCs w:val="28"/>
          <w:lang w:val="en-US"/>
        </w:rPr>
        <w:t xml:space="preserve"> Furthermore, the Ninth Circuit explains that even if agents and prosecutors </w:t>
      </w:r>
      <w:proofErr w:type="gramStart"/>
      <w:r w:rsidRPr="10271BBC">
        <w:rPr>
          <w:sz w:val="28"/>
          <w:szCs w:val="28"/>
          <w:lang w:val="en-US"/>
        </w:rPr>
        <w:t>actually participated</w:t>
      </w:r>
      <w:proofErr w:type="gramEnd"/>
      <w:r w:rsidRPr="10271BBC">
        <w:rPr>
          <w:sz w:val="28"/>
          <w:szCs w:val="28"/>
          <w:lang w:val="en-US"/>
        </w:rPr>
        <w:t xml:space="preserve"> in both investigations and/or were exposed to immunized testimony, there is no </w:t>
      </w:r>
      <w:r w:rsidRPr="10271BBC">
        <w:rPr>
          <w:i/>
          <w:sz w:val="28"/>
          <w:szCs w:val="28"/>
          <w:lang w:val="en-US"/>
        </w:rPr>
        <w:t>per se</w:t>
      </w:r>
      <w:r w:rsidRPr="10271BBC">
        <w:rPr>
          <w:sz w:val="28"/>
          <w:szCs w:val="28"/>
          <w:lang w:val="en-US"/>
        </w:rPr>
        <w:t xml:space="preserve"> rule requiring their withdrawal from the case. </w:t>
      </w:r>
      <w:r w:rsidRPr="10271BBC">
        <w:rPr>
          <w:i/>
          <w:sz w:val="28"/>
          <w:szCs w:val="28"/>
          <w:lang w:val="en-US"/>
        </w:rPr>
        <w:t>Id.</w:t>
      </w:r>
      <w:r w:rsidRPr="10271BBC">
        <w:rPr>
          <w:sz w:val="28"/>
          <w:szCs w:val="28"/>
          <w:lang w:val="en-US"/>
        </w:rPr>
        <w:t xml:space="preserve"> at 1293 (citing </w:t>
      </w:r>
      <w:r w:rsidRPr="10271BBC">
        <w:rPr>
          <w:i/>
          <w:sz w:val="28"/>
          <w:szCs w:val="28"/>
          <w:lang w:val="en-US"/>
        </w:rPr>
        <w:t>United States v. Crowson</w:t>
      </w:r>
      <w:r w:rsidRPr="10271BBC">
        <w:rPr>
          <w:sz w:val="28"/>
          <w:szCs w:val="28"/>
          <w:lang w:val="en-US"/>
        </w:rPr>
        <w:t xml:space="preserve">, 828 F.2d 1427, 1430 (9th Cir. 1987)). The Court in </w:t>
      </w:r>
      <w:r w:rsidRPr="10271BBC">
        <w:rPr>
          <w:i/>
          <w:sz w:val="28"/>
          <w:szCs w:val="28"/>
          <w:lang w:val="en-US"/>
        </w:rPr>
        <w:t>Montoya</w:t>
      </w:r>
      <w:r w:rsidRPr="10271BBC">
        <w:rPr>
          <w:sz w:val="28"/>
          <w:szCs w:val="28"/>
          <w:lang w:val="en-US"/>
        </w:rPr>
        <w:t xml:space="preserve"> further bolstered the Government's credibility by explaining that it followed proper procedures, including splitting teams and preventing the other team from seeing the compelled testimony. </w:t>
      </w:r>
      <w:r w:rsidRPr="10271BBC">
        <w:rPr>
          <w:i/>
          <w:sz w:val="28"/>
          <w:szCs w:val="28"/>
          <w:lang w:val="en-US"/>
        </w:rPr>
        <w:t>Id.</w:t>
      </w:r>
      <w:r w:rsidRPr="10271BBC">
        <w:rPr>
          <w:sz w:val="28"/>
          <w:szCs w:val="28"/>
          <w:lang w:val="en-US"/>
        </w:rPr>
        <w:t xml:space="preserve"> at 1295 n.9. Additionally, in </w:t>
      </w:r>
      <w:r w:rsidRPr="10271BBC">
        <w:rPr>
          <w:i/>
          <w:sz w:val="28"/>
          <w:szCs w:val="28"/>
          <w:lang w:val="en-US"/>
        </w:rPr>
        <w:t>Strickland v. Washington</w:t>
      </w:r>
      <w:r w:rsidRPr="10271BBC">
        <w:rPr>
          <w:sz w:val="28"/>
          <w:szCs w:val="28"/>
          <w:lang w:val="en-US"/>
        </w:rPr>
        <w:t xml:space="preserve">, the Supreme Court gives a depiction of a reasonable investigation: counsel's actions are usually based, quite properly, on informed strategic choices made by the defendant and on information supplied by the defendant. </w:t>
      </w:r>
      <w:r w:rsidR="007D1D1E" w:rsidRPr="10271BBC">
        <w:rPr>
          <w:i/>
          <w:sz w:val="28"/>
          <w:szCs w:val="28"/>
          <w:lang w:val="en-US"/>
        </w:rPr>
        <w:t xml:space="preserve">Strickland v. </w:t>
      </w:r>
      <w:r w:rsidR="007D1D1E" w:rsidRPr="10271BBC">
        <w:rPr>
          <w:sz w:val="28"/>
          <w:szCs w:val="28"/>
          <w:lang w:val="en-US"/>
        </w:rPr>
        <w:t>Washington</w:t>
      </w:r>
      <w:r w:rsidR="000903C7" w:rsidRPr="10271BBC">
        <w:rPr>
          <w:sz w:val="28"/>
          <w:szCs w:val="28"/>
          <w:lang w:val="en-US"/>
        </w:rPr>
        <w:t xml:space="preserve">, </w:t>
      </w:r>
      <w:r w:rsidRPr="10271BBC">
        <w:rPr>
          <w:sz w:val="28"/>
          <w:szCs w:val="28"/>
          <w:lang w:val="en-US"/>
        </w:rPr>
        <w:t>466 U.S. 668, 691 (1984).</w:t>
      </w:r>
      <w:r w:rsidR="00036FB7">
        <w:rPr>
          <w:sz w:val="28"/>
          <w:szCs w:val="28"/>
        </w:rPr>
        <w:fldChar w:fldCharType="begin"/>
      </w:r>
      <w:r w:rsidR="00036FB7">
        <w:instrText xml:space="preserve"> TA \l "</w:instrText>
      </w:r>
      <w:r w:rsidR="00036FB7" w:rsidRPr="00FB0CFA">
        <w:rPr>
          <w:i/>
          <w:iCs/>
          <w:sz w:val="28"/>
          <w:szCs w:val="28"/>
        </w:rPr>
        <w:instrText xml:space="preserve">Strickland v. </w:instrText>
      </w:r>
      <w:r w:rsidR="00036FB7" w:rsidRPr="00FB0CFA">
        <w:rPr>
          <w:sz w:val="28"/>
          <w:szCs w:val="28"/>
        </w:rPr>
        <w:instrText>Washington, 466 U.S. 668, 691 (1984).</w:instrText>
      </w:r>
      <w:r w:rsidR="00036FB7">
        <w:instrText xml:space="preserve">" \s "Washington, 466 U.S. at x." \c 1 </w:instrText>
      </w:r>
      <w:r w:rsidR="00036FB7">
        <w:rPr>
          <w:sz w:val="28"/>
          <w:szCs w:val="28"/>
        </w:rPr>
        <w:fldChar w:fldCharType="end"/>
      </w:r>
      <w:r w:rsidR="00036FB7">
        <w:rPr>
          <w:sz w:val="28"/>
          <w:szCs w:val="28"/>
        </w:rPr>
        <w:fldChar w:fldCharType="begin"/>
      </w:r>
      <w:r w:rsidR="00036FB7">
        <w:instrText xml:space="preserve"> TA \s "Washington, 466 U.S. at x." </w:instrText>
      </w:r>
      <w:r w:rsidR="00036FB7">
        <w:rPr>
          <w:sz w:val="28"/>
          <w:szCs w:val="28"/>
        </w:rPr>
        <w:fldChar w:fldCharType="end"/>
      </w:r>
      <w:r w:rsidRPr="10271BBC">
        <w:rPr>
          <w:sz w:val="28"/>
          <w:szCs w:val="28"/>
          <w:lang w:val="en-US"/>
        </w:rPr>
        <w:t xml:space="preserve"> In particular, what investigation decisions are reasonable depends critically on such information. </w:t>
      </w:r>
      <w:r w:rsidRPr="10271BBC">
        <w:rPr>
          <w:i/>
          <w:sz w:val="28"/>
          <w:szCs w:val="28"/>
          <w:lang w:val="en-US"/>
        </w:rPr>
        <w:t>Id.</w:t>
      </w:r>
    </w:p>
    <w:p w14:paraId="0000004A" w14:textId="77777777" w:rsidR="00A63F18" w:rsidRPr="00C3393C" w:rsidRDefault="00A47554">
      <w:pPr>
        <w:spacing w:after="160" w:line="480" w:lineRule="auto"/>
        <w:ind w:firstLine="720"/>
        <w:jc w:val="both"/>
        <w:rPr>
          <w:b/>
          <w:sz w:val="28"/>
          <w:szCs w:val="28"/>
          <w:u w:val="single"/>
          <w:lang w:val="en-US"/>
        </w:rPr>
      </w:pPr>
      <w:r w:rsidRPr="10271BBC">
        <w:rPr>
          <w:sz w:val="28"/>
          <w:szCs w:val="28"/>
          <w:lang w:val="en-US"/>
        </w:rPr>
        <w:t xml:space="preserve">Movant’s argument that Calloway’s testimony introduced Parker and, subsequently, that Parker’s testimony should be suppressed is not consistent with current case law and would be a broad overreach. </w:t>
      </w:r>
      <w:proofErr w:type="gramStart"/>
      <w:r w:rsidRPr="10271BBC">
        <w:rPr>
          <w:sz w:val="28"/>
          <w:szCs w:val="28"/>
          <w:lang w:val="en-US"/>
        </w:rPr>
        <w:t>Similar to</w:t>
      </w:r>
      <w:proofErr w:type="gramEnd"/>
      <w:r w:rsidRPr="10271BBC">
        <w:rPr>
          <w:sz w:val="28"/>
          <w:szCs w:val="28"/>
          <w:lang w:val="en-US"/>
        </w:rPr>
        <w:t xml:space="preserve"> the Government in </w:t>
      </w:r>
      <w:r w:rsidRPr="10271BBC">
        <w:rPr>
          <w:i/>
          <w:sz w:val="28"/>
          <w:szCs w:val="28"/>
          <w:lang w:val="en-US"/>
        </w:rPr>
        <w:lastRenderedPageBreak/>
        <w:t>Montoya</w:t>
      </w:r>
      <w:r w:rsidRPr="10271BBC">
        <w:rPr>
          <w:sz w:val="28"/>
          <w:szCs w:val="28"/>
          <w:lang w:val="en-US"/>
        </w:rPr>
        <w:t xml:space="preserve">, which split the teams and used independent sources, the investigation into Calloway followed protocol by splitting the teams and including an independent avenue that led to Parker. Nolan Dep. 28–29:178–214; Internal Memorandum, Exhibit No. 15. To establish a precedent that, </w:t>
      </w:r>
      <w:proofErr w:type="gramStart"/>
      <w:r w:rsidRPr="10271BBC">
        <w:rPr>
          <w:sz w:val="28"/>
          <w:szCs w:val="28"/>
          <w:lang w:val="en-US"/>
        </w:rPr>
        <w:t>as long as</w:t>
      </w:r>
      <w:proofErr w:type="gramEnd"/>
      <w:r w:rsidRPr="10271BBC">
        <w:rPr>
          <w:sz w:val="28"/>
          <w:szCs w:val="28"/>
          <w:lang w:val="en-US"/>
        </w:rPr>
        <w:t xml:space="preserve"> compelled testimony occurs before the investigation is finished, everything said in that testimony can be suppressed would allow criminals to abuse their immunity. The protocol was followed. Nolan Dep. 28–29:189–242 (The investigation was walled off between Team Donovan and Team Calloway). The Government is able, and even has a duty, to finish the investigation by following all leads that present themselves. </w:t>
      </w:r>
      <w:r w:rsidRPr="10271BBC">
        <w:rPr>
          <w:i/>
          <w:sz w:val="28"/>
          <w:szCs w:val="28"/>
          <w:lang w:val="en-US"/>
        </w:rPr>
        <w:t>Strickland</w:t>
      </w:r>
      <w:r w:rsidRPr="10271BBC">
        <w:rPr>
          <w:sz w:val="28"/>
          <w:szCs w:val="28"/>
          <w:lang w:val="en-US"/>
        </w:rPr>
        <w:t xml:space="preserve">, 466 U.S. at 691 (“counsel has a duty to make reasonable investigations”). Here, it is reasonable for the Government to completely exhaust its employee roster, produced by the Movant; doing anything else would be unreasonable. Employee Roster, Exhibit No. 10. </w:t>
      </w:r>
    </w:p>
    <w:p w14:paraId="0000004B" w14:textId="77777777" w:rsidR="00A63F18" w:rsidRPr="00C3393C" w:rsidRDefault="00A47554" w:rsidP="007123F8">
      <w:pPr>
        <w:pStyle w:val="Heading2"/>
        <w:spacing w:line="240" w:lineRule="auto"/>
      </w:pPr>
      <w:bookmarkStart w:id="9" w:name="_Toc239144598"/>
      <w:r w:rsidRPr="00C3393C">
        <w:t xml:space="preserve">Defendant’s Motion to Quash United States Subpoena Duces Tecum on Maddox Armana </w:t>
      </w:r>
      <w:proofErr w:type="gramStart"/>
      <w:r w:rsidRPr="00C3393C">
        <w:t>for the production of</w:t>
      </w:r>
      <w:proofErr w:type="gramEnd"/>
      <w:r w:rsidRPr="00C3393C">
        <w:t xml:space="preserve"> </w:t>
      </w:r>
      <w:proofErr w:type="gramStart"/>
      <w:r w:rsidRPr="00C3393C">
        <w:t>any and all</w:t>
      </w:r>
      <w:proofErr w:type="gramEnd"/>
      <w:r w:rsidRPr="00C3393C">
        <w:t xml:space="preserve"> records of Armana’s interview of Sierra Seton on February 15, 2024, should be denied because the work-product doctrine is not absolute and because the Government faces undue hardship in producing the witness.</w:t>
      </w:r>
      <w:bookmarkEnd w:id="9"/>
      <w:r w:rsidRPr="00C3393C">
        <w:rPr>
          <w:u w:val="none"/>
        </w:rPr>
        <w:t xml:space="preserve"> </w:t>
      </w:r>
    </w:p>
    <w:p w14:paraId="0000004C" w14:textId="77777777" w:rsidR="00A63F18" w:rsidRPr="00C3393C" w:rsidRDefault="00A47554" w:rsidP="00A1733D">
      <w:pPr>
        <w:pStyle w:val="Heading3"/>
      </w:pPr>
      <w:bookmarkStart w:id="10" w:name="_Toc239144599"/>
      <w:r w:rsidRPr="00C3393C">
        <w:t>The Court should deny Defendant’s motion to quash because the work-product privilege is not absolute.</w:t>
      </w:r>
      <w:bookmarkEnd w:id="10"/>
    </w:p>
    <w:p w14:paraId="0000004D" w14:textId="379EC36A" w:rsidR="00A63F18" w:rsidRPr="00C3393C" w:rsidRDefault="00A47554">
      <w:pPr>
        <w:spacing w:line="480" w:lineRule="auto"/>
        <w:ind w:firstLine="720"/>
        <w:jc w:val="both"/>
        <w:rPr>
          <w:sz w:val="28"/>
          <w:szCs w:val="28"/>
          <w:lang w:val="en-US"/>
        </w:rPr>
      </w:pPr>
      <w:r w:rsidRPr="10271BBC">
        <w:rPr>
          <w:sz w:val="28"/>
          <w:szCs w:val="28"/>
          <w:lang w:val="en-US"/>
        </w:rPr>
        <w:t xml:space="preserve">The Court should deny Defendant’s motion to quash because the work-product privilege is not </w:t>
      </w:r>
      <w:r w:rsidR="00F57C31" w:rsidRPr="10271BBC">
        <w:rPr>
          <w:sz w:val="28"/>
          <w:szCs w:val="28"/>
          <w:lang w:val="en-US"/>
        </w:rPr>
        <w:t>absolute and</w:t>
      </w:r>
      <w:r w:rsidRPr="10271BBC">
        <w:rPr>
          <w:sz w:val="28"/>
          <w:szCs w:val="28"/>
          <w:lang w:val="en-US"/>
        </w:rPr>
        <w:t xml:space="preserve"> therefore does not shield from discovery the interview conducted by Maddox Armana (“Armana”) with Sierra Seton (“Seton”). </w:t>
      </w:r>
      <w:r w:rsidRPr="10271BBC">
        <w:rPr>
          <w:sz w:val="28"/>
          <w:szCs w:val="28"/>
          <w:lang w:val="en-US"/>
        </w:rPr>
        <w:lastRenderedPageBreak/>
        <w:t xml:space="preserve">Discovery is a fact-finding process, and the work-product doctrine does not permit a party to withhold otherwise discoverable information when the requirements for protection are not met. </w:t>
      </w:r>
      <w:r w:rsidRPr="10271BBC">
        <w:rPr>
          <w:i/>
          <w:sz w:val="28"/>
          <w:szCs w:val="28"/>
          <w:lang w:val="en-US"/>
        </w:rPr>
        <w:t>See Hickman v. Taylor</w:t>
      </w:r>
      <w:r w:rsidRPr="10271BBC">
        <w:rPr>
          <w:sz w:val="28"/>
          <w:szCs w:val="28"/>
          <w:lang w:val="en-US"/>
        </w:rPr>
        <w:t>, 329 U.S. 495, 501 (1947).</w:t>
      </w:r>
      <w:r w:rsidR="00383382">
        <w:rPr>
          <w:sz w:val="28"/>
          <w:szCs w:val="28"/>
        </w:rPr>
        <w:fldChar w:fldCharType="begin"/>
      </w:r>
      <w:r w:rsidR="00383382">
        <w:instrText xml:space="preserve"> TA \l "</w:instrText>
      </w:r>
      <w:r w:rsidR="00383382" w:rsidRPr="00E50A23">
        <w:rPr>
          <w:i/>
          <w:iCs/>
          <w:sz w:val="28"/>
          <w:szCs w:val="28"/>
        </w:rPr>
        <w:instrText>Hickman v. Taylor</w:instrText>
      </w:r>
      <w:r w:rsidR="00383382" w:rsidRPr="00E50A23">
        <w:rPr>
          <w:sz w:val="28"/>
          <w:szCs w:val="28"/>
        </w:rPr>
        <w:instrText>, 329 U.S. 495, 501 (1947).</w:instrText>
      </w:r>
      <w:r w:rsidR="00383382">
        <w:instrText xml:space="preserve">" \s "Hickman, 329 U.S. at x." \c 1 </w:instrText>
      </w:r>
      <w:r w:rsidR="00383382">
        <w:rPr>
          <w:sz w:val="28"/>
          <w:szCs w:val="28"/>
        </w:rPr>
        <w:fldChar w:fldCharType="end"/>
      </w:r>
      <w:r w:rsidR="00383382">
        <w:rPr>
          <w:sz w:val="28"/>
          <w:szCs w:val="28"/>
        </w:rPr>
        <w:fldChar w:fldCharType="begin"/>
      </w:r>
      <w:r w:rsidR="00383382">
        <w:instrText xml:space="preserve"> TA \s "Hickman, 329 U.S. at x." </w:instrText>
      </w:r>
      <w:r w:rsidR="00383382">
        <w:rPr>
          <w:sz w:val="28"/>
          <w:szCs w:val="28"/>
        </w:rPr>
        <w:fldChar w:fldCharType="end"/>
      </w:r>
      <w:r w:rsidRPr="10271BBC">
        <w:rPr>
          <w:sz w:val="28"/>
          <w:szCs w:val="28"/>
          <w:lang w:val="en-US"/>
        </w:rPr>
        <w:t xml:space="preserve"> It is imperative to develop all relevant facts and, “the very integrity of the judicial system and public confidence in the system depend[s] on full disclosure of all the facts.” </w:t>
      </w:r>
      <w:r w:rsidRPr="10271BBC">
        <w:rPr>
          <w:i/>
          <w:sz w:val="28"/>
          <w:szCs w:val="28"/>
          <w:lang w:val="en-US"/>
        </w:rPr>
        <w:t>United States v. Nobles</w:t>
      </w:r>
      <w:r w:rsidRPr="10271BBC">
        <w:rPr>
          <w:sz w:val="28"/>
          <w:szCs w:val="28"/>
          <w:lang w:val="en-US"/>
        </w:rPr>
        <w:t>, 422 U.S. 225, 230–32 (1975).</w:t>
      </w:r>
      <w:r w:rsidR="00383382">
        <w:rPr>
          <w:sz w:val="28"/>
          <w:szCs w:val="28"/>
        </w:rPr>
        <w:fldChar w:fldCharType="begin"/>
      </w:r>
      <w:r w:rsidR="00383382">
        <w:instrText xml:space="preserve"> TA \l "</w:instrText>
      </w:r>
      <w:r w:rsidR="00383382" w:rsidRPr="0091547B">
        <w:rPr>
          <w:i/>
          <w:iCs/>
          <w:sz w:val="28"/>
          <w:szCs w:val="28"/>
        </w:rPr>
        <w:instrText>United States v. Nobles</w:instrText>
      </w:r>
      <w:r w:rsidR="00383382" w:rsidRPr="0091547B">
        <w:rPr>
          <w:sz w:val="28"/>
          <w:szCs w:val="28"/>
        </w:rPr>
        <w:instrText>, 422 U.S. 225, 230–32 (1975).</w:instrText>
      </w:r>
      <w:r w:rsidR="00383382">
        <w:instrText xml:space="preserve">" \s "Nobles, 422 U.S. at x." \c 1 </w:instrText>
      </w:r>
      <w:r w:rsidR="00383382">
        <w:rPr>
          <w:sz w:val="28"/>
          <w:szCs w:val="28"/>
        </w:rPr>
        <w:fldChar w:fldCharType="end"/>
      </w:r>
      <w:r w:rsidR="00383382">
        <w:rPr>
          <w:sz w:val="28"/>
          <w:szCs w:val="28"/>
        </w:rPr>
        <w:fldChar w:fldCharType="begin"/>
      </w:r>
      <w:r w:rsidR="00383382">
        <w:instrText xml:space="preserve"> TA \s "Nobles, 422 U.S. at x." </w:instrText>
      </w:r>
      <w:r w:rsidR="00383382">
        <w:rPr>
          <w:sz w:val="28"/>
          <w:szCs w:val="28"/>
        </w:rPr>
        <w:fldChar w:fldCharType="end"/>
      </w:r>
      <w:r w:rsidRPr="10271BBC">
        <w:rPr>
          <w:sz w:val="28"/>
          <w:szCs w:val="28"/>
          <w:lang w:val="en-US"/>
        </w:rPr>
        <w:t xml:space="preserve"> The discovery rules are to be applied “as broadly and liberally as possible,” and as such, the limitations of the privilege must be applied narrowly. </w:t>
      </w:r>
      <w:r w:rsidRPr="10271BBC">
        <w:rPr>
          <w:i/>
          <w:sz w:val="28"/>
          <w:szCs w:val="28"/>
          <w:lang w:val="en-US"/>
        </w:rPr>
        <w:t>Hickman</w:t>
      </w:r>
      <w:r w:rsidRPr="10271BBC">
        <w:rPr>
          <w:sz w:val="28"/>
          <w:szCs w:val="28"/>
          <w:lang w:val="en-US"/>
        </w:rPr>
        <w:t xml:space="preserve">, 329 U.S. at 506. </w:t>
      </w:r>
    </w:p>
    <w:p w14:paraId="0000004E" w14:textId="53F58740" w:rsidR="00A63F18" w:rsidRPr="00C3393C" w:rsidRDefault="00A47554">
      <w:pPr>
        <w:spacing w:line="480" w:lineRule="auto"/>
        <w:ind w:firstLine="720"/>
        <w:jc w:val="both"/>
        <w:rPr>
          <w:sz w:val="28"/>
          <w:szCs w:val="28"/>
          <w:lang w:val="en-US"/>
        </w:rPr>
      </w:pPr>
      <w:r w:rsidRPr="10271BBC">
        <w:rPr>
          <w:sz w:val="28"/>
          <w:szCs w:val="28"/>
          <w:lang w:val="en-US"/>
        </w:rPr>
        <w:t xml:space="preserve">The work product doctrine is governed by federal statute. </w:t>
      </w:r>
      <w:r w:rsidRPr="10271BBC">
        <w:rPr>
          <w:i/>
          <w:sz w:val="28"/>
          <w:szCs w:val="28"/>
          <w:lang w:val="en-US"/>
        </w:rPr>
        <w:t xml:space="preserve">See </w:t>
      </w:r>
      <w:r w:rsidRPr="10271BBC">
        <w:rPr>
          <w:smallCaps/>
          <w:sz w:val="28"/>
          <w:szCs w:val="28"/>
          <w:lang w:val="en-US"/>
        </w:rPr>
        <w:t>Fed. R. Civ. P</w:t>
      </w:r>
      <w:r w:rsidRPr="10271BBC">
        <w:rPr>
          <w:sz w:val="28"/>
          <w:szCs w:val="28"/>
          <w:lang w:val="en-US"/>
        </w:rPr>
        <w:t>. 26(b)(3)(B).</w:t>
      </w:r>
      <w:r w:rsidR="003C692D">
        <w:rPr>
          <w:sz w:val="28"/>
          <w:szCs w:val="28"/>
        </w:rPr>
        <w:fldChar w:fldCharType="begin"/>
      </w:r>
      <w:r w:rsidR="003C692D">
        <w:instrText xml:space="preserve"> TA \l "</w:instrText>
      </w:r>
      <w:r w:rsidR="003C692D" w:rsidRPr="00E80D38">
        <w:rPr>
          <w:smallCaps/>
          <w:sz w:val="28"/>
          <w:szCs w:val="28"/>
        </w:rPr>
        <w:instrText>Fed. R. Civ. P</w:instrText>
      </w:r>
      <w:r w:rsidR="003C692D" w:rsidRPr="00E80D38">
        <w:rPr>
          <w:sz w:val="28"/>
          <w:szCs w:val="28"/>
        </w:rPr>
        <w:instrText>. 26(b)(3)(B).</w:instrText>
      </w:r>
      <w:r w:rsidR="003C692D">
        <w:instrText xml:space="preserve">" \s "Fed. R. Civ. P. 26(b)(3)(B)." \c 2 </w:instrText>
      </w:r>
      <w:r w:rsidR="003C692D">
        <w:rPr>
          <w:sz w:val="28"/>
          <w:szCs w:val="28"/>
        </w:rPr>
        <w:fldChar w:fldCharType="end"/>
      </w:r>
      <w:r w:rsidR="003C692D">
        <w:rPr>
          <w:sz w:val="28"/>
          <w:szCs w:val="28"/>
        </w:rPr>
        <w:fldChar w:fldCharType="begin"/>
      </w:r>
      <w:r w:rsidR="003C692D">
        <w:instrText xml:space="preserve"> TA \s "Fed. R. Civ. P. 26(b)(3)(B)." </w:instrText>
      </w:r>
      <w:r w:rsidR="003C692D">
        <w:rPr>
          <w:sz w:val="28"/>
          <w:szCs w:val="28"/>
        </w:rPr>
        <w:fldChar w:fldCharType="end"/>
      </w:r>
      <w:r w:rsidRPr="10271BBC">
        <w:rPr>
          <w:sz w:val="28"/>
          <w:szCs w:val="28"/>
          <w:lang w:val="en-US"/>
        </w:rPr>
        <w:t xml:space="preserve"> This statute requires courts to protect work product from disclosure during discovery when it is created in anticipation of litigation. </w:t>
      </w:r>
      <w:r w:rsidRPr="10271BBC">
        <w:rPr>
          <w:i/>
          <w:sz w:val="28"/>
          <w:szCs w:val="28"/>
          <w:lang w:val="en-US"/>
        </w:rPr>
        <w:t>Id.</w:t>
      </w:r>
      <w:r w:rsidRPr="10271BBC">
        <w:rPr>
          <w:sz w:val="28"/>
          <w:szCs w:val="28"/>
          <w:lang w:val="en-US"/>
        </w:rPr>
        <w:t xml:space="preserve"> Work </w:t>
      </w:r>
      <w:proofErr w:type="gramStart"/>
      <w:r w:rsidRPr="10271BBC">
        <w:rPr>
          <w:sz w:val="28"/>
          <w:szCs w:val="28"/>
          <w:lang w:val="en-US"/>
        </w:rPr>
        <w:t>product is</w:t>
      </w:r>
      <w:proofErr w:type="gramEnd"/>
      <w:r w:rsidRPr="10271BBC">
        <w:rPr>
          <w:sz w:val="28"/>
          <w:szCs w:val="28"/>
          <w:lang w:val="en-US"/>
        </w:rPr>
        <w:t xml:space="preserve"> divided into two categories: opinion work </w:t>
      </w:r>
      <w:proofErr w:type="gramStart"/>
      <w:r w:rsidRPr="10271BBC">
        <w:rPr>
          <w:sz w:val="28"/>
          <w:szCs w:val="28"/>
          <w:lang w:val="en-US"/>
        </w:rPr>
        <w:t>product</w:t>
      </w:r>
      <w:proofErr w:type="gramEnd"/>
      <w:r w:rsidRPr="10271BBC">
        <w:rPr>
          <w:sz w:val="28"/>
          <w:szCs w:val="28"/>
          <w:lang w:val="en-US"/>
        </w:rPr>
        <w:t xml:space="preserve"> and ordinary work </w:t>
      </w:r>
      <w:proofErr w:type="gramStart"/>
      <w:r w:rsidRPr="10271BBC">
        <w:rPr>
          <w:sz w:val="28"/>
          <w:szCs w:val="28"/>
          <w:lang w:val="en-US"/>
        </w:rPr>
        <w:t>product</w:t>
      </w:r>
      <w:proofErr w:type="gramEnd"/>
      <w:r w:rsidRPr="10271BBC">
        <w:rPr>
          <w:sz w:val="28"/>
          <w:szCs w:val="28"/>
          <w:lang w:val="en-US"/>
        </w:rPr>
        <w:t xml:space="preserve">. </w:t>
      </w:r>
      <w:r w:rsidRPr="10271BBC">
        <w:rPr>
          <w:i/>
          <w:sz w:val="28"/>
          <w:szCs w:val="28"/>
          <w:lang w:val="en-US"/>
        </w:rPr>
        <w:t xml:space="preserve">See </w:t>
      </w:r>
      <w:proofErr w:type="spellStart"/>
      <w:r w:rsidRPr="10271BBC">
        <w:rPr>
          <w:i/>
          <w:sz w:val="28"/>
          <w:szCs w:val="28"/>
          <w:lang w:val="en-US"/>
        </w:rPr>
        <w:t>Sporck</w:t>
      </w:r>
      <w:proofErr w:type="spellEnd"/>
      <w:r w:rsidRPr="10271BBC">
        <w:rPr>
          <w:i/>
          <w:sz w:val="28"/>
          <w:szCs w:val="28"/>
          <w:lang w:val="en-US"/>
        </w:rPr>
        <w:t xml:space="preserve"> v. Peil,</w:t>
      </w:r>
      <w:r w:rsidRPr="10271BBC">
        <w:rPr>
          <w:sz w:val="28"/>
          <w:szCs w:val="28"/>
          <w:lang w:val="en-US"/>
        </w:rPr>
        <w:t xml:space="preserve"> 759 F.2d 312, 314–18 (3d Cir. 1985)</w:t>
      </w:r>
      <w:r w:rsidRPr="10271BBC">
        <w:rPr>
          <w:i/>
          <w:sz w:val="28"/>
          <w:szCs w:val="28"/>
          <w:lang w:val="en-US"/>
        </w:rPr>
        <w:t>.</w:t>
      </w:r>
      <w:r w:rsidR="0076429D">
        <w:rPr>
          <w:i/>
          <w:iCs/>
          <w:sz w:val="28"/>
          <w:szCs w:val="28"/>
        </w:rPr>
        <w:fldChar w:fldCharType="begin"/>
      </w:r>
      <w:r w:rsidR="0076429D">
        <w:instrText xml:space="preserve"> TA \l "</w:instrText>
      </w:r>
      <w:r w:rsidR="0076429D" w:rsidRPr="006928B6">
        <w:rPr>
          <w:i/>
          <w:iCs/>
          <w:sz w:val="28"/>
          <w:szCs w:val="28"/>
        </w:rPr>
        <w:instrText>Sporck v. Peil,</w:instrText>
      </w:r>
      <w:r w:rsidR="0076429D" w:rsidRPr="006928B6">
        <w:rPr>
          <w:sz w:val="28"/>
          <w:szCs w:val="28"/>
        </w:rPr>
        <w:instrText xml:space="preserve"> 759 F.2d 312, 314–18 (3d Cir. 1985)</w:instrText>
      </w:r>
      <w:r w:rsidR="0076429D" w:rsidRPr="006928B6">
        <w:rPr>
          <w:i/>
          <w:iCs/>
          <w:sz w:val="28"/>
          <w:szCs w:val="28"/>
        </w:rPr>
        <w:instrText>.</w:instrText>
      </w:r>
      <w:r w:rsidR="0076429D">
        <w:instrText xml:space="preserve">" \s "Sporck v. Peil, 759 F.2d 312, 314–18 (3d Cir. 1985)" \c 1 </w:instrText>
      </w:r>
      <w:r w:rsidR="0076429D">
        <w:rPr>
          <w:i/>
          <w:iCs/>
          <w:sz w:val="28"/>
          <w:szCs w:val="28"/>
        </w:rPr>
        <w:fldChar w:fldCharType="end"/>
      </w:r>
      <w:r w:rsidR="0076429D">
        <w:rPr>
          <w:i/>
          <w:iCs/>
          <w:sz w:val="28"/>
          <w:szCs w:val="28"/>
        </w:rPr>
        <w:fldChar w:fldCharType="begin"/>
      </w:r>
      <w:r w:rsidR="0076429D">
        <w:instrText xml:space="preserve"> TA \s "Sporck v. Peil, 759 F.2d 312, 314–18 (3d Cir. 1985)" </w:instrText>
      </w:r>
      <w:r w:rsidR="0076429D">
        <w:rPr>
          <w:i/>
          <w:iCs/>
          <w:sz w:val="28"/>
          <w:szCs w:val="28"/>
        </w:rPr>
        <w:fldChar w:fldCharType="end"/>
      </w:r>
      <w:r w:rsidRPr="10271BBC">
        <w:rPr>
          <w:i/>
          <w:sz w:val="28"/>
          <w:szCs w:val="28"/>
          <w:lang w:val="en-US"/>
        </w:rPr>
        <w:t xml:space="preserve"> </w:t>
      </w:r>
      <w:r w:rsidRPr="10271BBC">
        <w:rPr>
          <w:sz w:val="28"/>
          <w:szCs w:val="28"/>
          <w:lang w:val="en-US"/>
        </w:rPr>
        <w:t xml:space="preserve">This is a critical distinction because the two forms are afforded different levels of protection. Opinion work product encompasses material that reveals the “mental impressions, conclusions, opinions, or legal theories of a party's attorney or other representative concerning the litigation.” </w:t>
      </w:r>
      <w:r w:rsidR="00892804" w:rsidRPr="10271BBC">
        <w:rPr>
          <w:smallCaps/>
          <w:sz w:val="28"/>
          <w:szCs w:val="28"/>
          <w:lang w:val="en-US"/>
        </w:rPr>
        <w:t>Fed. R. Civ. P</w:t>
      </w:r>
      <w:r w:rsidR="00892804" w:rsidRPr="10271BBC">
        <w:rPr>
          <w:sz w:val="28"/>
          <w:szCs w:val="28"/>
          <w:lang w:val="en-US"/>
        </w:rPr>
        <w:t>. 26(b)(3)(B)</w:t>
      </w:r>
      <w:r w:rsidRPr="10271BBC">
        <w:rPr>
          <w:sz w:val="28"/>
          <w:szCs w:val="28"/>
          <w:lang w:val="en-US"/>
        </w:rPr>
        <w:t xml:space="preserve">; </w:t>
      </w:r>
      <w:r w:rsidRPr="10271BBC">
        <w:rPr>
          <w:i/>
          <w:sz w:val="28"/>
          <w:szCs w:val="28"/>
          <w:lang w:val="en-US"/>
        </w:rPr>
        <w:t>see also Hickman</w:t>
      </w:r>
      <w:r w:rsidRPr="10271BBC">
        <w:rPr>
          <w:sz w:val="28"/>
          <w:szCs w:val="28"/>
          <w:lang w:val="en-US"/>
        </w:rPr>
        <w:t>, 329 U.S. at 506.</w:t>
      </w:r>
    </w:p>
    <w:p w14:paraId="0000004F" w14:textId="6665ACDE" w:rsidR="00A63F18" w:rsidRPr="00C3393C" w:rsidRDefault="00A47554">
      <w:pPr>
        <w:spacing w:line="480" w:lineRule="auto"/>
        <w:ind w:firstLine="720"/>
        <w:jc w:val="both"/>
        <w:rPr>
          <w:sz w:val="28"/>
          <w:szCs w:val="28"/>
          <w:lang w:val="en-US"/>
        </w:rPr>
      </w:pPr>
      <w:r w:rsidRPr="10271BBC">
        <w:rPr>
          <w:sz w:val="28"/>
          <w:szCs w:val="28"/>
          <w:lang w:val="en-US"/>
        </w:rPr>
        <w:t xml:space="preserve">While it is true that opinion work product enjoys nearly absolute immunity, absent rare circumstances, this is not the case for ordinary work product. </w:t>
      </w:r>
      <w:r w:rsidRPr="10271BBC">
        <w:rPr>
          <w:i/>
          <w:sz w:val="28"/>
          <w:szCs w:val="28"/>
          <w:lang w:val="en-US"/>
        </w:rPr>
        <w:t>In re Murphy</w:t>
      </w:r>
      <w:r w:rsidRPr="10271BBC">
        <w:rPr>
          <w:sz w:val="28"/>
          <w:szCs w:val="28"/>
          <w:lang w:val="en-US"/>
        </w:rPr>
        <w:t>, 560 F.2d 326, 336 (8th Cir. 1977)</w:t>
      </w:r>
      <w:r w:rsidR="003166F2">
        <w:rPr>
          <w:sz w:val="28"/>
          <w:szCs w:val="28"/>
        </w:rPr>
        <w:fldChar w:fldCharType="begin"/>
      </w:r>
      <w:r w:rsidR="003166F2">
        <w:instrText xml:space="preserve"> TA \l "</w:instrText>
      </w:r>
      <w:r w:rsidR="003166F2" w:rsidRPr="002B62DB">
        <w:rPr>
          <w:i/>
          <w:iCs/>
          <w:sz w:val="28"/>
          <w:szCs w:val="28"/>
        </w:rPr>
        <w:instrText>In re Murphy</w:instrText>
      </w:r>
      <w:r w:rsidR="003166F2" w:rsidRPr="002B62DB">
        <w:rPr>
          <w:sz w:val="28"/>
          <w:szCs w:val="28"/>
        </w:rPr>
        <w:instrText>, 560 F.2d 326, 336 (8th Cir. 1977)</w:instrText>
      </w:r>
      <w:r w:rsidR="003166F2">
        <w:instrText xml:space="preserve">" \s "In re Murphy, 560 F.2d 326, 336 (8th Cir. 1977)" \c 1 </w:instrText>
      </w:r>
      <w:r w:rsidR="003166F2">
        <w:rPr>
          <w:sz w:val="28"/>
          <w:szCs w:val="28"/>
        </w:rPr>
        <w:fldChar w:fldCharType="end"/>
      </w:r>
      <w:r w:rsidR="003166F2">
        <w:rPr>
          <w:sz w:val="28"/>
          <w:szCs w:val="28"/>
        </w:rPr>
        <w:fldChar w:fldCharType="begin"/>
      </w:r>
      <w:r w:rsidR="003166F2">
        <w:instrText xml:space="preserve"> TA \s "In re Murphy, 560 F.2d 326, 336 (8th Cir. 1977)" </w:instrText>
      </w:r>
      <w:r w:rsidR="003166F2">
        <w:rPr>
          <w:sz w:val="28"/>
          <w:szCs w:val="28"/>
        </w:rPr>
        <w:fldChar w:fldCharType="end"/>
      </w:r>
      <w:r w:rsidRPr="10271BBC">
        <w:rPr>
          <w:sz w:val="28"/>
          <w:szCs w:val="28"/>
          <w:lang w:val="en-US"/>
        </w:rPr>
        <w:t xml:space="preserve"> (declining to hold that the immunity for </w:t>
      </w:r>
      <w:r w:rsidRPr="10271BBC">
        <w:rPr>
          <w:sz w:val="28"/>
          <w:szCs w:val="28"/>
          <w:lang w:val="en-US"/>
        </w:rPr>
        <w:lastRenderedPageBreak/>
        <w:t xml:space="preserve">opinion work product is absolute). Ordinary work </w:t>
      </w:r>
      <w:proofErr w:type="gramStart"/>
      <w:r w:rsidRPr="10271BBC">
        <w:rPr>
          <w:sz w:val="28"/>
          <w:szCs w:val="28"/>
          <w:lang w:val="en-US"/>
        </w:rPr>
        <w:t>product</w:t>
      </w:r>
      <w:proofErr w:type="gramEnd"/>
      <w:r w:rsidRPr="10271BBC">
        <w:rPr>
          <w:sz w:val="28"/>
          <w:szCs w:val="28"/>
          <w:lang w:val="en-US"/>
        </w:rPr>
        <w:t xml:space="preserve"> may be discovered upon a showing of substantial need and undue hardship. </w:t>
      </w:r>
      <w:r w:rsidRPr="10271BBC">
        <w:rPr>
          <w:i/>
          <w:sz w:val="28"/>
          <w:szCs w:val="28"/>
          <w:lang w:val="en-US"/>
        </w:rPr>
        <w:t xml:space="preserve">See </w:t>
      </w:r>
      <w:proofErr w:type="gramStart"/>
      <w:r w:rsidRPr="10271BBC">
        <w:rPr>
          <w:i/>
          <w:sz w:val="28"/>
          <w:szCs w:val="28"/>
          <w:lang w:val="en-US"/>
        </w:rPr>
        <w:t xml:space="preserve">infra </w:t>
      </w:r>
      <w:r w:rsidRPr="10271BBC">
        <w:rPr>
          <w:sz w:val="28"/>
          <w:szCs w:val="28"/>
          <w:lang w:val="en-US"/>
        </w:rPr>
        <w:t>Part II</w:t>
      </w:r>
      <w:proofErr w:type="gramEnd"/>
      <w:r w:rsidRPr="10271BBC">
        <w:rPr>
          <w:sz w:val="28"/>
          <w:szCs w:val="28"/>
          <w:lang w:val="en-US"/>
        </w:rPr>
        <w:t>(b)</w:t>
      </w:r>
      <w:r w:rsidR="00976DE6" w:rsidRPr="10271BBC">
        <w:rPr>
          <w:sz w:val="28"/>
          <w:szCs w:val="28"/>
          <w:lang w:val="en-US"/>
        </w:rPr>
        <w:t xml:space="preserve">; </w:t>
      </w:r>
      <w:r w:rsidR="00976DE6" w:rsidRPr="10271BBC">
        <w:rPr>
          <w:i/>
          <w:sz w:val="28"/>
          <w:szCs w:val="28"/>
          <w:lang w:val="en-US"/>
        </w:rPr>
        <w:t xml:space="preserve">Id. </w:t>
      </w:r>
      <w:r w:rsidRPr="10271BBC">
        <w:rPr>
          <w:sz w:val="28"/>
          <w:szCs w:val="28"/>
          <w:lang w:val="en-US"/>
        </w:rPr>
        <w:t xml:space="preserve">Notably, “not every item which may reveal some inkling of a lawyer's mental impressions…is protected.” </w:t>
      </w:r>
      <w:r w:rsidRPr="10271BBC">
        <w:rPr>
          <w:i/>
          <w:sz w:val="28"/>
          <w:szCs w:val="28"/>
          <w:lang w:val="en-US"/>
        </w:rPr>
        <w:t>F.T.C. v. Boehringer Ingelheim Pharm., Inc.</w:t>
      </w:r>
      <w:r w:rsidRPr="10271BBC">
        <w:rPr>
          <w:sz w:val="28"/>
          <w:szCs w:val="28"/>
          <w:lang w:val="en-US"/>
        </w:rPr>
        <w:t>, 778 F.3d 142, 151–52 (D.C. Cir. 2015</w:t>
      </w:r>
      <w:r w:rsidR="004D088D" w:rsidRPr="10271BBC">
        <w:rPr>
          <w:sz w:val="28"/>
          <w:szCs w:val="28"/>
          <w:lang w:val="en-US"/>
        </w:rPr>
        <w:t>).</w:t>
      </w:r>
      <w:r w:rsidR="004D088D">
        <w:rPr>
          <w:sz w:val="28"/>
          <w:szCs w:val="28"/>
        </w:rPr>
        <w:fldChar w:fldCharType="begin"/>
      </w:r>
      <w:r w:rsidR="004D088D">
        <w:instrText xml:space="preserve"> TA \l "</w:instrText>
      </w:r>
      <w:r w:rsidR="004D088D" w:rsidRPr="00054EB0">
        <w:rPr>
          <w:i/>
          <w:iCs/>
          <w:sz w:val="28"/>
          <w:szCs w:val="28"/>
        </w:rPr>
        <w:instrText>F.T.C. v. Boehringer Ingelheim Pharm., Inc.</w:instrText>
      </w:r>
      <w:r w:rsidR="004D088D" w:rsidRPr="00054EB0">
        <w:rPr>
          <w:sz w:val="28"/>
          <w:szCs w:val="28"/>
        </w:rPr>
        <w:instrText>, 778 F.3d 142, 151–52 (D.C. Cir. 2015).</w:instrText>
      </w:r>
      <w:r w:rsidR="004D088D">
        <w:instrText xml:space="preserve">" \s "F.T.C. v. Boehringer Ingelheim Pharm., Inc., 778 F.3d 142, 151–52 (D.C. Cir. 2015)." \c 1 </w:instrText>
      </w:r>
      <w:r w:rsidR="004D088D">
        <w:rPr>
          <w:sz w:val="28"/>
          <w:szCs w:val="28"/>
        </w:rPr>
        <w:fldChar w:fldCharType="end"/>
      </w:r>
      <w:r w:rsidR="004D088D">
        <w:rPr>
          <w:sz w:val="28"/>
          <w:szCs w:val="28"/>
        </w:rPr>
        <w:fldChar w:fldCharType="begin"/>
      </w:r>
      <w:r w:rsidR="004D088D">
        <w:instrText xml:space="preserve"> TA \s "F.T.C. v. Boehringer Ingelheim Pharm., Inc., 778 F.3d 142, 151–52 (D.C. Cir. 2015)." </w:instrText>
      </w:r>
      <w:r w:rsidR="004D088D">
        <w:rPr>
          <w:sz w:val="28"/>
          <w:szCs w:val="28"/>
        </w:rPr>
        <w:fldChar w:fldCharType="end"/>
      </w:r>
      <w:r w:rsidRPr="10271BBC">
        <w:rPr>
          <w:sz w:val="28"/>
          <w:szCs w:val="28"/>
          <w:lang w:val="en-US"/>
        </w:rPr>
        <w:t xml:space="preserve"> The privilege is only triggered if the disclosure “creates a real, nonspeculative danger of revealing the lawyer's thoughts.”  </w:t>
      </w:r>
      <w:r w:rsidRPr="10271BBC">
        <w:rPr>
          <w:i/>
          <w:sz w:val="28"/>
          <w:szCs w:val="28"/>
          <w:lang w:val="en-US"/>
        </w:rPr>
        <w:t xml:space="preserve">Id. </w:t>
      </w:r>
      <w:r w:rsidRPr="10271BBC">
        <w:rPr>
          <w:sz w:val="28"/>
          <w:szCs w:val="28"/>
          <w:lang w:val="en-US"/>
        </w:rPr>
        <w:t xml:space="preserve">(quoting </w:t>
      </w:r>
      <w:r w:rsidRPr="10271BBC">
        <w:rPr>
          <w:i/>
          <w:sz w:val="28"/>
          <w:szCs w:val="28"/>
          <w:lang w:val="en-US"/>
        </w:rPr>
        <w:t>In re San Juan Dupont Plaza Hotel Fire Litig.</w:t>
      </w:r>
      <w:r w:rsidRPr="10271BBC">
        <w:rPr>
          <w:sz w:val="28"/>
          <w:szCs w:val="28"/>
          <w:lang w:val="en-US"/>
        </w:rPr>
        <w:t xml:space="preserve">, 859 F.2d 1007, 1015 (1st Cir.1988); </w:t>
      </w:r>
      <w:r w:rsidRPr="10271BBC">
        <w:rPr>
          <w:i/>
          <w:sz w:val="28"/>
          <w:szCs w:val="28"/>
          <w:lang w:val="en-US"/>
        </w:rPr>
        <w:t>see also In re Sealed Case</w:t>
      </w:r>
      <w:r w:rsidRPr="10271BBC">
        <w:rPr>
          <w:sz w:val="28"/>
          <w:szCs w:val="28"/>
          <w:lang w:val="en-US"/>
        </w:rPr>
        <w:t>, 146 F.3d 881, 888 (D.C. Cir. 1998)</w:t>
      </w:r>
      <w:r w:rsidR="0076429D">
        <w:rPr>
          <w:sz w:val="28"/>
          <w:szCs w:val="28"/>
        </w:rPr>
        <w:fldChar w:fldCharType="begin"/>
      </w:r>
      <w:r w:rsidR="0076429D">
        <w:instrText xml:space="preserve"> TA \l "</w:instrText>
      </w:r>
      <w:r w:rsidR="0076429D" w:rsidRPr="00CB4B99">
        <w:rPr>
          <w:i/>
          <w:iCs/>
          <w:sz w:val="28"/>
          <w:szCs w:val="28"/>
        </w:rPr>
        <w:instrText>In re Sealed Case</w:instrText>
      </w:r>
      <w:r w:rsidR="0076429D" w:rsidRPr="00CB4B99">
        <w:rPr>
          <w:sz w:val="28"/>
          <w:szCs w:val="28"/>
        </w:rPr>
        <w:instrText>, 146 F.3d 881, 888 (D.C. Cir. 1998)</w:instrText>
      </w:r>
      <w:r w:rsidR="0076429D">
        <w:instrText xml:space="preserve">" \s "In re Sealed Case, 146 F.3d 881, 888 (D.C. Cir. 1998)" \c 1 </w:instrText>
      </w:r>
      <w:r w:rsidR="0076429D">
        <w:rPr>
          <w:sz w:val="28"/>
          <w:szCs w:val="28"/>
        </w:rPr>
        <w:fldChar w:fldCharType="end"/>
      </w:r>
      <w:r w:rsidR="0076429D">
        <w:rPr>
          <w:sz w:val="28"/>
          <w:szCs w:val="28"/>
        </w:rPr>
        <w:fldChar w:fldCharType="begin"/>
      </w:r>
      <w:r w:rsidR="0076429D">
        <w:instrText xml:space="preserve"> TA \s "In re Sealed Case, 146 F.3d 881, 888 (D.C. Cir. 1998)" </w:instrText>
      </w:r>
      <w:r w:rsidR="0076429D">
        <w:rPr>
          <w:sz w:val="28"/>
          <w:szCs w:val="28"/>
        </w:rPr>
        <w:fldChar w:fldCharType="end"/>
      </w:r>
      <w:r w:rsidRPr="10271BBC">
        <w:rPr>
          <w:sz w:val="28"/>
          <w:szCs w:val="28"/>
          <w:lang w:val="en-US"/>
        </w:rPr>
        <w:t xml:space="preserve"> (holding that an attorney’s notes of preliminary interviews are not necessarily opinion work product, as the mere fact that an attorney chose to write a fact down is not sufficient to convert that fact into opinion work product).</w:t>
      </w:r>
    </w:p>
    <w:p w14:paraId="00000050" w14:textId="6177A1FD" w:rsidR="00A63F18" w:rsidRPr="00C3393C" w:rsidRDefault="00A47554">
      <w:pPr>
        <w:spacing w:line="480" w:lineRule="auto"/>
        <w:ind w:firstLine="720"/>
        <w:jc w:val="both"/>
        <w:rPr>
          <w:sz w:val="28"/>
          <w:szCs w:val="28"/>
          <w:lang w:val="en-US"/>
        </w:rPr>
      </w:pPr>
      <w:r w:rsidRPr="10271BBC">
        <w:rPr>
          <w:sz w:val="28"/>
          <w:szCs w:val="28"/>
          <w:lang w:val="en-US"/>
        </w:rPr>
        <w:t xml:space="preserve">Courts have held that purely factual material embedded in attorney notes may not deserve the super-protection afforded to a lawyer's mental impressions, nor is it immune from discovery simply </w:t>
      </w:r>
      <w:proofErr w:type="gramStart"/>
      <w:r w:rsidRPr="10271BBC">
        <w:rPr>
          <w:sz w:val="28"/>
          <w:szCs w:val="28"/>
          <w:lang w:val="en-US"/>
        </w:rPr>
        <w:t>based on the fact that</w:t>
      </w:r>
      <w:proofErr w:type="gramEnd"/>
      <w:r w:rsidRPr="10271BBC">
        <w:rPr>
          <w:sz w:val="28"/>
          <w:szCs w:val="28"/>
          <w:lang w:val="en-US"/>
        </w:rPr>
        <w:t xml:space="preserve"> it is in an attorney’s file. </w:t>
      </w:r>
      <w:r w:rsidRPr="10271BBC">
        <w:rPr>
          <w:i/>
          <w:sz w:val="28"/>
          <w:szCs w:val="28"/>
          <w:lang w:val="en-US"/>
        </w:rPr>
        <w:t xml:space="preserve">Dir., </w:t>
      </w:r>
      <w:proofErr w:type="gramStart"/>
      <w:r w:rsidRPr="10271BBC">
        <w:rPr>
          <w:i/>
          <w:sz w:val="28"/>
          <w:szCs w:val="28"/>
          <w:lang w:val="en-US"/>
        </w:rPr>
        <w:t>Off</w:t>
      </w:r>
      <w:proofErr w:type="gramEnd"/>
      <w:r w:rsidRPr="10271BBC">
        <w:rPr>
          <w:i/>
          <w:sz w:val="28"/>
          <w:szCs w:val="28"/>
          <w:lang w:val="en-US"/>
        </w:rPr>
        <w:t>. of Thrift Supervision v. Vinson &amp; Elkins, LLP</w:t>
      </w:r>
      <w:r w:rsidRPr="10271BBC">
        <w:rPr>
          <w:sz w:val="28"/>
          <w:szCs w:val="28"/>
          <w:lang w:val="en-US"/>
        </w:rPr>
        <w:t>, 124 F.3d 1304, 1307–08 (D.C. Cir. 1997</w:t>
      </w:r>
      <w:r w:rsidR="002F4177" w:rsidRPr="10271BBC">
        <w:rPr>
          <w:sz w:val="28"/>
          <w:szCs w:val="28"/>
          <w:lang w:val="en-US"/>
        </w:rPr>
        <w:t>)</w:t>
      </w:r>
      <w:r w:rsidR="002F4177">
        <w:rPr>
          <w:sz w:val="28"/>
          <w:szCs w:val="28"/>
        </w:rPr>
        <w:fldChar w:fldCharType="begin"/>
      </w:r>
      <w:r w:rsidR="002F4177">
        <w:instrText xml:space="preserve"> TA \l "</w:instrText>
      </w:r>
      <w:r w:rsidR="002F4177" w:rsidRPr="002D08AE">
        <w:rPr>
          <w:i/>
          <w:iCs/>
          <w:sz w:val="28"/>
          <w:szCs w:val="28"/>
        </w:rPr>
        <w:instrText>Dir., Off. of Thrift Supervision v. Vinson &amp; Elkins, LLP</w:instrText>
      </w:r>
      <w:r w:rsidR="002F4177" w:rsidRPr="002D08AE">
        <w:rPr>
          <w:sz w:val="28"/>
          <w:szCs w:val="28"/>
        </w:rPr>
        <w:instrText>, 124 F.3d 1304, 1307–08 (D.C. Cir. 1997)</w:instrText>
      </w:r>
      <w:r w:rsidR="002F4177">
        <w:instrText xml:space="preserve">" \s "Dir., Off. of Thrift Supervision v. Vinson &amp; Elkins, LLP, 124 F.3d 1304, 1307–08 (D.C. Cir. 1997)" \c 1 </w:instrText>
      </w:r>
      <w:r w:rsidR="002F4177">
        <w:rPr>
          <w:sz w:val="28"/>
          <w:szCs w:val="28"/>
        </w:rPr>
        <w:fldChar w:fldCharType="end"/>
      </w:r>
      <w:r w:rsidR="002F4177">
        <w:rPr>
          <w:sz w:val="28"/>
          <w:szCs w:val="28"/>
        </w:rPr>
        <w:fldChar w:fldCharType="begin"/>
      </w:r>
      <w:r w:rsidR="002F4177">
        <w:instrText xml:space="preserve"> TA \s "Dir., Off. of Thrift Supervision v. Vinson &amp; Elkins, LLP, 124 F.3d 1304, 1307–08 (D.C. Cir. 1997)" </w:instrText>
      </w:r>
      <w:r w:rsidR="002F4177">
        <w:rPr>
          <w:sz w:val="28"/>
          <w:szCs w:val="28"/>
        </w:rPr>
        <w:fldChar w:fldCharType="end"/>
      </w:r>
      <w:r w:rsidRPr="10271BBC">
        <w:rPr>
          <w:sz w:val="28"/>
          <w:szCs w:val="28"/>
          <w:lang w:val="en-US"/>
        </w:rPr>
        <w:t xml:space="preserve">; </w:t>
      </w:r>
      <w:r w:rsidRPr="10271BBC">
        <w:rPr>
          <w:i/>
          <w:sz w:val="28"/>
          <w:szCs w:val="28"/>
          <w:lang w:val="en-US"/>
        </w:rPr>
        <w:t>See also Hickman</w:t>
      </w:r>
      <w:r w:rsidRPr="10271BBC">
        <w:rPr>
          <w:sz w:val="28"/>
          <w:szCs w:val="28"/>
          <w:lang w:val="en-US"/>
        </w:rPr>
        <w:t xml:space="preserve">, 329 U.S. at 511 (holding that “where relevant and nonprivileged facts remain hidden in an attorney's file and where production of those facts is essential to the preparation of one's case, discovery may properly be had”). In circumstances where a document may contain both opinion and fact work product, it is the court’s duty to examine whether the factual matter can be extracted without </w:t>
      </w:r>
      <w:r w:rsidRPr="10271BBC">
        <w:rPr>
          <w:sz w:val="28"/>
          <w:szCs w:val="28"/>
          <w:lang w:val="en-US"/>
        </w:rPr>
        <w:lastRenderedPageBreak/>
        <w:t xml:space="preserve">revealing the attorney's opinions. </w:t>
      </w:r>
      <w:r w:rsidRPr="10271BBC">
        <w:rPr>
          <w:i/>
          <w:sz w:val="28"/>
          <w:szCs w:val="28"/>
          <w:lang w:val="en-US"/>
        </w:rPr>
        <w:t>Boehringer Ingelheim Pharm., Inc.</w:t>
      </w:r>
      <w:r w:rsidRPr="10271BBC">
        <w:rPr>
          <w:sz w:val="28"/>
          <w:szCs w:val="28"/>
          <w:lang w:val="en-US"/>
        </w:rPr>
        <w:t>, 778 F.3d at 152.</w:t>
      </w:r>
    </w:p>
    <w:p w14:paraId="00000051" w14:textId="77777777" w:rsidR="00A63F18" w:rsidRPr="00C3393C" w:rsidRDefault="00A47554">
      <w:pPr>
        <w:spacing w:line="480" w:lineRule="auto"/>
        <w:ind w:firstLine="720"/>
        <w:jc w:val="both"/>
        <w:rPr>
          <w:sz w:val="28"/>
          <w:szCs w:val="28"/>
          <w:lang w:val="en-US"/>
        </w:rPr>
      </w:pPr>
      <w:r w:rsidRPr="10271BBC">
        <w:rPr>
          <w:sz w:val="28"/>
          <w:szCs w:val="28"/>
          <w:lang w:val="en-US"/>
        </w:rPr>
        <w:t xml:space="preserve">The Government does not dispute that the February 15, </w:t>
      </w:r>
      <w:proofErr w:type="gramStart"/>
      <w:r w:rsidRPr="10271BBC">
        <w:rPr>
          <w:sz w:val="28"/>
          <w:szCs w:val="28"/>
          <w:lang w:val="en-US"/>
        </w:rPr>
        <w:t>2024</w:t>
      </w:r>
      <w:proofErr w:type="gramEnd"/>
      <w:r w:rsidRPr="10271BBC">
        <w:rPr>
          <w:sz w:val="28"/>
          <w:szCs w:val="28"/>
          <w:lang w:val="en-US"/>
        </w:rPr>
        <w:t xml:space="preserve"> interview falls within the general scope of work-product protection because Armana was retained by Calloway’s attorneys to assist in preparing a potential defense and conducted the interview in anticipation of litigation. Armana Dep. 44:40–45. Rather, the relevant inquiry is whether the </w:t>
      </w:r>
      <w:r w:rsidRPr="10271BBC">
        <w:rPr>
          <w:sz w:val="28"/>
          <w:szCs w:val="28"/>
          <w:u w:val="single"/>
          <w:lang w:val="en-US"/>
        </w:rPr>
        <w:t>entirety</w:t>
      </w:r>
      <w:r w:rsidRPr="10271BBC">
        <w:rPr>
          <w:sz w:val="28"/>
          <w:szCs w:val="28"/>
          <w:lang w:val="en-US"/>
        </w:rPr>
        <w:t xml:space="preserve"> of the interview is protected work product, which the Government maintains it is not. </w:t>
      </w:r>
    </w:p>
    <w:p w14:paraId="00000052" w14:textId="37FD2A41" w:rsidR="00A63F18" w:rsidRPr="00C3393C" w:rsidRDefault="00A47554">
      <w:pPr>
        <w:spacing w:line="480" w:lineRule="auto"/>
        <w:ind w:firstLine="720"/>
        <w:jc w:val="both"/>
        <w:rPr>
          <w:sz w:val="28"/>
          <w:szCs w:val="28"/>
          <w:lang w:val="en-US"/>
        </w:rPr>
      </w:pPr>
      <w:r w:rsidRPr="71C2E781">
        <w:rPr>
          <w:sz w:val="28"/>
          <w:szCs w:val="28"/>
          <w:lang w:val="en-US"/>
        </w:rPr>
        <w:t>Armana denotes two categories of information in their interview with Seton</w:t>
      </w:r>
      <w:r w:rsidR="005B4659">
        <w:rPr>
          <w:sz w:val="28"/>
          <w:szCs w:val="28"/>
          <w:lang w:val="en-US"/>
        </w:rPr>
        <w:t xml:space="preserve">; </w:t>
      </w:r>
      <w:r w:rsidRPr="71C2E781">
        <w:rPr>
          <w:sz w:val="28"/>
          <w:szCs w:val="28"/>
          <w:lang w:val="en-US"/>
        </w:rPr>
        <w:t xml:space="preserve">Seton’s factual account and Armana’s own thoughts and theories. Armana Dep. 46:140–43. Armana states that “[t]he body is the factual account as Sierra [Seton] gave it,” while the red portions are </w:t>
      </w:r>
      <w:r w:rsidR="00605334" w:rsidRPr="71C2E781">
        <w:rPr>
          <w:sz w:val="28"/>
          <w:szCs w:val="28"/>
          <w:lang w:val="en-US"/>
        </w:rPr>
        <w:t>their “</w:t>
      </w:r>
      <w:r w:rsidRPr="71C2E781">
        <w:rPr>
          <w:sz w:val="28"/>
          <w:szCs w:val="28"/>
          <w:lang w:val="en-US"/>
        </w:rPr>
        <w:t xml:space="preserve">own thoughts, follow-ups, questions, and…theories.” Armana Dep. 46:140–43, Armana Notes from Seton Interview, Exhibit No. 21. The </w:t>
      </w:r>
      <w:proofErr w:type="gramStart"/>
      <w:r w:rsidRPr="71C2E781">
        <w:rPr>
          <w:sz w:val="28"/>
          <w:szCs w:val="28"/>
          <w:lang w:val="en-US"/>
        </w:rPr>
        <w:t>factual information</w:t>
      </w:r>
      <w:proofErr w:type="gramEnd"/>
      <w:r w:rsidRPr="71C2E781">
        <w:rPr>
          <w:sz w:val="28"/>
          <w:szCs w:val="28"/>
          <w:lang w:val="en-US"/>
        </w:rPr>
        <w:t xml:space="preserve"> </w:t>
      </w:r>
      <w:r w:rsidR="00605334" w:rsidRPr="71C2E781">
        <w:rPr>
          <w:sz w:val="28"/>
          <w:szCs w:val="28"/>
          <w:lang w:val="en-US"/>
        </w:rPr>
        <w:t>Armana</w:t>
      </w:r>
      <w:r w:rsidRPr="71C2E781">
        <w:rPr>
          <w:sz w:val="28"/>
          <w:szCs w:val="28"/>
          <w:lang w:val="en-US"/>
        </w:rPr>
        <w:t xml:space="preserve"> recorded is ordinary work product and thus discoverable. As explained by </w:t>
      </w:r>
      <w:r w:rsidRPr="71C2E781">
        <w:rPr>
          <w:i/>
          <w:sz w:val="28"/>
          <w:szCs w:val="28"/>
          <w:lang w:val="en-US"/>
        </w:rPr>
        <w:t>In re Sealed Case</w:t>
      </w:r>
      <w:r w:rsidRPr="71C2E781">
        <w:rPr>
          <w:sz w:val="28"/>
          <w:szCs w:val="28"/>
          <w:lang w:val="en-US"/>
        </w:rPr>
        <w:t xml:space="preserve">, the mere decision to write things down, as Armana did, is not sufficient to consider that opinion work product, especially when Armana explains that they are a factfinder, expressly disclaiming any role in trial strategy, especially in a circumstance such as the one at bar where Armana describes the content of the interview as, “real, specific, factual information.” 146 F.3d at 888; Armana Dep. 46:132–33; </w:t>
      </w:r>
      <w:r w:rsidRPr="71C2E781">
        <w:rPr>
          <w:i/>
          <w:sz w:val="28"/>
          <w:szCs w:val="28"/>
          <w:lang w:val="en-US"/>
        </w:rPr>
        <w:t xml:space="preserve">Id. </w:t>
      </w:r>
      <w:r w:rsidRPr="71C2E781">
        <w:rPr>
          <w:sz w:val="28"/>
          <w:szCs w:val="28"/>
          <w:lang w:val="en-US"/>
        </w:rPr>
        <w:t xml:space="preserve">at 43:25–26. Armana </w:t>
      </w:r>
      <w:r w:rsidRPr="71C2E781">
        <w:rPr>
          <w:sz w:val="28"/>
          <w:szCs w:val="28"/>
          <w:lang w:val="en-US"/>
        </w:rPr>
        <w:lastRenderedPageBreak/>
        <w:t xml:space="preserve">states in their deposition, “I'm the person who finds out what happened so the lawyer can decide what to do with it.” </w:t>
      </w:r>
      <w:r w:rsidRPr="71C2E781">
        <w:rPr>
          <w:i/>
          <w:sz w:val="28"/>
          <w:szCs w:val="28"/>
          <w:lang w:val="en-US"/>
        </w:rPr>
        <w:t xml:space="preserve">Id. </w:t>
      </w:r>
      <w:r w:rsidRPr="71C2E781">
        <w:rPr>
          <w:sz w:val="28"/>
          <w:szCs w:val="28"/>
          <w:lang w:val="en-US"/>
        </w:rPr>
        <w:t xml:space="preserve">This expressly recognizes that although Armana works at the discretion of the attorney, their work does not reveal trial strategy nor provide insight into the attorney’s mental processes. There is no danger of revealing the attorney’s thoughts because there aren’t any here. The central concern in disclosing work product is that it may reveal opposing counsel’s mental impressions, opinions, or legal theories, as explained by the Supreme Court in </w:t>
      </w:r>
      <w:r w:rsidRPr="71C2E781">
        <w:rPr>
          <w:i/>
          <w:sz w:val="28"/>
          <w:szCs w:val="28"/>
          <w:lang w:val="en-US"/>
        </w:rPr>
        <w:t>Hickman</w:t>
      </w:r>
      <w:r w:rsidRPr="71C2E781">
        <w:rPr>
          <w:sz w:val="28"/>
          <w:szCs w:val="28"/>
          <w:lang w:val="en-US"/>
        </w:rPr>
        <w:t xml:space="preserve">, however, Armana’s interview lacks such legal theory because they are simply a fact finder. Armana consistently makes this claim throughout their deposition, and they expressly label themselves as a fact finder. </w:t>
      </w:r>
      <w:r w:rsidRPr="71C2E781">
        <w:rPr>
          <w:i/>
          <w:sz w:val="28"/>
          <w:szCs w:val="28"/>
          <w:lang w:val="en-US"/>
        </w:rPr>
        <w:t>See</w:t>
      </w:r>
      <w:r w:rsidRPr="71C2E781">
        <w:rPr>
          <w:sz w:val="28"/>
          <w:szCs w:val="28"/>
          <w:lang w:val="en-US"/>
        </w:rPr>
        <w:t xml:space="preserve"> Armana Dep. 44:45 (“My job was to develop and preserve those facts”). As </w:t>
      </w:r>
      <w:r w:rsidRPr="71C2E781">
        <w:rPr>
          <w:i/>
          <w:sz w:val="28"/>
          <w:szCs w:val="28"/>
          <w:lang w:val="en-US"/>
        </w:rPr>
        <w:t xml:space="preserve">Nobles </w:t>
      </w:r>
      <w:r w:rsidRPr="71C2E781">
        <w:rPr>
          <w:sz w:val="28"/>
          <w:szCs w:val="28"/>
          <w:lang w:val="en-US"/>
        </w:rPr>
        <w:t xml:space="preserve">explains, the very integrity of the judicial system relies on full disclosure of those facts. Seton’s statements concerning </w:t>
      </w:r>
      <w:proofErr w:type="spellStart"/>
      <w:r w:rsidRPr="71C2E781">
        <w:rPr>
          <w:sz w:val="28"/>
          <w:szCs w:val="28"/>
          <w:lang w:val="en-US"/>
        </w:rPr>
        <w:t>Coastal’s</w:t>
      </w:r>
      <w:proofErr w:type="spellEnd"/>
      <w:r w:rsidRPr="71C2E781">
        <w:rPr>
          <w:sz w:val="28"/>
          <w:szCs w:val="28"/>
          <w:lang w:val="en-US"/>
        </w:rPr>
        <w:t xml:space="preserve"> operations and financial activity do not become Armana or the attorney’s opinions by nature of simply being written down, and in accordance with the interests of justice, these are facts that should be turned over to the Government. </w:t>
      </w:r>
    </w:p>
    <w:p w14:paraId="52618B2A" w14:textId="77777777" w:rsidR="00ED46A6" w:rsidRDefault="00A47554">
      <w:pPr>
        <w:spacing w:line="480" w:lineRule="auto"/>
        <w:ind w:firstLine="720"/>
        <w:jc w:val="both"/>
        <w:rPr>
          <w:sz w:val="28"/>
          <w:szCs w:val="28"/>
          <w:lang w:val="en-US"/>
        </w:rPr>
      </w:pPr>
      <w:r w:rsidRPr="10271BBC">
        <w:rPr>
          <w:sz w:val="28"/>
          <w:szCs w:val="28"/>
          <w:lang w:val="en-US"/>
        </w:rPr>
        <w:t xml:space="preserve">The defense may argue that this is a fishing expedition by the Government. However, as the landmark Supreme Court case holds, reasonable discovery requests such as the one at bar, are not immune and “no longer can the time-honored cry of "fishing expedition" serve to preclude a party from inquiring into the facts underlying his opponent's case.” </w:t>
      </w:r>
      <w:r w:rsidRPr="10271BBC">
        <w:rPr>
          <w:i/>
          <w:sz w:val="28"/>
          <w:szCs w:val="28"/>
          <w:lang w:val="en-US"/>
        </w:rPr>
        <w:t>Hickman</w:t>
      </w:r>
      <w:r w:rsidRPr="10271BBC">
        <w:rPr>
          <w:sz w:val="28"/>
          <w:szCs w:val="28"/>
          <w:lang w:val="en-US"/>
        </w:rPr>
        <w:t xml:space="preserve">, 329 U.S. at 507. </w:t>
      </w:r>
    </w:p>
    <w:p w14:paraId="00000053" w14:textId="6406D588" w:rsidR="00A63F18" w:rsidRPr="00C3393C" w:rsidRDefault="00ED46A6">
      <w:pPr>
        <w:spacing w:line="480" w:lineRule="auto"/>
        <w:ind w:firstLine="720"/>
        <w:jc w:val="both"/>
        <w:rPr>
          <w:sz w:val="28"/>
          <w:szCs w:val="28"/>
          <w:lang w:val="en-US"/>
        </w:rPr>
      </w:pPr>
      <w:r>
        <w:rPr>
          <w:sz w:val="28"/>
          <w:szCs w:val="28"/>
          <w:lang w:val="en-US"/>
        </w:rPr>
        <w:lastRenderedPageBreak/>
        <w:t xml:space="preserve">The </w:t>
      </w:r>
      <w:r w:rsidRPr="00ED46A6">
        <w:rPr>
          <w:sz w:val="28"/>
          <w:szCs w:val="28"/>
          <w:lang w:val="en-US"/>
        </w:rPr>
        <w:t xml:space="preserve">work-product doctrine is an essential tool of litigation, but it is not a shield against discovery of otherwise discoverable facts. The doctrine cannot be wielded to conceal </w:t>
      </w:r>
      <w:proofErr w:type="gramStart"/>
      <w:r w:rsidRPr="00ED46A6">
        <w:rPr>
          <w:sz w:val="28"/>
          <w:szCs w:val="28"/>
          <w:lang w:val="en-US"/>
        </w:rPr>
        <w:t>factual information</w:t>
      </w:r>
      <w:proofErr w:type="gramEnd"/>
      <w:r w:rsidRPr="00ED46A6">
        <w:rPr>
          <w:sz w:val="28"/>
          <w:szCs w:val="28"/>
          <w:lang w:val="en-US"/>
        </w:rPr>
        <w:t xml:space="preserve"> merely because it was gathered by an attorney or investigator. </w:t>
      </w:r>
      <w:r w:rsidRPr="00B06481">
        <w:rPr>
          <w:i/>
          <w:iCs/>
          <w:sz w:val="28"/>
          <w:szCs w:val="28"/>
          <w:lang w:val="en-US"/>
        </w:rPr>
        <w:t>Id.</w:t>
      </w:r>
      <w:r w:rsidRPr="00ED46A6">
        <w:rPr>
          <w:sz w:val="28"/>
          <w:szCs w:val="28"/>
          <w:lang w:val="en-US"/>
        </w:rPr>
        <w:t xml:space="preserve"> Here, where the requested material contains </w:t>
      </w:r>
      <w:proofErr w:type="gramStart"/>
      <w:r w:rsidRPr="00ED46A6">
        <w:rPr>
          <w:sz w:val="28"/>
          <w:szCs w:val="28"/>
          <w:lang w:val="en-US"/>
        </w:rPr>
        <w:t>factual information</w:t>
      </w:r>
      <w:proofErr w:type="gramEnd"/>
      <w:r w:rsidRPr="00ED46A6">
        <w:rPr>
          <w:sz w:val="28"/>
          <w:szCs w:val="28"/>
          <w:lang w:val="en-US"/>
        </w:rPr>
        <w:t xml:space="preserve"> rather than protected mental impressions, the defense cannot invoke work-product privilege to “pull a dark veil of secrecy” over facts essential to the search for truth. </w:t>
      </w:r>
      <w:r w:rsidRPr="00761EBD">
        <w:rPr>
          <w:i/>
          <w:iCs/>
          <w:sz w:val="28"/>
          <w:szCs w:val="28"/>
          <w:lang w:val="en-US"/>
        </w:rPr>
        <w:t>Id</w:t>
      </w:r>
      <w:r w:rsidRPr="00A1733D">
        <w:rPr>
          <w:i/>
          <w:iCs/>
          <w:sz w:val="28"/>
          <w:szCs w:val="28"/>
          <w:lang w:val="en-US"/>
        </w:rPr>
        <w:t>.</w:t>
      </w:r>
    </w:p>
    <w:p w14:paraId="00000056" w14:textId="5D127346" w:rsidR="00A63F18" w:rsidRPr="00C3393C" w:rsidRDefault="00A47554" w:rsidP="00A1733D">
      <w:pPr>
        <w:pStyle w:val="Heading3"/>
      </w:pPr>
      <w:bookmarkStart w:id="11" w:name="_Toc239144600"/>
      <w:r w:rsidRPr="00A1733D">
        <w:t>The Court should deny Defendant’s motion to quash in accordance with the work product doctrine</w:t>
      </w:r>
      <w:r w:rsidR="00A1733D">
        <w:t xml:space="preserve"> as </w:t>
      </w:r>
      <w:r w:rsidRPr="00A1733D">
        <w:t>the Government has demonstrated substantial need and undue hardship because Seton is unavailable and her information cannot be obtained elsewhere</w:t>
      </w:r>
      <w:r w:rsidRPr="55A111BA">
        <w:t>.</w:t>
      </w:r>
      <w:bookmarkEnd w:id="11"/>
    </w:p>
    <w:p w14:paraId="00000057" w14:textId="7D42886D" w:rsidR="00A63F18" w:rsidRPr="00C3393C" w:rsidRDefault="00A47554">
      <w:pPr>
        <w:spacing w:line="480" w:lineRule="auto"/>
        <w:ind w:firstLine="720"/>
        <w:jc w:val="both"/>
        <w:rPr>
          <w:sz w:val="28"/>
          <w:szCs w:val="28"/>
          <w:lang w:val="en-US"/>
        </w:rPr>
      </w:pPr>
      <w:r w:rsidRPr="10271BBC">
        <w:rPr>
          <w:sz w:val="28"/>
          <w:szCs w:val="28"/>
          <w:lang w:val="en-US"/>
        </w:rPr>
        <w:t>It is well-</w:t>
      </w:r>
      <w:proofErr w:type="gramStart"/>
      <w:r w:rsidRPr="10271BBC">
        <w:rPr>
          <w:sz w:val="28"/>
          <w:szCs w:val="28"/>
          <w:lang w:val="en-US"/>
        </w:rPr>
        <w:t>recognized</w:t>
      </w:r>
      <w:proofErr w:type="gramEnd"/>
      <w:r w:rsidRPr="10271BBC">
        <w:rPr>
          <w:sz w:val="28"/>
          <w:szCs w:val="28"/>
          <w:lang w:val="en-US"/>
        </w:rPr>
        <w:t xml:space="preserve"> by courts that there exists a two-prong inquiry as to whether ordinary work product is discoverable. </w:t>
      </w:r>
      <w:r w:rsidRPr="10271BBC">
        <w:rPr>
          <w:i/>
          <w:sz w:val="28"/>
          <w:szCs w:val="28"/>
          <w:lang w:val="en-US"/>
        </w:rPr>
        <w:t>See Hickman</w:t>
      </w:r>
      <w:r w:rsidRPr="10271BBC">
        <w:rPr>
          <w:sz w:val="28"/>
          <w:szCs w:val="28"/>
          <w:lang w:val="en-US"/>
        </w:rPr>
        <w:t xml:space="preserve">, 329 U.S. at 511-12; </w:t>
      </w:r>
      <w:r w:rsidRPr="10271BBC">
        <w:rPr>
          <w:i/>
          <w:sz w:val="28"/>
          <w:szCs w:val="28"/>
          <w:lang w:val="en-US"/>
        </w:rPr>
        <w:t>Boehringer Ingelheim Pharm., Inc.</w:t>
      </w:r>
      <w:r w:rsidRPr="10271BBC">
        <w:rPr>
          <w:sz w:val="28"/>
          <w:szCs w:val="28"/>
          <w:lang w:val="en-US"/>
        </w:rPr>
        <w:t xml:space="preserve">, 778 F.3d at 153; </w:t>
      </w:r>
      <w:r w:rsidRPr="10271BBC">
        <w:rPr>
          <w:i/>
          <w:sz w:val="28"/>
          <w:szCs w:val="28"/>
          <w:lang w:val="en-US"/>
        </w:rPr>
        <w:t>Frontier Refining, Inc. v. Gorman-Rupp Co., Inc.</w:t>
      </w:r>
      <w:r w:rsidRPr="10271BBC">
        <w:rPr>
          <w:sz w:val="28"/>
          <w:szCs w:val="28"/>
          <w:lang w:val="en-US"/>
        </w:rPr>
        <w:t>, 136 F.3d 695, 702-06 (10th Cir. 1998);</w:t>
      </w:r>
      <w:r w:rsidR="007A4ED4">
        <w:rPr>
          <w:sz w:val="28"/>
          <w:szCs w:val="28"/>
        </w:rPr>
        <w:fldChar w:fldCharType="begin"/>
      </w:r>
      <w:r w:rsidR="007A4ED4">
        <w:instrText xml:space="preserve"> TA \l "</w:instrText>
      </w:r>
      <w:r w:rsidR="007A4ED4" w:rsidRPr="00521E8E">
        <w:rPr>
          <w:i/>
          <w:iCs/>
          <w:sz w:val="28"/>
          <w:szCs w:val="28"/>
        </w:rPr>
        <w:instrText>Frontier Refining, Inc. v. Gorman-Rupp Co., Inc.</w:instrText>
      </w:r>
      <w:r w:rsidR="007A4ED4" w:rsidRPr="00521E8E">
        <w:rPr>
          <w:sz w:val="28"/>
          <w:szCs w:val="28"/>
        </w:rPr>
        <w:instrText>, 136 F.3d 695, 702-06 (10th Cir. 1998);</w:instrText>
      </w:r>
      <w:r w:rsidR="007A4ED4">
        <w:instrText xml:space="preserve">" \s "Frontier Refining, Inc. v. Gorman-Rupp Co., Inc., 136 F.3d 695, 702-06 (10th Cir. 1998)" \c 1 </w:instrText>
      </w:r>
      <w:r w:rsidR="007A4ED4">
        <w:rPr>
          <w:sz w:val="28"/>
          <w:szCs w:val="28"/>
        </w:rPr>
        <w:fldChar w:fldCharType="end"/>
      </w:r>
      <w:r w:rsidR="007A4ED4">
        <w:rPr>
          <w:sz w:val="28"/>
          <w:szCs w:val="28"/>
        </w:rPr>
        <w:fldChar w:fldCharType="begin"/>
      </w:r>
      <w:r w:rsidR="007A4ED4">
        <w:instrText xml:space="preserve"> TA \s "Frontier Refining, Inc. v. Gorman-Rupp Co., Inc., 136 F.3d 695, 702-06 (10th Cir. 1998)" </w:instrText>
      </w:r>
      <w:r w:rsidR="007A4ED4">
        <w:rPr>
          <w:sz w:val="28"/>
          <w:szCs w:val="28"/>
        </w:rPr>
        <w:fldChar w:fldCharType="end"/>
      </w:r>
      <w:r w:rsidRPr="10271BBC">
        <w:rPr>
          <w:sz w:val="28"/>
          <w:szCs w:val="28"/>
          <w:lang w:val="en-US"/>
        </w:rPr>
        <w:t xml:space="preserve"> </w:t>
      </w:r>
      <w:r w:rsidRPr="10271BBC">
        <w:rPr>
          <w:i/>
          <w:sz w:val="28"/>
          <w:szCs w:val="28"/>
          <w:lang w:val="en-US"/>
        </w:rPr>
        <w:t>In re Doe</w:t>
      </w:r>
      <w:r w:rsidRPr="10271BBC">
        <w:rPr>
          <w:sz w:val="28"/>
          <w:szCs w:val="28"/>
          <w:lang w:val="en-US"/>
        </w:rPr>
        <w:t>, 662 F.2d 1073, 1078 (4d Cir. 1981)</w:t>
      </w:r>
      <w:r w:rsidR="007A4ED4">
        <w:rPr>
          <w:sz w:val="28"/>
          <w:szCs w:val="28"/>
        </w:rPr>
        <w:fldChar w:fldCharType="begin"/>
      </w:r>
      <w:r w:rsidR="007A4ED4">
        <w:instrText xml:space="preserve"> TA \l "</w:instrText>
      </w:r>
      <w:r w:rsidR="007A4ED4" w:rsidRPr="0089677A">
        <w:rPr>
          <w:i/>
          <w:iCs/>
          <w:sz w:val="28"/>
          <w:szCs w:val="28"/>
        </w:rPr>
        <w:instrText>In re Doe</w:instrText>
      </w:r>
      <w:r w:rsidR="007A4ED4" w:rsidRPr="0089677A">
        <w:rPr>
          <w:sz w:val="28"/>
          <w:szCs w:val="28"/>
        </w:rPr>
        <w:instrText>, 662 F.2d 1073, 1078 (4d Cir. 1981)</w:instrText>
      </w:r>
      <w:r w:rsidR="007A4ED4">
        <w:instrText xml:space="preserve">" \s "In re Doe, 662 F.2d 1073, 1078 (4d Cir. 1981)" \c 1 </w:instrText>
      </w:r>
      <w:r w:rsidR="007A4ED4">
        <w:rPr>
          <w:sz w:val="28"/>
          <w:szCs w:val="28"/>
        </w:rPr>
        <w:fldChar w:fldCharType="end"/>
      </w:r>
      <w:r w:rsidR="007A4ED4">
        <w:rPr>
          <w:sz w:val="28"/>
          <w:szCs w:val="28"/>
        </w:rPr>
        <w:fldChar w:fldCharType="begin"/>
      </w:r>
      <w:r w:rsidR="007A4ED4">
        <w:instrText xml:space="preserve"> TA \s "In re Doe, 662 F.2d 1073, 1078 (4d Cir. 1981)" </w:instrText>
      </w:r>
      <w:r w:rsidR="007A4ED4">
        <w:rPr>
          <w:sz w:val="28"/>
          <w:szCs w:val="28"/>
        </w:rPr>
        <w:fldChar w:fldCharType="end"/>
      </w:r>
      <w:r w:rsidRPr="10271BBC">
        <w:rPr>
          <w:sz w:val="28"/>
          <w:szCs w:val="28"/>
          <w:lang w:val="en-US"/>
        </w:rPr>
        <w:t xml:space="preserve"> (</w:t>
      </w:r>
      <w:r w:rsidR="00133B6D" w:rsidRPr="10271BBC">
        <w:rPr>
          <w:sz w:val="28"/>
          <w:szCs w:val="28"/>
          <w:lang w:val="en-US"/>
        </w:rPr>
        <w:t>explaining that</w:t>
      </w:r>
      <w:r w:rsidRPr="10271BBC">
        <w:rPr>
          <w:sz w:val="28"/>
          <w:szCs w:val="28"/>
          <w:lang w:val="en-US"/>
        </w:rPr>
        <w:t xml:space="preserve"> the need &amp; hardship exception to the doctrine are “compelling circumstances in which work product protection will not be available”). The party seeking discovery must demonstrate (1) substantial need for the materials to prepare its case, and (2) inability to obtain the substantial equivalent of those materials by other means without undue hardship. </w:t>
      </w:r>
      <w:r w:rsidRPr="10271BBC">
        <w:rPr>
          <w:i/>
          <w:sz w:val="28"/>
          <w:szCs w:val="28"/>
          <w:lang w:val="en-US"/>
        </w:rPr>
        <w:t xml:space="preserve">See </w:t>
      </w:r>
      <w:r w:rsidR="00450D04" w:rsidRPr="10271BBC">
        <w:rPr>
          <w:smallCaps/>
          <w:sz w:val="28"/>
          <w:szCs w:val="28"/>
          <w:lang w:val="en-US"/>
        </w:rPr>
        <w:t>Fed. R. Civ. P</w:t>
      </w:r>
      <w:r w:rsidR="00450D04" w:rsidRPr="10271BBC">
        <w:rPr>
          <w:sz w:val="28"/>
          <w:szCs w:val="28"/>
          <w:lang w:val="en-US"/>
        </w:rPr>
        <w:t>. 26(b)(3)(B)</w:t>
      </w:r>
      <w:r w:rsidRPr="10271BBC">
        <w:rPr>
          <w:sz w:val="28"/>
          <w:szCs w:val="28"/>
          <w:lang w:val="en-US"/>
        </w:rPr>
        <w:t xml:space="preserve">. </w:t>
      </w:r>
      <w:r w:rsidRPr="10271BBC">
        <w:rPr>
          <w:i/>
          <w:sz w:val="28"/>
          <w:szCs w:val="28"/>
          <w:lang w:val="en-US"/>
        </w:rPr>
        <w:t xml:space="preserve">Hickman </w:t>
      </w:r>
      <w:r w:rsidRPr="10271BBC">
        <w:rPr>
          <w:sz w:val="28"/>
          <w:szCs w:val="28"/>
          <w:lang w:val="en-US"/>
        </w:rPr>
        <w:t xml:space="preserve">explicitly recognizes that “production might be justified where the witnesses are no longer available or can be reached only with </w:t>
      </w:r>
      <w:r w:rsidRPr="10271BBC">
        <w:rPr>
          <w:sz w:val="28"/>
          <w:szCs w:val="28"/>
          <w:lang w:val="en-US"/>
        </w:rPr>
        <w:lastRenderedPageBreak/>
        <w:t xml:space="preserve">difficulty.” </w:t>
      </w:r>
      <w:r w:rsidRPr="10271BBC">
        <w:rPr>
          <w:i/>
          <w:sz w:val="28"/>
          <w:szCs w:val="28"/>
          <w:lang w:val="en-US"/>
        </w:rPr>
        <w:t>Hickman</w:t>
      </w:r>
      <w:r w:rsidRPr="10271BBC">
        <w:rPr>
          <w:sz w:val="28"/>
          <w:szCs w:val="28"/>
          <w:lang w:val="en-US"/>
        </w:rPr>
        <w:t xml:space="preserve">, 329 U.S. at 511-12. The showing of substantial need and undue hardship is highly fact-specific and depends heavily on the nature of the materials sought. Other factors that courts consider when evaluating for substantial need and hardship, include “(1) the importance of the materials to the party seeking them for case preparation, (2) the difficulty the party will have obtaining them by other means, and (3) the likelihood that the party, even if he obtains the information by independent means will not have the substantial equivalent of the documents he seeks.” </w:t>
      </w:r>
      <w:r w:rsidRPr="10271BBC">
        <w:rPr>
          <w:i/>
          <w:sz w:val="28"/>
          <w:szCs w:val="28"/>
          <w:lang w:val="en-US"/>
        </w:rPr>
        <w:t>See</w:t>
      </w:r>
      <w:r w:rsidRPr="10271BBC">
        <w:rPr>
          <w:sz w:val="28"/>
          <w:szCs w:val="28"/>
          <w:lang w:val="en-US"/>
        </w:rPr>
        <w:t xml:space="preserve"> </w:t>
      </w:r>
      <w:r w:rsidR="00450D04" w:rsidRPr="10271BBC">
        <w:rPr>
          <w:smallCaps/>
          <w:sz w:val="28"/>
          <w:szCs w:val="28"/>
          <w:lang w:val="en-US"/>
        </w:rPr>
        <w:t>Fed. R. Civ. P</w:t>
      </w:r>
      <w:r w:rsidR="00450D04" w:rsidRPr="10271BBC">
        <w:rPr>
          <w:sz w:val="28"/>
          <w:szCs w:val="28"/>
          <w:lang w:val="en-US"/>
        </w:rPr>
        <w:t xml:space="preserve">. </w:t>
      </w:r>
      <w:r w:rsidRPr="10271BBC">
        <w:rPr>
          <w:sz w:val="28"/>
          <w:szCs w:val="28"/>
          <w:lang w:val="en-US"/>
        </w:rPr>
        <w:t xml:space="preserve">26, </w:t>
      </w:r>
      <w:r w:rsidR="002D0A7B" w:rsidRPr="10271BBC">
        <w:rPr>
          <w:sz w:val="28"/>
          <w:szCs w:val="28"/>
          <w:lang w:val="en-US"/>
        </w:rPr>
        <w:t xml:space="preserve">advisory committee’s note to 1970 amendment; </w:t>
      </w:r>
      <w:r w:rsidRPr="10271BBC">
        <w:rPr>
          <w:i/>
          <w:sz w:val="28"/>
          <w:szCs w:val="28"/>
          <w:lang w:val="en-US"/>
        </w:rPr>
        <w:t xml:space="preserve">Burrow v. </w:t>
      </w:r>
      <w:proofErr w:type="spellStart"/>
      <w:r w:rsidRPr="10271BBC">
        <w:rPr>
          <w:i/>
          <w:sz w:val="28"/>
          <w:szCs w:val="28"/>
          <w:lang w:val="en-US"/>
        </w:rPr>
        <w:t>Forjas</w:t>
      </w:r>
      <w:proofErr w:type="spellEnd"/>
      <w:r w:rsidRPr="10271BBC">
        <w:rPr>
          <w:i/>
          <w:sz w:val="28"/>
          <w:szCs w:val="28"/>
          <w:lang w:val="en-US"/>
        </w:rPr>
        <w:t xml:space="preserve"> Taurus S.A.</w:t>
      </w:r>
      <w:r w:rsidRPr="10271BBC">
        <w:rPr>
          <w:sz w:val="28"/>
          <w:szCs w:val="28"/>
          <w:lang w:val="en-US"/>
        </w:rPr>
        <w:t>, 334 F. Supp. 3d 1222, 1229–31 (S.D. Fla. 2018).</w:t>
      </w:r>
      <w:r w:rsidR="00671ECC">
        <w:rPr>
          <w:sz w:val="28"/>
          <w:szCs w:val="28"/>
        </w:rPr>
        <w:fldChar w:fldCharType="begin"/>
      </w:r>
      <w:r w:rsidR="00671ECC">
        <w:instrText xml:space="preserve"> TA \l "</w:instrText>
      </w:r>
      <w:r w:rsidR="00671ECC" w:rsidRPr="000777E2">
        <w:rPr>
          <w:i/>
          <w:iCs/>
          <w:sz w:val="28"/>
          <w:szCs w:val="28"/>
        </w:rPr>
        <w:instrText>Burrow v. Forjas Taurus S.A.</w:instrText>
      </w:r>
      <w:r w:rsidR="00671ECC" w:rsidRPr="000777E2">
        <w:rPr>
          <w:sz w:val="28"/>
          <w:szCs w:val="28"/>
        </w:rPr>
        <w:instrText>, 334 F. Supp. 3d 1222, 1229–31 (S.D. Fla. 2018).</w:instrText>
      </w:r>
      <w:r w:rsidR="00671ECC">
        <w:instrText xml:space="preserve">" \s "Burrow v. Forjas Taurus S.A., 334 F. Supp. 3d 1222, 1229–31 (S.D. Fla. 2018)." \c 1 </w:instrText>
      </w:r>
      <w:r w:rsidR="00671ECC">
        <w:rPr>
          <w:sz w:val="28"/>
          <w:szCs w:val="28"/>
        </w:rPr>
        <w:fldChar w:fldCharType="end"/>
      </w:r>
      <w:r w:rsidR="00671ECC">
        <w:rPr>
          <w:sz w:val="28"/>
          <w:szCs w:val="28"/>
        </w:rPr>
        <w:fldChar w:fldCharType="begin"/>
      </w:r>
      <w:r w:rsidR="00671ECC">
        <w:instrText xml:space="preserve"> TA \s "Burrow v. Forjas Taurus S.A., 334 F. Supp. 3d 1222, 1229–31 (S.D. Fla. 2018)." </w:instrText>
      </w:r>
      <w:r w:rsidR="00671ECC">
        <w:rPr>
          <w:sz w:val="28"/>
          <w:szCs w:val="28"/>
        </w:rPr>
        <w:fldChar w:fldCharType="end"/>
      </w:r>
      <w:r w:rsidRPr="10271BBC">
        <w:rPr>
          <w:sz w:val="28"/>
          <w:szCs w:val="28"/>
          <w:lang w:val="en-US"/>
        </w:rPr>
        <w:t xml:space="preserve"> </w:t>
      </w:r>
    </w:p>
    <w:p w14:paraId="00000058" w14:textId="77777777" w:rsidR="00A63F18" w:rsidRPr="00C3393C" w:rsidRDefault="00A47554">
      <w:pPr>
        <w:spacing w:line="480" w:lineRule="auto"/>
        <w:ind w:firstLine="720"/>
        <w:jc w:val="both"/>
        <w:rPr>
          <w:sz w:val="28"/>
          <w:szCs w:val="28"/>
          <w:lang w:val="en-US"/>
        </w:rPr>
      </w:pPr>
      <w:r w:rsidRPr="10271BBC">
        <w:rPr>
          <w:sz w:val="28"/>
          <w:szCs w:val="28"/>
          <w:lang w:val="en-US"/>
        </w:rPr>
        <w:t xml:space="preserve">The circumstances here establish precisely that type of extraordinary need. Armana has repeatedly emphasized the difficulty they experienced in locating Seton and Seton’s importance to the investigation. Armana Dep. 44:60–79. Armana explained that Seton was incredibly difficult to locate the first time; “there was no current address that was any good, no listed phone that worked, nothing that pointed at where Sierra </w:t>
      </w:r>
      <w:proofErr w:type="gramStart"/>
      <w:r w:rsidRPr="10271BBC">
        <w:rPr>
          <w:sz w:val="28"/>
          <w:szCs w:val="28"/>
          <w:lang w:val="en-US"/>
        </w:rPr>
        <w:t>actually was</w:t>
      </w:r>
      <w:proofErr w:type="gramEnd"/>
      <w:r w:rsidRPr="10271BBC">
        <w:rPr>
          <w:sz w:val="28"/>
          <w:szCs w:val="28"/>
          <w:lang w:val="en-US"/>
        </w:rPr>
        <w:t xml:space="preserve">. This was somebody who had, deliberately or not, gone quiet…it took real time and effort.” </w:t>
      </w:r>
      <w:r w:rsidRPr="10271BBC">
        <w:rPr>
          <w:i/>
          <w:sz w:val="28"/>
          <w:szCs w:val="28"/>
          <w:lang w:val="en-US"/>
        </w:rPr>
        <w:t xml:space="preserve">Id. </w:t>
      </w:r>
      <w:r w:rsidRPr="10271BBC">
        <w:rPr>
          <w:sz w:val="28"/>
          <w:szCs w:val="28"/>
          <w:lang w:val="en-US"/>
        </w:rPr>
        <w:t xml:space="preserve">at 68–78. This is the exact scenario that Hickman explained would warrant an exception to the doctrine. </w:t>
      </w:r>
    </w:p>
    <w:p w14:paraId="00000059" w14:textId="77777777" w:rsidR="00A63F18" w:rsidRPr="00C3393C" w:rsidRDefault="00A47554">
      <w:pPr>
        <w:spacing w:line="480" w:lineRule="auto"/>
        <w:ind w:firstLine="720"/>
        <w:jc w:val="both"/>
        <w:rPr>
          <w:sz w:val="28"/>
          <w:szCs w:val="28"/>
          <w:lang w:val="en-US"/>
        </w:rPr>
      </w:pPr>
      <w:r w:rsidRPr="10271BBC">
        <w:rPr>
          <w:sz w:val="28"/>
          <w:szCs w:val="28"/>
          <w:lang w:val="en-US"/>
        </w:rPr>
        <w:t xml:space="preserve">Armana went on to explain that this interview was so important that they decided to </w:t>
      </w:r>
      <w:proofErr w:type="gramStart"/>
      <w:r w:rsidRPr="10271BBC">
        <w:rPr>
          <w:sz w:val="28"/>
          <w:szCs w:val="28"/>
          <w:lang w:val="en-US"/>
        </w:rPr>
        <w:t>forgo</w:t>
      </w:r>
      <w:proofErr w:type="gramEnd"/>
      <w:r w:rsidRPr="10271BBC">
        <w:rPr>
          <w:sz w:val="28"/>
          <w:szCs w:val="28"/>
          <w:lang w:val="en-US"/>
        </w:rPr>
        <w:t xml:space="preserve"> equipment because this was the kind of interview you only </w:t>
      </w:r>
      <w:proofErr w:type="gramStart"/>
      <w:r w:rsidRPr="10271BBC">
        <w:rPr>
          <w:sz w:val="28"/>
          <w:szCs w:val="28"/>
          <w:lang w:val="en-US"/>
        </w:rPr>
        <w:t>get</w:t>
      </w:r>
      <w:proofErr w:type="gramEnd"/>
      <w:r w:rsidRPr="10271BBC">
        <w:rPr>
          <w:sz w:val="28"/>
          <w:szCs w:val="28"/>
          <w:lang w:val="en-US"/>
        </w:rPr>
        <w:t xml:space="preserve"> once and, in their thirty years of experience, there would not be a second conversation. </w:t>
      </w:r>
      <w:r w:rsidRPr="10271BBC">
        <w:rPr>
          <w:sz w:val="28"/>
          <w:szCs w:val="28"/>
          <w:lang w:val="en-US"/>
        </w:rPr>
        <w:lastRenderedPageBreak/>
        <w:t xml:space="preserve">Armana Dep. 45:91–99. Armana was right; last anyone heard, Seton disappeared somewhere to the coast of Spain shortly after the interview, and despite investigative efforts, no one has been able to locate them. Sinclair Dep. 18:394–96. Armana even said, “Sierra is gone and unreachable.” Armana Dep. 456:159. </w:t>
      </w:r>
    </w:p>
    <w:p w14:paraId="0000005A" w14:textId="2C55337E" w:rsidR="00A63F18" w:rsidRPr="00C3393C" w:rsidRDefault="00A47554">
      <w:pPr>
        <w:spacing w:line="480" w:lineRule="auto"/>
        <w:ind w:firstLine="720"/>
        <w:jc w:val="both"/>
        <w:rPr>
          <w:sz w:val="28"/>
          <w:szCs w:val="28"/>
          <w:lang w:val="en-US"/>
        </w:rPr>
      </w:pPr>
      <w:r w:rsidRPr="1D731D32">
        <w:rPr>
          <w:sz w:val="28"/>
          <w:szCs w:val="28"/>
          <w:lang w:val="en-US"/>
        </w:rPr>
        <w:t xml:space="preserve">Further, there is no other source that contains the information that Seton proffered to Armana, and Armana’s notes “are the only place that account still exists.” Armana Dep. 456:164–168. Much like </w:t>
      </w:r>
      <w:r w:rsidRPr="1D731D32">
        <w:rPr>
          <w:i/>
          <w:sz w:val="28"/>
          <w:szCs w:val="28"/>
          <w:lang w:val="en-US"/>
        </w:rPr>
        <w:t xml:space="preserve">Mason C. Day Excavating, Inc., </w:t>
      </w:r>
      <w:r w:rsidRPr="1D731D32">
        <w:rPr>
          <w:sz w:val="28"/>
          <w:szCs w:val="28"/>
          <w:lang w:val="en-US"/>
        </w:rPr>
        <w:t xml:space="preserve">the statements made by Seton were written contemporaneously by Armana, and contemporaneous statements hold </w:t>
      </w:r>
      <w:proofErr w:type="gramStart"/>
      <w:r w:rsidRPr="1D731D32">
        <w:rPr>
          <w:sz w:val="28"/>
          <w:szCs w:val="28"/>
          <w:lang w:val="en-US"/>
        </w:rPr>
        <w:t>particular weight</w:t>
      </w:r>
      <w:proofErr w:type="gramEnd"/>
      <w:r w:rsidRPr="1D731D32">
        <w:rPr>
          <w:sz w:val="28"/>
          <w:szCs w:val="28"/>
          <w:lang w:val="en-US"/>
        </w:rPr>
        <w:t xml:space="preserve"> in this determination because of their uniqueness and inability to duplicate or find substantial equivalents. </w:t>
      </w:r>
      <w:r w:rsidRPr="1D731D32">
        <w:rPr>
          <w:i/>
          <w:sz w:val="28"/>
          <w:szCs w:val="28"/>
          <w:lang w:val="en-US"/>
        </w:rPr>
        <w:t xml:space="preserve">Mason C. Day Excavating, Inc. v. </w:t>
      </w:r>
      <w:proofErr w:type="spellStart"/>
      <w:r w:rsidRPr="1D731D32">
        <w:rPr>
          <w:i/>
          <w:sz w:val="28"/>
          <w:szCs w:val="28"/>
          <w:lang w:val="en-US"/>
        </w:rPr>
        <w:t>Lumbermens</w:t>
      </w:r>
      <w:proofErr w:type="spellEnd"/>
      <w:r w:rsidRPr="1D731D32">
        <w:rPr>
          <w:i/>
          <w:sz w:val="28"/>
          <w:szCs w:val="28"/>
          <w:lang w:val="en-US"/>
        </w:rPr>
        <w:t xml:space="preserve"> Mut. Cas. Co.</w:t>
      </w:r>
      <w:r w:rsidRPr="1D731D32">
        <w:rPr>
          <w:sz w:val="28"/>
          <w:szCs w:val="28"/>
          <w:lang w:val="en-US"/>
        </w:rPr>
        <w:t>, 143 F.R.D. 601, 606–07 (M.D.N.C. 1992)</w:t>
      </w:r>
      <w:r w:rsidR="00F7420C">
        <w:rPr>
          <w:sz w:val="28"/>
          <w:szCs w:val="28"/>
          <w:lang w:val="en-US"/>
        </w:rPr>
        <w:fldChar w:fldCharType="begin"/>
      </w:r>
      <w:r w:rsidR="00F7420C">
        <w:instrText xml:space="preserve"> TA \l "</w:instrText>
      </w:r>
      <w:r w:rsidR="00F7420C" w:rsidRPr="003A201B">
        <w:rPr>
          <w:i/>
          <w:sz w:val="28"/>
          <w:szCs w:val="28"/>
          <w:lang w:val="en-US"/>
        </w:rPr>
        <w:instrText>Mason C. Day Excavating, Inc. v. Lumbermens Mut. Cas. Co.</w:instrText>
      </w:r>
      <w:r w:rsidR="00F7420C" w:rsidRPr="003A201B">
        <w:rPr>
          <w:sz w:val="28"/>
          <w:szCs w:val="28"/>
          <w:lang w:val="en-US"/>
        </w:rPr>
        <w:instrText>, 143 F.R.D. 601, 606–07 (M.D.N.C. 1992)</w:instrText>
      </w:r>
      <w:r w:rsidR="00F7420C">
        <w:instrText xml:space="preserve">" \s "Mason C. Day Excavating, Inc. v. Lumbermens Mut. Cas. Co., 143 F.R.D. 601, 606–07 (M.D.N.C. 1992)" \c 1 </w:instrText>
      </w:r>
      <w:r w:rsidR="00F7420C">
        <w:rPr>
          <w:sz w:val="28"/>
          <w:szCs w:val="28"/>
          <w:lang w:val="en-US"/>
        </w:rPr>
        <w:fldChar w:fldCharType="end"/>
      </w:r>
      <w:r w:rsidR="00F7420C">
        <w:rPr>
          <w:sz w:val="28"/>
          <w:szCs w:val="28"/>
          <w:lang w:val="en-US"/>
        </w:rPr>
        <w:fldChar w:fldCharType="begin"/>
      </w:r>
      <w:r w:rsidR="00F7420C">
        <w:instrText xml:space="preserve"> TA \s "Mason C. Day Excavating, Inc. v. Lumbermens Mut. Cas. Co., 143 F.R.D. 601, 606–07 (M.D.N.C. 1992)" </w:instrText>
      </w:r>
      <w:r w:rsidR="00F7420C">
        <w:rPr>
          <w:sz w:val="28"/>
          <w:szCs w:val="28"/>
          <w:lang w:val="en-US"/>
        </w:rPr>
        <w:fldChar w:fldCharType="end"/>
      </w:r>
      <w:r w:rsidRPr="1D731D32">
        <w:rPr>
          <w:sz w:val="28"/>
          <w:szCs w:val="28"/>
          <w:lang w:val="en-US"/>
        </w:rPr>
        <w:t>; Armana Dep. 46:121–22.</w:t>
      </w:r>
    </w:p>
    <w:p w14:paraId="0000005B" w14:textId="70394EC5" w:rsidR="00A63F18" w:rsidRPr="00C3393C" w:rsidRDefault="00A47554">
      <w:pPr>
        <w:spacing w:line="480" w:lineRule="auto"/>
        <w:ind w:firstLine="720"/>
        <w:jc w:val="both"/>
        <w:rPr>
          <w:i/>
          <w:sz w:val="28"/>
          <w:szCs w:val="28"/>
          <w:lang w:val="en-US"/>
        </w:rPr>
      </w:pPr>
      <w:r w:rsidRPr="1D731D32">
        <w:rPr>
          <w:sz w:val="28"/>
          <w:szCs w:val="28"/>
          <w:lang w:val="en-US"/>
        </w:rPr>
        <w:t xml:space="preserve">Finally, much of the documentation about </w:t>
      </w:r>
      <w:proofErr w:type="gramStart"/>
      <w:r w:rsidRPr="1D731D32">
        <w:rPr>
          <w:sz w:val="28"/>
          <w:szCs w:val="28"/>
          <w:lang w:val="en-US"/>
        </w:rPr>
        <w:t>the financial</w:t>
      </w:r>
      <w:proofErr w:type="gramEnd"/>
      <w:r w:rsidRPr="1D731D32">
        <w:rPr>
          <w:sz w:val="28"/>
          <w:szCs w:val="28"/>
          <w:lang w:val="en-US"/>
        </w:rPr>
        <w:t xml:space="preserve"> structure has been destroyed. Not only were the files discovered by Blake untraceable, </w:t>
      </w:r>
      <w:r w:rsidR="00AC1C7F" w:rsidRPr="1D731D32">
        <w:rPr>
          <w:sz w:val="28"/>
          <w:szCs w:val="28"/>
          <w:lang w:val="en-US"/>
        </w:rPr>
        <w:t xml:space="preserve">but all remaining information </w:t>
      </w:r>
      <w:r w:rsidRPr="1D731D32">
        <w:rPr>
          <w:sz w:val="28"/>
          <w:szCs w:val="28"/>
          <w:lang w:val="en-US"/>
        </w:rPr>
        <w:t xml:space="preserve">relating to </w:t>
      </w:r>
      <w:proofErr w:type="spellStart"/>
      <w:r w:rsidRPr="1D731D32">
        <w:rPr>
          <w:sz w:val="28"/>
          <w:szCs w:val="28"/>
          <w:lang w:val="en-US"/>
        </w:rPr>
        <w:t>Coastal’s</w:t>
      </w:r>
      <w:proofErr w:type="spellEnd"/>
      <w:r w:rsidRPr="1D731D32">
        <w:rPr>
          <w:sz w:val="28"/>
          <w:szCs w:val="28"/>
          <w:lang w:val="en-US"/>
        </w:rPr>
        <w:t xml:space="preserve"> financial</w:t>
      </w:r>
      <w:r w:rsidR="00AC1C7F" w:rsidRPr="1D731D32">
        <w:rPr>
          <w:sz w:val="28"/>
          <w:szCs w:val="28"/>
          <w:lang w:val="en-US"/>
        </w:rPr>
        <w:t xml:space="preserve">s </w:t>
      </w:r>
      <w:r w:rsidRPr="1D731D32">
        <w:rPr>
          <w:sz w:val="28"/>
          <w:szCs w:val="28"/>
          <w:lang w:val="en-US"/>
        </w:rPr>
        <w:t xml:space="preserve">and information generally is traced back to an “empty shoe box of an office across town.” Nolan Dep. 26:106–08. The Government has met their burden in demonstrating substantial need and undue hardship and this Court should deny Defendant’s motion to quash in accordance with the work product doctrine exception. </w:t>
      </w:r>
    </w:p>
    <w:p w14:paraId="0000005C" w14:textId="77777777" w:rsidR="00A63F18" w:rsidRPr="00C3393C" w:rsidRDefault="00A63F18">
      <w:pPr>
        <w:keepLines/>
        <w:spacing w:after="160" w:line="480" w:lineRule="auto"/>
        <w:jc w:val="both"/>
        <w:rPr>
          <w:sz w:val="28"/>
          <w:szCs w:val="28"/>
        </w:rPr>
      </w:pPr>
    </w:p>
    <w:p w14:paraId="621EB55A" w14:textId="77777777" w:rsidR="005F7FA1" w:rsidRDefault="005F7FA1">
      <w:pPr>
        <w:keepLines/>
        <w:spacing w:after="160" w:line="480" w:lineRule="auto"/>
        <w:jc w:val="both"/>
        <w:rPr>
          <w:sz w:val="28"/>
          <w:szCs w:val="28"/>
        </w:rPr>
        <w:sectPr w:rsidR="005F7FA1" w:rsidSect="004E609E">
          <w:pgSz w:w="12240" w:h="15840"/>
          <w:pgMar w:top="1440" w:right="1440" w:bottom="1440" w:left="1440" w:header="720" w:footer="720" w:gutter="0"/>
          <w:pgNumType w:start="1"/>
          <w:cols w:space="720"/>
        </w:sectPr>
      </w:pPr>
    </w:p>
    <w:p w14:paraId="00000060" w14:textId="77777777" w:rsidR="00A63F18" w:rsidRPr="00C3393C" w:rsidRDefault="00A47554" w:rsidP="005F7FA1">
      <w:pPr>
        <w:pStyle w:val="Heading1"/>
      </w:pPr>
      <w:bookmarkStart w:id="12" w:name="_Toc239144601"/>
      <w:r w:rsidRPr="00C3393C">
        <w:lastRenderedPageBreak/>
        <w:t>CONCLUSION</w:t>
      </w:r>
      <w:bookmarkEnd w:id="12"/>
    </w:p>
    <w:p w14:paraId="00000061" w14:textId="1991FA2A" w:rsidR="00A63F18" w:rsidRPr="00C3393C" w:rsidRDefault="00A47554">
      <w:pPr>
        <w:keepLines/>
        <w:spacing w:line="480" w:lineRule="auto"/>
        <w:ind w:firstLine="720"/>
        <w:jc w:val="both"/>
        <w:rPr>
          <w:sz w:val="28"/>
          <w:szCs w:val="28"/>
          <w:lang w:val="en-US"/>
        </w:rPr>
      </w:pPr>
      <w:r w:rsidRPr="10271BBC">
        <w:rPr>
          <w:sz w:val="28"/>
          <w:szCs w:val="28"/>
          <w:lang w:val="en-US"/>
        </w:rPr>
        <w:t xml:space="preserve">The motion to suppress must not be granted because the Government shows that Exhibit 19 and Parker’s testimony is from a wholly independent source—the employee roster—not from Calloway’s immunized testimony. Defendant’s subpoena duces tecum to their opposing counsel should not be granted. The work-product doctrine does not provide absolute immunity. The content is not protected by work-product privilege, it is ordinary work product because Armana is a </w:t>
      </w:r>
      <w:r w:rsidR="00ED19B8" w:rsidRPr="10271BBC">
        <w:rPr>
          <w:sz w:val="28"/>
          <w:szCs w:val="28"/>
          <w:lang w:val="en-US"/>
        </w:rPr>
        <w:t>factfinder</w:t>
      </w:r>
      <w:r w:rsidRPr="10271BBC">
        <w:rPr>
          <w:sz w:val="28"/>
          <w:szCs w:val="28"/>
          <w:lang w:val="en-US"/>
        </w:rPr>
        <w:t xml:space="preserve">. The Government shows that there is undue hardship with finding and interviewing Seton, thus the production of the documents is an appropriate exception under the work-product doctrine. This motion to </w:t>
      </w:r>
      <w:proofErr w:type="gramStart"/>
      <w:r w:rsidRPr="10271BBC">
        <w:rPr>
          <w:sz w:val="28"/>
          <w:szCs w:val="28"/>
          <w:lang w:val="en-US"/>
        </w:rPr>
        <w:t>quash</w:t>
      </w:r>
      <w:proofErr w:type="gramEnd"/>
      <w:r w:rsidRPr="10271BBC">
        <w:rPr>
          <w:sz w:val="28"/>
          <w:szCs w:val="28"/>
          <w:lang w:val="en-US"/>
        </w:rPr>
        <w:t xml:space="preserve"> should not be granted.</w:t>
      </w:r>
    </w:p>
    <w:p w14:paraId="00000062" w14:textId="77777777" w:rsidR="00A63F18" w:rsidRPr="00C3393C" w:rsidRDefault="00A63F18">
      <w:pPr>
        <w:keepLines/>
        <w:spacing w:line="480" w:lineRule="auto"/>
        <w:ind w:firstLine="720"/>
        <w:jc w:val="both"/>
        <w:rPr>
          <w:sz w:val="28"/>
          <w:szCs w:val="28"/>
        </w:rPr>
      </w:pPr>
    </w:p>
    <w:p w14:paraId="00000064" w14:textId="06B2BDF7" w:rsidR="00A63F18" w:rsidRPr="00C3393C" w:rsidRDefault="00A63F18">
      <w:pPr>
        <w:keepLines/>
        <w:spacing w:line="480" w:lineRule="auto"/>
        <w:jc w:val="both"/>
        <w:rPr>
          <w:sz w:val="28"/>
          <w:szCs w:val="28"/>
        </w:rPr>
      </w:pPr>
    </w:p>
    <w:p w14:paraId="00000065" w14:textId="77777777" w:rsidR="00A63F18" w:rsidRPr="00C3393C" w:rsidRDefault="00A63F18">
      <w:pPr>
        <w:keepLines/>
        <w:spacing w:line="480" w:lineRule="auto"/>
        <w:jc w:val="both"/>
        <w:rPr>
          <w:sz w:val="28"/>
          <w:szCs w:val="28"/>
        </w:rPr>
      </w:pPr>
    </w:p>
    <w:p w14:paraId="00000066" w14:textId="77777777" w:rsidR="00A63F18" w:rsidRPr="00C3393C" w:rsidRDefault="00A47554">
      <w:pPr>
        <w:keepLines/>
        <w:spacing w:line="480" w:lineRule="auto"/>
        <w:jc w:val="right"/>
        <w:rPr>
          <w:sz w:val="28"/>
          <w:szCs w:val="28"/>
          <w:lang w:val="en-US"/>
        </w:rPr>
      </w:pPr>
      <w:r w:rsidRPr="10271BBC">
        <w:rPr>
          <w:sz w:val="28"/>
          <w:szCs w:val="28"/>
          <w:lang w:val="en-US"/>
        </w:rPr>
        <w:t>Respectfully submitted,</w:t>
      </w:r>
    </w:p>
    <w:p w14:paraId="00000067" w14:textId="77777777" w:rsidR="00A63F18" w:rsidRPr="00C3393C" w:rsidRDefault="00A47554">
      <w:pPr>
        <w:keepLines/>
        <w:jc w:val="right"/>
        <w:rPr>
          <w:b/>
          <w:bCs/>
          <w:sz w:val="28"/>
          <w:szCs w:val="28"/>
          <w:u w:val="single"/>
        </w:rPr>
      </w:pPr>
      <w:r w:rsidRPr="00C3393C">
        <w:rPr>
          <w:b/>
          <w:bCs/>
          <w:sz w:val="28"/>
          <w:szCs w:val="28"/>
          <w:u w:val="single"/>
        </w:rPr>
        <w:t>/s/                            303</w:t>
      </w:r>
    </w:p>
    <w:p w14:paraId="00000068" w14:textId="77777777" w:rsidR="00A63F18" w:rsidRPr="00C3393C" w:rsidRDefault="00A47554">
      <w:pPr>
        <w:keepLines/>
        <w:jc w:val="right"/>
        <w:rPr>
          <w:b/>
          <w:i/>
          <w:sz w:val="28"/>
          <w:szCs w:val="28"/>
          <w:lang w:val="en-US"/>
        </w:rPr>
      </w:pPr>
      <w:r w:rsidRPr="10271BBC">
        <w:rPr>
          <w:b/>
          <w:i/>
          <w:sz w:val="28"/>
          <w:szCs w:val="28"/>
          <w:lang w:val="en-US"/>
        </w:rPr>
        <w:t xml:space="preserve">Attorneys for the </w:t>
      </w:r>
      <w:proofErr w:type="gramStart"/>
      <w:r w:rsidRPr="10271BBC">
        <w:rPr>
          <w:b/>
          <w:i/>
          <w:sz w:val="28"/>
          <w:szCs w:val="28"/>
          <w:lang w:val="en-US"/>
        </w:rPr>
        <w:t>Non-Movant</w:t>
      </w:r>
      <w:proofErr w:type="gramEnd"/>
    </w:p>
    <w:p w14:paraId="00000069" w14:textId="77777777" w:rsidR="00A63F18" w:rsidRPr="00C3393C" w:rsidRDefault="00A63F18">
      <w:pPr>
        <w:keepLines/>
        <w:spacing w:line="480" w:lineRule="auto"/>
        <w:jc w:val="right"/>
        <w:rPr>
          <w:i/>
          <w:iCs/>
          <w:sz w:val="28"/>
          <w:szCs w:val="28"/>
        </w:rPr>
      </w:pPr>
    </w:p>
    <w:p w14:paraId="0000006A" w14:textId="77777777" w:rsidR="00A63F18" w:rsidRPr="00C3393C" w:rsidRDefault="00A47554">
      <w:pPr>
        <w:keepLines/>
        <w:spacing w:line="480" w:lineRule="auto"/>
        <w:jc w:val="right"/>
        <w:rPr>
          <w:i/>
          <w:iCs/>
          <w:sz w:val="28"/>
          <w:szCs w:val="28"/>
        </w:rPr>
      </w:pPr>
      <w:r w:rsidRPr="00C3393C">
        <w:rPr>
          <w:i/>
          <w:iCs/>
          <w:sz w:val="28"/>
          <w:szCs w:val="28"/>
        </w:rPr>
        <w:t xml:space="preserve">Team 303 </w:t>
      </w:r>
    </w:p>
    <w:p w14:paraId="0000006B" w14:textId="77777777" w:rsidR="00A63F18" w:rsidRPr="00C3393C" w:rsidRDefault="00A63F18">
      <w:pPr>
        <w:jc w:val="right"/>
        <w:rPr>
          <w:sz w:val="28"/>
          <w:szCs w:val="28"/>
        </w:rPr>
      </w:pPr>
    </w:p>
    <w:sectPr w:rsidR="00A63F18" w:rsidRPr="00C3393C">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E2FA8" w14:textId="77777777" w:rsidR="001E3524" w:rsidRDefault="001E3524">
      <w:pPr>
        <w:spacing w:line="240" w:lineRule="auto"/>
      </w:pPr>
      <w:r>
        <w:separator/>
      </w:r>
    </w:p>
  </w:endnote>
  <w:endnote w:type="continuationSeparator" w:id="0">
    <w:p w14:paraId="262577F7" w14:textId="77777777" w:rsidR="001E3524" w:rsidRDefault="001E35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7EE1E2B3-0296-4884-BD55-F2D68E892B8A}"/>
    <w:embedBold r:id="rId2" w:fontKey="{B0FFF58C-3FF1-47C3-972C-D2E8B3E90E1C}"/>
  </w:font>
  <w:font w:name="Calibri">
    <w:panose1 w:val="020F0502020204030204"/>
    <w:charset w:val="00"/>
    <w:family w:val="swiss"/>
    <w:pitch w:val="variable"/>
    <w:sig w:usb0="E4002EFF" w:usb1="C200ACFF" w:usb2="00000009" w:usb3="00000000" w:csb0="000001FF" w:csb1="00000000"/>
    <w:embedRegular r:id="rId3" w:fontKey="{78180E32-07F5-443B-82F9-5903C595613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94744954"/>
      <w:docPartObj>
        <w:docPartGallery w:val="Page Numbers (Bottom of Page)"/>
        <w:docPartUnique/>
      </w:docPartObj>
    </w:sdtPr>
    <w:sdtEndPr>
      <w:rPr>
        <w:rStyle w:val="PageNumber"/>
      </w:rPr>
    </w:sdtEndPr>
    <w:sdtContent>
      <w:p w14:paraId="7829D7A2" w14:textId="2300E422" w:rsidR="004E609E" w:rsidRDefault="004E609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90CAB6F" w14:textId="77777777" w:rsidR="00344448" w:rsidRDefault="003444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000000" w:themeColor="text1"/>
        <w:sz w:val="28"/>
        <w:szCs w:val="28"/>
      </w:rPr>
      <w:id w:val="-1902431378"/>
      <w:docPartObj>
        <w:docPartGallery w:val="Page Numbers (Bottom of Page)"/>
        <w:docPartUnique/>
      </w:docPartObj>
    </w:sdtPr>
    <w:sdtEndPr>
      <w:rPr>
        <w:rStyle w:val="PageNumber"/>
      </w:rPr>
    </w:sdtEndPr>
    <w:sdtContent>
      <w:p w14:paraId="4A4120EC" w14:textId="1AEF5B5E" w:rsidR="004E609E" w:rsidRPr="0044747B" w:rsidRDefault="00A47554">
        <w:pPr>
          <w:pStyle w:val="Footer"/>
          <w:framePr w:wrap="none" w:vAnchor="text" w:hAnchor="margin" w:xAlign="center" w:y="1"/>
          <w:rPr>
            <w:rStyle w:val="PageNumber"/>
            <w:color w:val="000000" w:themeColor="text1"/>
            <w:sz w:val="28"/>
            <w:szCs w:val="28"/>
          </w:rPr>
        </w:pPr>
        <w:r w:rsidRPr="0044747B">
          <w:rPr>
            <w:rStyle w:val="PageNumber"/>
            <w:color w:val="000000" w:themeColor="text1"/>
            <w:sz w:val="28"/>
            <w:szCs w:val="28"/>
          </w:rPr>
          <w:fldChar w:fldCharType="begin"/>
        </w:r>
        <w:r>
          <w:rPr>
            <w:sz w:val="26"/>
            <w:szCs w:val="26"/>
          </w:rPr>
          <w:instrText>PAGE</w:instrText>
        </w:r>
        <w:r w:rsidRPr="0044747B">
          <w:rPr>
            <w:rStyle w:val="PageNumber"/>
            <w:color w:val="000000" w:themeColor="text1"/>
            <w:sz w:val="28"/>
            <w:szCs w:val="28"/>
          </w:rPr>
          <w:fldChar w:fldCharType="separate"/>
        </w:r>
        <w:r w:rsidR="00344448" w:rsidRPr="0044747B">
          <w:rPr>
            <w:rStyle w:val="PageNumber"/>
            <w:color w:val="000000" w:themeColor="text1"/>
            <w:sz w:val="28"/>
            <w:szCs w:val="28"/>
          </w:rPr>
          <w:t>1</w:t>
        </w:r>
        <w:r w:rsidRPr="0044747B">
          <w:rPr>
            <w:rStyle w:val="PageNumber"/>
            <w:color w:val="000000" w:themeColor="text1"/>
            <w:sz w:val="28"/>
            <w:szCs w:val="28"/>
          </w:rPr>
          <w:fldChar w:fldCharType="end"/>
        </w:r>
      </w:p>
    </w:sdtContent>
  </w:sdt>
  <w:p w14:paraId="0000006C" w14:textId="0288932C" w:rsidR="00A63F18" w:rsidRDefault="00A63F18">
    <w:pPr>
      <w:jc w:val="center"/>
      <w:rPr>
        <w:sz w:val="26"/>
        <w:szCs w:val="2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85BCA" w14:textId="77777777" w:rsidR="001E3524" w:rsidRDefault="001E3524">
      <w:pPr>
        <w:spacing w:line="240" w:lineRule="auto"/>
      </w:pPr>
      <w:r>
        <w:separator/>
      </w:r>
    </w:p>
  </w:footnote>
  <w:footnote w:type="continuationSeparator" w:id="0">
    <w:p w14:paraId="54896668" w14:textId="77777777" w:rsidR="001E3524" w:rsidRDefault="001E352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F32289"/>
    <w:multiLevelType w:val="multilevel"/>
    <w:tmpl w:val="0816A5C0"/>
    <w:lvl w:ilvl="0">
      <w:start w:val="1"/>
      <w:numFmt w:val="upperRoman"/>
      <w:pStyle w:val="Heading2"/>
      <w:lvlText w:val="%1."/>
      <w:lvlJc w:val="right"/>
      <w:pPr>
        <w:ind w:left="720" w:hanging="360"/>
      </w:pPr>
      <w:rPr>
        <w:u w:val="none"/>
      </w:rPr>
    </w:lvl>
    <w:lvl w:ilvl="1">
      <w:start w:val="1"/>
      <w:numFmt w:val="upperLetter"/>
      <w:pStyle w:val="Heading3"/>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110009023">
    <w:abstractNumId w:val="0"/>
  </w:num>
  <w:num w:numId="2" w16cid:durableId="35462187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embedTrueTypeFonts/>
  <w:proofState w:spelling="clean" w:grammar="clean"/>
  <w:defaultTabStop w:val="720"/>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3F18"/>
    <w:rsid w:val="0000193D"/>
    <w:rsid w:val="00001EEB"/>
    <w:rsid w:val="00004F80"/>
    <w:rsid w:val="00016404"/>
    <w:rsid w:val="0003178E"/>
    <w:rsid w:val="000337F2"/>
    <w:rsid w:val="00036FB7"/>
    <w:rsid w:val="00043682"/>
    <w:rsid w:val="000546DC"/>
    <w:rsid w:val="000568D9"/>
    <w:rsid w:val="00056B06"/>
    <w:rsid w:val="0006441D"/>
    <w:rsid w:val="00064B31"/>
    <w:rsid w:val="00077E22"/>
    <w:rsid w:val="00080A46"/>
    <w:rsid w:val="0008716C"/>
    <w:rsid w:val="000903C7"/>
    <w:rsid w:val="00096172"/>
    <w:rsid w:val="00096571"/>
    <w:rsid w:val="000A5BA8"/>
    <w:rsid w:val="000B3FA1"/>
    <w:rsid w:val="000B79A6"/>
    <w:rsid w:val="000C0B41"/>
    <w:rsid w:val="000C165D"/>
    <w:rsid w:val="000E3296"/>
    <w:rsid w:val="00133B6D"/>
    <w:rsid w:val="00133DD6"/>
    <w:rsid w:val="001569D2"/>
    <w:rsid w:val="0018600B"/>
    <w:rsid w:val="00190F9B"/>
    <w:rsid w:val="001A3628"/>
    <w:rsid w:val="001A74AE"/>
    <w:rsid w:val="001E3524"/>
    <w:rsid w:val="00204FD4"/>
    <w:rsid w:val="0021232A"/>
    <w:rsid w:val="0022308C"/>
    <w:rsid w:val="002266E9"/>
    <w:rsid w:val="00235CB8"/>
    <w:rsid w:val="00236C20"/>
    <w:rsid w:val="00247BAD"/>
    <w:rsid w:val="002779D3"/>
    <w:rsid w:val="00287940"/>
    <w:rsid w:val="002919A6"/>
    <w:rsid w:val="00292358"/>
    <w:rsid w:val="002A2B70"/>
    <w:rsid w:val="002A37F8"/>
    <w:rsid w:val="002A6903"/>
    <w:rsid w:val="002B1DC2"/>
    <w:rsid w:val="002B3461"/>
    <w:rsid w:val="002C4DD3"/>
    <w:rsid w:val="002C78F8"/>
    <w:rsid w:val="002D0A7B"/>
    <w:rsid w:val="002D0B06"/>
    <w:rsid w:val="002D3F36"/>
    <w:rsid w:val="002E24E6"/>
    <w:rsid w:val="002F4177"/>
    <w:rsid w:val="00302986"/>
    <w:rsid w:val="00307166"/>
    <w:rsid w:val="00312677"/>
    <w:rsid w:val="0031453C"/>
    <w:rsid w:val="0031663F"/>
    <w:rsid w:val="003166F2"/>
    <w:rsid w:val="003235E5"/>
    <w:rsid w:val="0033402E"/>
    <w:rsid w:val="00344392"/>
    <w:rsid w:val="00344448"/>
    <w:rsid w:val="00351546"/>
    <w:rsid w:val="00352040"/>
    <w:rsid w:val="00354B66"/>
    <w:rsid w:val="0035582C"/>
    <w:rsid w:val="00371AA1"/>
    <w:rsid w:val="00373BB9"/>
    <w:rsid w:val="00375E12"/>
    <w:rsid w:val="00382412"/>
    <w:rsid w:val="00383382"/>
    <w:rsid w:val="003874C8"/>
    <w:rsid w:val="00393F58"/>
    <w:rsid w:val="003A201A"/>
    <w:rsid w:val="003A60E5"/>
    <w:rsid w:val="003B293E"/>
    <w:rsid w:val="003C04A7"/>
    <w:rsid w:val="003C692D"/>
    <w:rsid w:val="003D5CC3"/>
    <w:rsid w:val="003E5D1F"/>
    <w:rsid w:val="003F0F3B"/>
    <w:rsid w:val="003F15BD"/>
    <w:rsid w:val="003F254D"/>
    <w:rsid w:val="00400061"/>
    <w:rsid w:val="0040783F"/>
    <w:rsid w:val="00407CCC"/>
    <w:rsid w:val="0041542D"/>
    <w:rsid w:val="0042184D"/>
    <w:rsid w:val="00421FB5"/>
    <w:rsid w:val="00427C35"/>
    <w:rsid w:val="00431E3C"/>
    <w:rsid w:val="00434BE1"/>
    <w:rsid w:val="00434D42"/>
    <w:rsid w:val="00440FED"/>
    <w:rsid w:val="004437B2"/>
    <w:rsid w:val="00444707"/>
    <w:rsid w:val="004459F3"/>
    <w:rsid w:val="0044747B"/>
    <w:rsid w:val="00450D04"/>
    <w:rsid w:val="00453EBF"/>
    <w:rsid w:val="00453F3E"/>
    <w:rsid w:val="004562C3"/>
    <w:rsid w:val="00466EDB"/>
    <w:rsid w:val="0048309A"/>
    <w:rsid w:val="00486814"/>
    <w:rsid w:val="00490885"/>
    <w:rsid w:val="004A4061"/>
    <w:rsid w:val="004A57A6"/>
    <w:rsid w:val="004D088D"/>
    <w:rsid w:val="004E609E"/>
    <w:rsid w:val="00501C2E"/>
    <w:rsid w:val="00501F23"/>
    <w:rsid w:val="005020AE"/>
    <w:rsid w:val="00502937"/>
    <w:rsid w:val="00504502"/>
    <w:rsid w:val="005077F1"/>
    <w:rsid w:val="005105E6"/>
    <w:rsid w:val="00511F88"/>
    <w:rsid w:val="005147B7"/>
    <w:rsid w:val="00523898"/>
    <w:rsid w:val="00525D1F"/>
    <w:rsid w:val="00540632"/>
    <w:rsid w:val="00542134"/>
    <w:rsid w:val="00543B0B"/>
    <w:rsid w:val="00545A89"/>
    <w:rsid w:val="0054613B"/>
    <w:rsid w:val="00546D5E"/>
    <w:rsid w:val="005476CC"/>
    <w:rsid w:val="0055011F"/>
    <w:rsid w:val="00561348"/>
    <w:rsid w:val="005636AD"/>
    <w:rsid w:val="005652DF"/>
    <w:rsid w:val="0056797B"/>
    <w:rsid w:val="00582145"/>
    <w:rsid w:val="0058634C"/>
    <w:rsid w:val="00593C6F"/>
    <w:rsid w:val="005942CE"/>
    <w:rsid w:val="005B045D"/>
    <w:rsid w:val="005B1257"/>
    <w:rsid w:val="005B4659"/>
    <w:rsid w:val="005B5AB2"/>
    <w:rsid w:val="005C3D18"/>
    <w:rsid w:val="005D3C61"/>
    <w:rsid w:val="005E3F18"/>
    <w:rsid w:val="005F3523"/>
    <w:rsid w:val="005F7FA1"/>
    <w:rsid w:val="006013AC"/>
    <w:rsid w:val="006026F9"/>
    <w:rsid w:val="00605224"/>
    <w:rsid w:val="00605334"/>
    <w:rsid w:val="00622E7E"/>
    <w:rsid w:val="00640F72"/>
    <w:rsid w:val="00643B73"/>
    <w:rsid w:val="006441A2"/>
    <w:rsid w:val="00647B4A"/>
    <w:rsid w:val="0065472B"/>
    <w:rsid w:val="00666335"/>
    <w:rsid w:val="00671ECC"/>
    <w:rsid w:val="006729E0"/>
    <w:rsid w:val="00673D9B"/>
    <w:rsid w:val="00687427"/>
    <w:rsid w:val="00697C7F"/>
    <w:rsid w:val="006A280F"/>
    <w:rsid w:val="006A71A7"/>
    <w:rsid w:val="006D1FA8"/>
    <w:rsid w:val="006E35B4"/>
    <w:rsid w:val="006E5617"/>
    <w:rsid w:val="006F5073"/>
    <w:rsid w:val="006F78E2"/>
    <w:rsid w:val="007123F8"/>
    <w:rsid w:val="007134EC"/>
    <w:rsid w:val="00723047"/>
    <w:rsid w:val="00723F3B"/>
    <w:rsid w:val="007400EC"/>
    <w:rsid w:val="00740A81"/>
    <w:rsid w:val="00753D47"/>
    <w:rsid w:val="00754F35"/>
    <w:rsid w:val="00756D58"/>
    <w:rsid w:val="00761EBD"/>
    <w:rsid w:val="0076429D"/>
    <w:rsid w:val="007712E4"/>
    <w:rsid w:val="007746F4"/>
    <w:rsid w:val="00775670"/>
    <w:rsid w:val="007841CE"/>
    <w:rsid w:val="007A4ED4"/>
    <w:rsid w:val="007A6215"/>
    <w:rsid w:val="007B2F0C"/>
    <w:rsid w:val="007B6D87"/>
    <w:rsid w:val="007D1D1E"/>
    <w:rsid w:val="007D4FEC"/>
    <w:rsid w:val="007D6413"/>
    <w:rsid w:val="007E3FD7"/>
    <w:rsid w:val="007E748B"/>
    <w:rsid w:val="007F17A5"/>
    <w:rsid w:val="007F6206"/>
    <w:rsid w:val="00815240"/>
    <w:rsid w:val="00816A06"/>
    <w:rsid w:val="008216CB"/>
    <w:rsid w:val="00823288"/>
    <w:rsid w:val="00832EFE"/>
    <w:rsid w:val="00832F53"/>
    <w:rsid w:val="008345D1"/>
    <w:rsid w:val="008350EE"/>
    <w:rsid w:val="0084060E"/>
    <w:rsid w:val="00873382"/>
    <w:rsid w:val="00880266"/>
    <w:rsid w:val="00882300"/>
    <w:rsid w:val="008843F1"/>
    <w:rsid w:val="00891F14"/>
    <w:rsid w:val="00892804"/>
    <w:rsid w:val="008A3F75"/>
    <w:rsid w:val="008B3265"/>
    <w:rsid w:val="008D1FDA"/>
    <w:rsid w:val="008D1FFB"/>
    <w:rsid w:val="008D56DE"/>
    <w:rsid w:val="008F5A6A"/>
    <w:rsid w:val="00900699"/>
    <w:rsid w:val="00900DE2"/>
    <w:rsid w:val="0090100A"/>
    <w:rsid w:val="009122CC"/>
    <w:rsid w:val="009130D0"/>
    <w:rsid w:val="00921E11"/>
    <w:rsid w:val="00944CE0"/>
    <w:rsid w:val="00957A6D"/>
    <w:rsid w:val="0096128C"/>
    <w:rsid w:val="00963554"/>
    <w:rsid w:val="00965498"/>
    <w:rsid w:val="00972B73"/>
    <w:rsid w:val="00975E9B"/>
    <w:rsid w:val="00976DE6"/>
    <w:rsid w:val="0098436C"/>
    <w:rsid w:val="009A7699"/>
    <w:rsid w:val="009B4598"/>
    <w:rsid w:val="009B7832"/>
    <w:rsid w:val="009C174D"/>
    <w:rsid w:val="009C42AC"/>
    <w:rsid w:val="009C684D"/>
    <w:rsid w:val="009E1BF0"/>
    <w:rsid w:val="009F75A7"/>
    <w:rsid w:val="00A1733D"/>
    <w:rsid w:val="00A215B5"/>
    <w:rsid w:val="00A22CA4"/>
    <w:rsid w:val="00A23C1B"/>
    <w:rsid w:val="00A23EAF"/>
    <w:rsid w:val="00A42985"/>
    <w:rsid w:val="00A47453"/>
    <w:rsid w:val="00A47554"/>
    <w:rsid w:val="00A510F5"/>
    <w:rsid w:val="00A53600"/>
    <w:rsid w:val="00A56086"/>
    <w:rsid w:val="00A63F18"/>
    <w:rsid w:val="00A714F9"/>
    <w:rsid w:val="00A81F11"/>
    <w:rsid w:val="00A8484A"/>
    <w:rsid w:val="00A84E56"/>
    <w:rsid w:val="00A95B34"/>
    <w:rsid w:val="00AA4F30"/>
    <w:rsid w:val="00AA6E45"/>
    <w:rsid w:val="00AB4C7D"/>
    <w:rsid w:val="00AB636A"/>
    <w:rsid w:val="00AC1C7F"/>
    <w:rsid w:val="00AE2E85"/>
    <w:rsid w:val="00AE444A"/>
    <w:rsid w:val="00AF5B0D"/>
    <w:rsid w:val="00AF7172"/>
    <w:rsid w:val="00B06481"/>
    <w:rsid w:val="00B16C18"/>
    <w:rsid w:val="00B2585E"/>
    <w:rsid w:val="00B31627"/>
    <w:rsid w:val="00B47A3E"/>
    <w:rsid w:val="00B502A4"/>
    <w:rsid w:val="00B6005A"/>
    <w:rsid w:val="00B63C05"/>
    <w:rsid w:val="00B63C2D"/>
    <w:rsid w:val="00B70F03"/>
    <w:rsid w:val="00B71E94"/>
    <w:rsid w:val="00B7709B"/>
    <w:rsid w:val="00B8458C"/>
    <w:rsid w:val="00B900B9"/>
    <w:rsid w:val="00B945C6"/>
    <w:rsid w:val="00BA5BC6"/>
    <w:rsid w:val="00BB045D"/>
    <w:rsid w:val="00BB2167"/>
    <w:rsid w:val="00BC3D36"/>
    <w:rsid w:val="00BC7E6A"/>
    <w:rsid w:val="00BD6263"/>
    <w:rsid w:val="00BF2876"/>
    <w:rsid w:val="00C103A7"/>
    <w:rsid w:val="00C3393C"/>
    <w:rsid w:val="00C4758F"/>
    <w:rsid w:val="00C50CE5"/>
    <w:rsid w:val="00C5125D"/>
    <w:rsid w:val="00C60CA1"/>
    <w:rsid w:val="00C62627"/>
    <w:rsid w:val="00C62A1F"/>
    <w:rsid w:val="00C719EA"/>
    <w:rsid w:val="00C82013"/>
    <w:rsid w:val="00C862BD"/>
    <w:rsid w:val="00CA6CFD"/>
    <w:rsid w:val="00CC1758"/>
    <w:rsid w:val="00CC1C0E"/>
    <w:rsid w:val="00CD2E89"/>
    <w:rsid w:val="00CD56BE"/>
    <w:rsid w:val="00CE4F97"/>
    <w:rsid w:val="00CF320B"/>
    <w:rsid w:val="00D027D1"/>
    <w:rsid w:val="00D03976"/>
    <w:rsid w:val="00D35F3F"/>
    <w:rsid w:val="00D472E7"/>
    <w:rsid w:val="00D549C5"/>
    <w:rsid w:val="00D9577E"/>
    <w:rsid w:val="00DA06E8"/>
    <w:rsid w:val="00DA159F"/>
    <w:rsid w:val="00DA2391"/>
    <w:rsid w:val="00DA4490"/>
    <w:rsid w:val="00DC1DDC"/>
    <w:rsid w:val="00DC3707"/>
    <w:rsid w:val="00DD1AB6"/>
    <w:rsid w:val="00DD256B"/>
    <w:rsid w:val="00DD7840"/>
    <w:rsid w:val="00DE0DD8"/>
    <w:rsid w:val="00DE4290"/>
    <w:rsid w:val="00DE67A4"/>
    <w:rsid w:val="00DF2A9C"/>
    <w:rsid w:val="00DF6D8A"/>
    <w:rsid w:val="00E05F8A"/>
    <w:rsid w:val="00E06E33"/>
    <w:rsid w:val="00E078AD"/>
    <w:rsid w:val="00E3614B"/>
    <w:rsid w:val="00E3617C"/>
    <w:rsid w:val="00E3739E"/>
    <w:rsid w:val="00E4077A"/>
    <w:rsid w:val="00E42CA2"/>
    <w:rsid w:val="00E47A4F"/>
    <w:rsid w:val="00E546A6"/>
    <w:rsid w:val="00E626FE"/>
    <w:rsid w:val="00E65261"/>
    <w:rsid w:val="00E75595"/>
    <w:rsid w:val="00E847FB"/>
    <w:rsid w:val="00E862C5"/>
    <w:rsid w:val="00EA30D7"/>
    <w:rsid w:val="00EA75B1"/>
    <w:rsid w:val="00EB23C2"/>
    <w:rsid w:val="00EB5FCF"/>
    <w:rsid w:val="00ED19B8"/>
    <w:rsid w:val="00ED46A6"/>
    <w:rsid w:val="00EE0EEE"/>
    <w:rsid w:val="00EE19FD"/>
    <w:rsid w:val="00F13CB8"/>
    <w:rsid w:val="00F1422A"/>
    <w:rsid w:val="00F17D2D"/>
    <w:rsid w:val="00F232CE"/>
    <w:rsid w:val="00F36998"/>
    <w:rsid w:val="00F36BDE"/>
    <w:rsid w:val="00F414BC"/>
    <w:rsid w:val="00F46320"/>
    <w:rsid w:val="00F57C31"/>
    <w:rsid w:val="00F64F81"/>
    <w:rsid w:val="00F6546E"/>
    <w:rsid w:val="00F7420C"/>
    <w:rsid w:val="00F81A94"/>
    <w:rsid w:val="00F92CDE"/>
    <w:rsid w:val="00F94FF2"/>
    <w:rsid w:val="00F95D57"/>
    <w:rsid w:val="00FB0DA7"/>
    <w:rsid w:val="00FB1114"/>
    <w:rsid w:val="00FB6402"/>
    <w:rsid w:val="00FB6F13"/>
    <w:rsid w:val="00FB7F08"/>
    <w:rsid w:val="00FD1C1B"/>
    <w:rsid w:val="00FD5B53"/>
    <w:rsid w:val="00FE0BDB"/>
    <w:rsid w:val="00FE65D4"/>
    <w:rsid w:val="00FE6DD4"/>
    <w:rsid w:val="00FF35CE"/>
    <w:rsid w:val="0A143B12"/>
    <w:rsid w:val="0DE7B6FB"/>
    <w:rsid w:val="10271BBC"/>
    <w:rsid w:val="10352E5A"/>
    <w:rsid w:val="1042CA4A"/>
    <w:rsid w:val="11B2536B"/>
    <w:rsid w:val="1C33243A"/>
    <w:rsid w:val="1C51BCB2"/>
    <w:rsid w:val="1D731D32"/>
    <w:rsid w:val="1E1F52A4"/>
    <w:rsid w:val="21F3DB17"/>
    <w:rsid w:val="25548C98"/>
    <w:rsid w:val="275E1E06"/>
    <w:rsid w:val="2C2363BF"/>
    <w:rsid w:val="345711AE"/>
    <w:rsid w:val="373CC41A"/>
    <w:rsid w:val="399339BD"/>
    <w:rsid w:val="46B1FCBE"/>
    <w:rsid w:val="55A111BA"/>
    <w:rsid w:val="5D8AA7F3"/>
    <w:rsid w:val="61866FF9"/>
    <w:rsid w:val="63D5D14A"/>
    <w:rsid w:val="676A8EFF"/>
    <w:rsid w:val="6ED76D71"/>
    <w:rsid w:val="71C2E781"/>
    <w:rsid w:val="728E8395"/>
    <w:rsid w:val="795D4B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76F75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ED19B8"/>
    <w:pPr>
      <w:keepLines/>
      <w:spacing w:after="160" w:line="480" w:lineRule="auto"/>
      <w:jc w:val="center"/>
      <w:outlineLvl w:val="0"/>
    </w:pPr>
    <w:rPr>
      <w:b/>
      <w:bCs/>
      <w:sz w:val="28"/>
      <w:szCs w:val="26"/>
      <w:u w:val="single"/>
    </w:rPr>
  </w:style>
  <w:style w:type="paragraph" w:styleId="Heading2">
    <w:name w:val="heading 2"/>
    <w:basedOn w:val="Normal"/>
    <w:next w:val="Normal"/>
    <w:uiPriority w:val="9"/>
    <w:unhideWhenUsed/>
    <w:qFormat/>
    <w:rsid w:val="005020AE"/>
    <w:pPr>
      <w:keepLines/>
      <w:numPr>
        <w:numId w:val="1"/>
      </w:numPr>
      <w:spacing w:after="160" w:line="480" w:lineRule="auto"/>
      <w:jc w:val="both"/>
      <w:outlineLvl w:val="1"/>
    </w:pPr>
    <w:rPr>
      <w:sz w:val="28"/>
      <w:szCs w:val="28"/>
      <w:u w:val="single"/>
    </w:rPr>
  </w:style>
  <w:style w:type="paragraph" w:styleId="Heading3">
    <w:name w:val="heading 3"/>
    <w:basedOn w:val="Normal"/>
    <w:next w:val="Normal"/>
    <w:uiPriority w:val="9"/>
    <w:unhideWhenUsed/>
    <w:qFormat/>
    <w:rsid w:val="00A1733D"/>
    <w:pPr>
      <w:numPr>
        <w:ilvl w:val="1"/>
        <w:numId w:val="1"/>
      </w:numPr>
      <w:spacing w:after="160" w:line="240" w:lineRule="auto"/>
      <w:jc w:val="both"/>
      <w:outlineLvl w:val="2"/>
    </w:pPr>
    <w:rPr>
      <w:b/>
      <w:bCs/>
      <w:sz w:val="28"/>
      <w:szCs w:val="28"/>
      <w:lang w:val="en-US"/>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paragraph" w:styleId="Header">
    <w:name w:val="header"/>
    <w:basedOn w:val="Normal"/>
    <w:link w:val="HeaderChar"/>
    <w:uiPriority w:val="99"/>
    <w:unhideWhenUsed/>
    <w:rsid w:val="00344448"/>
    <w:pPr>
      <w:tabs>
        <w:tab w:val="center" w:pos="4680"/>
        <w:tab w:val="right" w:pos="9360"/>
      </w:tabs>
      <w:spacing w:line="240" w:lineRule="auto"/>
    </w:pPr>
  </w:style>
  <w:style w:type="character" w:customStyle="1" w:styleId="HeaderChar">
    <w:name w:val="Header Char"/>
    <w:basedOn w:val="DefaultParagraphFont"/>
    <w:link w:val="Header"/>
    <w:uiPriority w:val="99"/>
    <w:rsid w:val="00344448"/>
  </w:style>
  <w:style w:type="paragraph" w:styleId="Footer">
    <w:name w:val="footer"/>
    <w:basedOn w:val="Normal"/>
    <w:link w:val="FooterChar"/>
    <w:uiPriority w:val="99"/>
    <w:unhideWhenUsed/>
    <w:rsid w:val="00344448"/>
    <w:pPr>
      <w:tabs>
        <w:tab w:val="center" w:pos="4680"/>
        <w:tab w:val="right" w:pos="9360"/>
      </w:tabs>
      <w:spacing w:line="240" w:lineRule="auto"/>
    </w:pPr>
  </w:style>
  <w:style w:type="character" w:customStyle="1" w:styleId="FooterChar">
    <w:name w:val="Footer Char"/>
    <w:basedOn w:val="DefaultParagraphFont"/>
    <w:link w:val="Footer"/>
    <w:uiPriority w:val="99"/>
    <w:rsid w:val="00344448"/>
  </w:style>
  <w:style w:type="paragraph" w:styleId="TOC1">
    <w:name w:val="toc 1"/>
    <w:basedOn w:val="Normal"/>
    <w:next w:val="Normal"/>
    <w:autoRedefine/>
    <w:uiPriority w:val="39"/>
    <w:unhideWhenUsed/>
    <w:rsid w:val="008D1FFB"/>
    <w:pPr>
      <w:tabs>
        <w:tab w:val="right" w:leader="dot" w:pos="9350"/>
      </w:tabs>
      <w:spacing w:after="100"/>
    </w:pPr>
    <w:rPr>
      <w:b/>
      <w:bCs/>
      <w:noProof/>
    </w:rPr>
  </w:style>
  <w:style w:type="paragraph" w:styleId="TOC3">
    <w:name w:val="toc 3"/>
    <w:basedOn w:val="Normal"/>
    <w:next w:val="Normal"/>
    <w:autoRedefine/>
    <w:uiPriority w:val="39"/>
    <w:unhideWhenUsed/>
    <w:rsid w:val="0003178E"/>
    <w:pPr>
      <w:spacing w:after="100"/>
      <w:ind w:left="480"/>
    </w:pPr>
  </w:style>
  <w:style w:type="paragraph" w:styleId="TOC2">
    <w:name w:val="toc 2"/>
    <w:basedOn w:val="Normal"/>
    <w:next w:val="Normal"/>
    <w:autoRedefine/>
    <w:uiPriority w:val="39"/>
    <w:unhideWhenUsed/>
    <w:rsid w:val="0003178E"/>
    <w:pPr>
      <w:spacing w:after="100"/>
      <w:ind w:left="240"/>
    </w:pPr>
  </w:style>
  <w:style w:type="character" w:styleId="Hyperlink">
    <w:name w:val="Hyperlink"/>
    <w:basedOn w:val="DefaultParagraphFont"/>
    <w:uiPriority w:val="99"/>
    <w:unhideWhenUsed/>
    <w:rsid w:val="0003178E"/>
    <w:rPr>
      <w:color w:val="0000FF" w:themeColor="hyperlink"/>
      <w:u w:val="single"/>
    </w:rPr>
  </w:style>
  <w:style w:type="paragraph" w:styleId="CommentText">
    <w:name w:val="annotation text"/>
    <w:basedOn w:val="Normal"/>
    <w:link w:val="CommentTextChar"/>
    <w:uiPriority w:val="99"/>
    <w:semiHidden/>
    <w:unhideWhenUsed/>
    <w:rsid w:val="003D5CC3"/>
    <w:pPr>
      <w:spacing w:line="240" w:lineRule="auto"/>
    </w:pPr>
    <w:rPr>
      <w:sz w:val="20"/>
      <w:szCs w:val="20"/>
    </w:rPr>
  </w:style>
  <w:style w:type="character" w:customStyle="1" w:styleId="CommentTextChar">
    <w:name w:val="Comment Text Char"/>
    <w:basedOn w:val="DefaultParagraphFont"/>
    <w:link w:val="CommentText"/>
    <w:uiPriority w:val="99"/>
    <w:semiHidden/>
    <w:rsid w:val="003D5CC3"/>
    <w:rPr>
      <w:sz w:val="20"/>
      <w:szCs w:val="20"/>
    </w:rPr>
  </w:style>
  <w:style w:type="character" w:styleId="CommentReference">
    <w:name w:val="annotation reference"/>
    <w:basedOn w:val="DefaultParagraphFont"/>
    <w:uiPriority w:val="99"/>
    <w:semiHidden/>
    <w:unhideWhenUsed/>
    <w:rsid w:val="003D5CC3"/>
    <w:rPr>
      <w:sz w:val="16"/>
      <w:szCs w:val="16"/>
    </w:rPr>
  </w:style>
  <w:style w:type="paragraph" w:styleId="TableofAuthorities">
    <w:name w:val="table of authorities"/>
    <w:basedOn w:val="Normal"/>
    <w:next w:val="Normal"/>
    <w:uiPriority w:val="99"/>
    <w:unhideWhenUsed/>
    <w:rsid w:val="009C42AC"/>
    <w:pPr>
      <w:ind w:left="240" w:hanging="240"/>
    </w:pPr>
    <w:rPr>
      <w:rFonts w:asciiTheme="minorHAnsi" w:hAnsiTheme="minorHAnsi"/>
      <w:sz w:val="20"/>
      <w:szCs w:val="20"/>
    </w:rPr>
  </w:style>
  <w:style w:type="paragraph" w:styleId="TOAHeading">
    <w:name w:val="toa heading"/>
    <w:basedOn w:val="Normal"/>
    <w:next w:val="Normal"/>
    <w:uiPriority w:val="99"/>
    <w:unhideWhenUsed/>
    <w:rsid w:val="009C42AC"/>
    <w:pPr>
      <w:spacing w:before="240" w:after="120"/>
    </w:pPr>
    <w:rPr>
      <w:rFonts w:asciiTheme="minorHAnsi" w:hAnsiTheme="minorHAnsi" w:cs="Arial"/>
      <w:b/>
      <w:bCs/>
      <w:caps/>
      <w:sz w:val="20"/>
      <w:szCs w:val="20"/>
    </w:rPr>
  </w:style>
  <w:style w:type="character" w:styleId="PageNumber">
    <w:name w:val="page number"/>
    <w:basedOn w:val="DefaultParagraphFont"/>
    <w:uiPriority w:val="99"/>
    <w:semiHidden/>
    <w:unhideWhenUsed/>
    <w:rsid w:val="003824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A01D7EFA89344A8F856027092B5075" ma:contentTypeVersion="21" ma:contentTypeDescription="Create a new document." ma:contentTypeScope="" ma:versionID="751ace066f2da9b693ab3f9a40a5a727">
  <xsd:schema xmlns:xsd="http://www.w3.org/2001/XMLSchema" xmlns:xs="http://www.w3.org/2001/XMLSchema" xmlns:p="http://schemas.microsoft.com/office/2006/metadata/properties" xmlns:ns1="http://schemas.microsoft.com/sharepoint/v3" xmlns:ns2="d33c2442-a497-4bf2-8178-c2e517c6367d" xmlns:ns3="57e9c615-4274-4914-b6df-8689fc6b3121" targetNamespace="http://schemas.microsoft.com/office/2006/metadata/properties" ma:root="true" ma:fieldsID="47964fbeece60e05f996b34e1c17b024" ns1:_="" ns2:_="" ns3:_="">
    <xsd:import namespace="http://schemas.microsoft.com/sharepoint/v3"/>
    <xsd:import namespace="d33c2442-a497-4bf2-8178-c2e517c6367d"/>
    <xsd:import namespace="57e9c615-4274-4914-b6df-8689fc6b312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3c2442-a497-4bf2-8178-c2e517c63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32881b5-e800-45b5-9690-d88bf9558ae5"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e9c615-4274-4914-b6df-8689fc6b312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f14c491-c4d9-41ef-b7d6-cda1cc50d378}" ma:internalName="TaxCatchAll" ma:showField="CatchAllData" ma:web="57e9c615-4274-4914-b6df-8689fc6b312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33c2442-a497-4bf2-8178-c2e517c6367d">
      <Terms xmlns="http://schemas.microsoft.com/office/infopath/2007/PartnerControls"/>
    </lcf76f155ced4ddcb4097134ff3c332f>
    <_ip_UnifiedCompliancePolicyProperties xmlns="http://schemas.microsoft.com/sharepoint/v3" xsi:nil="true"/>
    <TaxCatchAll xmlns="57e9c615-4274-4914-b6df-8689fc6b3121" xsi:nil="true"/>
  </documentManagement>
</p:properties>
</file>

<file path=customXml/itemProps1.xml><?xml version="1.0" encoding="utf-8"?>
<ds:datastoreItem xmlns:ds="http://schemas.openxmlformats.org/officeDocument/2006/customXml" ds:itemID="{17323CD5-FB89-46DC-BFD9-69DFCBACC20C}"/>
</file>

<file path=customXml/itemProps2.xml><?xml version="1.0" encoding="utf-8"?>
<ds:datastoreItem xmlns:ds="http://schemas.openxmlformats.org/officeDocument/2006/customXml" ds:itemID="{24B7E942-34B8-44E0-93FE-73167CCEB965}"/>
</file>

<file path=customXml/itemProps3.xml><?xml version="1.0" encoding="utf-8"?>
<ds:datastoreItem xmlns:ds="http://schemas.openxmlformats.org/officeDocument/2006/customXml" ds:itemID="{1D6CE8CD-7B5A-44BA-8723-4AC2AAC664DE}"/>
</file>

<file path=docMetadata/LabelInfo.xml><?xml version="1.0" encoding="utf-8"?>
<clbl:labelList xmlns:clbl="http://schemas.microsoft.com/office/2020/mipLabelMetadata">
  <clbl:label id="{7d854659-4213-48c1-80ca-df7831c02e6d}" enabled="0" method="" siteId="{7d854659-4213-48c1-80ca-df7831c02e6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24</Pages>
  <Words>5512</Words>
  <Characters>31422</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36861</CharactersWithSpaces>
  <SharedDoc>false</SharedDoc>
  <HLinks>
    <vt:vector size="78" baseType="variant">
      <vt:variant>
        <vt:i4>1114169</vt:i4>
      </vt:variant>
      <vt:variant>
        <vt:i4>86</vt:i4>
      </vt:variant>
      <vt:variant>
        <vt:i4>0</vt:i4>
      </vt:variant>
      <vt:variant>
        <vt:i4>5</vt:i4>
      </vt:variant>
      <vt:variant>
        <vt:lpwstr/>
      </vt:variant>
      <vt:variant>
        <vt:lpwstr>_Toc239144601</vt:lpwstr>
      </vt:variant>
      <vt:variant>
        <vt:i4>1114169</vt:i4>
      </vt:variant>
      <vt:variant>
        <vt:i4>80</vt:i4>
      </vt:variant>
      <vt:variant>
        <vt:i4>0</vt:i4>
      </vt:variant>
      <vt:variant>
        <vt:i4>5</vt:i4>
      </vt:variant>
      <vt:variant>
        <vt:lpwstr/>
      </vt:variant>
      <vt:variant>
        <vt:lpwstr>_Toc239144600</vt:lpwstr>
      </vt:variant>
      <vt:variant>
        <vt:i4>1572922</vt:i4>
      </vt:variant>
      <vt:variant>
        <vt:i4>74</vt:i4>
      </vt:variant>
      <vt:variant>
        <vt:i4>0</vt:i4>
      </vt:variant>
      <vt:variant>
        <vt:i4>5</vt:i4>
      </vt:variant>
      <vt:variant>
        <vt:lpwstr/>
      </vt:variant>
      <vt:variant>
        <vt:lpwstr>_Toc239144599</vt:lpwstr>
      </vt:variant>
      <vt:variant>
        <vt:i4>1572922</vt:i4>
      </vt:variant>
      <vt:variant>
        <vt:i4>68</vt:i4>
      </vt:variant>
      <vt:variant>
        <vt:i4>0</vt:i4>
      </vt:variant>
      <vt:variant>
        <vt:i4>5</vt:i4>
      </vt:variant>
      <vt:variant>
        <vt:lpwstr/>
      </vt:variant>
      <vt:variant>
        <vt:lpwstr>_Toc239144598</vt:lpwstr>
      </vt:variant>
      <vt:variant>
        <vt:i4>1572922</vt:i4>
      </vt:variant>
      <vt:variant>
        <vt:i4>62</vt:i4>
      </vt:variant>
      <vt:variant>
        <vt:i4>0</vt:i4>
      </vt:variant>
      <vt:variant>
        <vt:i4>5</vt:i4>
      </vt:variant>
      <vt:variant>
        <vt:lpwstr/>
      </vt:variant>
      <vt:variant>
        <vt:lpwstr>_Toc239144597</vt:lpwstr>
      </vt:variant>
      <vt:variant>
        <vt:i4>1572922</vt:i4>
      </vt:variant>
      <vt:variant>
        <vt:i4>56</vt:i4>
      </vt:variant>
      <vt:variant>
        <vt:i4>0</vt:i4>
      </vt:variant>
      <vt:variant>
        <vt:i4>5</vt:i4>
      </vt:variant>
      <vt:variant>
        <vt:lpwstr/>
      </vt:variant>
      <vt:variant>
        <vt:lpwstr>_Toc239144596</vt:lpwstr>
      </vt:variant>
      <vt:variant>
        <vt:i4>1572922</vt:i4>
      </vt:variant>
      <vt:variant>
        <vt:i4>50</vt:i4>
      </vt:variant>
      <vt:variant>
        <vt:i4>0</vt:i4>
      </vt:variant>
      <vt:variant>
        <vt:i4>5</vt:i4>
      </vt:variant>
      <vt:variant>
        <vt:lpwstr/>
      </vt:variant>
      <vt:variant>
        <vt:lpwstr>_Toc239144595</vt:lpwstr>
      </vt:variant>
      <vt:variant>
        <vt:i4>1572922</vt:i4>
      </vt:variant>
      <vt:variant>
        <vt:i4>44</vt:i4>
      </vt:variant>
      <vt:variant>
        <vt:i4>0</vt:i4>
      </vt:variant>
      <vt:variant>
        <vt:i4>5</vt:i4>
      </vt:variant>
      <vt:variant>
        <vt:lpwstr/>
      </vt:variant>
      <vt:variant>
        <vt:lpwstr>_Toc239144594</vt:lpwstr>
      </vt:variant>
      <vt:variant>
        <vt:i4>1572922</vt:i4>
      </vt:variant>
      <vt:variant>
        <vt:i4>38</vt:i4>
      </vt:variant>
      <vt:variant>
        <vt:i4>0</vt:i4>
      </vt:variant>
      <vt:variant>
        <vt:i4>5</vt:i4>
      </vt:variant>
      <vt:variant>
        <vt:lpwstr/>
      </vt:variant>
      <vt:variant>
        <vt:lpwstr>_Toc239144593</vt:lpwstr>
      </vt:variant>
      <vt:variant>
        <vt:i4>1572922</vt:i4>
      </vt:variant>
      <vt:variant>
        <vt:i4>32</vt:i4>
      </vt:variant>
      <vt:variant>
        <vt:i4>0</vt:i4>
      </vt:variant>
      <vt:variant>
        <vt:i4>5</vt:i4>
      </vt:variant>
      <vt:variant>
        <vt:lpwstr/>
      </vt:variant>
      <vt:variant>
        <vt:lpwstr>_Toc239144592</vt:lpwstr>
      </vt:variant>
      <vt:variant>
        <vt:i4>1572922</vt:i4>
      </vt:variant>
      <vt:variant>
        <vt:i4>26</vt:i4>
      </vt:variant>
      <vt:variant>
        <vt:i4>0</vt:i4>
      </vt:variant>
      <vt:variant>
        <vt:i4>5</vt:i4>
      </vt:variant>
      <vt:variant>
        <vt:lpwstr/>
      </vt:variant>
      <vt:variant>
        <vt:lpwstr>_Toc239144591</vt:lpwstr>
      </vt:variant>
      <vt:variant>
        <vt:i4>1572922</vt:i4>
      </vt:variant>
      <vt:variant>
        <vt:i4>20</vt:i4>
      </vt:variant>
      <vt:variant>
        <vt:i4>0</vt:i4>
      </vt:variant>
      <vt:variant>
        <vt:i4>5</vt:i4>
      </vt:variant>
      <vt:variant>
        <vt:lpwstr/>
      </vt:variant>
      <vt:variant>
        <vt:lpwstr>_Toc239144590</vt:lpwstr>
      </vt:variant>
      <vt:variant>
        <vt:i4>1638458</vt:i4>
      </vt:variant>
      <vt:variant>
        <vt:i4>14</vt:i4>
      </vt:variant>
      <vt:variant>
        <vt:i4>0</vt:i4>
      </vt:variant>
      <vt:variant>
        <vt:i4>5</vt:i4>
      </vt:variant>
      <vt:variant>
        <vt:lpwstr/>
      </vt:variant>
      <vt:variant>
        <vt:lpwstr>_Toc239144589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2026-09-09T00:31:00Z</dcterms:created>
  <dcterms:modified xsi:type="dcterms:W3CDTF">2026-09-09T00:31:00Z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0x010100E5A01D7EFA89344A8F856027092B5075</vt:lpwstr>
  </property>
</Properties>
</file>