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3BA2E" w14:textId="77777777" w:rsidR="00CE6C98" w:rsidRPr="00E65CC7" w:rsidRDefault="00CE6C98" w:rsidP="00CE6C98">
      <w:pPr>
        <w:spacing w:after="160"/>
        <w:ind w:firstLine="0"/>
        <w:jc w:val="right"/>
        <w:rPr>
          <w:rFonts w:eastAsia="Times New Roman" w:cs="Times New Roman"/>
          <w:kern w:val="0"/>
          <w:sz w:val="28"/>
          <w:szCs w:val="28"/>
          <w14:ligatures w14:val="none"/>
        </w:rPr>
      </w:pPr>
      <w:r w:rsidRPr="00E65CC7">
        <w:rPr>
          <w:rFonts w:eastAsia="Times New Roman" w:cs="Times New Roman"/>
          <w:color w:val="000000"/>
          <w:kern w:val="0"/>
          <w:sz w:val="28"/>
          <w:szCs w:val="28"/>
          <w14:ligatures w14:val="none"/>
        </w:rPr>
        <w:t>TEAM: 303</w:t>
      </w:r>
    </w:p>
    <w:p w14:paraId="040A38E0" w14:textId="77777777" w:rsidR="00CE6C98" w:rsidRPr="00E65CC7" w:rsidRDefault="00CE6C98" w:rsidP="00CE6C98">
      <w:pPr>
        <w:spacing w:after="160"/>
        <w:ind w:firstLine="0"/>
        <w:jc w:val="center"/>
        <w:rPr>
          <w:rFonts w:eastAsia="Times New Roman" w:cs="Times New Roman"/>
          <w:kern w:val="0"/>
          <w:sz w:val="28"/>
          <w:szCs w:val="28"/>
          <w14:ligatures w14:val="none"/>
        </w:rPr>
      </w:pPr>
      <w:r w:rsidRPr="00E65CC7">
        <w:rPr>
          <w:rFonts w:eastAsia="Times New Roman" w:cs="Times New Roman"/>
          <w:color w:val="000000"/>
          <w:kern w:val="0"/>
          <w:sz w:val="28"/>
          <w:szCs w:val="28"/>
          <w14:ligatures w14:val="none"/>
        </w:rPr>
        <w:t>Case No: 2025-CF-00417</w:t>
      </w:r>
    </w:p>
    <w:p w14:paraId="1734ABC4" w14:textId="77777777" w:rsidR="00CE6C98" w:rsidRPr="00E65CC7" w:rsidRDefault="00FA4CA3" w:rsidP="00CE6C98">
      <w:pPr>
        <w:spacing w:line="240" w:lineRule="auto"/>
        <w:ind w:firstLine="0"/>
        <w:rPr>
          <w:rFonts w:eastAsia="Times New Roman" w:cs="Times New Roman"/>
          <w:kern w:val="0"/>
          <w:sz w:val="28"/>
          <w:szCs w:val="28"/>
          <w14:ligatures w14:val="none"/>
        </w:rPr>
      </w:pPr>
      <w:r>
        <w:pict w14:anchorId="7301D082">
          <v:rect id="Horizontal Line 1" o:spid="_x0000_s2053"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5AAE2F21" w14:textId="77777777" w:rsidR="00CE6C98" w:rsidRPr="00E65CC7" w:rsidRDefault="00CE6C98" w:rsidP="00CE6C98">
      <w:pPr>
        <w:spacing w:after="160"/>
        <w:ind w:firstLine="0"/>
        <w:jc w:val="center"/>
        <w:rPr>
          <w:rFonts w:eastAsia="Times New Roman" w:cs="Times New Roman"/>
          <w:kern w:val="0"/>
          <w:sz w:val="28"/>
          <w:szCs w:val="28"/>
          <w14:ligatures w14:val="none"/>
        </w:rPr>
      </w:pPr>
      <w:r w:rsidRPr="00E65CC7">
        <w:rPr>
          <w:rFonts w:eastAsia="Times New Roman" w:cs="Times New Roman"/>
          <w:color w:val="000000"/>
          <w:kern w:val="0"/>
          <w:sz w:val="28"/>
          <w:szCs w:val="28"/>
          <w14:ligatures w14:val="none"/>
        </w:rPr>
        <w:t>UNITED STATES DISTRICT COURT </w:t>
      </w:r>
    </w:p>
    <w:p w14:paraId="6752F647" w14:textId="77777777" w:rsidR="00CE6C98" w:rsidRPr="00E65CC7" w:rsidRDefault="00CE6C98" w:rsidP="00CE6C98">
      <w:pPr>
        <w:spacing w:after="160"/>
        <w:ind w:firstLine="0"/>
        <w:jc w:val="center"/>
        <w:rPr>
          <w:rFonts w:eastAsia="Times New Roman" w:cs="Times New Roman"/>
          <w:kern w:val="0"/>
          <w:sz w:val="28"/>
          <w:szCs w:val="28"/>
          <w14:ligatures w14:val="none"/>
        </w:rPr>
      </w:pPr>
      <w:r w:rsidRPr="00E65CC7">
        <w:rPr>
          <w:rFonts w:eastAsia="Times New Roman" w:cs="Times New Roman"/>
          <w:color w:val="000000"/>
          <w:kern w:val="0"/>
          <w:sz w:val="28"/>
          <w:szCs w:val="28"/>
          <w14:ligatures w14:val="none"/>
        </w:rPr>
        <w:t>MIDDLE DISTRICT OF FLORIDA </w:t>
      </w:r>
    </w:p>
    <w:p w14:paraId="74BEF435" w14:textId="77777777" w:rsidR="00CE6C98" w:rsidRPr="00E65CC7" w:rsidRDefault="00CE6C98" w:rsidP="00CE6C98">
      <w:pPr>
        <w:spacing w:after="160"/>
        <w:ind w:firstLine="0"/>
        <w:jc w:val="center"/>
        <w:rPr>
          <w:rFonts w:eastAsia="Times New Roman" w:cs="Times New Roman"/>
          <w:kern w:val="0"/>
          <w:sz w:val="28"/>
          <w:szCs w:val="28"/>
          <w14:ligatures w14:val="none"/>
        </w:rPr>
      </w:pPr>
      <w:r w:rsidRPr="00E65CC7">
        <w:rPr>
          <w:rFonts w:eastAsia="Times New Roman" w:cs="Times New Roman"/>
          <w:color w:val="000000"/>
          <w:kern w:val="0"/>
          <w:sz w:val="28"/>
          <w:szCs w:val="28"/>
          <w14:ligatures w14:val="none"/>
        </w:rPr>
        <w:t>October 1, 2026</w:t>
      </w:r>
    </w:p>
    <w:p w14:paraId="5CAB7D1A" w14:textId="77777777" w:rsidR="00CE6C98" w:rsidRPr="00E65CC7" w:rsidRDefault="00FA4CA3" w:rsidP="00CE6C98">
      <w:pPr>
        <w:spacing w:line="240" w:lineRule="auto"/>
        <w:ind w:firstLine="0"/>
        <w:rPr>
          <w:rFonts w:eastAsia="Times New Roman" w:cs="Times New Roman"/>
          <w:kern w:val="0"/>
          <w:sz w:val="28"/>
          <w:szCs w:val="28"/>
          <w14:ligatures w14:val="none"/>
        </w:rPr>
      </w:pPr>
      <w:r>
        <w:pict w14:anchorId="16F10F6C">
          <v:rect id="Horizontal Line 2" o:spid="_x0000_s2052"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39EB4535" w14:textId="77777777" w:rsidR="00CE6C98" w:rsidRPr="00E65CC7" w:rsidRDefault="00CE6C98" w:rsidP="00CE6C98">
      <w:pPr>
        <w:spacing w:line="240" w:lineRule="auto"/>
        <w:ind w:firstLine="0"/>
        <w:jc w:val="center"/>
        <w:rPr>
          <w:rFonts w:eastAsia="Times New Roman" w:cs="Times New Roman"/>
          <w:kern w:val="0"/>
          <w:sz w:val="28"/>
          <w:szCs w:val="28"/>
          <w14:ligatures w14:val="none"/>
        </w:rPr>
      </w:pPr>
      <w:r w:rsidRPr="00E65CC7">
        <w:rPr>
          <w:rFonts w:eastAsia="Times New Roman" w:cs="Times New Roman"/>
          <w:color w:val="000000"/>
          <w:kern w:val="0"/>
          <w:sz w:val="28"/>
          <w:szCs w:val="28"/>
          <w14:ligatures w14:val="none"/>
        </w:rPr>
        <w:t>UNITED STATES OF AMERICA,</w:t>
      </w:r>
    </w:p>
    <w:p w14:paraId="11CAD846" w14:textId="77777777" w:rsidR="00CE6C98" w:rsidRPr="00E65CC7" w:rsidRDefault="00CE6C98" w:rsidP="00CE6C98">
      <w:pPr>
        <w:spacing w:line="240" w:lineRule="auto"/>
        <w:ind w:firstLine="0"/>
        <w:jc w:val="center"/>
        <w:rPr>
          <w:rFonts w:eastAsia="Times New Roman" w:cs="Times New Roman"/>
          <w:kern w:val="0"/>
          <w:sz w:val="28"/>
          <w:szCs w:val="28"/>
          <w14:ligatures w14:val="none"/>
        </w:rPr>
      </w:pPr>
      <w:r w:rsidRPr="00E65CC7">
        <w:rPr>
          <w:rFonts w:eastAsia="Times New Roman" w:cs="Times New Roman"/>
          <w:i/>
          <w:iCs/>
          <w:color w:val="000000"/>
          <w:kern w:val="0"/>
          <w:sz w:val="28"/>
          <w:szCs w:val="28"/>
          <w14:ligatures w14:val="none"/>
        </w:rPr>
        <w:t>Plaintiff,</w:t>
      </w:r>
    </w:p>
    <w:p w14:paraId="2DD7BCFD" w14:textId="77777777" w:rsidR="00CE6C98" w:rsidRPr="00E65CC7" w:rsidRDefault="00CE6C98" w:rsidP="00CE6C98">
      <w:pPr>
        <w:spacing w:line="240" w:lineRule="auto"/>
        <w:ind w:firstLine="0"/>
        <w:rPr>
          <w:rFonts w:eastAsia="Times New Roman" w:cs="Times New Roman"/>
          <w:kern w:val="0"/>
          <w:sz w:val="28"/>
          <w:szCs w:val="28"/>
          <w14:ligatures w14:val="none"/>
        </w:rPr>
      </w:pPr>
    </w:p>
    <w:p w14:paraId="4879FB4B" w14:textId="77777777" w:rsidR="00CE6C98" w:rsidRPr="00E65CC7" w:rsidRDefault="00CE6C98" w:rsidP="00CE6C98">
      <w:pPr>
        <w:spacing w:after="160"/>
        <w:ind w:firstLine="0"/>
        <w:jc w:val="center"/>
        <w:rPr>
          <w:rFonts w:eastAsia="Times New Roman" w:cs="Times New Roman"/>
          <w:kern w:val="0"/>
          <w:sz w:val="28"/>
          <w:szCs w:val="28"/>
          <w14:ligatures w14:val="none"/>
        </w:rPr>
      </w:pPr>
      <w:r w:rsidRPr="00E65CC7">
        <w:rPr>
          <w:rFonts w:eastAsia="Times New Roman" w:cs="Times New Roman"/>
          <w:color w:val="000000"/>
          <w:kern w:val="0"/>
          <w:sz w:val="28"/>
          <w:szCs w:val="28"/>
          <w14:ligatures w14:val="none"/>
        </w:rPr>
        <w:t>v. </w:t>
      </w:r>
    </w:p>
    <w:p w14:paraId="0AAA4DBB" w14:textId="77777777" w:rsidR="00CE6C98" w:rsidRPr="00E65CC7" w:rsidRDefault="00CE6C98" w:rsidP="00CE6C98">
      <w:pPr>
        <w:spacing w:after="160" w:line="240" w:lineRule="auto"/>
        <w:ind w:firstLine="0"/>
        <w:jc w:val="center"/>
        <w:rPr>
          <w:rFonts w:eastAsia="Times New Roman" w:cs="Times New Roman"/>
          <w:kern w:val="0"/>
          <w:sz w:val="28"/>
          <w:szCs w:val="28"/>
          <w14:ligatures w14:val="none"/>
        </w:rPr>
      </w:pPr>
      <w:r w:rsidRPr="00E65CC7">
        <w:rPr>
          <w:rFonts w:eastAsia="Times New Roman" w:cs="Times New Roman"/>
          <w:color w:val="000000"/>
          <w:kern w:val="0"/>
          <w:sz w:val="28"/>
          <w:szCs w:val="28"/>
          <w14:ligatures w14:val="none"/>
        </w:rPr>
        <w:t>EMILY CALLOWAY,</w:t>
      </w:r>
    </w:p>
    <w:p w14:paraId="4274BE79" w14:textId="77777777" w:rsidR="00CE6C98" w:rsidRPr="00E65CC7" w:rsidRDefault="00CE6C98" w:rsidP="00CE6C98">
      <w:pPr>
        <w:spacing w:after="160" w:line="240" w:lineRule="auto"/>
        <w:ind w:firstLine="0"/>
        <w:jc w:val="center"/>
        <w:rPr>
          <w:rFonts w:eastAsia="Times New Roman" w:cs="Times New Roman"/>
          <w:kern w:val="0"/>
          <w:sz w:val="28"/>
          <w:szCs w:val="28"/>
          <w14:ligatures w14:val="none"/>
        </w:rPr>
      </w:pPr>
      <w:r w:rsidRPr="00E65CC7">
        <w:rPr>
          <w:rFonts w:eastAsia="Times New Roman" w:cs="Times New Roman"/>
          <w:i/>
          <w:iCs/>
          <w:color w:val="000000"/>
          <w:kern w:val="0"/>
          <w:sz w:val="28"/>
          <w:szCs w:val="28"/>
          <w14:ligatures w14:val="none"/>
        </w:rPr>
        <w:t>Defendant</w:t>
      </w:r>
    </w:p>
    <w:p w14:paraId="13BC02FF" w14:textId="77777777" w:rsidR="00CE6C98" w:rsidRPr="00E65CC7" w:rsidRDefault="00FA4CA3" w:rsidP="00CE6C98">
      <w:pPr>
        <w:spacing w:line="240" w:lineRule="auto"/>
        <w:ind w:firstLine="0"/>
        <w:rPr>
          <w:rFonts w:eastAsia="Times New Roman" w:cs="Times New Roman"/>
          <w:kern w:val="0"/>
          <w:sz w:val="28"/>
          <w:szCs w:val="28"/>
          <w14:ligatures w14:val="none"/>
        </w:rPr>
      </w:pPr>
      <w:r>
        <w:pict w14:anchorId="5B6DE4CF">
          <v:rect id="Horizontal Line 3" o:spid="_x0000_s2051"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5960304C" w14:textId="283B71E0" w:rsidR="00CE6C98" w:rsidRPr="00E65CC7" w:rsidRDefault="00CE6C98" w:rsidP="00CE6C98">
      <w:pPr>
        <w:spacing w:after="160"/>
        <w:ind w:firstLine="0"/>
        <w:jc w:val="center"/>
        <w:rPr>
          <w:rFonts w:eastAsia="Times New Roman" w:cs="Times New Roman"/>
          <w:kern w:val="0"/>
          <w:sz w:val="28"/>
          <w:szCs w:val="28"/>
          <w14:ligatures w14:val="none"/>
        </w:rPr>
      </w:pPr>
      <w:r w:rsidRPr="00E65CC7">
        <w:rPr>
          <w:rFonts w:eastAsia="Times New Roman" w:cs="Times New Roman"/>
          <w:b/>
          <w:bCs/>
          <w:color w:val="000000"/>
          <w:kern w:val="0"/>
          <w:sz w:val="28"/>
          <w:szCs w:val="28"/>
          <w14:ligatures w14:val="none"/>
        </w:rPr>
        <w:t>MOVANT’S MEMORANDUM OF LAW</w:t>
      </w:r>
      <w:r w:rsidRPr="00E65CC7">
        <w:rPr>
          <w:rFonts w:eastAsia="Times New Roman" w:cs="Times New Roman"/>
          <w:kern w:val="0"/>
          <w:sz w:val="28"/>
          <w:szCs w:val="28"/>
          <w14:ligatures w14:val="none"/>
        </w:rPr>
        <w:t xml:space="preserve"> </w:t>
      </w:r>
      <w:r w:rsidRPr="00E65CC7">
        <w:rPr>
          <w:rFonts w:eastAsia="Times New Roman" w:cs="Times New Roman"/>
          <w:b/>
          <w:bCs/>
          <w:color w:val="000000"/>
          <w:kern w:val="0"/>
          <w:sz w:val="28"/>
          <w:szCs w:val="28"/>
          <w14:ligatures w14:val="none"/>
        </w:rPr>
        <w:t xml:space="preserve">IN SUPPORT OF </w:t>
      </w:r>
      <w:r w:rsidR="00413D3E">
        <w:rPr>
          <w:rFonts w:eastAsia="Times New Roman" w:cs="Times New Roman"/>
          <w:b/>
          <w:bCs/>
          <w:color w:val="000000"/>
          <w:kern w:val="0"/>
          <w:sz w:val="28"/>
          <w:szCs w:val="28"/>
          <w14:ligatures w14:val="none"/>
        </w:rPr>
        <w:t xml:space="preserve">MOVANT’S </w:t>
      </w:r>
      <w:r w:rsidRPr="00E65CC7">
        <w:rPr>
          <w:rFonts w:eastAsia="Times New Roman" w:cs="Times New Roman"/>
          <w:b/>
          <w:bCs/>
          <w:color w:val="000000"/>
          <w:kern w:val="0"/>
          <w:sz w:val="28"/>
          <w:szCs w:val="28"/>
          <w14:ligatures w14:val="none"/>
        </w:rPr>
        <w:t>MOTION TO SUPPRESS EVIDENCE AND QUASH NON-MOVANT’S SUBPOENA </w:t>
      </w:r>
    </w:p>
    <w:p w14:paraId="5A29A7D4" w14:textId="77777777" w:rsidR="00CE6C98" w:rsidRPr="00E65CC7" w:rsidRDefault="00FA4CA3" w:rsidP="00CE6C98">
      <w:pPr>
        <w:spacing w:line="240" w:lineRule="auto"/>
        <w:ind w:firstLine="0"/>
        <w:rPr>
          <w:rFonts w:eastAsia="Times New Roman" w:cs="Times New Roman"/>
          <w:kern w:val="0"/>
          <w:sz w:val="28"/>
          <w:szCs w:val="28"/>
          <w14:ligatures w14:val="none"/>
        </w:rPr>
      </w:pPr>
      <w:r>
        <w:pict w14:anchorId="65ED5B1A">
          <v:rect id="Horizontal Line 4" o:spid="_x0000_s2050" alt="" style="width:468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0B185027" w14:textId="24962282" w:rsidR="00CE6C98" w:rsidRPr="00E65CC7" w:rsidRDefault="00CE6C98" w:rsidP="00CE6C98">
      <w:pPr>
        <w:spacing w:line="240" w:lineRule="auto"/>
        <w:ind w:firstLine="0"/>
        <w:jc w:val="right"/>
        <w:rPr>
          <w:rFonts w:eastAsia="Times New Roman" w:cs="Times New Roman"/>
          <w:kern w:val="0"/>
          <w:sz w:val="28"/>
          <w:szCs w:val="28"/>
          <w14:ligatures w14:val="none"/>
        </w:rPr>
      </w:pPr>
      <w:r w:rsidRPr="00E65CC7">
        <w:rPr>
          <w:rFonts w:eastAsia="Times New Roman" w:cs="Times New Roman"/>
          <w:b/>
          <w:bCs/>
          <w:color w:val="000000"/>
          <w:kern w:val="0"/>
          <w:sz w:val="28"/>
          <w:szCs w:val="28"/>
          <w:u w:val="single"/>
          <w14:ligatures w14:val="none"/>
        </w:rPr>
        <w:t>/s/                         </w:t>
      </w:r>
      <w:r w:rsidR="00E65CC7" w:rsidRPr="00E65CC7">
        <w:rPr>
          <w:rFonts w:eastAsia="Times New Roman" w:cs="Times New Roman"/>
          <w:b/>
          <w:bCs/>
          <w:color w:val="000000"/>
          <w:kern w:val="0"/>
          <w:sz w:val="28"/>
          <w:szCs w:val="28"/>
          <w:u w:val="single"/>
          <w14:ligatures w14:val="none"/>
        </w:rPr>
        <w:t>Team</w:t>
      </w:r>
      <w:r w:rsidRPr="00E65CC7">
        <w:rPr>
          <w:rFonts w:eastAsia="Times New Roman" w:cs="Times New Roman"/>
          <w:b/>
          <w:bCs/>
          <w:color w:val="000000"/>
          <w:kern w:val="0"/>
          <w:sz w:val="28"/>
          <w:szCs w:val="28"/>
          <w:u w:val="single"/>
          <w14:ligatures w14:val="none"/>
        </w:rPr>
        <w:t xml:space="preserve">   303</w:t>
      </w:r>
    </w:p>
    <w:p w14:paraId="4AFF9750" w14:textId="436E3A7C" w:rsidR="00E57BCB" w:rsidRPr="00E65CC7" w:rsidRDefault="00CE6C98" w:rsidP="00E57BCB">
      <w:pPr>
        <w:spacing w:line="240" w:lineRule="auto"/>
        <w:ind w:firstLine="0"/>
        <w:jc w:val="right"/>
        <w:rPr>
          <w:rFonts w:eastAsia="Times New Roman" w:cs="Times New Roman"/>
          <w:kern w:val="0"/>
          <w:sz w:val="28"/>
          <w:szCs w:val="28"/>
          <w14:ligatures w14:val="none"/>
        </w:rPr>
        <w:sectPr w:rsidR="00E57BCB" w:rsidRPr="00E65CC7" w:rsidSect="00E57BCB">
          <w:footerReference w:type="even" r:id="rId7"/>
          <w:footerReference w:type="default" r:id="rId8"/>
          <w:pgSz w:w="12240" w:h="15840"/>
          <w:pgMar w:top="1440" w:right="1440" w:bottom="1440" w:left="1440" w:header="720" w:footer="720" w:gutter="0"/>
          <w:pgNumType w:fmt="lowerRoman" w:start="1"/>
          <w:cols w:space="720"/>
          <w:titlePg/>
          <w:docGrid w:linePitch="360"/>
        </w:sectPr>
      </w:pPr>
      <w:r w:rsidRPr="00E65CC7">
        <w:rPr>
          <w:rFonts w:eastAsia="Times New Roman" w:cs="Times New Roman"/>
          <w:b/>
          <w:bCs/>
          <w:i/>
          <w:iCs/>
          <w:color w:val="000000"/>
          <w:kern w:val="0"/>
          <w:sz w:val="28"/>
          <w:szCs w:val="28"/>
          <w14:ligatures w14:val="none"/>
        </w:rPr>
        <w:t xml:space="preserve">Attorneys for the </w:t>
      </w:r>
      <w:r w:rsidR="00E57BCB" w:rsidRPr="00E65CC7">
        <w:rPr>
          <w:rFonts w:eastAsia="Times New Roman" w:cs="Times New Roman"/>
          <w:b/>
          <w:bCs/>
          <w:i/>
          <w:iCs/>
          <w:color w:val="000000"/>
          <w:kern w:val="0"/>
          <w:sz w:val="28"/>
          <w:szCs w:val="28"/>
          <w14:ligatures w14:val="none"/>
        </w:rPr>
        <w:t>Movant</w:t>
      </w:r>
    </w:p>
    <w:p w14:paraId="6DC42D50" w14:textId="744E85B4" w:rsidR="00770BDA" w:rsidRPr="00E65CC7" w:rsidRDefault="00CE6C98" w:rsidP="00BB473B">
      <w:pPr>
        <w:pStyle w:val="Heading1"/>
        <w:rPr>
          <w:rFonts w:cs="Times New Roman"/>
          <w:noProof/>
        </w:rPr>
      </w:pPr>
      <w:bookmarkStart w:id="0" w:name="_Toc239108805"/>
      <w:r w:rsidRPr="00E65CC7">
        <w:rPr>
          <w:rFonts w:cs="Times New Roman"/>
        </w:rPr>
        <w:lastRenderedPageBreak/>
        <w:t>TABLE OF CONTENTS</w:t>
      </w:r>
      <w:bookmarkEnd w:id="0"/>
      <w:r w:rsidR="00770BDA" w:rsidRPr="00E65CC7">
        <w:rPr>
          <w:rFonts w:cs="Times New Roman"/>
        </w:rPr>
        <w:fldChar w:fldCharType="begin"/>
      </w:r>
      <w:r w:rsidR="00770BDA" w:rsidRPr="00E65CC7">
        <w:rPr>
          <w:rFonts w:cs="Times New Roman"/>
        </w:rPr>
        <w:instrText xml:space="preserve"> TOC \o \h \z \u </w:instrText>
      </w:r>
      <w:r w:rsidR="00770BDA" w:rsidRPr="00E65CC7">
        <w:rPr>
          <w:rFonts w:cs="Times New Roman"/>
        </w:rPr>
        <w:fldChar w:fldCharType="separate"/>
      </w:r>
    </w:p>
    <w:p w14:paraId="1A0B4A21" w14:textId="16937B09" w:rsidR="00770BDA" w:rsidRPr="00E65CC7" w:rsidRDefault="00770BDA" w:rsidP="00BB473B">
      <w:pPr>
        <w:pStyle w:val="TOC1"/>
        <w:tabs>
          <w:tab w:val="right" w:leader="dot" w:pos="9350"/>
        </w:tabs>
        <w:ind w:firstLine="0"/>
        <w:rPr>
          <w:rFonts w:eastAsiaTheme="minorEastAsia" w:cs="Times New Roman"/>
          <w:noProof/>
          <w:color w:val="000000" w:themeColor="text1"/>
          <w:sz w:val="28"/>
          <w:szCs w:val="28"/>
        </w:rPr>
      </w:pPr>
      <w:hyperlink w:anchor="_Toc239108805" w:history="1">
        <w:r w:rsidRPr="00E65CC7">
          <w:rPr>
            <w:rStyle w:val="Hyperlink"/>
            <w:rFonts w:cs="Times New Roman"/>
            <w:noProof/>
            <w:color w:val="000000" w:themeColor="text1"/>
            <w:sz w:val="28"/>
            <w:szCs w:val="28"/>
          </w:rPr>
          <w:t>TABLE OF CONTENTS</w:t>
        </w:r>
        <w:r w:rsidRPr="00E65CC7">
          <w:rPr>
            <w:rFonts w:cs="Times New Roman"/>
            <w:noProof/>
            <w:webHidden/>
            <w:color w:val="000000" w:themeColor="text1"/>
            <w:sz w:val="28"/>
            <w:szCs w:val="28"/>
          </w:rPr>
          <w:tab/>
        </w:r>
        <w:r w:rsidRPr="00E65CC7">
          <w:rPr>
            <w:rFonts w:cs="Times New Roman"/>
            <w:noProof/>
            <w:webHidden/>
            <w:color w:val="000000" w:themeColor="text1"/>
            <w:sz w:val="28"/>
            <w:szCs w:val="28"/>
          </w:rPr>
          <w:fldChar w:fldCharType="begin"/>
        </w:r>
        <w:r w:rsidRPr="00E65CC7">
          <w:rPr>
            <w:rFonts w:cs="Times New Roman"/>
            <w:noProof/>
            <w:webHidden/>
            <w:color w:val="000000" w:themeColor="text1"/>
            <w:sz w:val="28"/>
            <w:szCs w:val="28"/>
          </w:rPr>
          <w:instrText xml:space="preserve"> PAGEREF _Toc239108805 \h </w:instrText>
        </w:r>
        <w:r w:rsidRPr="00E65CC7">
          <w:rPr>
            <w:rFonts w:cs="Times New Roman"/>
            <w:noProof/>
            <w:webHidden/>
            <w:color w:val="000000" w:themeColor="text1"/>
            <w:sz w:val="28"/>
            <w:szCs w:val="28"/>
          </w:rPr>
        </w:r>
        <w:r w:rsidRPr="00E65CC7">
          <w:rPr>
            <w:rFonts w:cs="Times New Roman"/>
            <w:noProof/>
            <w:webHidden/>
            <w:color w:val="000000" w:themeColor="text1"/>
            <w:sz w:val="28"/>
            <w:szCs w:val="28"/>
          </w:rPr>
          <w:fldChar w:fldCharType="separate"/>
        </w:r>
        <w:r w:rsidRPr="00E65CC7">
          <w:rPr>
            <w:rFonts w:cs="Times New Roman"/>
            <w:noProof/>
            <w:webHidden/>
            <w:color w:val="000000" w:themeColor="text1"/>
            <w:sz w:val="28"/>
            <w:szCs w:val="28"/>
          </w:rPr>
          <w:t>i</w:t>
        </w:r>
        <w:r w:rsidRPr="00E65CC7">
          <w:rPr>
            <w:rFonts w:cs="Times New Roman"/>
            <w:noProof/>
            <w:webHidden/>
            <w:color w:val="000000" w:themeColor="text1"/>
            <w:sz w:val="28"/>
            <w:szCs w:val="28"/>
          </w:rPr>
          <w:fldChar w:fldCharType="end"/>
        </w:r>
      </w:hyperlink>
    </w:p>
    <w:p w14:paraId="3E279567" w14:textId="65AC1FCC" w:rsidR="00770BDA" w:rsidRPr="00E65CC7" w:rsidRDefault="00770BDA" w:rsidP="00BB473B">
      <w:pPr>
        <w:pStyle w:val="TOC1"/>
        <w:tabs>
          <w:tab w:val="right" w:leader="dot" w:pos="9350"/>
        </w:tabs>
        <w:ind w:firstLine="0"/>
        <w:rPr>
          <w:rFonts w:eastAsiaTheme="minorEastAsia" w:cs="Times New Roman"/>
          <w:noProof/>
          <w:color w:val="000000" w:themeColor="text1"/>
          <w:sz w:val="28"/>
          <w:szCs w:val="28"/>
        </w:rPr>
      </w:pPr>
      <w:hyperlink w:anchor="_Toc239108806" w:history="1">
        <w:r w:rsidRPr="00E65CC7">
          <w:rPr>
            <w:rStyle w:val="Hyperlink"/>
            <w:rFonts w:cs="Times New Roman"/>
            <w:noProof/>
            <w:color w:val="000000" w:themeColor="text1"/>
            <w:sz w:val="28"/>
            <w:szCs w:val="28"/>
          </w:rPr>
          <w:t>TABLE OF AUTHORITIES</w:t>
        </w:r>
        <w:r w:rsidRPr="00E65CC7">
          <w:rPr>
            <w:rFonts w:cs="Times New Roman"/>
            <w:noProof/>
            <w:webHidden/>
            <w:color w:val="000000" w:themeColor="text1"/>
            <w:sz w:val="28"/>
            <w:szCs w:val="28"/>
          </w:rPr>
          <w:tab/>
        </w:r>
        <w:r w:rsidRPr="00E65CC7">
          <w:rPr>
            <w:rFonts w:cs="Times New Roman"/>
            <w:noProof/>
            <w:webHidden/>
            <w:color w:val="000000" w:themeColor="text1"/>
            <w:sz w:val="28"/>
            <w:szCs w:val="28"/>
          </w:rPr>
          <w:fldChar w:fldCharType="begin"/>
        </w:r>
        <w:r w:rsidRPr="00E65CC7">
          <w:rPr>
            <w:rFonts w:cs="Times New Roman"/>
            <w:noProof/>
            <w:webHidden/>
            <w:color w:val="000000" w:themeColor="text1"/>
            <w:sz w:val="28"/>
            <w:szCs w:val="28"/>
          </w:rPr>
          <w:instrText xml:space="preserve"> PAGEREF _Toc239108806 \h </w:instrText>
        </w:r>
        <w:r w:rsidRPr="00E65CC7">
          <w:rPr>
            <w:rFonts w:cs="Times New Roman"/>
            <w:noProof/>
            <w:webHidden/>
            <w:color w:val="000000" w:themeColor="text1"/>
            <w:sz w:val="28"/>
            <w:szCs w:val="28"/>
          </w:rPr>
        </w:r>
        <w:r w:rsidRPr="00E65CC7">
          <w:rPr>
            <w:rFonts w:cs="Times New Roman"/>
            <w:noProof/>
            <w:webHidden/>
            <w:color w:val="000000" w:themeColor="text1"/>
            <w:sz w:val="28"/>
            <w:szCs w:val="28"/>
          </w:rPr>
          <w:fldChar w:fldCharType="separate"/>
        </w:r>
        <w:r w:rsidRPr="00E65CC7">
          <w:rPr>
            <w:rFonts w:cs="Times New Roman"/>
            <w:noProof/>
            <w:webHidden/>
            <w:color w:val="000000" w:themeColor="text1"/>
            <w:sz w:val="28"/>
            <w:szCs w:val="28"/>
          </w:rPr>
          <w:t>ii</w:t>
        </w:r>
        <w:r w:rsidRPr="00E65CC7">
          <w:rPr>
            <w:rFonts w:cs="Times New Roman"/>
            <w:noProof/>
            <w:webHidden/>
            <w:color w:val="000000" w:themeColor="text1"/>
            <w:sz w:val="28"/>
            <w:szCs w:val="28"/>
          </w:rPr>
          <w:fldChar w:fldCharType="end"/>
        </w:r>
      </w:hyperlink>
    </w:p>
    <w:p w14:paraId="0F9B59DA" w14:textId="7852BEBC" w:rsidR="00770BDA" w:rsidRPr="00E65CC7" w:rsidRDefault="00770BDA" w:rsidP="00BB473B">
      <w:pPr>
        <w:pStyle w:val="TOC1"/>
        <w:tabs>
          <w:tab w:val="right" w:leader="dot" w:pos="9350"/>
        </w:tabs>
        <w:ind w:firstLine="0"/>
        <w:rPr>
          <w:rFonts w:eastAsiaTheme="minorEastAsia" w:cs="Times New Roman"/>
          <w:noProof/>
          <w:color w:val="000000" w:themeColor="text1"/>
          <w:sz w:val="28"/>
          <w:szCs w:val="28"/>
        </w:rPr>
      </w:pPr>
      <w:hyperlink w:anchor="_Toc239108807" w:history="1">
        <w:r w:rsidRPr="00E65CC7">
          <w:rPr>
            <w:rStyle w:val="Hyperlink"/>
            <w:rFonts w:cs="Times New Roman"/>
            <w:noProof/>
            <w:color w:val="000000" w:themeColor="text1"/>
            <w:sz w:val="28"/>
            <w:szCs w:val="28"/>
          </w:rPr>
          <w:t>INTRODUCTION</w:t>
        </w:r>
        <w:r w:rsidRPr="00E65CC7">
          <w:rPr>
            <w:rFonts w:cs="Times New Roman"/>
            <w:noProof/>
            <w:webHidden/>
            <w:color w:val="000000" w:themeColor="text1"/>
            <w:sz w:val="28"/>
            <w:szCs w:val="28"/>
          </w:rPr>
          <w:tab/>
        </w:r>
        <w:r w:rsidRPr="00E65CC7">
          <w:rPr>
            <w:rFonts w:cs="Times New Roman"/>
            <w:noProof/>
            <w:webHidden/>
            <w:color w:val="000000" w:themeColor="text1"/>
            <w:sz w:val="28"/>
            <w:szCs w:val="28"/>
          </w:rPr>
          <w:fldChar w:fldCharType="begin"/>
        </w:r>
        <w:r w:rsidRPr="00E65CC7">
          <w:rPr>
            <w:rFonts w:cs="Times New Roman"/>
            <w:noProof/>
            <w:webHidden/>
            <w:color w:val="000000" w:themeColor="text1"/>
            <w:sz w:val="28"/>
            <w:szCs w:val="28"/>
          </w:rPr>
          <w:instrText xml:space="preserve"> PAGEREF _Toc239108807 \h </w:instrText>
        </w:r>
        <w:r w:rsidRPr="00E65CC7">
          <w:rPr>
            <w:rFonts w:cs="Times New Roman"/>
            <w:noProof/>
            <w:webHidden/>
            <w:color w:val="000000" w:themeColor="text1"/>
            <w:sz w:val="28"/>
            <w:szCs w:val="28"/>
          </w:rPr>
        </w:r>
        <w:r w:rsidRPr="00E65CC7">
          <w:rPr>
            <w:rFonts w:cs="Times New Roman"/>
            <w:noProof/>
            <w:webHidden/>
            <w:color w:val="000000" w:themeColor="text1"/>
            <w:sz w:val="28"/>
            <w:szCs w:val="28"/>
          </w:rPr>
          <w:fldChar w:fldCharType="separate"/>
        </w:r>
        <w:r w:rsidRPr="00E65CC7">
          <w:rPr>
            <w:rFonts w:cs="Times New Roman"/>
            <w:noProof/>
            <w:webHidden/>
            <w:color w:val="000000" w:themeColor="text1"/>
            <w:sz w:val="28"/>
            <w:szCs w:val="28"/>
          </w:rPr>
          <w:t>1</w:t>
        </w:r>
        <w:r w:rsidRPr="00E65CC7">
          <w:rPr>
            <w:rFonts w:cs="Times New Roman"/>
            <w:noProof/>
            <w:webHidden/>
            <w:color w:val="000000" w:themeColor="text1"/>
            <w:sz w:val="28"/>
            <w:szCs w:val="28"/>
          </w:rPr>
          <w:fldChar w:fldCharType="end"/>
        </w:r>
      </w:hyperlink>
    </w:p>
    <w:p w14:paraId="55D2B3F8" w14:textId="63AF8EB7" w:rsidR="00770BDA" w:rsidRPr="00E65CC7" w:rsidRDefault="00770BDA" w:rsidP="00BB473B">
      <w:pPr>
        <w:pStyle w:val="TOC1"/>
        <w:tabs>
          <w:tab w:val="right" w:leader="dot" w:pos="9350"/>
        </w:tabs>
        <w:ind w:firstLine="0"/>
        <w:rPr>
          <w:rFonts w:eastAsiaTheme="minorEastAsia" w:cs="Times New Roman"/>
          <w:noProof/>
          <w:color w:val="000000" w:themeColor="text1"/>
          <w:sz w:val="28"/>
          <w:szCs w:val="28"/>
        </w:rPr>
      </w:pPr>
      <w:hyperlink w:anchor="_Toc239108808" w:history="1">
        <w:r w:rsidRPr="00E65CC7">
          <w:rPr>
            <w:rStyle w:val="Hyperlink"/>
            <w:rFonts w:cs="Times New Roman"/>
            <w:noProof/>
            <w:color w:val="000000" w:themeColor="text1"/>
            <w:sz w:val="28"/>
            <w:szCs w:val="28"/>
          </w:rPr>
          <w:t>STATEMENT OF FACTS</w:t>
        </w:r>
        <w:r w:rsidRPr="00E65CC7">
          <w:rPr>
            <w:rFonts w:cs="Times New Roman"/>
            <w:noProof/>
            <w:webHidden/>
            <w:color w:val="000000" w:themeColor="text1"/>
            <w:sz w:val="28"/>
            <w:szCs w:val="28"/>
          </w:rPr>
          <w:tab/>
        </w:r>
        <w:r w:rsidRPr="00E65CC7">
          <w:rPr>
            <w:rFonts w:cs="Times New Roman"/>
            <w:noProof/>
            <w:webHidden/>
            <w:color w:val="000000" w:themeColor="text1"/>
            <w:sz w:val="28"/>
            <w:szCs w:val="28"/>
          </w:rPr>
          <w:fldChar w:fldCharType="begin"/>
        </w:r>
        <w:r w:rsidRPr="00E65CC7">
          <w:rPr>
            <w:rFonts w:cs="Times New Roman"/>
            <w:noProof/>
            <w:webHidden/>
            <w:color w:val="000000" w:themeColor="text1"/>
            <w:sz w:val="28"/>
            <w:szCs w:val="28"/>
          </w:rPr>
          <w:instrText xml:space="preserve"> PAGEREF _Toc239108808 \h </w:instrText>
        </w:r>
        <w:r w:rsidRPr="00E65CC7">
          <w:rPr>
            <w:rFonts w:cs="Times New Roman"/>
            <w:noProof/>
            <w:webHidden/>
            <w:color w:val="000000" w:themeColor="text1"/>
            <w:sz w:val="28"/>
            <w:szCs w:val="28"/>
          </w:rPr>
        </w:r>
        <w:r w:rsidRPr="00E65CC7">
          <w:rPr>
            <w:rFonts w:cs="Times New Roman"/>
            <w:noProof/>
            <w:webHidden/>
            <w:color w:val="000000" w:themeColor="text1"/>
            <w:sz w:val="28"/>
            <w:szCs w:val="28"/>
          </w:rPr>
          <w:fldChar w:fldCharType="separate"/>
        </w:r>
        <w:r w:rsidRPr="00E65CC7">
          <w:rPr>
            <w:rFonts w:cs="Times New Roman"/>
            <w:noProof/>
            <w:webHidden/>
            <w:color w:val="000000" w:themeColor="text1"/>
            <w:sz w:val="28"/>
            <w:szCs w:val="28"/>
          </w:rPr>
          <w:t>1</w:t>
        </w:r>
        <w:r w:rsidRPr="00E65CC7">
          <w:rPr>
            <w:rFonts w:cs="Times New Roman"/>
            <w:noProof/>
            <w:webHidden/>
            <w:color w:val="000000" w:themeColor="text1"/>
            <w:sz w:val="28"/>
            <w:szCs w:val="28"/>
          </w:rPr>
          <w:fldChar w:fldCharType="end"/>
        </w:r>
      </w:hyperlink>
    </w:p>
    <w:p w14:paraId="0F4F1EA4" w14:textId="487448CF" w:rsidR="00770BDA" w:rsidRPr="00E65CC7" w:rsidRDefault="00770BDA" w:rsidP="00BB473B">
      <w:pPr>
        <w:pStyle w:val="TOC1"/>
        <w:tabs>
          <w:tab w:val="right" w:leader="dot" w:pos="9350"/>
        </w:tabs>
        <w:ind w:firstLine="0"/>
        <w:rPr>
          <w:rFonts w:eastAsiaTheme="minorEastAsia" w:cs="Times New Roman"/>
          <w:noProof/>
          <w:color w:val="000000" w:themeColor="text1"/>
          <w:sz w:val="28"/>
          <w:szCs w:val="28"/>
        </w:rPr>
      </w:pPr>
      <w:hyperlink w:anchor="_Toc239108809" w:history="1">
        <w:r w:rsidRPr="00E65CC7">
          <w:rPr>
            <w:rStyle w:val="Hyperlink"/>
            <w:rFonts w:cs="Times New Roman"/>
            <w:noProof/>
            <w:color w:val="000000" w:themeColor="text1"/>
            <w:sz w:val="28"/>
            <w:szCs w:val="28"/>
          </w:rPr>
          <w:t>ARGUMENT</w:t>
        </w:r>
        <w:r w:rsidRPr="00E65CC7">
          <w:rPr>
            <w:rFonts w:cs="Times New Roman"/>
            <w:noProof/>
            <w:webHidden/>
            <w:color w:val="000000" w:themeColor="text1"/>
            <w:sz w:val="28"/>
            <w:szCs w:val="28"/>
          </w:rPr>
          <w:tab/>
        </w:r>
        <w:r w:rsidRPr="00E65CC7">
          <w:rPr>
            <w:rFonts w:cs="Times New Roman"/>
            <w:noProof/>
            <w:webHidden/>
            <w:color w:val="000000" w:themeColor="text1"/>
            <w:sz w:val="28"/>
            <w:szCs w:val="28"/>
          </w:rPr>
          <w:fldChar w:fldCharType="begin"/>
        </w:r>
        <w:r w:rsidRPr="00E65CC7">
          <w:rPr>
            <w:rFonts w:cs="Times New Roman"/>
            <w:noProof/>
            <w:webHidden/>
            <w:color w:val="000000" w:themeColor="text1"/>
            <w:sz w:val="28"/>
            <w:szCs w:val="28"/>
          </w:rPr>
          <w:instrText xml:space="preserve"> PAGEREF _Toc239108809 \h </w:instrText>
        </w:r>
        <w:r w:rsidRPr="00E65CC7">
          <w:rPr>
            <w:rFonts w:cs="Times New Roman"/>
            <w:noProof/>
            <w:webHidden/>
            <w:color w:val="000000" w:themeColor="text1"/>
            <w:sz w:val="28"/>
            <w:szCs w:val="28"/>
          </w:rPr>
        </w:r>
        <w:r w:rsidRPr="00E65CC7">
          <w:rPr>
            <w:rFonts w:cs="Times New Roman"/>
            <w:noProof/>
            <w:webHidden/>
            <w:color w:val="000000" w:themeColor="text1"/>
            <w:sz w:val="28"/>
            <w:szCs w:val="28"/>
          </w:rPr>
          <w:fldChar w:fldCharType="separate"/>
        </w:r>
        <w:r w:rsidRPr="00E65CC7">
          <w:rPr>
            <w:rFonts w:cs="Times New Roman"/>
            <w:noProof/>
            <w:webHidden/>
            <w:color w:val="000000" w:themeColor="text1"/>
            <w:sz w:val="28"/>
            <w:szCs w:val="28"/>
          </w:rPr>
          <w:t>4</w:t>
        </w:r>
        <w:r w:rsidRPr="00E65CC7">
          <w:rPr>
            <w:rFonts w:cs="Times New Roman"/>
            <w:noProof/>
            <w:webHidden/>
            <w:color w:val="000000" w:themeColor="text1"/>
            <w:sz w:val="28"/>
            <w:szCs w:val="28"/>
          </w:rPr>
          <w:fldChar w:fldCharType="end"/>
        </w:r>
      </w:hyperlink>
    </w:p>
    <w:p w14:paraId="6957427B" w14:textId="7E0D3EC6" w:rsidR="00770BDA" w:rsidRPr="006134A9" w:rsidRDefault="00770BDA" w:rsidP="006134A9">
      <w:pPr>
        <w:pStyle w:val="TOC2"/>
        <w:rPr>
          <w:rFonts w:eastAsiaTheme="minorEastAsia"/>
        </w:rPr>
      </w:pPr>
      <w:hyperlink w:anchor="_Toc239108810" w:history="1">
        <w:r w:rsidRPr="006134A9">
          <w:rPr>
            <w:rStyle w:val="Hyperlink"/>
            <w:b w:val="0"/>
            <w:bCs w:val="0"/>
            <w:color w:val="000000" w:themeColor="text1"/>
            <w:u w:val="none"/>
          </w:rPr>
          <w:t>I.</w:t>
        </w:r>
        <w:r w:rsidRPr="006134A9">
          <w:rPr>
            <w:rFonts w:eastAsiaTheme="minorEastAsia"/>
          </w:rPr>
          <w:tab/>
        </w:r>
        <w:r w:rsidR="00413D3E" w:rsidRPr="006134A9">
          <w:rPr>
            <w:b w:val="0"/>
            <w:bCs w:val="0"/>
            <w:u w:val="single"/>
          </w:rPr>
          <w:t>The Government violated the Immunity Agreement by following an investigative lead from Ms. Calloway’s compelled testimony.</w:t>
        </w:r>
        <w:r w:rsidRPr="006134A9">
          <w:rPr>
            <w:b w:val="0"/>
            <w:bCs w:val="0"/>
            <w:webHidden/>
          </w:rPr>
          <w:tab/>
        </w:r>
        <w:r w:rsidRPr="006134A9">
          <w:rPr>
            <w:b w:val="0"/>
            <w:bCs w:val="0"/>
            <w:webHidden/>
          </w:rPr>
          <w:fldChar w:fldCharType="begin"/>
        </w:r>
        <w:r w:rsidRPr="006134A9">
          <w:rPr>
            <w:b w:val="0"/>
            <w:bCs w:val="0"/>
            <w:webHidden/>
          </w:rPr>
          <w:instrText xml:space="preserve"> PAGEREF _Toc239108810 \h </w:instrText>
        </w:r>
        <w:r w:rsidRPr="006134A9">
          <w:rPr>
            <w:b w:val="0"/>
            <w:bCs w:val="0"/>
            <w:webHidden/>
          </w:rPr>
        </w:r>
        <w:r w:rsidRPr="006134A9">
          <w:rPr>
            <w:b w:val="0"/>
            <w:bCs w:val="0"/>
            <w:webHidden/>
          </w:rPr>
          <w:fldChar w:fldCharType="separate"/>
        </w:r>
        <w:r w:rsidRPr="006134A9">
          <w:rPr>
            <w:b w:val="0"/>
            <w:bCs w:val="0"/>
            <w:webHidden/>
          </w:rPr>
          <w:t>4</w:t>
        </w:r>
        <w:r w:rsidRPr="006134A9">
          <w:rPr>
            <w:b w:val="0"/>
            <w:bCs w:val="0"/>
            <w:webHidden/>
          </w:rPr>
          <w:fldChar w:fldCharType="end"/>
        </w:r>
      </w:hyperlink>
    </w:p>
    <w:p w14:paraId="539E5EC5" w14:textId="5F3615BE" w:rsidR="00770BDA" w:rsidRPr="006134A9" w:rsidRDefault="00770BDA" w:rsidP="006134A9">
      <w:pPr>
        <w:pStyle w:val="TOC3"/>
        <w:rPr>
          <w:rFonts w:eastAsiaTheme="minorEastAsia"/>
        </w:rPr>
      </w:pPr>
      <w:hyperlink w:anchor="_Toc239108811" w:history="1">
        <w:r w:rsidRPr="006134A9">
          <w:rPr>
            <w:rStyle w:val="Hyperlink"/>
            <w:b/>
            <w:bCs/>
            <w:color w:val="000000" w:themeColor="text1"/>
          </w:rPr>
          <w:t>A.</w:t>
        </w:r>
        <w:r w:rsidRPr="006134A9">
          <w:rPr>
            <w:rFonts w:eastAsiaTheme="minorEastAsia"/>
          </w:rPr>
          <w:tab/>
        </w:r>
        <w:r w:rsidRPr="006134A9">
          <w:rPr>
            <w:rStyle w:val="Hyperlink"/>
            <w:b/>
            <w:bCs/>
            <w:color w:val="000000" w:themeColor="text1"/>
          </w:rPr>
          <w:t>The Government fundamentally pivoted its investigation after compelling Ms. Calloway’s testimony over her Fifth Amendment protections.</w:t>
        </w:r>
        <w:r w:rsidRPr="006134A9">
          <w:rPr>
            <w:webHidden/>
          </w:rPr>
          <w:tab/>
        </w:r>
        <w:r w:rsidRPr="006134A9">
          <w:rPr>
            <w:webHidden/>
          </w:rPr>
          <w:fldChar w:fldCharType="begin"/>
        </w:r>
        <w:r w:rsidRPr="006134A9">
          <w:rPr>
            <w:webHidden/>
          </w:rPr>
          <w:instrText xml:space="preserve"> PAGEREF _Toc239108811 \h </w:instrText>
        </w:r>
        <w:r w:rsidRPr="006134A9">
          <w:rPr>
            <w:webHidden/>
          </w:rPr>
        </w:r>
        <w:r w:rsidRPr="006134A9">
          <w:rPr>
            <w:webHidden/>
          </w:rPr>
          <w:fldChar w:fldCharType="separate"/>
        </w:r>
        <w:r w:rsidRPr="006134A9">
          <w:rPr>
            <w:webHidden/>
          </w:rPr>
          <w:t>5</w:t>
        </w:r>
        <w:r w:rsidRPr="006134A9">
          <w:rPr>
            <w:webHidden/>
          </w:rPr>
          <w:fldChar w:fldCharType="end"/>
        </w:r>
      </w:hyperlink>
    </w:p>
    <w:p w14:paraId="7DA68F98" w14:textId="79ACB05E" w:rsidR="00770BDA" w:rsidRPr="006134A9" w:rsidRDefault="00770BDA" w:rsidP="006134A9">
      <w:pPr>
        <w:pStyle w:val="TOC3"/>
        <w:rPr>
          <w:rFonts w:eastAsiaTheme="minorEastAsia"/>
        </w:rPr>
      </w:pPr>
      <w:hyperlink w:anchor="_Toc239108812" w:history="1">
        <w:r w:rsidRPr="006134A9">
          <w:rPr>
            <w:rStyle w:val="Hyperlink"/>
            <w:b/>
            <w:bCs/>
            <w:color w:val="000000" w:themeColor="text1"/>
          </w:rPr>
          <w:t>B.</w:t>
        </w:r>
        <w:r w:rsidRPr="006134A9">
          <w:rPr>
            <w:rFonts w:eastAsiaTheme="minorEastAsia"/>
          </w:rPr>
          <w:tab/>
        </w:r>
        <w:r w:rsidRPr="006134A9">
          <w:rPr>
            <w:rStyle w:val="Hyperlink"/>
            <w:b/>
            <w:bCs/>
            <w:color w:val="000000" w:themeColor="text1"/>
          </w:rPr>
          <w:t>The Government has failed to prove that its evidence is not tainted by Ms. Calloway’s testimony.</w:t>
        </w:r>
        <w:r w:rsidRPr="006134A9">
          <w:rPr>
            <w:webHidden/>
          </w:rPr>
          <w:tab/>
        </w:r>
        <w:r w:rsidRPr="006134A9">
          <w:rPr>
            <w:webHidden/>
          </w:rPr>
          <w:fldChar w:fldCharType="begin"/>
        </w:r>
        <w:r w:rsidRPr="006134A9">
          <w:rPr>
            <w:webHidden/>
          </w:rPr>
          <w:instrText xml:space="preserve"> PAGEREF _Toc239108812 \h </w:instrText>
        </w:r>
        <w:r w:rsidRPr="006134A9">
          <w:rPr>
            <w:webHidden/>
          </w:rPr>
        </w:r>
        <w:r w:rsidRPr="006134A9">
          <w:rPr>
            <w:webHidden/>
          </w:rPr>
          <w:fldChar w:fldCharType="separate"/>
        </w:r>
        <w:r w:rsidRPr="006134A9">
          <w:rPr>
            <w:webHidden/>
          </w:rPr>
          <w:t>10</w:t>
        </w:r>
        <w:r w:rsidRPr="006134A9">
          <w:rPr>
            <w:webHidden/>
          </w:rPr>
          <w:fldChar w:fldCharType="end"/>
        </w:r>
      </w:hyperlink>
    </w:p>
    <w:p w14:paraId="79DFA6DD" w14:textId="5107F6A2" w:rsidR="00770BDA" w:rsidRPr="006134A9" w:rsidRDefault="00770BDA" w:rsidP="006134A9">
      <w:pPr>
        <w:pStyle w:val="TOC2"/>
        <w:rPr>
          <w:rFonts w:eastAsiaTheme="minorEastAsia"/>
        </w:rPr>
      </w:pPr>
      <w:hyperlink w:anchor="_Toc239108813" w:history="1">
        <w:r w:rsidRPr="006134A9">
          <w:rPr>
            <w:rStyle w:val="Hyperlink"/>
            <w:b w:val="0"/>
            <w:bCs w:val="0"/>
            <w:color w:val="000000" w:themeColor="text1"/>
            <w:u w:val="none"/>
          </w:rPr>
          <w:t>II.</w:t>
        </w:r>
        <w:r w:rsidRPr="006134A9">
          <w:rPr>
            <w:rFonts w:eastAsiaTheme="minorEastAsia"/>
          </w:rPr>
          <w:tab/>
        </w:r>
        <w:r w:rsidR="00413D3E" w:rsidRPr="006134A9">
          <w:rPr>
            <w:b w:val="0"/>
            <w:bCs w:val="0"/>
            <w:u w:val="single"/>
          </w:rPr>
          <w:t>This Court must grant Defendant’s Motion to Quash United States Subpoena Duces Tecum on Armana because any and all records related to their interview with Seton are protected as work-product</w:t>
        </w:r>
        <w:r w:rsidRPr="006134A9">
          <w:rPr>
            <w:b w:val="0"/>
            <w:bCs w:val="0"/>
            <w:webHidden/>
          </w:rPr>
          <w:tab/>
        </w:r>
        <w:r w:rsidRPr="006134A9">
          <w:rPr>
            <w:b w:val="0"/>
            <w:bCs w:val="0"/>
            <w:webHidden/>
          </w:rPr>
          <w:fldChar w:fldCharType="begin"/>
        </w:r>
        <w:r w:rsidRPr="006134A9">
          <w:rPr>
            <w:b w:val="0"/>
            <w:bCs w:val="0"/>
            <w:webHidden/>
          </w:rPr>
          <w:instrText xml:space="preserve"> PAGEREF _Toc239108813 \h </w:instrText>
        </w:r>
        <w:r w:rsidRPr="006134A9">
          <w:rPr>
            <w:b w:val="0"/>
            <w:bCs w:val="0"/>
            <w:webHidden/>
          </w:rPr>
        </w:r>
        <w:r w:rsidRPr="006134A9">
          <w:rPr>
            <w:b w:val="0"/>
            <w:bCs w:val="0"/>
            <w:webHidden/>
          </w:rPr>
          <w:fldChar w:fldCharType="separate"/>
        </w:r>
        <w:r w:rsidRPr="006134A9">
          <w:rPr>
            <w:b w:val="0"/>
            <w:bCs w:val="0"/>
            <w:webHidden/>
          </w:rPr>
          <w:t>12</w:t>
        </w:r>
        <w:r w:rsidRPr="006134A9">
          <w:rPr>
            <w:b w:val="0"/>
            <w:bCs w:val="0"/>
            <w:webHidden/>
          </w:rPr>
          <w:fldChar w:fldCharType="end"/>
        </w:r>
      </w:hyperlink>
    </w:p>
    <w:p w14:paraId="141154AA" w14:textId="141C8C87" w:rsidR="00770BDA" w:rsidRPr="00F63D4C" w:rsidRDefault="00770BDA" w:rsidP="00F63D4C">
      <w:pPr>
        <w:pStyle w:val="TOC4"/>
      </w:pPr>
      <w:hyperlink w:anchor="_Toc239108814" w:history="1">
        <w:r w:rsidRPr="00F63D4C">
          <w:rPr>
            <w:rStyle w:val="Hyperlink"/>
            <w:b/>
            <w:bCs/>
            <w:color w:val="000000" w:themeColor="text1"/>
          </w:rPr>
          <w:t>A. Attorney work-product privilege applies to all records of Armana’s interview with Seton because they include mental impressions prepared in anticipation of litigation.</w:t>
        </w:r>
        <w:r w:rsidRPr="00F63D4C">
          <w:rPr>
            <w:webHidden/>
          </w:rPr>
          <w:tab/>
        </w:r>
        <w:r w:rsidRPr="00F63D4C">
          <w:rPr>
            <w:webHidden/>
          </w:rPr>
          <w:fldChar w:fldCharType="begin"/>
        </w:r>
        <w:r w:rsidRPr="00F63D4C">
          <w:rPr>
            <w:webHidden/>
          </w:rPr>
          <w:instrText xml:space="preserve"> PAGEREF _Toc239108814 \h </w:instrText>
        </w:r>
        <w:r w:rsidRPr="00F63D4C">
          <w:rPr>
            <w:webHidden/>
          </w:rPr>
        </w:r>
        <w:r w:rsidRPr="00F63D4C">
          <w:rPr>
            <w:webHidden/>
          </w:rPr>
          <w:fldChar w:fldCharType="separate"/>
        </w:r>
        <w:r w:rsidRPr="00F63D4C">
          <w:rPr>
            <w:webHidden/>
          </w:rPr>
          <w:t>12</w:t>
        </w:r>
        <w:r w:rsidRPr="00F63D4C">
          <w:rPr>
            <w:webHidden/>
          </w:rPr>
          <w:fldChar w:fldCharType="end"/>
        </w:r>
      </w:hyperlink>
    </w:p>
    <w:p w14:paraId="77E9B248" w14:textId="0A27C9FC" w:rsidR="00770BDA" w:rsidRPr="00E65CC7" w:rsidRDefault="00770BDA" w:rsidP="00BB473B">
      <w:pPr>
        <w:pStyle w:val="TOC5"/>
        <w:rPr>
          <w:rFonts w:cs="Times New Roman"/>
          <w:noProof/>
          <w:color w:val="000000" w:themeColor="text1"/>
          <w:sz w:val="28"/>
          <w:szCs w:val="28"/>
        </w:rPr>
      </w:pPr>
      <w:hyperlink w:anchor="_Toc239108815" w:history="1">
        <w:r w:rsidRPr="00E65CC7">
          <w:rPr>
            <w:rStyle w:val="Hyperlink"/>
            <w:rFonts w:cs="Times New Roman"/>
            <w:noProof/>
            <w:color w:val="000000" w:themeColor="text1"/>
            <w:sz w:val="28"/>
            <w:szCs w:val="28"/>
          </w:rPr>
          <w:t>1.</w:t>
        </w:r>
        <w:r w:rsidRPr="00E65CC7">
          <w:rPr>
            <w:rFonts w:cs="Times New Roman"/>
            <w:noProof/>
            <w:color w:val="000000" w:themeColor="text1"/>
            <w:sz w:val="28"/>
            <w:szCs w:val="28"/>
          </w:rPr>
          <w:tab/>
        </w:r>
        <w:r w:rsidRPr="00F63D4C">
          <w:rPr>
            <w:rStyle w:val="Hyperlink"/>
            <w:rFonts w:cs="Times New Roman"/>
            <w:i/>
            <w:iCs/>
            <w:noProof/>
            <w:color w:val="000000" w:themeColor="text1"/>
            <w:sz w:val="28"/>
            <w:szCs w:val="28"/>
          </w:rPr>
          <w:t>Work-product privilege extends to Armana as an agent of counsel</w:t>
        </w:r>
        <w:r w:rsidRPr="00E65CC7">
          <w:rPr>
            <w:rFonts w:cs="Times New Roman"/>
            <w:noProof/>
            <w:webHidden/>
            <w:color w:val="000000" w:themeColor="text1"/>
            <w:sz w:val="28"/>
            <w:szCs w:val="28"/>
          </w:rPr>
          <w:tab/>
        </w:r>
        <w:r w:rsidRPr="00E65CC7">
          <w:rPr>
            <w:rFonts w:cs="Times New Roman"/>
            <w:noProof/>
            <w:webHidden/>
            <w:color w:val="000000" w:themeColor="text1"/>
            <w:sz w:val="28"/>
            <w:szCs w:val="28"/>
          </w:rPr>
          <w:fldChar w:fldCharType="begin"/>
        </w:r>
        <w:r w:rsidRPr="00E65CC7">
          <w:rPr>
            <w:rFonts w:cs="Times New Roman"/>
            <w:noProof/>
            <w:webHidden/>
            <w:color w:val="000000" w:themeColor="text1"/>
            <w:sz w:val="28"/>
            <w:szCs w:val="28"/>
          </w:rPr>
          <w:instrText xml:space="preserve"> PAGEREF _Toc239108815 \h </w:instrText>
        </w:r>
        <w:r w:rsidRPr="00E65CC7">
          <w:rPr>
            <w:rFonts w:cs="Times New Roman"/>
            <w:noProof/>
            <w:webHidden/>
            <w:color w:val="000000" w:themeColor="text1"/>
            <w:sz w:val="28"/>
            <w:szCs w:val="28"/>
          </w:rPr>
        </w:r>
        <w:r w:rsidRPr="00E65CC7">
          <w:rPr>
            <w:rFonts w:cs="Times New Roman"/>
            <w:noProof/>
            <w:webHidden/>
            <w:color w:val="000000" w:themeColor="text1"/>
            <w:sz w:val="28"/>
            <w:szCs w:val="28"/>
          </w:rPr>
          <w:fldChar w:fldCharType="separate"/>
        </w:r>
        <w:r w:rsidRPr="00E65CC7">
          <w:rPr>
            <w:rFonts w:cs="Times New Roman"/>
            <w:noProof/>
            <w:webHidden/>
            <w:color w:val="000000" w:themeColor="text1"/>
            <w:sz w:val="28"/>
            <w:szCs w:val="28"/>
          </w:rPr>
          <w:t>13</w:t>
        </w:r>
        <w:r w:rsidRPr="00E65CC7">
          <w:rPr>
            <w:rFonts w:cs="Times New Roman"/>
            <w:noProof/>
            <w:webHidden/>
            <w:color w:val="000000" w:themeColor="text1"/>
            <w:sz w:val="28"/>
            <w:szCs w:val="28"/>
          </w:rPr>
          <w:fldChar w:fldCharType="end"/>
        </w:r>
      </w:hyperlink>
    </w:p>
    <w:p w14:paraId="5B695AA8" w14:textId="29BB72CD" w:rsidR="00770BDA" w:rsidRPr="00F63D4C" w:rsidRDefault="00770BDA" w:rsidP="00F63D4C">
      <w:pPr>
        <w:pStyle w:val="TOC4"/>
      </w:pPr>
      <w:hyperlink w:anchor="_Toc239108816" w:history="1">
        <w:r w:rsidRPr="00F63D4C">
          <w:rPr>
            <w:rStyle w:val="Hyperlink"/>
            <w:b/>
            <w:bCs/>
            <w:color w:val="000000" w:themeColor="text1"/>
          </w:rPr>
          <w:t>B. There is no evidence of undue burden or substantial need to justify the production of protected materials.</w:t>
        </w:r>
        <w:r w:rsidRPr="00F63D4C">
          <w:rPr>
            <w:webHidden/>
          </w:rPr>
          <w:tab/>
        </w:r>
        <w:r w:rsidRPr="00F63D4C">
          <w:rPr>
            <w:webHidden/>
          </w:rPr>
          <w:fldChar w:fldCharType="begin"/>
        </w:r>
        <w:r w:rsidRPr="00F63D4C">
          <w:rPr>
            <w:webHidden/>
          </w:rPr>
          <w:instrText xml:space="preserve"> PAGEREF _Toc239108816 \h </w:instrText>
        </w:r>
        <w:r w:rsidRPr="00F63D4C">
          <w:rPr>
            <w:webHidden/>
          </w:rPr>
        </w:r>
        <w:r w:rsidRPr="00F63D4C">
          <w:rPr>
            <w:webHidden/>
          </w:rPr>
          <w:fldChar w:fldCharType="separate"/>
        </w:r>
        <w:r w:rsidRPr="00F63D4C">
          <w:rPr>
            <w:webHidden/>
          </w:rPr>
          <w:t>15</w:t>
        </w:r>
        <w:r w:rsidRPr="00F63D4C">
          <w:rPr>
            <w:webHidden/>
          </w:rPr>
          <w:fldChar w:fldCharType="end"/>
        </w:r>
      </w:hyperlink>
    </w:p>
    <w:p w14:paraId="73C7CB73" w14:textId="26C634BA" w:rsidR="00770BDA" w:rsidRPr="00F63D4C" w:rsidRDefault="00770BDA" w:rsidP="00F63D4C">
      <w:pPr>
        <w:pStyle w:val="TOC4"/>
      </w:pPr>
      <w:hyperlink w:anchor="_Toc239108817" w:history="1">
        <w:r w:rsidRPr="00F63D4C">
          <w:rPr>
            <w:rStyle w:val="Hyperlink"/>
            <w:b/>
            <w:bCs/>
            <w:color w:val="000000" w:themeColor="text1"/>
          </w:rPr>
          <w:t>C. The threshold for vitiating the work-product privilege is not met because, as opinion work-product, Armana’s materials are absolutely protected.</w:t>
        </w:r>
        <w:r w:rsidRPr="00F63D4C">
          <w:rPr>
            <w:webHidden/>
          </w:rPr>
          <w:tab/>
        </w:r>
        <w:r w:rsidR="008C49C8" w:rsidRPr="00F63D4C">
          <w:rPr>
            <w:webHidden/>
          </w:rPr>
          <w:t>17</w:t>
        </w:r>
      </w:hyperlink>
    </w:p>
    <w:p w14:paraId="52D4F49C" w14:textId="45CC8794" w:rsidR="00770BDA" w:rsidRPr="00E65CC7" w:rsidRDefault="00770BDA" w:rsidP="00BB473B">
      <w:pPr>
        <w:pStyle w:val="TOC1"/>
        <w:tabs>
          <w:tab w:val="right" w:leader="dot" w:pos="9350"/>
        </w:tabs>
        <w:ind w:firstLine="0"/>
        <w:rPr>
          <w:rFonts w:eastAsiaTheme="minorEastAsia" w:cs="Times New Roman"/>
          <w:noProof/>
          <w:color w:val="000000" w:themeColor="text1"/>
          <w:sz w:val="28"/>
          <w:szCs w:val="28"/>
        </w:rPr>
      </w:pPr>
      <w:hyperlink w:anchor="_Toc239108818" w:history="1">
        <w:r w:rsidRPr="00E65CC7">
          <w:rPr>
            <w:rStyle w:val="Hyperlink"/>
            <w:rFonts w:cs="Times New Roman"/>
            <w:noProof/>
            <w:color w:val="000000" w:themeColor="text1"/>
            <w:sz w:val="28"/>
            <w:szCs w:val="28"/>
          </w:rPr>
          <w:t>CONCLUSION</w:t>
        </w:r>
        <w:r w:rsidRPr="00E65CC7">
          <w:rPr>
            <w:rFonts w:cs="Times New Roman"/>
            <w:noProof/>
            <w:webHidden/>
            <w:color w:val="000000" w:themeColor="text1"/>
            <w:sz w:val="28"/>
            <w:szCs w:val="28"/>
          </w:rPr>
          <w:tab/>
        </w:r>
        <w:r w:rsidR="008C49C8">
          <w:rPr>
            <w:rFonts w:cs="Times New Roman"/>
            <w:noProof/>
            <w:webHidden/>
            <w:color w:val="000000" w:themeColor="text1"/>
            <w:sz w:val="28"/>
            <w:szCs w:val="28"/>
          </w:rPr>
          <w:t>20</w:t>
        </w:r>
      </w:hyperlink>
    </w:p>
    <w:p w14:paraId="5E56A5E7" w14:textId="25FF5DC9" w:rsidR="00492EB0" w:rsidRPr="00E65CC7" w:rsidRDefault="00770BDA" w:rsidP="00413D3E">
      <w:pPr>
        <w:pStyle w:val="Heading1"/>
        <w:jc w:val="left"/>
        <w:rPr>
          <w:rFonts w:cs="Times New Roman"/>
        </w:rPr>
      </w:pPr>
      <w:r w:rsidRPr="00E65CC7">
        <w:rPr>
          <w:rFonts w:cs="Times New Roman"/>
        </w:rPr>
        <w:fldChar w:fldCharType="end"/>
      </w:r>
      <w:bookmarkStart w:id="1" w:name="_Toc239108806"/>
    </w:p>
    <w:p w14:paraId="56D3483F" w14:textId="5D942996" w:rsidR="00CE6C98" w:rsidRPr="00E65CC7" w:rsidRDefault="00CE6C98" w:rsidP="00CE6C98">
      <w:pPr>
        <w:pStyle w:val="Heading1"/>
        <w:rPr>
          <w:rFonts w:cs="Times New Roman"/>
        </w:rPr>
      </w:pPr>
      <w:r w:rsidRPr="00E65CC7">
        <w:rPr>
          <w:rFonts w:cs="Times New Roman"/>
        </w:rPr>
        <w:lastRenderedPageBreak/>
        <w:t>TABLE OF AUTHORITIES</w:t>
      </w:r>
      <w:bookmarkEnd w:id="1"/>
    </w:p>
    <w:p w14:paraId="36E7198C" w14:textId="77777777" w:rsidR="00492EB0" w:rsidRPr="00E65CC7" w:rsidRDefault="00492EB0" w:rsidP="00492EB0">
      <w:pPr>
        <w:pStyle w:val="TOAHeading"/>
        <w:tabs>
          <w:tab w:val="right" w:leader="dot" w:pos="9350"/>
        </w:tabs>
        <w:ind w:firstLine="0"/>
        <w:rPr>
          <w:rFonts w:ascii="Times New Roman" w:eastAsiaTheme="minorEastAsia" w:hAnsi="Times New Roman" w:cs="Times New Roman"/>
          <w:b w:val="0"/>
          <w:bCs w:val="0"/>
          <w:noProof/>
          <w:sz w:val="28"/>
          <w:szCs w:val="28"/>
        </w:rPr>
      </w:pPr>
      <w:r w:rsidRPr="00E65CC7">
        <w:rPr>
          <w:rFonts w:ascii="Times New Roman" w:hAnsi="Times New Roman" w:cs="Times New Roman"/>
          <w:sz w:val="28"/>
          <w:szCs w:val="28"/>
        </w:rPr>
        <w:fldChar w:fldCharType="begin"/>
      </w:r>
      <w:r w:rsidRPr="00E65CC7">
        <w:rPr>
          <w:rFonts w:ascii="Times New Roman" w:hAnsi="Times New Roman" w:cs="Times New Roman"/>
          <w:sz w:val="28"/>
          <w:szCs w:val="28"/>
        </w:rPr>
        <w:instrText xml:space="preserve"> TOA \h \c "1" </w:instrText>
      </w:r>
      <w:r w:rsidRPr="00E65CC7">
        <w:rPr>
          <w:rFonts w:ascii="Times New Roman" w:hAnsi="Times New Roman" w:cs="Times New Roman"/>
          <w:sz w:val="28"/>
          <w:szCs w:val="28"/>
        </w:rPr>
        <w:fldChar w:fldCharType="separate"/>
      </w:r>
      <w:r w:rsidRPr="00E65CC7">
        <w:rPr>
          <w:rFonts w:ascii="Times New Roman" w:hAnsi="Times New Roman" w:cs="Times New Roman"/>
          <w:noProof/>
          <w:sz w:val="28"/>
          <w:szCs w:val="28"/>
        </w:rPr>
        <w:t>Cases</w:t>
      </w:r>
    </w:p>
    <w:p w14:paraId="5D2432DC" w14:textId="70A5D3F3" w:rsidR="00BB2234" w:rsidRPr="00BB2234" w:rsidRDefault="00BB2234" w:rsidP="00BB2234">
      <w:pPr>
        <w:pStyle w:val="TableofAuthorities"/>
        <w:tabs>
          <w:tab w:val="right" w:leader="dot" w:pos="9350"/>
        </w:tabs>
        <w:rPr>
          <w:rFonts w:cs="Times New Roman"/>
          <w:noProof/>
          <w:sz w:val="28"/>
          <w:szCs w:val="28"/>
        </w:rPr>
      </w:pPr>
      <w:r w:rsidRPr="00E65CC7">
        <w:rPr>
          <w:rFonts w:eastAsia="Times New Roman" w:cs="Times New Roman"/>
          <w:i/>
          <w:iCs/>
          <w:noProof/>
          <w:color w:val="000000"/>
          <w:kern w:val="0"/>
          <w:sz w:val="28"/>
          <w:szCs w:val="28"/>
          <w14:ligatures w14:val="none"/>
        </w:rPr>
        <w:t>Havener v. Gabby G. Fisheries, Inc.</w:t>
      </w:r>
      <w:r w:rsidRPr="00E65CC7">
        <w:rPr>
          <w:rFonts w:eastAsia="Times New Roman" w:cs="Times New Roman"/>
          <w:noProof/>
          <w:color w:val="000000"/>
          <w:kern w:val="0"/>
          <w:sz w:val="28"/>
          <w:szCs w:val="28"/>
          <w14:ligatures w14:val="none"/>
        </w:rPr>
        <w:t>, 615 F. Supp. 3d 1 (D. Mass. 2022)</w:t>
      </w:r>
      <w:r w:rsidRPr="00E65CC7">
        <w:rPr>
          <w:rFonts w:cs="Times New Roman"/>
          <w:noProof/>
          <w:sz w:val="28"/>
          <w:szCs w:val="28"/>
        </w:rPr>
        <w:tab/>
        <w:t>15</w:t>
      </w:r>
    </w:p>
    <w:p w14:paraId="5ACBD278" w14:textId="257D90AE" w:rsidR="00492EB0" w:rsidRPr="00E65CC7" w:rsidRDefault="00492EB0">
      <w:pPr>
        <w:pStyle w:val="TableofAuthorities"/>
        <w:tabs>
          <w:tab w:val="right" w:leader="dot" w:pos="9350"/>
        </w:tabs>
        <w:rPr>
          <w:rFonts w:cs="Times New Roman"/>
          <w:noProof/>
          <w:sz w:val="28"/>
          <w:szCs w:val="28"/>
        </w:rPr>
      </w:pPr>
      <w:r w:rsidRPr="00E65CC7">
        <w:rPr>
          <w:rFonts w:eastAsia="Times New Roman" w:cs="Times New Roman"/>
          <w:i/>
          <w:iCs/>
          <w:noProof/>
          <w:color w:val="000000"/>
          <w:kern w:val="0"/>
          <w:sz w:val="28"/>
          <w:szCs w:val="28"/>
          <w14:ligatures w14:val="none"/>
        </w:rPr>
        <w:t>Heartland Express, Inc., of Iowa v. Torres</w:t>
      </w:r>
      <w:r w:rsidRPr="00E65CC7">
        <w:rPr>
          <w:rFonts w:eastAsia="Times New Roman" w:cs="Times New Roman"/>
          <w:noProof/>
          <w:color w:val="000000"/>
          <w:kern w:val="0"/>
          <w:sz w:val="28"/>
          <w:szCs w:val="28"/>
          <w14:ligatures w14:val="none"/>
        </w:rPr>
        <w:t>, 90 So. 3d 365 (Fla. Dist. Ct. App. 2012)</w:t>
      </w:r>
      <w:r w:rsidRPr="00E65CC7">
        <w:rPr>
          <w:rFonts w:cs="Times New Roman"/>
          <w:noProof/>
          <w:sz w:val="28"/>
          <w:szCs w:val="28"/>
        </w:rPr>
        <w:tab/>
        <w:t>13</w:t>
      </w:r>
    </w:p>
    <w:p w14:paraId="585631CA" w14:textId="5DA1D0E5" w:rsidR="00492EB0" w:rsidRPr="00E65CC7" w:rsidRDefault="00492EB0">
      <w:pPr>
        <w:pStyle w:val="TableofAuthorities"/>
        <w:tabs>
          <w:tab w:val="right" w:leader="dot" w:pos="9350"/>
        </w:tabs>
        <w:rPr>
          <w:rFonts w:cs="Times New Roman"/>
          <w:noProof/>
          <w:sz w:val="28"/>
          <w:szCs w:val="28"/>
        </w:rPr>
      </w:pPr>
      <w:r w:rsidRPr="00E65CC7">
        <w:rPr>
          <w:rFonts w:eastAsia="Times New Roman" w:cs="Times New Roman"/>
          <w:i/>
          <w:iCs/>
          <w:noProof/>
          <w:color w:val="000000"/>
          <w:kern w:val="0"/>
          <w:sz w:val="28"/>
          <w:szCs w:val="28"/>
          <w14:ligatures w14:val="none"/>
        </w:rPr>
        <w:t xml:space="preserve">Butler v. Harter, </w:t>
      </w:r>
      <w:r w:rsidRPr="00E65CC7">
        <w:rPr>
          <w:rFonts w:eastAsia="Times New Roman" w:cs="Times New Roman"/>
          <w:color w:val="000000"/>
          <w:kern w:val="0"/>
          <w:sz w:val="28"/>
          <w:szCs w:val="28"/>
          <w14:ligatures w14:val="none"/>
        </w:rPr>
        <w:t>152 So. 3d 705 (Fla. Dist. Ct. App. 2014).</w:t>
      </w:r>
      <w:r w:rsidRPr="00E65CC7">
        <w:rPr>
          <w:rFonts w:cs="Times New Roman"/>
          <w:noProof/>
          <w:sz w:val="28"/>
          <w:szCs w:val="28"/>
        </w:rPr>
        <w:tab/>
        <w:t>16, 17, 18, 19</w:t>
      </w:r>
    </w:p>
    <w:p w14:paraId="7DC0F74F" w14:textId="74E004D7" w:rsidR="00492EB0" w:rsidRPr="00E65CC7" w:rsidRDefault="00492EB0">
      <w:pPr>
        <w:pStyle w:val="TableofAuthorities"/>
        <w:tabs>
          <w:tab w:val="right" w:leader="dot" w:pos="9350"/>
        </w:tabs>
        <w:rPr>
          <w:rFonts w:cs="Times New Roman"/>
          <w:noProof/>
          <w:sz w:val="28"/>
          <w:szCs w:val="28"/>
        </w:rPr>
      </w:pPr>
      <w:r w:rsidRPr="00E65CC7">
        <w:rPr>
          <w:rFonts w:eastAsia="Times New Roman" w:cs="Times New Roman"/>
          <w:i/>
          <w:iCs/>
          <w:noProof/>
          <w:color w:val="000000"/>
          <w:kern w:val="0"/>
          <w:sz w:val="28"/>
          <w:szCs w:val="28"/>
          <w14:ligatures w14:val="none"/>
        </w:rPr>
        <w:t>Cotton States Mut. Ins. Co. v. Turtle Reef Assocs., Inc.</w:t>
      </w:r>
      <w:r w:rsidRPr="00E65CC7">
        <w:rPr>
          <w:rFonts w:eastAsia="Times New Roman" w:cs="Times New Roman"/>
          <w:noProof/>
          <w:color w:val="000000"/>
          <w:kern w:val="0"/>
          <w:sz w:val="28"/>
          <w:szCs w:val="28"/>
          <w14:ligatures w14:val="none"/>
        </w:rPr>
        <w:t>, 444 So. 2d 595 (Fla. Dist. Ct. App. 1984)</w:t>
      </w:r>
      <w:r w:rsidRPr="00E65CC7">
        <w:rPr>
          <w:rFonts w:cs="Times New Roman"/>
          <w:noProof/>
          <w:sz w:val="28"/>
          <w:szCs w:val="28"/>
        </w:rPr>
        <w:tab/>
        <w:t>14</w:t>
      </w:r>
    </w:p>
    <w:p w14:paraId="6EDC853C" w14:textId="0A412FDA" w:rsidR="00492EB0" w:rsidRPr="00E65CC7" w:rsidRDefault="00492EB0">
      <w:pPr>
        <w:pStyle w:val="TableofAuthorities"/>
        <w:tabs>
          <w:tab w:val="right" w:leader="dot" w:pos="9350"/>
        </w:tabs>
        <w:rPr>
          <w:rFonts w:cs="Times New Roman"/>
          <w:noProof/>
          <w:sz w:val="28"/>
          <w:szCs w:val="28"/>
        </w:rPr>
      </w:pPr>
      <w:r w:rsidRPr="00E65CC7">
        <w:rPr>
          <w:rFonts w:eastAsia="Times New Roman" w:cs="Times New Roman"/>
          <w:i/>
          <w:iCs/>
          <w:noProof/>
          <w:color w:val="000000"/>
          <w:kern w:val="0"/>
          <w:sz w:val="28"/>
          <w:szCs w:val="28"/>
          <w14:ligatures w14:val="none"/>
        </w:rPr>
        <w:t>Dodson v.</w:t>
      </w:r>
      <w:r w:rsidRPr="00E65CC7">
        <w:rPr>
          <w:rFonts w:eastAsia="Times New Roman" w:cs="Times New Roman"/>
          <w:noProof/>
          <w:color w:val="000000"/>
          <w:kern w:val="0"/>
          <w:sz w:val="28"/>
          <w:szCs w:val="28"/>
          <w14:ligatures w14:val="none"/>
        </w:rPr>
        <w:t xml:space="preserve"> </w:t>
      </w:r>
      <w:r w:rsidRPr="00E65CC7">
        <w:rPr>
          <w:rFonts w:eastAsia="Times New Roman" w:cs="Times New Roman"/>
          <w:i/>
          <w:iCs/>
          <w:noProof/>
          <w:color w:val="000000"/>
          <w:kern w:val="0"/>
          <w:sz w:val="28"/>
          <w:szCs w:val="28"/>
          <w14:ligatures w14:val="none"/>
        </w:rPr>
        <w:t>Persell</w:t>
      </w:r>
      <w:r w:rsidRPr="00E65CC7">
        <w:rPr>
          <w:rFonts w:eastAsia="Times New Roman" w:cs="Times New Roman"/>
          <w:noProof/>
          <w:color w:val="000000"/>
          <w:kern w:val="0"/>
          <w:sz w:val="28"/>
          <w:szCs w:val="28"/>
          <w14:ligatures w14:val="none"/>
        </w:rPr>
        <w:t>, 390 So. 2d 704 (Fla. 1980)</w:t>
      </w:r>
      <w:r w:rsidRPr="00E65CC7">
        <w:rPr>
          <w:rFonts w:cs="Times New Roman"/>
          <w:noProof/>
          <w:sz w:val="28"/>
          <w:szCs w:val="28"/>
        </w:rPr>
        <w:tab/>
        <w:t>15</w:t>
      </w:r>
    </w:p>
    <w:p w14:paraId="1CF05273" w14:textId="0CA4B0D8" w:rsidR="00492EB0" w:rsidRPr="00E65CC7" w:rsidRDefault="00492EB0">
      <w:pPr>
        <w:pStyle w:val="TableofAuthorities"/>
        <w:tabs>
          <w:tab w:val="right" w:leader="dot" w:pos="9350"/>
        </w:tabs>
        <w:rPr>
          <w:rFonts w:cs="Times New Roman"/>
          <w:noProof/>
          <w:sz w:val="28"/>
          <w:szCs w:val="28"/>
        </w:rPr>
      </w:pPr>
      <w:r w:rsidRPr="00E65CC7">
        <w:rPr>
          <w:rFonts w:eastAsia="Times New Roman" w:cs="Times New Roman"/>
          <w:i/>
          <w:iCs/>
          <w:noProof/>
          <w:color w:val="000000"/>
          <w:kern w:val="0"/>
          <w:sz w:val="28"/>
          <w:szCs w:val="28"/>
          <w14:ligatures w14:val="none"/>
        </w:rPr>
        <w:t>Ford Motor Co. v. Hall-Edwards</w:t>
      </w:r>
      <w:r w:rsidRPr="00E65CC7">
        <w:rPr>
          <w:rFonts w:eastAsia="Times New Roman" w:cs="Times New Roman"/>
          <w:noProof/>
          <w:color w:val="000000"/>
          <w:kern w:val="0"/>
          <w:sz w:val="28"/>
          <w:szCs w:val="28"/>
          <w14:ligatures w14:val="none"/>
        </w:rPr>
        <w:t>, 997 So. 2d 1148 (Fla. Dist. Ct. App. 2008);</w:t>
      </w:r>
      <w:r w:rsidRPr="00E65CC7">
        <w:rPr>
          <w:rFonts w:cs="Times New Roman"/>
          <w:noProof/>
          <w:sz w:val="28"/>
          <w:szCs w:val="28"/>
        </w:rPr>
        <w:tab/>
        <w:t>13, 19</w:t>
      </w:r>
    </w:p>
    <w:p w14:paraId="3A7F7AB7" w14:textId="6C9259D9" w:rsidR="00492EB0" w:rsidRPr="00E65CC7" w:rsidRDefault="00492EB0">
      <w:pPr>
        <w:pStyle w:val="TableofAuthorities"/>
        <w:tabs>
          <w:tab w:val="right" w:leader="dot" w:pos="9350"/>
        </w:tabs>
        <w:rPr>
          <w:rFonts w:cs="Times New Roman"/>
          <w:noProof/>
          <w:sz w:val="28"/>
          <w:szCs w:val="28"/>
        </w:rPr>
      </w:pPr>
      <w:r w:rsidRPr="00E65CC7">
        <w:rPr>
          <w:rFonts w:eastAsia="Times New Roman" w:cs="Times New Roman"/>
          <w:i/>
          <w:iCs/>
          <w:noProof/>
          <w:color w:val="000000"/>
          <w:kern w:val="0"/>
          <w:sz w:val="28"/>
          <w:szCs w:val="28"/>
          <w14:ligatures w14:val="none"/>
        </w:rPr>
        <w:t>Hickman v. Taylor</w:t>
      </w:r>
      <w:r w:rsidRPr="00E65CC7">
        <w:rPr>
          <w:rFonts w:eastAsia="Times New Roman" w:cs="Times New Roman"/>
          <w:noProof/>
          <w:color w:val="000000"/>
          <w:kern w:val="0"/>
          <w:sz w:val="28"/>
          <w:szCs w:val="28"/>
          <w14:ligatures w14:val="none"/>
        </w:rPr>
        <w:t>, 329 U.S. 495 (1947)</w:t>
      </w:r>
      <w:r w:rsidRPr="00E65CC7">
        <w:rPr>
          <w:rFonts w:cs="Times New Roman"/>
          <w:noProof/>
          <w:sz w:val="28"/>
          <w:szCs w:val="28"/>
        </w:rPr>
        <w:tab/>
        <w:t xml:space="preserve">12, 13, 15, 17, </w:t>
      </w:r>
      <w:r w:rsidR="00D0619F">
        <w:rPr>
          <w:rFonts w:cs="Times New Roman"/>
          <w:noProof/>
          <w:sz w:val="28"/>
          <w:szCs w:val="28"/>
        </w:rPr>
        <w:t>19</w:t>
      </w:r>
    </w:p>
    <w:p w14:paraId="479399D1" w14:textId="511F0FB8" w:rsidR="00492EB0" w:rsidRPr="00E65CC7" w:rsidRDefault="00492EB0">
      <w:pPr>
        <w:pStyle w:val="TableofAuthorities"/>
        <w:tabs>
          <w:tab w:val="right" w:leader="dot" w:pos="9350"/>
        </w:tabs>
        <w:rPr>
          <w:rFonts w:cs="Times New Roman"/>
          <w:noProof/>
          <w:sz w:val="28"/>
          <w:szCs w:val="28"/>
        </w:rPr>
      </w:pPr>
      <w:r w:rsidRPr="00E65CC7">
        <w:rPr>
          <w:rFonts w:cs="Times New Roman"/>
          <w:i/>
          <w:iCs/>
          <w:noProof/>
          <w:color w:val="000000"/>
          <w:sz w:val="28"/>
          <w:szCs w:val="28"/>
        </w:rPr>
        <w:t>Hoffman v. United States</w:t>
      </w:r>
      <w:r w:rsidRPr="00E65CC7">
        <w:rPr>
          <w:rFonts w:cs="Times New Roman"/>
          <w:noProof/>
          <w:color w:val="000000"/>
          <w:sz w:val="28"/>
          <w:szCs w:val="28"/>
        </w:rPr>
        <w:t>, 341 U.S. 479 (1951)</w:t>
      </w:r>
      <w:r w:rsidRPr="00E65CC7">
        <w:rPr>
          <w:rFonts w:cs="Times New Roman"/>
          <w:noProof/>
          <w:sz w:val="28"/>
          <w:szCs w:val="28"/>
        </w:rPr>
        <w:tab/>
        <w:t>5</w:t>
      </w:r>
    </w:p>
    <w:p w14:paraId="0480D0E1" w14:textId="68A5E509" w:rsidR="00492EB0" w:rsidRPr="00E65CC7" w:rsidRDefault="00492EB0">
      <w:pPr>
        <w:pStyle w:val="TableofAuthorities"/>
        <w:tabs>
          <w:tab w:val="right" w:leader="dot" w:pos="9350"/>
        </w:tabs>
        <w:rPr>
          <w:rFonts w:cs="Times New Roman"/>
          <w:noProof/>
          <w:sz w:val="28"/>
          <w:szCs w:val="28"/>
        </w:rPr>
      </w:pPr>
      <w:r w:rsidRPr="00E65CC7">
        <w:rPr>
          <w:rFonts w:eastAsia="Times New Roman" w:cs="Times New Roman"/>
          <w:i/>
          <w:iCs/>
          <w:noProof/>
          <w:color w:val="000000"/>
          <w:kern w:val="0"/>
          <w:sz w:val="28"/>
          <w:szCs w:val="28"/>
          <w14:ligatures w14:val="none"/>
        </w:rPr>
        <w:t>In re Grand Jury Investigation</w:t>
      </w:r>
      <w:r w:rsidRPr="00E65CC7">
        <w:rPr>
          <w:rFonts w:eastAsia="Times New Roman" w:cs="Times New Roman"/>
          <w:noProof/>
          <w:color w:val="000000"/>
          <w:kern w:val="0"/>
          <w:sz w:val="28"/>
          <w:szCs w:val="28"/>
          <w14:ligatures w14:val="none"/>
        </w:rPr>
        <w:t xml:space="preserve">, </w:t>
      </w:r>
      <w:r w:rsidRPr="00E65CC7">
        <w:rPr>
          <w:rFonts w:cs="Times New Roman"/>
          <w:noProof/>
          <w:color w:val="000000"/>
          <w:sz w:val="28"/>
          <w:szCs w:val="28"/>
        </w:rPr>
        <w:t>599 F.2d 1224 (3d Cir. 1979)</w:t>
      </w:r>
      <w:r w:rsidRPr="00E65CC7">
        <w:rPr>
          <w:rFonts w:cs="Times New Roman"/>
          <w:noProof/>
          <w:sz w:val="28"/>
          <w:szCs w:val="28"/>
        </w:rPr>
        <w:tab/>
        <w:t>18</w:t>
      </w:r>
    </w:p>
    <w:p w14:paraId="5CD9F512" w14:textId="65052280" w:rsidR="00492EB0" w:rsidRPr="00E65CC7" w:rsidRDefault="00492EB0">
      <w:pPr>
        <w:pStyle w:val="TableofAuthorities"/>
        <w:tabs>
          <w:tab w:val="right" w:leader="dot" w:pos="9350"/>
        </w:tabs>
        <w:rPr>
          <w:rFonts w:cs="Times New Roman"/>
          <w:noProof/>
          <w:sz w:val="28"/>
          <w:szCs w:val="28"/>
        </w:rPr>
      </w:pPr>
      <w:r w:rsidRPr="00E65CC7">
        <w:rPr>
          <w:rFonts w:eastAsia="Times New Roman" w:cs="Times New Roman"/>
          <w:i/>
          <w:iCs/>
          <w:noProof/>
          <w:color w:val="000000"/>
          <w:kern w:val="0"/>
          <w:sz w:val="28"/>
          <w:szCs w:val="28"/>
          <w14:ligatures w14:val="none"/>
        </w:rPr>
        <w:t>Kastigar v. United States</w:t>
      </w:r>
      <w:r w:rsidRPr="00E65CC7">
        <w:rPr>
          <w:rFonts w:eastAsia="Times New Roman" w:cs="Times New Roman"/>
          <w:noProof/>
          <w:color w:val="000000"/>
          <w:kern w:val="0"/>
          <w:sz w:val="28"/>
          <w:szCs w:val="28"/>
          <w14:ligatures w14:val="none"/>
        </w:rPr>
        <w:t>, 406 U.S. 441 (1972).</w:t>
      </w:r>
      <w:r w:rsidRPr="00E65CC7">
        <w:rPr>
          <w:rFonts w:cs="Times New Roman"/>
          <w:noProof/>
          <w:sz w:val="28"/>
          <w:szCs w:val="28"/>
        </w:rPr>
        <w:tab/>
      </w:r>
      <w:r w:rsidR="00D0619F">
        <w:rPr>
          <w:rFonts w:cs="Times New Roman"/>
          <w:noProof/>
          <w:sz w:val="28"/>
          <w:szCs w:val="28"/>
        </w:rPr>
        <w:t xml:space="preserve">4, </w:t>
      </w:r>
      <w:r w:rsidRPr="00E65CC7">
        <w:rPr>
          <w:rFonts w:cs="Times New Roman"/>
          <w:noProof/>
          <w:sz w:val="28"/>
          <w:szCs w:val="28"/>
        </w:rPr>
        <w:t>5, 6, 1</w:t>
      </w:r>
      <w:r w:rsidR="00D0619F">
        <w:rPr>
          <w:rFonts w:cs="Times New Roman"/>
          <w:noProof/>
          <w:sz w:val="28"/>
          <w:szCs w:val="28"/>
        </w:rPr>
        <w:t>0</w:t>
      </w:r>
    </w:p>
    <w:p w14:paraId="309B8942" w14:textId="48D2D75A" w:rsidR="00492EB0" w:rsidRPr="00E65CC7" w:rsidRDefault="00492EB0">
      <w:pPr>
        <w:pStyle w:val="TableofAuthorities"/>
        <w:tabs>
          <w:tab w:val="right" w:leader="dot" w:pos="9350"/>
        </w:tabs>
        <w:rPr>
          <w:rFonts w:cs="Times New Roman"/>
          <w:noProof/>
          <w:sz w:val="28"/>
          <w:szCs w:val="28"/>
        </w:rPr>
      </w:pPr>
      <w:r w:rsidRPr="00E65CC7">
        <w:rPr>
          <w:rFonts w:eastAsia="Times New Roman" w:cs="Times New Roman"/>
          <w:i/>
          <w:iCs/>
          <w:noProof/>
          <w:color w:val="000000"/>
          <w:kern w:val="0"/>
          <w:sz w:val="28"/>
          <w:szCs w:val="28"/>
          <w14:ligatures w14:val="none"/>
        </w:rPr>
        <w:t>Nevin v. Palm Beach Cnty. School Bd.</w:t>
      </w:r>
      <w:r w:rsidRPr="00E65CC7">
        <w:rPr>
          <w:rFonts w:eastAsia="Times New Roman" w:cs="Times New Roman"/>
          <w:noProof/>
          <w:color w:val="000000"/>
          <w:kern w:val="0"/>
          <w:sz w:val="28"/>
          <w:szCs w:val="28"/>
          <w14:ligatures w14:val="none"/>
        </w:rPr>
        <w:t>,</w:t>
      </w:r>
      <w:r w:rsidRPr="00E65CC7">
        <w:rPr>
          <w:rFonts w:cs="Times New Roman"/>
          <w:sz w:val="28"/>
          <w:szCs w:val="28"/>
        </w:rPr>
        <w:t xml:space="preserve"> </w:t>
      </w:r>
      <w:r w:rsidRPr="00E65CC7">
        <w:rPr>
          <w:rFonts w:eastAsia="Times New Roman" w:cs="Times New Roman"/>
          <w:noProof/>
          <w:color w:val="000000"/>
          <w:kern w:val="0"/>
          <w:sz w:val="28"/>
          <w:szCs w:val="28"/>
          <w14:ligatures w14:val="none"/>
        </w:rPr>
        <w:t>958 So. 2d 1003 (Fla. 4th DCA 2007)</w:t>
      </w:r>
      <w:r w:rsidRPr="00E65CC7">
        <w:rPr>
          <w:rFonts w:cs="Times New Roman"/>
          <w:noProof/>
          <w:sz w:val="28"/>
          <w:szCs w:val="28"/>
        </w:rPr>
        <w:tab/>
        <w:t>14, 15</w:t>
      </w:r>
    </w:p>
    <w:p w14:paraId="59ED7B06" w14:textId="32503B49" w:rsidR="00492EB0" w:rsidRPr="00E65CC7" w:rsidRDefault="00492EB0">
      <w:pPr>
        <w:pStyle w:val="TableofAuthorities"/>
        <w:tabs>
          <w:tab w:val="right" w:leader="dot" w:pos="9350"/>
        </w:tabs>
        <w:rPr>
          <w:rFonts w:cs="Times New Roman"/>
          <w:noProof/>
          <w:sz w:val="28"/>
          <w:szCs w:val="28"/>
        </w:rPr>
      </w:pPr>
      <w:r w:rsidRPr="00E65CC7">
        <w:rPr>
          <w:rFonts w:eastAsia="Times New Roman" w:cs="Times New Roman"/>
          <w:i/>
          <w:iCs/>
          <w:noProof/>
          <w:color w:val="000000"/>
          <w:kern w:val="0"/>
          <w:sz w:val="28"/>
          <w:szCs w:val="28"/>
          <w14:ligatures w14:val="none"/>
        </w:rPr>
        <w:t>Paradise Pines Health Care Assn., LLC v. Bruce</w:t>
      </w:r>
      <w:r w:rsidRPr="00E65CC7">
        <w:rPr>
          <w:rFonts w:eastAsia="Times New Roman" w:cs="Times New Roman"/>
          <w:noProof/>
          <w:color w:val="000000"/>
          <w:kern w:val="0"/>
          <w:sz w:val="28"/>
          <w:szCs w:val="28"/>
          <w14:ligatures w14:val="none"/>
        </w:rPr>
        <w:t>, 27 So. 3d 83 (Fla. Dist. Ct. App. 2009)</w:t>
      </w:r>
      <w:r w:rsidRPr="00E65CC7">
        <w:rPr>
          <w:rFonts w:cs="Times New Roman"/>
          <w:noProof/>
          <w:sz w:val="28"/>
          <w:szCs w:val="28"/>
        </w:rPr>
        <w:tab/>
        <w:t>1</w:t>
      </w:r>
      <w:r w:rsidR="00D0619F">
        <w:rPr>
          <w:rFonts w:cs="Times New Roman"/>
          <w:noProof/>
          <w:sz w:val="28"/>
          <w:szCs w:val="28"/>
        </w:rPr>
        <w:t>5</w:t>
      </w:r>
    </w:p>
    <w:p w14:paraId="06956B0D" w14:textId="09940CA8" w:rsidR="00492EB0" w:rsidRPr="00E65CC7" w:rsidRDefault="00492EB0">
      <w:pPr>
        <w:pStyle w:val="TableofAuthorities"/>
        <w:tabs>
          <w:tab w:val="right" w:leader="dot" w:pos="9350"/>
        </w:tabs>
        <w:rPr>
          <w:rFonts w:cs="Times New Roman"/>
          <w:noProof/>
          <w:sz w:val="28"/>
          <w:szCs w:val="28"/>
        </w:rPr>
      </w:pPr>
      <w:r w:rsidRPr="00E65CC7">
        <w:rPr>
          <w:rFonts w:eastAsia="Times New Roman" w:cs="Times New Roman"/>
          <w:i/>
          <w:iCs/>
          <w:noProof/>
          <w:color w:val="000000"/>
          <w:kern w:val="0"/>
          <w:sz w:val="28"/>
          <w:szCs w:val="28"/>
          <w14:ligatures w14:val="none"/>
        </w:rPr>
        <w:t>United States v. Nobles</w:t>
      </w:r>
      <w:r w:rsidRPr="00E65CC7">
        <w:rPr>
          <w:rFonts w:eastAsia="Times New Roman" w:cs="Times New Roman"/>
          <w:noProof/>
          <w:color w:val="000000"/>
          <w:kern w:val="0"/>
          <w:sz w:val="28"/>
          <w:szCs w:val="28"/>
          <w14:ligatures w14:val="none"/>
        </w:rPr>
        <w:t>, 422 U.S. 225 (1975)</w:t>
      </w:r>
      <w:r w:rsidRPr="00E65CC7">
        <w:rPr>
          <w:rFonts w:cs="Times New Roman"/>
          <w:noProof/>
          <w:sz w:val="28"/>
          <w:szCs w:val="28"/>
        </w:rPr>
        <w:tab/>
        <w:t>13</w:t>
      </w:r>
    </w:p>
    <w:p w14:paraId="2D388B58" w14:textId="4E8BCA33" w:rsidR="00492EB0" w:rsidRPr="00E65CC7" w:rsidRDefault="00492EB0">
      <w:pPr>
        <w:pStyle w:val="TableofAuthorities"/>
        <w:tabs>
          <w:tab w:val="right" w:leader="dot" w:pos="9350"/>
        </w:tabs>
        <w:rPr>
          <w:rFonts w:cs="Times New Roman"/>
          <w:noProof/>
          <w:sz w:val="28"/>
          <w:szCs w:val="28"/>
        </w:rPr>
      </w:pPr>
      <w:r w:rsidRPr="00E65CC7">
        <w:rPr>
          <w:rFonts w:eastAsia="Times New Roman" w:cs="Times New Roman"/>
          <w:i/>
          <w:iCs/>
          <w:noProof/>
          <w:color w:val="000000"/>
          <w:kern w:val="0"/>
          <w:sz w:val="28"/>
          <w:szCs w:val="28"/>
          <w14:ligatures w14:val="none"/>
        </w:rPr>
        <w:lastRenderedPageBreak/>
        <w:t>State v. Rabin</w:t>
      </w:r>
      <w:r w:rsidRPr="00E65CC7">
        <w:rPr>
          <w:rFonts w:eastAsia="Times New Roman" w:cs="Times New Roman"/>
          <w:noProof/>
          <w:color w:val="000000"/>
          <w:kern w:val="0"/>
          <w:sz w:val="28"/>
          <w:szCs w:val="28"/>
          <w14:ligatures w14:val="none"/>
        </w:rPr>
        <w:t>, 495 So. 2d 257 (Fla. Dist. Ct. App. 1986)</w:t>
      </w:r>
      <w:r w:rsidRPr="00E65CC7">
        <w:rPr>
          <w:rFonts w:cs="Times New Roman"/>
          <w:noProof/>
          <w:sz w:val="28"/>
          <w:szCs w:val="28"/>
        </w:rPr>
        <w:tab/>
        <w:t>13, 18, 19</w:t>
      </w:r>
    </w:p>
    <w:p w14:paraId="6D467C98" w14:textId="754D8D3D" w:rsidR="00492EB0" w:rsidRPr="00E65CC7" w:rsidRDefault="00492EB0">
      <w:pPr>
        <w:pStyle w:val="TableofAuthorities"/>
        <w:tabs>
          <w:tab w:val="right" w:leader="dot" w:pos="9350"/>
        </w:tabs>
        <w:rPr>
          <w:rFonts w:cs="Times New Roman"/>
          <w:noProof/>
          <w:sz w:val="28"/>
          <w:szCs w:val="28"/>
        </w:rPr>
      </w:pPr>
      <w:r w:rsidRPr="00E65CC7">
        <w:rPr>
          <w:rFonts w:eastAsia="Times New Roman" w:cs="Times New Roman"/>
          <w:i/>
          <w:iCs/>
          <w:noProof/>
          <w:color w:val="000000"/>
          <w:kern w:val="0"/>
          <w:sz w:val="28"/>
          <w:szCs w:val="28"/>
          <w14:ligatures w14:val="none"/>
        </w:rPr>
        <w:t>United States v.</w:t>
      </w:r>
      <w:r w:rsidRPr="00D8732F">
        <w:rPr>
          <w:rFonts w:eastAsia="Times New Roman" w:cs="Times New Roman"/>
          <w:i/>
          <w:iCs/>
          <w:noProof/>
          <w:color w:val="000000"/>
          <w:kern w:val="0"/>
          <w:sz w:val="28"/>
          <w:szCs w:val="28"/>
          <w14:ligatures w14:val="none"/>
        </w:rPr>
        <w:t xml:space="preserve"> Bartel</w:t>
      </w:r>
      <w:r w:rsidR="00D8732F">
        <w:rPr>
          <w:rFonts w:eastAsia="Times New Roman" w:cs="Times New Roman"/>
          <w:noProof/>
          <w:color w:val="000000"/>
          <w:kern w:val="0"/>
          <w:sz w:val="28"/>
          <w:szCs w:val="28"/>
          <w14:ligatures w14:val="none"/>
        </w:rPr>
        <w:t xml:space="preserve">, </w:t>
      </w:r>
      <w:r w:rsidR="00D8732F" w:rsidRPr="00D8732F">
        <w:rPr>
          <w:rFonts w:eastAsia="Times New Roman" w:cs="Times New Roman"/>
          <w:color w:val="000000"/>
          <w:kern w:val="0"/>
          <w:sz w:val="28"/>
          <w:szCs w:val="28"/>
          <w14:ligatures w14:val="none"/>
        </w:rPr>
        <w:t>19</w:t>
      </w:r>
      <w:r w:rsidR="00D8732F" w:rsidRPr="00E65CC7">
        <w:rPr>
          <w:rFonts w:eastAsia="Times New Roman" w:cs="Times New Roman"/>
          <w:color w:val="000000"/>
          <w:kern w:val="0"/>
          <w:sz w:val="28"/>
          <w:szCs w:val="28"/>
          <w14:ligatures w14:val="none"/>
        </w:rPr>
        <w:t xml:space="preserve"> F.3d 1105</w:t>
      </w:r>
      <w:r w:rsidR="00D8732F">
        <w:rPr>
          <w:rFonts w:eastAsia="Times New Roman" w:cs="Times New Roman"/>
          <w:color w:val="000000"/>
          <w:kern w:val="0"/>
          <w:sz w:val="28"/>
          <w:szCs w:val="28"/>
          <w14:ligatures w14:val="none"/>
        </w:rPr>
        <w:t xml:space="preserve"> </w:t>
      </w:r>
      <w:r w:rsidR="00D8732F" w:rsidRPr="00E65CC7">
        <w:rPr>
          <w:rFonts w:eastAsia="Times New Roman" w:cs="Times New Roman"/>
          <w:color w:val="000000"/>
          <w:kern w:val="0"/>
          <w:sz w:val="28"/>
          <w:szCs w:val="28"/>
          <w14:ligatures w14:val="none"/>
        </w:rPr>
        <w:t>(6th Cir. 1994).</w:t>
      </w:r>
      <w:r w:rsidRPr="00E65CC7">
        <w:rPr>
          <w:rFonts w:cs="Times New Roman"/>
          <w:noProof/>
          <w:sz w:val="28"/>
          <w:szCs w:val="28"/>
        </w:rPr>
        <w:tab/>
        <w:t>7, 8, 9</w:t>
      </w:r>
    </w:p>
    <w:p w14:paraId="4426B3F4" w14:textId="4CB75BD2" w:rsidR="00492EB0" w:rsidRPr="00E65CC7" w:rsidRDefault="00492EB0">
      <w:pPr>
        <w:pStyle w:val="TableofAuthorities"/>
        <w:tabs>
          <w:tab w:val="right" w:leader="dot" w:pos="9350"/>
        </w:tabs>
        <w:rPr>
          <w:rFonts w:cs="Times New Roman"/>
          <w:noProof/>
          <w:sz w:val="28"/>
          <w:szCs w:val="28"/>
        </w:rPr>
      </w:pPr>
      <w:r w:rsidRPr="00E65CC7">
        <w:rPr>
          <w:rFonts w:eastAsia="Times New Roman" w:cs="Times New Roman"/>
          <w:i/>
          <w:iCs/>
          <w:noProof/>
          <w:color w:val="000000"/>
          <w:kern w:val="0"/>
          <w:sz w:val="28"/>
          <w:szCs w:val="28"/>
          <w14:ligatures w14:val="none"/>
        </w:rPr>
        <w:t>United States v. Hampton</w:t>
      </w:r>
      <w:r w:rsidRPr="00E65CC7">
        <w:rPr>
          <w:rFonts w:eastAsia="Times New Roman" w:cs="Times New Roman"/>
          <w:noProof/>
          <w:color w:val="000000"/>
          <w:kern w:val="0"/>
          <w:sz w:val="28"/>
          <w:szCs w:val="28"/>
          <w14:ligatures w14:val="none"/>
        </w:rPr>
        <w:t>, 775 F.2d 1479 (11th Cir. 1985)</w:t>
      </w:r>
      <w:r w:rsidRPr="00E65CC7">
        <w:rPr>
          <w:rFonts w:cs="Times New Roman"/>
          <w:noProof/>
          <w:sz w:val="28"/>
          <w:szCs w:val="28"/>
        </w:rPr>
        <w:tab/>
        <w:t>6</w:t>
      </w:r>
    </w:p>
    <w:p w14:paraId="1BD25E4D" w14:textId="1EE359AE" w:rsidR="00492EB0" w:rsidRPr="00E65CC7" w:rsidRDefault="00492EB0">
      <w:pPr>
        <w:pStyle w:val="TableofAuthorities"/>
        <w:tabs>
          <w:tab w:val="right" w:leader="dot" w:pos="9350"/>
        </w:tabs>
        <w:rPr>
          <w:rFonts w:cs="Times New Roman"/>
          <w:noProof/>
          <w:sz w:val="28"/>
          <w:szCs w:val="28"/>
        </w:rPr>
      </w:pPr>
      <w:r w:rsidRPr="00E65CC7">
        <w:rPr>
          <w:rFonts w:eastAsia="Times New Roman" w:cs="Times New Roman"/>
          <w:i/>
          <w:iCs/>
          <w:noProof/>
          <w:color w:val="000000"/>
          <w:kern w:val="0"/>
          <w:sz w:val="28"/>
          <w:szCs w:val="28"/>
          <w14:ligatures w14:val="none"/>
        </w:rPr>
        <w:t>United States v. Harris</w:t>
      </w:r>
      <w:r w:rsidRPr="00E65CC7">
        <w:rPr>
          <w:rFonts w:eastAsia="Times New Roman" w:cs="Times New Roman"/>
          <w:noProof/>
          <w:color w:val="000000"/>
          <w:kern w:val="0"/>
          <w:sz w:val="28"/>
          <w:szCs w:val="28"/>
          <w14:ligatures w14:val="none"/>
        </w:rPr>
        <w:t>, 973 F.2d 333  (4th Cir. 1992).</w:t>
      </w:r>
      <w:r w:rsidRPr="00E65CC7">
        <w:rPr>
          <w:rFonts w:cs="Times New Roman"/>
          <w:noProof/>
          <w:sz w:val="28"/>
          <w:szCs w:val="28"/>
        </w:rPr>
        <w:tab/>
        <w:t>6, 10</w:t>
      </w:r>
    </w:p>
    <w:p w14:paraId="70786E76" w14:textId="1B327E80" w:rsidR="00492EB0" w:rsidRPr="00E65CC7" w:rsidRDefault="00492EB0">
      <w:pPr>
        <w:pStyle w:val="TableofAuthorities"/>
        <w:tabs>
          <w:tab w:val="right" w:leader="dot" w:pos="9350"/>
        </w:tabs>
        <w:rPr>
          <w:rFonts w:cs="Times New Roman"/>
          <w:noProof/>
          <w:sz w:val="28"/>
          <w:szCs w:val="28"/>
        </w:rPr>
      </w:pPr>
      <w:r w:rsidRPr="00E65CC7">
        <w:rPr>
          <w:rFonts w:eastAsia="Times New Roman" w:cs="Times New Roman"/>
          <w:i/>
          <w:iCs/>
          <w:noProof/>
          <w:color w:val="000000"/>
          <w:kern w:val="0"/>
          <w:sz w:val="28"/>
          <w:szCs w:val="28"/>
          <w14:ligatures w14:val="none"/>
        </w:rPr>
        <w:t>United States v. Schmidgall</w:t>
      </w:r>
      <w:r w:rsidR="00D8732F">
        <w:rPr>
          <w:rFonts w:eastAsia="Times New Roman" w:cs="Times New Roman"/>
          <w:noProof/>
          <w:color w:val="000000"/>
          <w:kern w:val="0"/>
          <w:sz w:val="28"/>
          <w:szCs w:val="28"/>
          <w14:ligatures w14:val="none"/>
        </w:rPr>
        <w:t xml:space="preserve">, </w:t>
      </w:r>
      <w:r w:rsidR="00D8732F" w:rsidRPr="00E65CC7">
        <w:rPr>
          <w:rFonts w:eastAsia="Times New Roman" w:cs="Times New Roman"/>
          <w:color w:val="000000"/>
          <w:kern w:val="0"/>
          <w:sz w:val="28"/>
          <w:szCs w:val="28"/>
          <w14:ligatures w14:val="none"/>
        </w:rPr>
        <w:t>25 F.3d 1523</w:t>
      </w:r>
      <w:r w:rsidR="00D8732F">
        <w:rPr>
          <w:rFonts w:eastAsia="Times New Roman" w:cs="Times New Roman"/>
          <w:color w:val="000000"/>
          <w:kern w:val="0"/>
          <w:sz w:val="28"/>
          <w:szCs w:val="28"/>
          <w14:ligatures w14:val="none"/>
        </w:rPr>
        <w:t xml:space="preserve"> </w:t>
      </w:r>
      <w:r w:rsidR="00D8732F" w:rsidRPr="00E65CC7">
        <w:rPr>
          <w:rFonts w:eastAsia="Times New Roman" w:cs="Times New Roman"/>
          <w:color w:val="000000"/>
          <w:kern w:val="0"/>
          <w:sz w:val="28"/>
          <w:szCs w:val="28"/>
          <w14:ligatures w14:val="none"/>
        </w:rPr>
        <w:t>(11th Cir. 1994).</w:t>
      </w:r>
      <w:r w:rsidRPr="00E65CC7">
        <w:rPr>
          <w:rFonts w:cs="Times New Roman"/>
          <w:noProof/>
          <w:sz w:val="28"/>
          <w:szCs w:val="28"/>
        </w:rPr>
        <w:tab/>
        <w:t>7, 8, 10</w:t>
      </w:r>
    </w:p>
    <w:p w14:paraId="57329170" w14:textId="420C28F6" w:rsidR="00492EB0" w:rsidRPr="00E65CC7" w:rsidRDefault="00492EB0">
      <w:pPr>
        <w:pStyle w:val="TableofAuthorities"/>
        <w:tabs>
          <w:tab w:val="right" w:leader="dot" w:pos="9350"/>
        </w:tabs>
        <w:rPr>
          <w:rFonts w:cs="Times New Roman"/>
          <w:noProof/>
          <w:sz w:val="28"/>
          <w:szCs w:val="28"/>
        </w:rPr>
      </w:pPr>
      <w:r w:rsidRPr="00E65CC7">
        <w:rPr>
          <w:rFonts w:eastAsia="Times New Roman" w:cs="Times New Roman"/>
          <w:i/>
          <w:iCs/>
          <w:noProof/>
          <w:color w:val="000000"/>
          <w:kern w:val="0"/>
          <w:sz w:val="28"/>
          <w:szCs w:val="28"/>
          <w14:ligatures w14:val="none"/>
        </w:rPr>
        <w:t>Upjohn Co., v. U.S.</w:t>
      </w:r>
      <w:r w:rsidRPr="00E65CC7">
        <w:rPr>
          <w:rFonts w:eastAsia="Times New Roman" w:cs="Times New Roman"/>
          <w:noProof/>
          <w:color w:val="000000"/>
          <w:kern w:val="0"/>
          <w:sz w:val="28"/>
          <w:szCs w:val="28"/>
          <w14:ligatures w14:val="none"/>
        </w:rPr>
        <w:t>, 449 U.S. 383 (1981)</w:t>
      </w:r>
      <w:r w:rsidRPr="00E65CC7">
        <w:rPr>
          <w:rFonts w:cs="Times New Roman"/>
          <w:noProof/>
          <w:sz w:val="28"/>
          <w:szCs w:val="28"/>
        </w:rPr>
        <w:tab/>
        <w:t>18</w:t>
      </w:r>
    </w:p>
    <w:p w14:paraId="4A02572B" w14:textId="72AF47CD" w:rsidR="00492EB0" w:rsidRPr="00E65CC7" w:rsidRDefault="00492EB0">
      <w:pPr>
        <w:pStyle w:val="TableofAuthorities"/>
        <w:tabs>
          <w:tab w:val="right" w:leader="dot" w:pos="9350"/>
        </w:tabs>
        <w:rPr>
          <w:rFonts w:cs="Times New Roman"/>
          <w:noProof/>
          <w:sz w:val="28"/>
          <w:szCs w:val="28"/>
        </w:rPr>
      </w:pPr>
      <w:r w:rsidRPr="00E65CC7">
        <w:rPr>
          <w:rFonts w:eastAsia="Times New Roman" w:cs="Times New Roman"/>
          <w:i/>
          <w:iCs/>
          <w:noProof/>
          <w:color w:val="000000"/>
          <w:kern w:val="0"/>
          <w:sz w:val="28"/>
          <w:szCs w:val="28"/>
          <w14:ligatures w14:val="none"/>
        </w:rPr>
        <w:t>Walt Disney Parks &amp; Resorts U.S., Inc. v. Alesi,</w:t>
      </w:r>
      <w:r w:rsidRPr="00E65CC7">
        <w:rPr>
          <w:rFonts w:eastAsia="Times New Roman" w:cs="Times New Roman"/>
          <w:noProof/>
          <w:color w:val="000000"/>
          <w:kern w:val="0"/>
          <w:sz w:val="28"/>
          <w:szCs w:val="28"/>
          <w14:ligatures w14:val="none"/>
        </w:rPr>
        <w:t xml:space="preserve"> 351 So. 3d 642 (Fla. Dist. Ct. App. 2022)</w:t>
      </w:r>
      <w:r w:rsidRPr="00E65CC7">
        <w:rPr>
          <w:rFonts w:cs="Times New Roman"/>
          <w:noProof/>
          <w:sz w:val="28"/>
          <w:szCs w:val="28"/>
        </w:rPr>
        <w:tab/>
        <w:t>1</w:t>
      </w:r>
      <w:r w:rsidR="00D0619F">
        <w:rPr>
          <w:rFonts w:cs="Times New Roman"/>
          <w:noProof/>
          <w:sz w:val="28"/>
          <w:szCs w:val="28"/>
        </w:rPr>
        <w:t>7</w:t>
      </w:r>
    </w:p>
    <w:p w14:paraId="28A6F2CA" w14:textId="77777777" w:rsidR="00492EB0" w:rsidRPr="00E65CC7" w:rsidRDefault="00492EB0" w:rsidP="00492EB0">
      <w:pPr>
        <w:pStyle w:val="TOAHeading"/>
        <w:tabs>
          <w:tab w:val="right" w:leader="dot" w:pos="9350"/>
        </w:tabs>
        <w:ind w:firstLine="0"/>
        <w:rPr>
          <w:rFonts w:ascii="Times New Roman" w:eastAsiaTheme="minorEastAsia" w:hAnsi="Times New Roman" w:cs="Times New Roman"/>
          <w:b w:val="0"/>
          <w:bCs w:val="0"/>
          <w:noProof/>
          <w:sz w:val="28"/>
          <w:szCs w:val="28"/>
        </w:rPr>
      </w:pPr>
      <w:r w:rsidRPr="00E65CC7">
        <w:rPr>
          <w:rFonts w:ascii="Times New Roman" w:hAnsi="Times New Roman" w:cs="Times New Roman"/>
          <w:sz w:val="28"/>
          <w:szCs w:val="28"/>
        </w:rPr>
        <w:fldChar w:fldCharType="end"/>
      </w:r>
      <w:r w:rsidRPr="00E65CC7">
        <w:rPr>
          <w:rFonts w:ascii="Times New Roman" w:hAnsi="Times New Roman" w:cs="Times New Roman"/>
          <w:sz w:val="28"/>
          <w:szCs w:val="28"/>
        </w:rPr>
        <w:fldChar w:fldCharType="begin"/>
      </w:r>
      <w:r w:rsidRPr="00E65CC7">
        <w:rPr>
          <w:rFonts w:ascii="Times New Roman" w:hAnsi="Times New Roman" w:cs="Times New Roman"/>
          <w:sz w:val="28"/>
          <w:szCs w:val="28"/>
        </w:rPr>
        <w:instrText xml:space="preserve"> TOA \h \c "2" </w:instrText>
      </w:r>
      <w:r w:rsidRPr="00E65CC7">
        <w:rPr>
          <w:rFonts w:ascii="Times New Roman" w:hAnsi="Times New Roman" w:cs="Times New Roman"/>
          <w:sz w:val="28"/>
          <w:szCs w:val="28"/>
        </w:rPr>
        <w:fldChar w:fldCharType="separate"/>
      </w:r>
      <w:r w:rsidRPr="00E65CC7">
        <w:rPr>
          <w:rFonts w:ascii="Times New Roman" w:hAnsi="Times New Roman" w:cs="Times New Roman"/>
          <w:noProof/>
          <w:sz w:val="28"/>
          <w:szCs w:val="28"/>
        </w:rPr>
        <w:t>Statutes</w:t>
      </w:r>
    </w:p>
    <w:p w14:paraId="27BD03D4" w14:textId="084EDEC9" w:rsidR="00492EB0" w:rsidRPr="00E65CC7" w:rsidRDefault="00492EB0">
      <w:pPr>
        <w:pStyle w:val="TableofAuthorities"/>
        <w:tabs>
          <w:tab w:val="right" w:leader="dot" w:pos="9350"/>
        </w:tabs>
        <w:rPr>
          <w:rFonts w:cs="Times New Roman"/>
          <w:noProof/>
          <w:sz w:val="28"/>
          <w:szCs w:val="28"/>
        </w:rPr>
      </w:pPr>
      <w:r w:rsidRPr="00E65CC7">
        <w:rPr>
          <w:rFonts w:eastAsia="Times New Roman" w:cs="Times New Roman"/>
          <w:noProof/>
          <w:color w:val="000000"/>
          <w:kern w:val="0"/>
          <w:sz w:val="28"/>
          <w:szCs w:val="28"/>
          <w14:ligatures w14:val="none"/>
        </w:rPr>
        <w:t>18 U.S.C. § 6002</w:t>
      </w:r>
      <w:r w:rsidRPr="00E65CC7">
        <w:rPr>
          <w:rFonts w:cs="Times New Roman"/>
          <w:noProof/>
          <w:sz w:val="28"/>
          <w:szCs w:val="28"/>
        </w:rPr>
        <w:tab/>
      </w:r>
      <w:r w:rsidR="00D0619F">
        <w:rPr>
          <w:rFonts w:cs="Times New Roman"/>
          <w:noProof/>
          <w:sz w:val="28"/>
          <w:szCs w:val="28"/>
        </w:rPr>
        <w:t xml:space="preserve">3, </w:t>
      </w:r>
      <w:r w:rsidRPr="00E65CC7">
        <w:rPr>
          <w:rFonts w:cs="Times New Roman"/>
          <w:noProof/>
          <w:sz w:val="28"/>
          <w:szCs w:val="28"/>
        </w:rPr>
        <w:t>4</w:t>
      </w:r>
    </w:p>
    <w:p w14:paraId="1948AAB1" w14:textId="3A46C1D4" w:rsidR="00492EB0" w:rsidRPr="00E65CC7" w:rsidRDefault="00492EB0">
      <w:pPr>
        <w:pStyle w:val="TableofAuthorities"/>
        <w:tabs>
          <w:tab w:val="right" w:leader="dot" w:pos="9350"/>
        </w:tabs>
        <w:rPr>
          <w:rFonts w:cs="Times New Roman"/>
          <w:noProof/>
          <w:sz w:val="28"/>
          <w:szCs w:val="28"/>
        </w:rPr>
      </w:pPr>
      <w:r w:rsidRPr="00E65CC7">
        <w:rPr>
          <w:rFonts w:eastAsia="Times New Roman" w:cs="Times New Roman"/>
          <w:noProof/>
          <w:color w:val="000000"/>
          <w:kern w:val="0"/>
          <w:sz w:val="28"/>
          <w:szCs w:val="28"/>
          <w14:ligatures w14:val="none"/>
        </w:rPr>
        <w:t>18 U.S.C. §</w:t>
      </w:r>
      <w:r w:rsidR="00F647B5">
        <w:rPr>
          <w:rFonts w:eastAsia="Times New Roman" w:cs="Times New Roman"/>
          <w:noProof/>
          <w:color w:val="000000"/>
          <w:kern w:val="0"/>
          <w:sz w:val="28"/>
          <w:szCs w:val="28"/>
          <w14:ligatures w14:val="none"/>
        </w:rPr>
        <w:t xml:space="preserve"> </w:t>
      </w:r>
      <w:r w:rsidRPr="00E65CC7">
        <w:rPr>
          <w:rFonts w:eastAsia="Times New Roman" w:cs="Times New Roman"/>
          <w:noProof/>
          <w:color w:val="000000"/>
          <w:kern w:val="0"/>
          <w:sz w:val="28"/>
          <w:szCs w:val="28"/>
          <w14:ligatures w14:val="none"/>
        </w:rPr>
        <w:t>6003</w:t>
      </w:r>
      <w:r w:rsidRPr="00E65CC7">
        <w:rPr>
          <w:rFonts w:cs="Times New Roman"/>
          <w:noProof/>
          <w:sz w:val="28"/>
          <w:szCs w:val="28"/>
        </w:rPr>
        <w:tab/>
        <w:t>4</w:t>
      </w:r>
    </w:p>
    <w:p w14:paraId="124BB304" w14:textId="77777777" w:rsidR="00492EB0" w:rsidRPr="00E65CC7" w:rsidRDefault="00492EB0" w:rsidP="00492EB0">
      <w:pPr>
        <w:pStyle w:val="TOAHeading"/>
        <w:tabs>
          <w:tab w:val="right" w:leader="dot" w:pos="9350"/>
        </w:tabs>
        <w:ind w:firstLine="0"/>
        <w:rPr>
          <w:rFonts w:ascii="Times New Roman" w:eastAsiaTheme="minorEastAsia" w:hAnsi="Times New Roman" w:cs="Times New Roman"/>
          <w:b w:val="0"/>
          <w:bCs w:val="0"/>
          <w:noProof/>
          <w:sz w:val="28"/>
          <w:szCs w:val="28"/>
        </w:rPr>
      </w:pPr>
      <w:r w:rsidRPr="00E65CC7">
        <w:rPr>
          <w:rFonts w:ascii="Times New Roman" w:hAnsi="Times New Roman" w:cs="Times New Roman"/>
          <w:sz w:val="28"/>
          <w:szCs w:val="28"/>
        </w:rPr>
        <w:fldChar w:fldCharType="end"/>
      </w:r>
      <w:r w:rsidRPr="00E65CC7">
        <w:rPr>
          <w:rFonts w:ascii="Times New Roman" w:hAnsi="Times New Roman" w:cs="Times New Roman"/>
          <w:sz w:val="28"/>
          <w:szCs w:val="28"/>
        </w:rPr>
        <w:fldChar w:fldCharType="begin"/>
      </w:r>
      <w:r w:rsidRPr="00E65CC7">
        <w:rPr>
          <w:rFonts w:ascii="Times New Roman" w:hAnsi="Times New Roman" w:cs="Times New Roman"/>
          <w:sz w:val="28"/>
          <w:szCs w:val="28"/>
        </w:rPr>
        <w:instrText xml:space="preserve"> TOA \h \c "4" </w:instrText>
      </w:r>
      <w:r w:rsidRPr="00E65CC7">
        <w:rPr>
          <w:rFonts w:ascii="Times New Roman" w:hAnsi="Times New Roman" w:cs="Times New Roman"/>
          <w:sz w:val="28"/>
          <w:szCs w:val="28"/>
        </w:rPr>
        <w:fldChar w:fldCharType="separate"/>
      </w:r>
      <w:r w:rsidRPr="00E65CC7">
        <w:rPr>
          <w:rFonts w:ascii="Times New Roman" w:hAnsi="Times New Roman" w:cs="Times New Roman"/>
          <w:noProof/>
          <w:sz w:val="28"/>
          <w:szCs w:val="28"/>
        </w:rPr>
        <w:t>Rules</w:t>
      </w:r>
    </w:p>
    <w:p w14:paraId="7D1F4F6E" w14:textId="77777777" w:rsidR="00492EB0" w:rsidRPr="00E65CC7" w:rsidRDefault="00492EB0">
      <w:pPr>
        <w:pStyle w:val="TableofAuthorities"/>
        <w:tabs>
          <w:tab w:val="right" w:leader="dot" w:pos="9350"/>
        </w:tabs>
        <w:rPr>
          <w:rFonts w:cs="Times New Roman"/>
          <w:noProof/>
          <w:sz w:val="28"/>
          <w:szCs w:val="28"/>
        </w:rPr>
      </w:pPr>
      <w:r w:rsidRPr="00E65CC7">
        <w:rPr>
          <w:rFonts w:eastAsia="Times New Roman" w:cs="Times New Roman"/>
          <w:noProof/>
          <w:color w:val="000000"/>
          <w:kern w:val="0"/>
          <w:sz w:val="28"/>
          <w:szCs w:val="28"/>
          <w14:ligatures w14:val="none"/>
        </w:rPr>
        <w:t>Federal Rule of Civil Procedure 26(b)(3)</w:t>
      </w:r>
      <w:r w:rsidRPr="00E65CC7">
        <w:rPr>
          <w:rFonts w:cs="Times New Roman"/>
          <w:noProof/>
          <w:sz w:val="28"/>
          <w:szCs w:val="28"/>
        </w:rPr>
        <w:tab/>
        <w:t>13</w:t>
      </w:r>
    </w:p>
    <w:p w14:paraId="35372AE5" w14:textId="5B301BF9" w:rsidR="00492EB0" w:rsidRDefault="00492EB0">
      <w:pPr>
        <w:pStyle w:val="TableofAuthorities"/>
        <w:tabs>
          <w:tab w:val="right" w:leader="dot" w:pos="9350"/>
        </w:tabs>
        <w:rPr>
          <w:rFonts w:cs="Times New Roman"/>
          <w:noProof/>
          <w:sz w:val="28"/>
          <w:szCs w:val="28"/>
        </w:rPr>
      </w:pPr>
      <w:r w:rsidRPr="00E65CC7">
        <w:rPr>
          <w:rFonts w:eastAsia="Times New Roman" w:cs="Times New Roman"/>
          <w:noProof/>
          <w:color w:val="000000"/>
          <w:kern w:val="0"/>
          <w:sz w:val="28"/>
          <w:szCs w:val="28"/>
          <w14:ligatures w14:val="none"/>
        </w:rPr>
        <w:t>Florida Rule of Civil Procedure 1.280(c)(4)</w:t>
      </w:r>
      <w:r w:rsidRPr="00E65CC7">
        <w:rPr>
          <w:rFonts w:cs="Times New Roman"/>
          <w:noProof/>
          <w:sz w:val="28"/>
          <w:szCs w:val="28"/>
        </w:rPr>
        <w:tab/>
        <w:t>13</w:t>
      </w:r>
    </w:p>
    <w:p w14:paraId="0FF10B1C" w14:textId="3FBE468E" w:rsidR="00D0619F" w:rsidRDefault="00D0619F" w:rsidP="00D0619F">
      <w:pPr>
        <w:pStyle w:val="TableofAuthorities"/>
        <w:tabs>
          <w:tab w:val="right" w:leader="dot" w:pos="9350"/>
        </w:tabs>
        <w:rPr>
          <w:rFonts w:cs="Times New Roman"/>
          <w:noProof/>
          <w:sz w:val="28"/>
          <w:szCs w:val="28"/>
        </w:rPr>
      </w:pPr>
      <w:r w:rsidRPr="00E65CC7">
        <w:rPr>
          <w:rFonts w:eastAsia="Times New Roman" w:cs="Times New Roman"/>
          <w:noProof/>
          <w:color w:val="000000"/>
          <w:kern w:val="0"/>
          <w:sz w:val="28"/>
          <w:szCs w:val="28"/>
          <w14:ligatures w14:val="none"/>
        </w:rPr>
        <w:t>Florida Rule of Civil Procedure 1.280(</w:t>
      </w:r>
      <w:r>
        <w:rPr>
          <w:rFonts w:eastAsia="Times New Roman" w:cs="Times New Roman"/>
          <w:noProof/>
          <w:color w:val="000000"/>
          <w:kern w:val="0"/>
          <w:sz w:val="28"/>
          <w:szCs w:val="28"/>
          <w14:ligatures w14:val="none"/>
        </w:rPr>
        <w:t>b</w:t>
      </w:r>
      <w:r w:rsidRPr="00E65CC7">
        <w:rPr>
          <w:rFonts w:eastAsia="Times New Roman" w:cs="Times New Roman"/>
          <w:noProof/>
          <w:color w:val="000000"/>
          <w:kern w:val="0"/>
          <w:sz w:val="28"/>
          <w:szCs w:val="28"/>
          <w14:ligatures w14:val="none"/>
        </w:rPr>
        <w:t>)(4)</w:t>
      </w:r>
      <w:r>
        <w:rPr>
          <w:rFonts w:eastAsia="Times New Roman" w:cs="Times New Roman"/>
          <w:noProof/>
          <w:color w:val="000000"/>
          <w:kern w:val="0"/>
          <w:sz w:val="28"/>
          <w:szCs w:val="28"/>
          <w14:ligatures w14:val="none"/>
        </w:rPr>
        <w:t>(B)</w:t>
      </w:r>
      <w:r w:rsidRPr="00E65CC7">
        <w:rPr>
          <w:rFonts w:cs="Times New Roman"/>
          <w:noProof/>
          <w:sz w:val="28"/>
          <w:szCs w:val="28"/>
        </w:rPr>
        <w:tab/>
        <w:t>1</w:t>
      </w:r>
      <w:r>
        <w:rPr>
          <w:rFonts w:cs="Times New Roman"/>
          <w:noProof/>
          <w:sz w:val="28"/>
          <w:szCs w:val="28"/>
        </w:rPr>
        <w:t>4</w:t>
      </w:r>
    </w:p>
    <w:p w14:paraId="5E44C972" w14:textId="2D606770" w:rsidR="00D0619F" w:rsidRPr="00D0619F" w:rsidRDefault="00D0619F" w:rsidP="00D0619F">
      <w:pPr>
        <w:pStyle w:val="TableofAuthorities"/>
        <w:tabs>
          <w:tab w:val="right" w:leader="dot" w:pos="9350"/>
        </w:tabs>
        <w:rPr>
          <w:rFonts w:cs="Times New Roman"/>
          <w:noProof/>
          <w:sz w:val="28"/>
          <w:szCs w:val="28"/>
        </w:rPr>
      </w:pPr>
      <w:r w:rsidRPr="00E65CC7">
        <w:rPr>
          <w:rFonts w:eastAsia="Times New Roman" w:cs="Times New Roman"/>
          <w:noProof/>
          <w:color w:val="000000"/>
          <w:kern w:val="0"/>
          <w:sz w:val="28"/>
          <w:szCs w:val="28"/>
          <w14:ligatures w14:val="none"/>
        </w:rPr>
        <w:t>Florida Rule of Civil Procedure 1.280(</w:t>
      </w:r>
      <w:r>
        <w:rPr>
          <w:rFonts w:eastAsia="Times New Roman" w:cs="Times New Roman"/>
          <w:noProof/>
          <w:color w:val="000000"/>
          <w:kern w:val="0"/>
          <w:sz w:val="28"/>
          <w:szCs w:val="28"/>
          <w14:ligatures w14:val="none"/>
        </w:rPr>
        <w:t>b</w:t>
      </w:r>
      <w:r w:rsidRPr="00E65CC7">
        <w:rPr>
          <w:rFonts w:eastAsia="Times New Roman" w:cs="Times New Roman"/>
          <w:noProof/>
          <w:color w:val="000000"/>
          <w:kern w:val="0"/>
          <w:sz w:val="28"/>
          <w:szCs w:val="28"/>
          <w14:ligatures w14:val="none"/>
        </w:rPr>
        <w:t>)(4)</w:t>
      </w:r>
      <w:r w:rsidRPr="00E65CC7">
        <w:rPr>
          <w:rFonts w:cs="Times New Roman"/>
          <w:noProof/>
          <w:sz w:val="28"/>
          <w:szCs w:val="28"/>
        </w:rPr>
        <w:tab/>
        <w:t>1</w:t>
      </w:r>
      <w:r>
        <w:rPr>
          <w:rFonts w:cs="Times New Roman"/>
          <w:noProof/>
          <w:sz w:val="28"/>
          <w:szCs w:val="28"/>
        </w:rPr>
        <w:t>5</w:t>
      </w:r>
    </w:p>
    <w:p w14:paraId="0E3585FE" w14:textId="77777777" w:rsidR="00492EB0" w:rsidRPr="00E65CC7" w:rsidRDefault="00492EB0" w:rsidP="00492EB0">
      <w:pPr>
        <w:pStyle w:val="TOAHeading"/>
        <w:tabs>
          <w:tab w:val="right" w:leader="dot" w:pos="9350"/>
        </w:tabs>
        <w:ind w:firstLine="0"/>
        <w:rPr>
          <w:rFonts w:ascii="Times New Roman" w:eastAsiaTheme="minorEastAsia" w:hAnsi="Times New Roman" w:cs="Times New Roman"/>
          <w:b w:val="0"/>
          <w:bCs w:val="0"/>
          <w:noProof/>
          <w:sz w:val="28"/>
          <w:szCs w:val="28"/>
        </w:rPr>
      </w:pPr>
      <w:r w:rsidRPr="00E65CC7">
        <w:rPr>
          <w:rFonts w:ascii="Times New Roman" w:hAnsi="Times New Roman" w:cs="Times New Roman"/>
          <w:sz w:val="28"/>
          <w:szCs w:val="28"/>
        </w:rPr>
        <w:fldChar w:fldCharType="end"/>
      </w:r>
      <w:r w:rsidRPr="00E65CC7">
        <w:rPr>
          <w:rFonts w:ascii="Times New Roman" w:hAnsi="Times New Roman" w:cs="Times New Roman"/>
          <w:sz w:val="28"/>
          <w:szCs w:val="28"/>
        </w:rPr>
        <w:fldChar w:fldCharType="begin"/>
      </w:r>
      <w:r w:rsidRPr="00E65CC7">
        <w:rPr>
          <w:rFonts w:ascii="Times New Roman" w:hAnsi="Times New Roman" w:cs="Times New Roman"/>
          <w:sz w:val="28"/>
          <w:szCs w:val="28"/>
        </w:rPr>
        <w:instrText xml:space="preserve"> TOA \h \c "7" </w:instrText>
      </w:r>
      <w:r w:rsidRPr="00E65CC7">
        <w:rPr>
          <w:rFonts w:ascii="Times New Roman" w:hAnsi="Times New Roman" w:cs="Times New Roman"/>
          <w:sz w:val="28"/>
          <w:szCs w:val="28"/>
        </w:rPr>
        <w:fldChar w:fldCharType="separate"/>
      </w:r>
      <w:r w:rsidRPr="00E65CC7">
        <w:rPr>
          <w:rFonts w:ascii="Times New Roman" w:hAnsi="Times New Roman" w:cs="Times New Roman"/>
          <w:noProof/>
          <w:sz w:val="28"/>
          <w:szCs w:val="28"/>
        </w:rPr>
        <w:t>Constitutional Provisions</w:t>
      </w:r>
    </w:p>
    <w:p w14:paraId="36620C35" w14:textId="77777777" w:rsidR="00492EB0" w:rsidRPr="00E65CC7" w:rsidRDefault="00492EB0">
      <w:pPr>
        <w:pStyle w:val="TableofAuthorities"/>
        <w:tabs>
          <w:tab w:val="right" w:leader="dot" w:pos="9350"/>
        </w:tabs>
        <w:rPr>
          <w:rFonts w:cs="Times New Roman"/>
          <w:noProof/>
          <w:sz w:val="28"/>
          <w:szCs w:val="28"/>
        </w:rPr>
      </w:pPr>
      <w:r w:rsidRPr="00E65CC7">
        <w:rPr>
          <w:rFonts w:eastAsia="Times New Roman" w:cs="Times New Roman"/>
          <w:smallCaps/>
          <w:noProof/>
          <w:color w:val="000000"/>
          <w:kern w:val="0"/>
          <w:sz w:val="28"/>
          <w:szCs w:val="28"/>
          <w14:ligatures w14:val="none"/>
        </w:rPr>
        <w:t>U.S. Const.</w:t>
      </w:r>
      <w:r w:rsidRPr="00E65CC7">
        <w:rPr>
          <w:rFonts w:eastAsia="Times New Roman" w:cs="Times New Roman"/>
          <w:noProof/>
          <w:color w:val="000000"/>
          <w:kern w:val="0"/>
          <w:sz w:val="28"/>
          <w:szCs w:val="28"/>
          <w14:ligatures w14:val="none"/>
        </w:rPr>
        <w:t xml:space="preserve"> amend. V</w:t>
      </w:r>
      <w:r w:rsidRPr="00E65CC7">
        <w:rPr>
          <w:rFonts w:cs="Times New Roman"/>
          <w:noProof/>
          <w:sz w:val="28"/>
          <w:szCs w:val="28"/>
        </w:rPr>
        <w:tab/>
        <w:t>5</w:t>
      </w:r>
    </w:p>
    <w:p w14:paraId="2F34E642" w14:textId="6A7B2A2A" w:rsidR="00492EB0" w:rsidRPr="00E65CC7" w:rsidRDefault="00492EB0" w:rsidP="00492EB0">
      <w:pPr>
        <w:rPr>
          <w:rFonts w:cs="Times New Roman"/>
          <w:sz w:val="28"/>
          <w:szCs w:val="28"/>
        </w:rPr>
      </w:pPr>
      <w:r w:rsidRPr="00E65CC7">
        <w:rPr>
          <w:rFonts w:cs="Times New Roman"/>
          <w:sz w:val="28"/>
          <w:szCs w:val="28"/>
        </w:rPr>
        <w:fldChar w:fldCharType="end"/>
      </w:r>
    </w:p>
    <w:p w14:paraId="4E396326" w14:textId="77777777" w:rsidR="00CE6C98" w:rsidRPr="00E65CC7" w:rsidRDefault="00CE6C98" w:rsidP="00D0619F">
      <w:pPr>
        <w:ind w:firstLine="0"/>
        <w:rPr>
          <w:rFonts w:cs="Times New Roman"/>
          <w:b/>
          <w:bCs/>
          <w:sz w:val="28"/>
          <w:szCs w:val="28"/>
          <w:u w:val="single"/>
        </w:rPr>
      </w:pPr>
    </w:p>
    <w:p w14:paraId="78489245" w14:textId="77777777" w:rsidR="00E57BCB" w:rsidRPr="00E65CC7" w:rsidRDefault="00E57BCB" w:rsidP="005A0F38">
      <w:pPr>
        <w:ind w:firstLine="0"/>
        <w:rPr>
          <w:rFonts w:cs="Times New Roman"/>
          <w:sz w:val="28"/>
          <w:szCs w:val="28"/>
        </w:rPr>
        <w:sectPr w:rsidR="00E57BCB" w:rsidRPr="00E65CC7" w:rsidSect="00E57BCB">
          <w:pgSz w:w="12240" w:h="15840"/>
          <w:pgMar w:top="1440" w:right="1440" w:bottom="1440" w:left="1440" w:header="720" w:footer="720" w:gutter="0"/>
          <w:pgNumType w:fmt="lowerRoman" w:start="1"/>
          <w:cols w:space="720"/>
          <w:docGrid w:linePitch="360"/>
        </w:sectPr>
      </w:pPr>
    </w:p>
    <w:p w14:paraId="5EC9C52B" w14:textId="547FAF87" w:rsidR="00CE6C98" w:rsidRPr="00E65CC7" w:rsidRDefault="00CE6C98" w:rsidP="005A0F38">
      <w:pPr>
        <w:pStyle w:val="Heading1"/>
        <w:rPr>
          <w:rFonts w:cs="Times New Roman"/>
        </w:rPr>
      </w:pPr>
      <w:bookmarkStart w:id="2" w:name="_Toc239108807"/>
      <w:r w:rsidRPr="00E65CC7">
        <w:rPr>
          <w:rFonts w:cs="Times New Roman"/>
        </w:rPr>
        <w:lastRenderedPageBreak/>
        <w:t>INTRODUCTION</w:t>
      </w:r>
      <w:bookmarkEnd w:id="2"/>
    </w:p>
    <w:p w14:paraId="00893935" w14:textId="513FAEF5" w:rsidR="00E57BCB" w:rsidRPr="00E65CC7" w:rsidRDefault="00E57BCB" w:rsidP="00E57BCB">
      <w:pPr>
        <w:jc w:val="both"/>
        <w:rPr>
          <w:rFonts w:eastAsia="Times New Roman" w:cs="Times New Roman"/>
          <w:kern w:val="0"/>
          <w:sz w:val="28"/>
          <w:szCs w:val="28"/>
          <w14:ligatures w14:val="none"/>
        </w:rPr>
      </w:pPr>
      <w:r w:rsidRPr="00E65CC7">
        <w:rPr>
          <w:rFonts w:eastAsia="Times New Roman" w:cs="Times New Roman"/>
          <w:color w:val="000000"/>
          <w:kern w:val="0"/>
          <w:sz w:val="28"/>
          <w:szCs w:val="28"/>
          <w14:ligatures w14:val="none"/>
        </w:rPr>
        <w:t xml:space="preserve">This Court should grant Emily Calloway’s (“Ms. Calloway”) Motion to Suppress Evidence because the </w:t>
      </w:r>
      <w:r w:rsidR="00F647B5">
        <w:rPr>
          <w:rFonts w:eastAsia="Times New Roman" w:cs="Times New Roman"/>
          <w:color w:val="000000"/>
          <w:kern w:val="0"/>
          <w:sz w:val="28"/>
          <w:szCs w:val="28"/>
          <w14:ligatures w14:val="none"/>
        </w:rPr>
        <w:t>G</w:t>
      </w:r>
      <w:r w:rsidRPr="00E65CC7">
        <w:rPr>
          <w:rFonts w:eastAsia="Times New Roman" w:cs="Times New Roman"/>
          <w:color w:val="000000"/>
          <w:kern w:val="0"/>
          <w:sz w:val="28"/>
          <w:szCs w:val="28"/>
          <w14:ligatures w14:val="none"/>
        </w:rPr>
        <w:t>overnment cannot meet its burden of proving the evidence is wholly independent of Ms. Calloway</w:t>
      </w:r>
      <w:r w:rsidR="00053115">
        <w:rPr>
          <w:rFonts w:eastAsia="Times New Roman" w:cs="Times New Roman"/>
          <w:color w:val="000000"/>
          <w:kern w:val="0"/>
          <w:sz w:val="28"/>
          <w:szCs w:val="28"/>
          <w14:ligatures w14:val="none"/>
        </w:rPr>
        <w:t>’s compelled testimony</w:t>
      </w:r>
      <w:r w:rsidRPr="00E65CC7">
        <w:rPr>
          <w:rFonts w:eastAsia="Times New Roman" w:cs="Times New Roman"/>
          <w:color w:val="000000"/>
          <w:kern w:val="0"/>
          <w:sz w:val="28"/>
          <w:szCs w:val="28"/>
          <w14:ligatures w14:val="none"/>
        </w:rPr>
        <w:t xml:space="preserve">. Ms. Calloway received use and derivative use immunity when she was compelled to testify. The </w:t>
      </w:r>
      <w:r w:rsidR="00F647B5">
        <w:rPr>
          <w:rFonts w:eastAsia="Times New Roman" w:cs="Times New Roman"/>
          <w:color w:val="000000"/>
          <w:kern w:val="0"/>
          <w:sz w:val="28"/>
          <w:szCs w:val="28"/>
          <w14:ligatures w14:val="none"/>
        </w:rPr>
        <w:t>G</w:t>
      </w:r>
      <w:r w:rsidRPr="00E65CC7">
        <w:rPr>
          <w:rFonts w:eastAsia="Times New Roman" w:cs="Times New Roman"/>
          <w:color w:val="000000"/>
          <w:kern w:val="0"/>
          <w:sz w:val="28"/>
          <w:szCs w:val="28"/>
          <w14:ligatures w14:val="none"/>
        </w:rPr>
        <w:t xml:space="preserve">overnment must have an independent basis for the testimony of Kennedy Parker (“Parker”) and for Exhibit 19. Because the </w:t>
      </w:r>
      <w:r w:rsidR="00F647B5">
        <w:rPr>
          <w:rFonts w:eastAsia="Times New Roman" w:cs="Times New Roman"/>
          <w:color w:val="000000"/>
          <w:kern w:val="0"/>
          <w:sz w:val="28"/>
          <w:szCs w:val="28"/>
          <w14:ligatures w14:val="none"/>
        </w:rPr>
        <w:t>G</w:t>
      </w:r>
      <w:r w:rsidRPr="00E65CC7">
        <w:rPr>
          <w:rFonts w:eastAsia="Times New Roman" w:cs="Times New Roman"/>
          <w:color w:val="000000"/>
          <w:kern w:val="0"/>
          <w:sz w:val="28"/>
          <w:szCs w:val="28"/>
          <w14:ligatures w14:val="none"/>
        </w:rPr>
        <w:t>overnment cannot demonstrate this independent basis, the Court must suppress the evidence as fruits of compelled testimony. </w:t>
      </w:r>
    </w:p>
    <w:p w14:paraId="427D1BFF" w14:textId="67D05E95" w:rsidR="00E57BCB" w:rsidRPr="00E65CC7" w:rsidRDefault="00E57BCB" w:rsidP="00E57BCB">
      <w:pPr>
        <w:spacing w:after="160"/>
        <w:jc w:val="both"/>
        <w:rPr>
          <w:rFonts w:eastAsia="Times New Roman" w:cs="Times New Roman"/>
          <w:kern w:val="0"/>
          <w:sz w:val="28"/>
          <w:szCs w:val="28"/>
          <w14:ligatures w14:val="none"/>
        </w:rPr>
      </w:pPr>
      <w:r w:rsidRPr="00E65CC7">
        <w:rPr>
          <w:rFonts w:eastAsia="Times New Roman" w:cs="Times New Roman"/>
          <w:color w:val="000000"/>
          <w:kern w:val="0"/>
          <w:sz w:val="28"/>
          <w:szCs w:val="28"/>
          <w14:ligatures w14:val="none"/>
        </w:rPr>
        <w:t>Additionally, Defendant’s Motion to Quash United States Subpoena Duces Tecum should be granted because the records sought are protected work-product. The records include typed interview notes, prepared by an agent of the Defense counsel in anticipation of litigation, including personal theories and mental impressions, not a verbatim transcript. As such, the records are opinion work-</w:t>
      </w:r>
      <w:proofErr w:type="gramStart"/>
      <w:r w:rsidRPr="00E65CC7">
        <w:rPr>
          <w:rFonts w:eastAsia="Times New Roman" w:cs="Times New Roman"/>
          <w:color w:val="000000"/>
          <w:kern w:val="0"/>
          <w:sz w:val="28"/>
          <w:szCs w:val="28"/>
          <w14:ligatures w14:val="none"/>
        </w:rPr>
        <w:t>product</w:t>
      </w:r>
      <w:proofErr w:type="gramEnd"/>
      <w:r w:rsidRPr="00E65CC7">
        <w:rPr>
          <w:rFonts w:eastAsia="Times New Roman" w:cs="Times New Roman"/>
          <w:color w:val="000000"/>
          <w:kern w:val="0"/>
          <w:sz w:val="28"/>
          <w:szCs w:val="28"/>
          <w14:ligatures w14:val="none"/>
        </w:rPr>
        <w:t xml:space="preserve"> and thus absolutely protected. </w:t>
      </w:r>
    </w:p>
    <w:p w14:paraId="0ECED64D" w14:textId="0D6791B9" w:rsidR="00CE6C98" w:rsidRPr="00E65CC7" w:rsidRDefault="00CE6C98" w:rsidP="005A0F38">
      <w:pPr>
        <w:pStyle w:val="Heading1"/>
        <w:rPr>
          <w:rFonts w:cs="Times New Roman"/>
        </w:rPr>
      </w:pPr>
      <w:bookmarkStart w:id="3" w:name="_Toc239108808"/>
      <w:r w:rsidRPr="00E65CC7">
        <w:rPr>
          <w:rFonts w:cs="Times New Roman"/>
        </w:rPr>
        <w:t>STATEMENT OF FACTS</w:t>
      </w:r>
      <w:bookmarkEnd w:id="3"/>
    </w:p>
    <w:p w14:paraId="315AB9C1" w14:textId="62593C76" w:rsidR="00E57BCB" w:rsidRPr="00E65CC7" w:rsidRDefault="00E57BCB" w:rsidP="00E57BCB">
      <w:pPr>
        <w:jc w:val="both"/>
        <w:rPr>
          <w:rFonts w:eastAsia="Times New Roman" w:cs="Times New Roman"/>
          <w:kern w:val="0"/>
          <w:sz w:val="28"/>
          <w:szCs w:val="28"/>
          <w14:ligatures w14:val="none"/>
        </w:rPr>
      </w:pPr>
      <w:r w:rsidRPr="00E65CC7">
        <w:rPr>
          <w:rFonts w:eastAsia="Times New Roman" w:cs="Times New Roman"/>
          <w:color w:val="000000"/>
          <w:kern w:val="0"/>
          <w:sz w:val="28"/>
          <w:szCs w:val="28"/>
          <w14:ligatures w14:val="none"/>
        </w:rPr>
        <w:t xml:space="preserve">In 2013, Ms. Calloway inherited the locally renowned Silver Palms Hotel (“Silver Palms”). Sinclair Dep. 9:53–54. To meet the demands of maintaining a successful operation, Ms. Calloway later became </w:t>
      </w:r>
      <w:r w:rsidR="00053115">
        <w:rPr>
          <w:rFonts w:eastAsia="Times New Roman" w:cs="Times New Roman"/>
          <w:color w:val="000000"/>
          <w:kern w:val="0"/>
          <w:sz w:val="28"/>
          <w:szCs w:val="28"/>
          <w14:ligatures w14:val="none"/>
        </w:rPr>
        <w:t xml:space="preserve">a </w:t>
      </w:r>
      <w:r w:rsidRPr="00E65CC7">
        <w:rPr>
          <w:rFonts w:eastAsia="Times New Roman" w:cs="Times New Roman"/>
          <w:color w:val="000000"/>
          <w:kern w:val="0"/>
          <w:sz w:val="28"/>
          <w:szCs w:val="28"/>
          <w14:ligatures w14:val="none"/>
        </w:rPr>
        <w:t xml:space="preserve">co-owner of the property with </w:t>
      </w:r>
      <w:r w:rsidRPr="00E65CC7">
        <w:rPr>
          <w:rFonts w:eastAsia="Times New Roman" w:cs="Times New Roman"/>
          <w:color w:val="000000"/>
          <w:kern w:val="0"/>
          <w:sz w:val="28"/>
          <w:szCs w:val="28"/>
          <w14:ligatures w14:val="none"/>
        </w:rPr>
        <w:lastRenderedPageBreak/>
        <w:t xml:space="preserve">Saint Donovan (“Donovan”). Sinclair Dep. 9:69–78. Donovan was primarily responsible for expenses, and Ms. Calloway manned the day-to-day operations. </w:t>
      </w:r>
      <w:r w:rsidRPr="00E65CC7">
        <w:rPr>
          <w:rFonts w:eastAsia="Times New Roman" w:cs="Times New Roman"/>
          <w:i/>
          <w:iCs/>
          <w:color w:val="000000"/>
          <w:kern w:val="0"/>
          <w:sz w:val="28"/>
          <w:szCs w:val="28"/>
          <w14:ligatures w14:val="none"/>
        </w:rPr>
        <w:t>Id.</w:t>
      </w:r>
    </w:p>
    <w:p w14:paraId="0094F69C" w14:textId="2CBD9F34" w:rsidR="00E57BCB" w:rsidRPr="00E65CC7" w:rsidRDefault="00E57BCB" w:rsidP="00E57BCB">
      <w:pPr>
        <w:jc w:val="both"/>
        <w:rPr>
          <w:rFonts w:eastAsia="Times New Roman" w:cs="Times New Roman"/>
          <w:kern w:val="0"/>
          <w:sz w:val="28"/>
          <w:szCs w:val="28"/>
          <w14:ligatures w14:val="none"/>
        </w:rPr>
      </w:pPr>
      <w:r w:rsidRPr="00E65CC7">
        <w:rPr>
          <w:rFonts w:eastAsia="Times New Roman" w:cs="Times New Roman"/>
          <w:color w:val="000000"/>
          <w:kern w:val="0"/>
          <w:sz w:val="28"/>
          <w:szCs w:val="28"/>
          <w14:ligatures w14:val="none"/>
        </w:rPr>
        <w:t xml:space="preserve">In October 2023, Silver Palms accountant, Daniel Blake (“Blake”), began to uncover expense patterns that did not align with overall costs due to vendors charging for operations that Silver Palms employees ran. Sinclair Dep. 10:92–107. Blake contacted Assistant United States Attorney Tatum Sinclair (“Sinclair”) to report these findings. </w:t>
      </w:r>
      <w:r w:rsidRPr="00E65CC7">
        <w:rPr>
          <w:rFonts w:eastAsia="Times New Roman" w:cs="Times New Roman"/>
          <w:i/>
          <w:iCs/>
          <w:color w:val="000000"/>
          <w:kern w:val="0"/>
          <w:sz w:val="28"/>
          <w:szCs w:val="28"/>
          <w14:ligatures w14:val="none"/>
        </w:rPr>
        <w:t>Id.</w:t>
      </w:r>
      <w:r w:rsidRPr="00E65CC7">
        <w:rPr>
          <w:rFonts w:eastAsia="Times New Roman" w:cs="Times New Roman"/>
          <w:color w:val="000000"/>
          <w:kern w:val="0"/>
          <w:sz w:val="28"/>
          <w:szCs w:val="28"/>
          <w14:ligatures w14:val="none"/>
        </w:rPr>
        <w:t xml:space="preserve"> The pair worked to expose a suspected money laundering scheme, later uncovering shell accounts with registered agents Ky Chandler (“Chandler”), Sierra Seton (“Seton”), and Donovan. Sinclair Dep. 18:389–96.</w:t>
      </w:r>
    </w:p>
    <w:p w14:paraId="6DC57BD0" w14:textId="77777777" w:rsidR="00E57BCB" w:rsidRPr="00E65CC7" w:rsidRDefault="00E57BCB" w:rsidP="00E57BCB">
      <w:pPr>
        <w:jc w:val="both"/>
        <w:rPr>
          <w:rFonts w:eastAsia="Times New Roman" w:cs="Times New Roman"/>
          <w:kern w:val="0"/>
          <w:sz w:val="28"/>
          <w:szCs w:val="28"/>
          <w14:ligatures w14:val="none"/>
        </w:rPr>
      </w:pPr>
      <w:r w:rsidRPr="00E65CC7">
        <w:rPr>
          <w:rFonts w:eastAsia="Times New Roman" w:cs="Times New Roman"/>
          <w:color w:val="000000"/>
          <w:kern w:val="0"/>
          <w:sz w:val="28"/>
          <w:szCs w:val="28"/>
          <w14:ligatures w14:val="none"/>
        </w:rPr>
        <w:t>On December 12, 2023, Blake was murdered at Silver Palms. Sinclair Dep. 13:215–17. Sinclair, though a financial-crimes prosecutor, remained intimately involved with the case. Sinclair Dep. 13:218–25. Sinclair later retained their friend, FBI Special Agent Bryce Nolan (“Nolan”), as part of the investigative team. Sinclair Dep. 13:226–32. </w:t>
      </w:r>
    </w:p>
    <w:p w14:paraId="4C2BBCCB" w14:textId="28ED62E3" w:rsidR="00E57BCB" w:rsidRPr="00E65CC7" w:rsidRDefault="00E57BCB" w:rsidP="00E57BCB">
      <w:pPr>
        <w:jc w:val="both"/>
        <w:rPr>
          <w:rFonts w:eastAsia="Times New Roman" w:cs="Times New Roman"/>
          <w:kern w:val="0"/>
          <w:sz w:val="28"/>
          <w:szCs w:val="28"/>
          <w14:ligatures w14:val="none"/>
        </w:rPr>
      </w:pPr>
      <w:r w:rsidRPr="00E65CC7">
        <w:rPr>
          <w:rFonts w:eastAsia="Times New Roman" w:cs="Times New Roman"/>
          <w:color w:val="000000"/>
          <w:kern w:val="0"/>
          <w:sz w:val="28"/>
          <w:szCs w:val="28"/>
          <w14:ligatures w14:val="none"/>
        </w:rPr>
        <w:t xml:space="preserve">Blake’s murderer was arrested on January 20, 2024. Nolan Dep. 25:50–57. Bank records tied a check the murderer received to an account that Donovan controlled, and the murderer later admitted </w:t>
      </w:r>
      <w:r w:rsidR="00053115">
        <w:rPr>
          <w:rFonts w:eastAsia="Times New Roman" w:cs="Times New Roman"/>
          <w:color w:val="000000"/>
          <w:kern w:val="0"/>
          <w:sz w:val="28"/>
          <w:szCs w:val="28"/>
          <w14:ligatures w14:val="none"/>
        </w:rPr>
        <w:t xml:space="preserve">that </w:t>
      </w:r>
      <w:r w:rsidRPr="00E65CC7">
        <w:rPr>
          <w:rFonts w:eastAsia="Times New Roman" w:cs="Times New Roman"/>
          <w:color w:val="000000"/>
          <w:kern w:val="0"/>
          <w:sz w:val="28"/>
          <w:szCs w:val="28"/>
          <w14:ligatures w14:val="none"/>
        </w:rPr>
        <w:t xml:space="preserve">Donovan had hired them to kill Blake. </w:t>
      </w:r>
      <w:r w:rsidRPr="00E65CC7">
        <w:rPr>
          <w:rFonts w:eastAsia="Times New Roman" w:cs="Times New Roman"/>
          <w:i/>
          <w:iCs/>
          <w:color w:val="000000"/>
          <w:kern w:val="0"/>
          <w:sz w:val="28"/>
          <w:szCs w:val="28"/>
          <w14:ligatures w14:val="none"/>
        </w:rPr>
        <w:t>Id.</w:t>
      </w:r>
      <w:r w:rsidRPr="00E65CC7">
        <w:rPr>
          <w:rFonts w:eastAsia="Times New Roman" w:cs="Times New Roman"/>
          <w:color w:val="000000"/>
          <w:kern w:val="0"/>
          <w:sz w:val="28"/>
          <w:szCs w:val="28"/>
          <w14:ligatures w14:val="none"/>
        </w:rPr>
        <w:t xml:space="preserve"> On January 26, 2024, Donovan was arrested. He invoked his rights and never gave a statement. </w:t>
      </w:r>
      <w:r w:rsidRPr="00E65CC7">
        <w:rPr>
          <w:rFonts w:eastAsia="Times New Roman" w:cs="Times New Roman"/>
          <w:i/>
          <w:iCs/>
          <w:color w:val="000000"/>
          <w:kern w:val="0"/>
          <w:sz w:val="28"/>
          <w:szCs w:val="28"/>
          <w14:ligatures w14:val="none"/>
        </w:rPr>
        <w:t>Id.</w:t>
      </w:r>
      <w:r w:rsidRPr="00E65CC7">
        <w:rPr>
          <w:rFonts w:eastAsia="Times New Roman" w:cs="Times New Roman"/>
          <w:color w:val="000000"/>
          <w:kern w:val="0"/>
          <w:sz w:val="28"/>
          <w:szCs w:val="28"/>
          <w14:ligatures w14:val="none"/>
        </w:rPr>
        <w:t> </w:t>
      </w:r>
    </w:p>
    <w:p w14:paraId="44F6A212" w14:textId="1BA735C9" w:rsidR="00E57BCB" w:rsidRPr="00E65CC7" w:rsidRDefault="00E57BCB" w:rsidP="00E57BCB">
      <w:pPr>
        <w:jc w:val="both"/>
        <w:rPr>
          <w:rFonts w:eastAsia="Times New Roman" w:cs="Times New Roman"/>
          <w:kern w:val="0"/>
          <w:sz w:val="28"/>
          <w:szCs w:val="28"/>
          <w14:ligatures w14:val="none"/>
        </w:rPr>
      </w:pPr>
      <w:r w:rsidRPr="00E65CC7">
        <w:rPr>
          <w:rFonts w:eastAsia="Times New Roman" w:cs="Times New Roman"/>
          <w:color w:val="000000"/>
          <w:kern w:val="0"/>
          <w:sz w:val="28"/>
          <w:szCs w:val="28"/>
          <w14:ligatures w14:val="none"/>
        </w:rPr>
        <w:lastRenderedPageBreak/>
        <w:t xml:space="preserve">Throughout the investigation, Ms. Calloway exercised her right to remain silent, and the Government elected to confer this immunity from use and derivative use. Sinclair Dep. 21:527–46. Sinclair and Nolan made this strategic choice and sought an order from Chief Judge Boals on August 23, 2024. Order Granting Immunity to Ms. Calloway, Exhibit No. 12. The order granted immunity under Title U.S.C.S. § 6002. </w:t>
      </w:r>
      <w:r w:rsidRPr="00E65CC7">
        <w:rPr>
          <w:rFonts w:eastAsia="Times New Roman" w:cs="Times New Roman"/>
          <w:i/>
          <w:iCs/>
          <w:color w:val="000000"/>
          <w:kern w:val="0"/>
          <w:sz w:val="28"/>
          <w:szCs w:val="28"/>
          <w14:ligatures w14:val="none"/>
        </w:rPr>
        <w:t>Id.</w:t>
      </w:r>
      <w:r w:rsidRPr="00E65CC7">
        <w:rPr>
          <w:rFonts w:eastAsia="Times New Roman" w:cs="Times New Roman"/>
          <w:color w:val="000000"/>
          <w:kern w:val="0"/>
          <w:sz w:val="28"/>
          <w:szCs w:val="28"/>
          <w14:ligatures w14:val="none"/>
        </w:rPr>
        <w:t xml:space="preserve"> After an order compelling Ms. Calloway’s testimony, Sinclair alleges that the investigative team split </w:t>
      </w:r>
      <w:proofErr w:type="gramStart"/>
      <w:r w:rsidRPr="00E65CC7">
        <w:rPr>
          <w:rFonts w:eastAsia="Times New Roman" w:cs="Times New Roman"/>
          <w:color w:val="000000"/>
          <w:kern w:val="0"/>
          <w:sz w:val="28"/>
          <w:szCs w:val="28"/>
          <w14:ligatures w14:val="none"/>
        </w:rPr>
        <w:t>in</w:t>
      </w:r>
      <w:proofErr w:type="gramEnd"/>
      <w:r w:rsidRPr="00E65CC7">
        <w:rPr>
          <w:rFonts w:eastAsia="Times New Roman" w:cs="Times New Roman"/>
          <w:color w:val="000000"/>
          <w:kern w:val="0"/>
          <w:sz w:val="28"/>
          <w:szCs w:val="28"/>
          <w14:ligatures w14:val="none"/>
        </w:rPr>
        <w:t xml:space="preserve"> two. Sinclair Dep. 22:548–52. Sinclair led Donovan’s prosecution and Ms. Calloway’s compelled testimony, and Nolan led Ms. Calloway’s investigation. </w:t>
      </w:r>
      <w:r w:rsidRPr="00E65CC7">
        <w:rPr>
          <w:rFonts w:eastAsia="Times New Roman" w:cs="Times New Roman"/>
          <w:i/>
          <w:iCs/>
          <w:color w:val="000000"/>
          <w:kern w:val="0"/>
          <w:sz w:val="28"/>
          <w:szCs w:val="28"/>
          <w14:ligatures w14:val="none"/>
        </w:rPr>
        <w:t xml:space="preserve">Id. </w:t>
      </w:r>
      <w:r w:rsidRPr="00E65CC7">
        <w:rPr>
          <w:rFonts w:eastAsia="Times New Roman" w:cs="Times New Roman"/>
          <w:color w:val="000000"/>
          <w:kern w:val="0"/>
          <w:sz w:val="28"/>
          <w:szCs w:val="28"/>
          <w14:ligatures w14:val="none"/>
        </w:rPr>
        <w:t xml:space="preserve">The pair maintains the investigations were “walled off” from each other, despite frequent contact between Sinclair and Nolan. Sinclair Dep. 22:548–52; Nolan Dep. 32:329–33. However, Nolan maintains that </w:t>
      </w:r>
      <w:r w:rsidR="00053115">
        <w:rPr>
          <w:rFonts w:eastAsia="Times New Roman" w:cs="Times New Roman"/>
          <w:color w:val="000000"/>
          <w:kern w:val="0"/>
          <w:sz w:val="28"/>
          <w:szCs w:val="28"/>
          <w14:ligatures w14:val="none"/>
        </w:rPr>
        <w:t>they</w:t>
      </w:r>
      <w:r w:rsidRPr="00E65CC7">
        <w:rPr>
          <w:rFonts w:eastAsia="Times New Roman" w:cs="Times New Roman"/>
          <w:color w:val="000000"/>
          <w:kern w:val="0"/>
          <w:sz w:val="28"/>
          <w:szCs w:val="28"/>
          <w14:ligatures w14:val="none"/>
        </w:rPr>
        <w:t xml:space="preserve"> did not become aware of any information regarding the testimony despite the trial of Donovan being highly publicized throughout Gulf Haven, with Ms. Calloway’s testimony broadcast on local media channels and the trial making front-page news. Nolan Dep. 32:317–24. </w:t>
      </w:r>
    </w:p>
    <w:p w14:paraId="44B45CB6" w14:textId="47EC2671" w:rsidR="00E57BCB" w:rsidRPr="00E65CC7" w:rsidRDefault="00E57BCB" w:rsidP="00E57BCB">
      <w:pPr>
        <w:jc w:val="both"/>
        <w:rPr>
          <w:rFonts w:eastAsia="Times New Roman" w:cs="Times New Roman"/>
          <w:kern w:val="0"/>
          <w:sz w:val="28"/>
          <w:szCs w:val="28"/>
          <w14:ligatures w14:val="none"/>
        </w:rPr>
      </w:pPr>
      <w:r w:rsidRPr="00E65CC7">
        <w:rPr>
          <w:rFonts w:eastAsia="Times New Roman" w:cs="Times New Roman"/>
          <w:color w:val="000000"/>
          <w:kern w:val="0"/>
          <w:sz w:val="28"/>
          <w:szCs w:val="28"/>
          <w14:ligatures w14:val="none"/>
        </w:rPr>
        <w:t>Ms. Calloway testified under the order to compel during Donovan’s trial in October 2024. Sinclair Dep. 23:590–91. The Government violated this agreement, utilizing information learned from Ms. Calloway’s compelled testimony. Coincidentally</w:t>
      </w:r>
      <w:r w:rsidR="00E65CC7">
        <w:rPr>
          <w:rFonts w:eastAsia="Times New Roman" w:cs="Times New Roman"/>
          <w:color w:val="000000"/>
          <w:kern w:val="0"/>
          <w:sz w:val="28"/>
          <w:szCs w:val="28"/>
          <w14:ligatures w14:val="none"/>
        </w:rPr>
        <w:t>,</w:t>
      </w:r>
      <w:r w:rsidRPr="00E65CC7">
        <w:rPr>
          <w:rFonts w:eastAsia="Times New Roman" w:cs="Times New Roman"/>
          <w:color w:val="000000"/>
          <w:kern w:val="0"/>
          <w:sz w:val="28"/>
          <w:szCs w:val="28"/>
          <w14:ligatures w14:val="none"/>
        </w:rPr>
        <w:t xml:space="preserve"> following the trial, Nolan located a witness</w:t>
      </w:r>
      <w:r w:rsidR="00053115">
        <w:rPr>
          <w:rFonts w:eastAsia="Times New Roman" w:cs="Times New Roman"/>
          <w:color w:val="000000"/>
          <w:kern w:val="0"/>
          <w:sz w:val="28"/>
          <w:szCs w:val="28"/>
          <w14:ligatures w14:val="none"/>
        </w:rPr>
        <w:t xml:space="preserve"> mentioned in the compelled testimony</w:t>
      </w:r>
      <w:r w:rsidRPr="00E65CC7">
        <w:rPr>
          <w:rFonts w:eastAsia="Times New Roman" w:cs="Times New Roman"/>
          <w:color w:val="000000"/>
          <w:kern w:val="0"/>
          <w:sz w:val="28"/>
          <w:szCs w:val="28"/>
          <w14:ligatures w14:val="none"/>
        </w:rPr>
        <w:t xml:space="preserve"> who exposed information </w:t>
      </w:r>
      <w:r w:rsidR="00E65CC7">
        <w:rPr>
          <w:rFonts w:eastAsia="Times New Roman" w:cs="Times New Roman"/>
          <w:color w:val="000000"/>
          <w:kern w:val="0"/>
          <w:sz w:val="28"/>
          <w:szCs w:val="28"/>
          <w14:ligatures w14:val="none"/>
        </w:rPr>
        <w:t>that</w:t>
      </w:r>
      <w:r w:rsidRPr="00E65CC7">
        <w:rPr>
          <w:rFonts w:eastAsia="Times New Roman" w:cs="Times New Roman"/>
          <w:color w:val="000000"/>
          <w:kern w:val="0"/>
          <w:sz w:val="28"/>
          <w:szCs w:val="28"/>
          <w14:ligatures w14:val="none"/>
        </w:rPr>
        <w:t xml:space="preserve"> changed the </w:t>
      </w:r>
      <w:r w:rsidR="00E65CC7">
        <w:rPr>
          <w:rFonts w:eastAsia="Times New Roman" w:cs="Times New Roman"/>
          <w:color w:val="000000"/>
          <w:kern w:val="0"/>
          <w:sz w:val="28"/>
          <w:szCs w:val="28"/>
          <w14:ligatures w14:val="none"/>
        </w:rPr>
        <w:t>course</w:t>
      </w:r>
      <w:r w:rsidRPr="00E65CC7">
        <w:rPr>
          <w:rFonts w:eastAsia="Times New Roman" w:cs="Times New Roman"/>
          <w:color w:val="000000"/>
          <w:kern w:val="0"/>
          <w:sz w:val="28"/>
          <w:szCs w:val="28"/>
          <w14:ligatures w14:val="none"/>
        </w:rPr>
        <w:t xml:space="preserve"> of the </w:t>
      </w:r>
      <w:r w:rsidRPr="00E65CC7">
        <w:rPr>
          <w:rFonts w:eastAsia="Times New Roman" w:cs="Times New Roman"/>
          <w:color w:val="000000"/>
          <w:kern w:val="0"/>
          <w:sz w:val="28"/>
          <w:szCs w:val="28"/>
          <w14:ligatures w14:val="none"/>
        </w:rPr>
        <w:lastRenderedPageBreak/>
        <w:t>investigation</w:t>
      </w:r>
      <w:r w:rsidR="00053115">
        <w:rPr>
          <w:rFonts w:eastAsia="Times New Roman" w:cs="Times New Roman"/>
          <w:color w:val="000000"/>
          <w:kern w:val="0"/>
          <w:sz w:val="28"/>
          <w:szCs w:val="28"/>
          <w14:ligatures w14:val="none"/>
        </w:rPr>
        <w:t>:</w:t>
      </w:r>
      <w:r w:rsidRPr="00E65CC7">
        <w:rPr>
          <w:rFonts w:eastAsia="Times New Roman" w:cs="Times New Roman"/>
          <w:color w:val="000000"/>
          <w:kern w:val="0"/>
          <w:sz w:val="28"/>
          <w:szCs w:val="28"/>
          <w14:ligatures w14:val="none"/>
        </w:rPr>
        <w:t xml:space="preserve"> Parker. Nolan Dep. 31:293–306; 33:366–75. Sinclair first spoke with Ms. Calloway to obtain her proffered testimony on August 28, 2024. Sinclair Dep. 22:554–55. Before this meeting, no government agent had spoken with Parker. Sinclair Dep. 22:572–76. Parker was not a relevant source, a fact which Parker </w:t>
      </w:r>
      <w:proofErr w:type="gramStart"/>
      <w:r w:rsidRPr="00E65CC7">
        <w:rPr>
          <w:rFonts w:eastAsia="Times New Roman" w:cs="Times New Roman"/>
          <w:color w:val="000000"/>
          <w:kern w:val="0"/>
          <w:sz w:val="28"/>
          <w:szCs w:val="28"/>
          <w14:ligatures w14:val="none"/>
        </w:rPr>
        <w:t>themself</w:t>
      </w:r>
      <w:proofErr w:type="gramEnd"/>
      <w:r w:rsidRPr="00E65CC7">
        <w:rPr>
          <w:rFonts w:eastAsia="Times New Roman" w:cs="Times New Roman"/>
          <w:color w:val="000000"/>
          <w:kern w:val="0"/>
          <w:sz w:val="28"/>
          <w:szCs w:val="28"/>
          <w14:ligatures w14:val="none"/>
        </w:rPr>
        <w:t xml:space="preserve"> acknowledges, being a banquet worker who was not present the night of Blake’s murder. Parker Dep. 39:223–230.  </w:t>
      </w:r>
    </w:p>
    <w:p w14:paraId="2CF23024" w14:textId="11138DE4" w:rsidR="00E57BCB" w:rsidRPr="00E65CC7" w:rsidRDefault="00E57BCB" w:rsidP="005A0F38">
      <w:pPr>
        <w:jc w:val="both"/>
        <w:rPr>
          <w:rFonts w:eastAsia="Times New Roman" w:cs="Times New Roman"/>
          <w:kern w:val="0"/>
          <w:sz w:val="28"/>
          <w:szCs w:val="28"/>
          <w14:ligatures w14:val="none"/>
        </w:rPr>
      </w:pPr>
      <w:r w:rsidRPr="00E65CC7">
        <w:rPr>
          <w:rFonts w:eastAsia="Times New Roman" w:cs="Times New Roman"/>
          <w:color w:val="000000"/>
          <w:kern w:val="0"/>
          <w:sz w:val="28"/>
          <w:szCs w:val="28"/>
          <w14:ligatures w14:val="none"/>
        </w:rPr>
        <w:t xml:space="preserve">Further, the Government seeks access to an interview between Maddox Armana (“Armana”) and Seton. Notice of Hearing at 6. Armana was employed by Defense counsel to </w:t>
      </w:r>
      <w:proofErr w:type="gramStart"/>
      <w:r w:rsidRPr="00E65CC7">
        <w:rPr>
          <w:rFonts w:eastAsia="Times New Roman" w:cs="Times New Roman"/>
          <w:color w:val="000000"/>
          <w:kern w:val="0"/>
          <w:sz w:val="28"/>
          <w:szCs w:val="28"/>
          <w14:ligatures w14:val="none"/>
        </w:rPr>
        <w:t>aid</w:t>
      </w:r>
      <w:proofErr w:type="gramEnd"/>
      <w:r w:rsidRPr="00E65CC7">
        <w:rPr>
          <w:rFonts w:eastAsia="Times New Roman" w:cs="Times New Roman"/>
          <w:color w:val="000000"/>
          <w:kern w:val="0"/>
          <w:sz w:val="28"/>
          <w:szCs w:val="28"/>
          <w14:ligatures w14:val="none"/>
        </w:rPr>
        <w:t xml:space="preserve"> in understanding the financial structure of an anticipated suit against Ms. Calloway. Armana Dep. 43:35–45. Armana did not record any portion of this interview, nor did they maintain a verbatim transcript of the questions asked or of Seton’s answers. Armana Dep. 45:111–13. Though Armana took notes </w:t>
      </w:r>
      <w:r w:rsidR="00053115">
        <w:rPr>
          <w:rFonts w:eastAsia="Times New Roman" w:cs="Times New Roman"/>
          <w:color w:val="000000"/>
          <w:kern w:val="0"/>
          <w:sz w:val="28"/>
          <w:szCs w:val="28"/>
          <w14:ligatures w14:val="none"/>
        </w:rPr>
        <w:t>about</w:t>
      </w:r>
      <w:r w:rsidRPr="00E65CC7">
        <w:rPr>
          <w:rFonts w:eastAsia="Times New Roman" w:cs="Times New Roman"/>
          <w:color w:val="000000"/>
          <w:kern w:val="0"/>
          <w:sz w:val="28"/>
          <w:szCs w:val="28"/>
          <w14:ligatures w14:val="none"/>
        </w:rPr>
        <w:t xml:space="preserve"> the general operational structure of Coastal, the document contains personal theories and mental impressions. Armana Dep. 46:120–24.</w:t>
      </w:r>
    </w:p>
    <w:p w14:paraId="1783655F" w14:textId="580D51BC" w:rsidR="00BF2729" w:rsidRPr="00E65CC7" w:rsidRDefault="00CE6C98" w:rsidP="005A0F38">
      <w:pPr>
        <w:pStyle w:val="Heading1"/>
        <w:rPr>
          <w:rFonts w:cs="Times New Roman"/>
        </w:rPr>
      </w:pPr>
      <w:bookmarkStart w:id="4" w:name="_Toc239108809"/>
      <w:r w:rsidRPr="00E65CC7">
        <w:rPr>
          <w:rFonts w:cs="Times New Roman"/>
        </w:rPr>
        <w:t>ARGUMENT</w:t>
      </w:r>
      <w:bookmarkEnd w:id="4"/>
    </w:p>
    <w:p w14:paraId="137EC515" w14:textId="77777777" w:rsidR="005A0F38" w:rsidRPr="006134A9" w:rsidRDefault="005A0F38" w:rsidP="005A0F38">
      <w:pPr>
        <w:pStyle w:val="Heading2"/>
        <w:rPr>
          <w:b w:val="0"/>
          <w:bCs w:val="0"/>
          <w:u w:val="single"/>
        </w:rPr>
      </w:pPr>
      <w:bookmarkStart w:id="5" w:name="_Toc239108810"/>
      <w:r w:rsidRPr="006134A9">
        <w:rPr>
          <w:b w:val="0"/>
          <w:bCs w:val="0"/>
          <w:u w:val="single"/>
        </w:rPr>
        <w:t>The Government violated the Immunity Agreement by following an investigative lead from Ms. Calloway’s compelled testimony.</w:t>
      </w:r>
      <w:bookmarkEnd w:id="5"/>
    </w:p>
    <w:p w14:paraId="7BAF29AE" w14:textId="7AD59DAD" w:rsidR="005A0F38" w:rsidRPr="00E65CC7" w:rsidRDefault="005A0F38" w:rsidP="005A0F38">
      <w:pPr>
        <w:jc w:val="both"/>
        <w:rPr>
          <w:rFonts w:eastAsia="Times New Roman" w:cs="Times New Roman"/>
          <w:color w:val="000000"/>
          <w:kern w:val="0"/>
          <w:sz w:val="28"/>
          <w:szCs w:val="28"/>
          <w14:ligatures w14:val="none"/>
        </w:rPr>
      </w:pPr>
      <w:r w:rsidRPr="00E65CC7">
        <w:rPr>
          <w:rFonts w:eastAsia="Times New Roman" w:cs="Times New Roman"/>
          <w:color w:val="000000"/>
          <w:kern w:val="0"/>
          <w:sz w:val="28"/>
          <w:szCs w:val="28"/>
          <w14:ligatures w14:val="none"/>
        </w:rPr>
        <w:t>Exhibit 19 and Parker’s testimony should be suppressed because they were derived from Ms. Calloway’s compelled testimony—pursuant to 18 U.S.C. §§ 6002</w:t>
      </w:r>
      <w:r w:rsidR="007D7FB7" w:rsidRPr="00E65CC7">
        <w:rPr>
          <w:rFonts w:eastAsia="Times New Roman" w:cs="Times New Roman"/>
          <w:color w:val="000000"/>
          <w:kern w:val="0"/>
          <w:sz w:val="28"/>
          <w:szCs w:val="28"/>
          <w14:ligatures w14:val="none"/>
        </w:rPr>
        <w:fldChar w:fldCharType="begin"/>
      </w:r>
      <w:r w:rsidR="007D7FB7" w:rsidRPr="00E65CC7">
        <w:rPr>
          <w:rFonts w:cs="Times New Roman"/>
          <w:sz w:val="28"/>
          <w:szCs w:val="28"/>
        </w:rPr>
        <w:instrText xml:space="preserve"> TA \l "</w:instrText>
      </w:r>
      <w:r w:rsidR="007D7FB7" w:rsidRPr="00E65CC7">
        <w:rPr>
          <w:rFonts w:eastAsia="Times New Roman" w:cs="Times New Roman"/>
          <w:color w:val="000000"/>
          <w:kern w:val="0"/>
          <w:sz w:val="28"/>
          <w:szCs w:val="28"/>
          <w14:ligatures w14:val="none"/>
        </w:rPr>
        <w:instrText>18 U.S.C. §§ 6002</w:instrText>
      </w:r>
      <w:r w:rsidR="007D7FB7" w:rsidRPr="00E65CC7">
        <w:rPr>
          <w:rFonts w:cs="Times New Roman"/>
          <w:sz w:val="28"/>
          <w:szCs w:val="28"/>
        </w:rPr>
        <w:instrText xml:space="preserve">" \s "18 U.S.C. § 6002" \c 2 </w:instrText>
      </w:r>
      <w:r w:rsidR="007D7FB7" w:rsidRPr="00E65CC7">
        <w:rPr>
          <w:rFonts w:eastAsia="Times New Roman" w:cs="Times New Roman"/>
          <w:color w:val="000000"/>
          <w:kern w:val="0"/>
          <w:sz w:val="28"/>
          <w:szCs w:val="28"/>
          <w14:ligatures w14:val="none"/>
        </w:rPr>
        <w:fldChar w:fldCharType="end"/>
      </w:r>
      <w:r w:rsidRPr="00E65CC7">
        <w:rPr>
          <w:rFonts w:eastAsia="Times New Roman" w:cs="Times New Roman"/>
          <w:color w:val="000000"/>
          <w:kern w:val="0"/>
          <w:sz w:val="28"/>
          <w:szCs w:val="28"/>
          <w14:ligatures w14:val="none"/>
        </w:rPr>
        <w:t>, 6003. 18 U.S.C. §§ 6002, 6003</w:t>
      </w:r>
      <w:r w:rsidR="007D7FB7" w:rsidRPr="00E65CC7">
        <w:rPr>
          <w:rFonts w:eastAsia="Times New Roman" w:cs="Times New Roman"/>
          <w:color w:val="000000"/>
          <w:kern w:val="0"/>
          <w:sz w:val="28"/>
          <w:szCs w:val="28"/>
          <w14:ligatures w14:val="none"/>
        </w:rPr>
        <w:fldChar w:fldCharType="begin"/>
      </w:r>
      <w:r w:rsidR="007D7FB7" w:rsidRPr="00E65CC7">
        <w:rPr>
          <w:rFonts w:cs="Times New Roman"/>
          <w:sz w:val="28"/>
          <w:szCs w:val="28"/>
        </w:rPr>
        <w:instrText xml:space="preserve"> TA \l "</w:instrText>
      </w:r>
      <w:r w:rsidR="007D7FB7" w:rsidRPr="00E65CC7">
        <w:rPr>
          <w:rFonts w:eastAsia="Times New Roman" w:cs="Times New Roman"/>
          <w:color w:val="000000"/>
          <w:kern w:val="0"/>
          <w:sz w:val="28"/>
          <w:szCs w:val="28"/>
          <w14:ligatures w14:val="none"/>
        </w:rPr>
        <w:instrText>18 U.S.C. §§ 6002, 6003</w:instrText>
      </w:r>
      <w:r w:rsidR="007D7FB7" w:rsidRPr="00E65CC7">
        <w:rPr>
          <w:rFonts w:cs="Times New Roman"/>
          <w:sz w:val="28"/>
          <w:szCs w:val="28"/>
        </w:rPr>
        <w:instrText xml:space="preserve">" \s "18 U.S.C. § 6003" \c 2 </w:instrText>
      </w:r>
      <w:r w:rsidR="007D7FB7" w:rsidRPr="00E65CC7">
        <w:rPr>
          <w:rFonts w:eastAsia="Times New Roman" w:cs="Times New Roman"/>
          <w:color w:val="000000"/>
          <w:kern w:val="0"/>
          <w:sz w:val="28"/>
          <w:szCs w:val="28"/>
          <w14:ligatures w14:val="none"/>
        </w:rPr>
        <w:fldChar w:fldCharType="end"/>
      </w:r>
      <w:r w:rsidRPr="00E65CC7">
        <w:rPr>
          <w:rFonts w:eastAsia="Times New Roman" w:cs="Times New Roman"/>
          <w:color w:val="000000"/>
          <w:kern w:val="0"/>
          <w:sz w:val="28"/>
          <w:szCs w:val="28"/>
          <w14:ligatures w14:val="none"/>
        </w:rPr>
        <w:t xml:space="preserve">. Under 18 U.S.C. § 6002, the Government can compel testimony from a witness who invokes Fifth Amendment privilege against </w:t>
      </w:r>
      <w:r w:rsidRPr="00E65CC7">
        <w:rPr>
          <w:rFonts w:eastAsia="Times New Roman" w:cs="Times New Roman"/>
          <w:color w:val="000000"/>
          <w:kern w:val="0"/>
          <w:sz w:val="28"/>
          <w:szCs w:val="28"/>
          <w14:ligatures w14:val="none"/>
        </w:rPr>
        <w:lastRenderedPageBreak/>
        <w:t xml:space="preserve">compulsory self-incrimination by conferring immunity. </w:t>
      </w:r>
      <w:r w:rsidRPr="00E65CC7">
        <w:rPr>
          <w:rFonts w:eastAsia="Times New Roman" w:cs="Times New Roman"/>
          <w:i/>
          <w:iCs/>
          <w:color w:val="000000"/>
          <w:kern w:val="0"/>
          <w:sz w:val="28"/>
          <w:szCs w:val="28"/>
          <w14:ligatures w14:val="none"/>
        </w:rPr>
        <w:t>Kastigar v. United States</w:t>
      </w:r>
      <w:r w:rsidRPr="00E65CC7">
        <w:rPr>
          <w:rFonts w:eastAsia="Times New Roman" w:cs="Times New Roman"/>
          <w:color w:val="000000"/>
          <w:kern w:val="0"/>
          <w:sz w:val="28"/>
          <w:szCs w:val="28"/>
          <w14:ligatures w14:val="none"/>
        </w:rPr>
        <w:t>, 406 U.S. 441, 441 (1972).</w:t>
      </w:r>
      <w:r w:rsidR="007D7FB7" w:rsidRPr="00E65CC7">
        <w:rPr>
          <w:rFonts w:eastAsia="Times New Roman" w:cs="Times New Roman"/>
          <w:color w:val="000000"/>
          <w:kern w:val="0"/>
          <w:sz w:val="28"/>
          <w:szCs w:val="28"/>
          <w14:ligatures w14:val="none"/>
        </w:rPr>
        <w:fldChar w:fldCharType="begin"/>
      </w:r>
      <w:r w:rsidR="007D7FB7" w:rsidRPr="00E65CC7">
        <w:rPr>
          <w:rFonts w:cs="Times New Roman"/>
          <w:sz w:val="28"/>
          <w:szCs w:val="28"/>
        </w:rPr>
        <w:instrText xml:space="preserve"> TA \l "</w:instrText>
      </w:r>
      <w:r w:rsidR="007D7FB7" w:rsidRPr="00E65CC7">
        <w:rPr>
          <w:rFonts w:eastAsia="Times New Roman" w:cs="Times New Roman"/>
          <w:i/>
          <w:iCs/>
          <w:color w:val="000000"/>
          <w:kern w:val="0"/>
          <w:sz w:val="28"/>
          <w:szCs w:val="28"/>
          <w14:ligatures w14:val="none"/>
        </w:rPr>
        <w:instrText>Kastigar v. United States</w:instrText>
      </w:r>
      <w:r w:rsidR="007D7FB7" w:rsidRPr="00E65CC7">
        <w:rPr>
          <w:rFonts w:eastAsia="Times New Roman" w:cs="Times New Roman"/>
          <w:color w:val="000000"/>
          <w:kern w:val="0"/>
          <w:sz w:val="28"/>
          <w:szCs w:val="28"/>
          <w14:ligatures w14:val="none"/>
        </w:rPr>
        <w:instrText>, 406 U.S. 441, 441 (1972).</w:instrText>
      </w:r>
      <w:r w:rsidR="007D7FB7" w:rsidRPr="00E65CC7">
        <w:rPr>
          <w:rFonts w:cs="Times New Roman"/>
          <w:sz w:val="28"/>
          <w:szCs w:val="28"/>
        </w:rPr>
        <w:instrText xml:space="preserve">" \s "Kastigar v. United States, 406 U.S. 441 (1972)." \c 1 </w:instrText>
      </w:r>
      <w:r w:rsidR="007D7FB7" w:rsidRPr="00E65CC7">
        <w:rPr>
          <w:rFonts w:eastAsia="Times New Roman" w:cs="Times New Roman"/>
          <w:color w:val="000000"/>
          <w:kern w:val="0"/>
          <w:sz w:val="28"/>
          <w:szCs w:val="28"/>
          <w14:ligatures w14:val="none"/>
        </w:rPr>
        <w:fldChar w:fldCharType="end"/>
      </w:r>
      <w:r w:rsidRPr="00E65CC7">
        <w:rPr>
          <w:rFonts w:eastAsia="Times New Roman" w:cs="Times New Roman"/>
          <w:color w:val="000000"/>
          <w:kern w:val="0"/>
          <w:sz w:val="28"/>
          <w:szCs w:val="28"/>
          <w14:ligatures w14:val="none"/>
        </w:rPr>
        <w:t xml:space="preserve">  Here, Ms. Calloway chose to exercise her Constitutional right to remain silent, and the </w:t>
      </w:r>
      <w:r w:rsidR="00F647B5">
        <w:rPr>
          <w:rFonts w:eastAsia="Times New Roman" w:cs="Times New Roman"/>
          <w:color w:val="000000"/>
          <w:kern w:val="0"/>
          <w:sz w:val="28"/>
          <w:szCs w:val="28"/>
          <w14:ligatures w14:val="none"/>
        </w:rPr>
        <w:t>G</w:t>
      </w:r>
      <w:r w:rsidRPr="00E65CC7">
        <w:rPr>
          <w:rFonts w:eastAsia="Times New Roman" w:cs="Times New Roman"/>
          <w:color w:val="000000"/>
          <w:kern w:val="0"/>
          <w:sz w:val="28"/>
          <w:szCs w:val="28"/>
          <w14:ligatures w14:val="none"/>
        </w:rPr>
        <w:t xml:space="preserve">overnment elected to confer immunity for the testimony. Sinclair Dep. 15:302–04; 21:527–46. </w:t>
      </w:r>
      <w:r w:rsidR="00F647B5">
        <w:rPr>
          <w:rFonts w:eastAsia="Times New Roman" w:cs="Times New Roman"/>
          <w:color w:val="000000"/>
          <w:kern w:val="0"/>
          <w:sz w:val="28"/>
          <w:szCs w:val="28"/>
          <w14:ligatures w14:val="none"/>
        </w:rPr>
        <w:t>A</w:t>
      </w:r>
      <w:r w:rsidRPr="00E65CC7">
        <w:rPr>
          <w:rFonts w:eastAsia="Times New Roman" w:cs="Times New Roman"/>
          <w:color w:val="000000"/>
          <w:kern w:val="0"/>
          <w:sz w:val="28"/>
          <w:szCs w:val="28"/>
          <w14:ligatures w14:val="none"/>
        </w:rPr>
        <w:t xml:space="preserve">fter forcing Ms. Calloway to testify in a criminal trial, </w:t>
      </w:r>
      <w:r w:rsidR="00F647B5">
        <w:rPr>
          <w:rFonts w:eastAsia="Times New Roman" w:cs="Times New Roman"/>
          <w:color w:val="000000"/>
          <w:kern w:val="0"/>
          <w:sz w:val="28"/>
          <w:szCs w:val="28"/>
          <w14:ligatures w14:val="none"/>
        </w:rPr>
        <w:t>the Government us</w:t>
      </w:r>
      <w:r w:rsidRPr="00E65CC7">
        <w:rPr>
          <w:rFonts w:eastAsia="Times New Roman" w:cs="Times New Roman"/>
          <w:color w:val="000000"/>
          <w:kern w:val="0"/>
          <w:sz w:val="28"/>
          <w:szCs w:val="28"/>
          <w14:ligatures w14:val="none"/>
        </w:rPr>
        <w:t xml:space="preserve">ed the information learned in violation of the immunity agreements. The fruits of this testimony can be plainly derived from the excerpt of Ms. Calloway’s testimony, Exhibit 19, and Parker’s testimony. Presently, the Government is not limited to proving a “negation of taint” in the evidence, but rather the “affirmative duty to prove that all of the evidence it proposes to use is derived from a legitimate source wholly independent” </w:t>
      </w:r>
      <w:r w:rsidR="007D7FB7" w:rsidRPr="00E65CC7">
        <w:rPr>
          <w:rFonts w:eastAsia="Times New Roman" w:cs="Times New Roman"/>
          <w:color w:val="000000"/>
          <w:kern w:val="0"/>
          <w:sz w:val="28"/>
          <w:szCs w:val="28"/>
          <w14:ligatures w14:val="none"/>
        </w:rPr>
        <w:t>of</w:t>
      </w:r>
      <w:r w:rsidRPr="00E65CC7">
        <w:rPr>
          <w:rFonts w:eastAsia="Times New Roman" w:cs="Times New Roman"/>
          <w:color w:val="000000"/>
          <w:kern w:val="0"/>
          <w:sz w:val="28"/>
          <w:szCs w:val="28"/>
          <w14:ligatures w14:val="none"/>
        </w:rPr>
        <w:t xml:space="preserve"> Ms. Calloway’s</w:t>
      </w:r>
      <w:r w:rsidR="00F647B5">
        <w:rPr>
          <w:rFonts w:eastAsia="Times New Roman" w:cs="Times New Roman"/>
          <w:color w:val="000000"/>
          <w:kern w:val="0"/>
          <w:sz w:val="28"/>
          <w:szCs w:val="28"/>
          <w14:ligatures w14:val="none"/>
        </w:rPr>
        <w:t xml:space="preserve"> testimony</w:t>
      </w:r>
      <w:r w:rsidRPr="00E65CC7">
        <w:rPr>
          <w:rFonts w:eastAsia="Times New Roman" w:cs="Times New Roman"/>
          <w:color w:val="000000"/>
          <w:kern w:val="0"/>
          <w:sz w:val="28"/>
          <w:szCs w:val="28"/>
          <w14:ligatures w14:val="none"/>
        </w:rPr>
        <w:t xml:space="preserve">. </w:t>
      </w:r>
      <w:r w:rsidR="007D7FB7" w:rsidRPr="00E65CC7">
        <w:rPr>
          <w:rFonts w:eastAsia="Times New Roman" w:cs="Times New Roman"/>
          <w:i/>
          <w:iCs/>
          <w:color w:val="000000"/>
          <w:kern w:val="0"/>
          <w:sz w:val="28"/>
          <w:szCs w:val="28"/>
          <w14:ligatures w14:val="none"/>
        </w:rPr>
        <w:t>Kas</w:t>
      </w:r>
      <w:r w:rsidR="00D0619F">
        <w:rPr>
          <w:rFonts w:eastAsia="Times New Roman" w:cs="Times New Roman"/>
          <w:i/>
          <w:iCs/>
          <w:color w:val="000000"/>
          <w:kern w:val="0"/>
          <w:sz w:val="28"/>
          <w:szCs w:val="28"/>
          <w14:ligatures w14:val="none"/>
        </w:rPr>
        <w:t>t</w:t>
      </w:r>
      <w:r w:rsidR="007D7FB7" w:rsidRPr="00E65CC7">
        <w:rPr>
          <w:rFonts w:eastAsia="Times New Roman" w:cs="Times New Roman"/>
          <w:i/>
          <w:iCs/>
          <w:color w:val="000000"/>
          <w:kern w:val="0"/>
          <w:sz w:val="28"/>
          <w:szCs w:val="28"/>
          <w14:ligatures w14:val="none"/>
        </w:rPr>
        <w:t>igar</w:t>
      </w:r>
      <w:r w:rsidR="007D7FB7" w:rsidRPr="00E65CC7">
        <w:rPr>
          <w:rFonts w:eastAsia="Times New Roman" w:cs="Times New Roman"/>
          <w:color w:val="000000"/>
          <w:kern w:val="0"/>
          <w:sz w:val="28"/>
          <w:szCs w:val="28"/>
          <w14:ligatures w14:val="none"/>
        </w:rPr>
        <w:t xml:space="preserve">, 406 U.S. </w:t>
      </w:r>
      <w:r w:rsidRPr="00E65CC7">
        <w:rPr>
          <w:rFonts w:eastAsia="Times New Roman" w:cs="Times New Roman"/>
          <w:color w:val="000000"/>
          <w:kern w:val="0"/>
          <w:sz w:val="28"/>
          <w:szCs w:val="28"/>
          <w14:ligatures w14:val="none"/>
        </w:rPr>
        <w:t>at 460</w:t>
      </w:r>
      <w:r w:rsidR="007D7FB7" w:rsidRPr="00E65CC7">
        <w:rPr>
          <w:rFonts w:eastAsia="Times New Roman" w:cs="Times New Roman"/>
          <w:color w:val="000000"/>
          <w:kern w:val="0"/>
          <w:sz w:val="28"/>
          <w:szCs w:val="28"/>
          <w14:ligatures w14:val="none"/>
        </w:rPr>
        <w:fldChar w:fldCharType="begin"/>
      </w:r>
      <w:r w:rsidR="007D7FB7" w:rsidRPr="00E65CC7">
        <w:rPr>
          <w:rFonts w:cs="Times New Roman"/>
          <w:sz w:val="28"/>
          <w:szCs w:val="28"/>
        </w:rPr>
        <w:instrText xml:space="preserve"> TA \s "Kastigar v. United States, 406 U.S. 441 (1972)." </w:instrText>
      </w:r>
      <w:r w:rsidR="007D7FB7" w:rsidRPr="00E65CC7">
        <w:rPr>
          <w:rFonts w:eastAsia="Times New Roman" w:cs="Times New Roman"/>
          <w:color w:val="000000"/>
          <w:kern w:val="0"/>
          <w:sz w:val="28"/>
          <w:szCs w:val="28"/>
          <w14:ligatures w14:val="none"/>
        </w:rPr>
        <w:fldChar w:fldCharType="end"/>
      </w:r>
      <w:r w:rsidRPr="00E65CC7">
        <w:rPr>
          <w:rFonts w:eastAsia="Times New Roman" w:cs="Times New Roman"/>
          <w:color w:val="000000"/>
          <w:kern w:val="0"/>
          <w:sz w:val="28"/>
          <w:szCs w:val="28"/>
          <w14:ligatures w14:val="none"/>
        </w:rPr>
        <w:t xml:space="preserve">. Because the </w:t>
      </w:r>
      <w:r w:rsidR="00F647B5">
        <w:rPr>
          <w:rFonts w:eastAsia="Times New Roman" w:cs="Times New Roman"/>
          <w:color w:val="000000"/>
          <w:kern w:val="0"/>
          <w:sz w:val="28"/>
          <w:szCs w:val="28"/>
          <w14:ligatures w14:val="none"/>
        </w:rPr>
        <w:t>G</w:t>
      </w:r>
      <w:r w:rsidRPr="00E65CC7">
        <w:rPr>
          <w:rFonts w:eastAsia="Times New Roman" w:cs="Times New Roman"/>
          <w:color w:val="000000"/>
          <w:kern w:val="0"/>
          <w:sz w:val="28"/>
          <w:szCs w:val="28"/>
          <w14:ligatures w14:val="none"/>
        </w:rPr>
        <w:t>overnment cannot meet this burden, the evidence must be suppressed. </w:t>
      </w:r>
    </w:p>
    <w:p w14:paraId="2F9B3B7F" w14:textId="0F7D270E" w:rsidR="005A0F38" w:rsidRPr="00E65CC7" w:rsidRDefault="005A0F38" w:rsidP="005A0F38">
      <w:pPr>
        <w:pStyle w:val="Heading3"/>
        <w:rPr>
          <w:rFonts w:cs="Times New Roman"/>
        </w:rPr>
      </w:pPr>
      <w:bookmarkStart w:id="6" w:name="_Toc239108811"/>
      <w:r w:rsidRPr="00E65CC7">
        <w:rPr>
          <w:rFonts w:cs="Times New Roman"/>
        </w:rPr>
        <w:t>The Government fundamentally pivoted its investigation after compelling Ms. Calloway’s testimony over her Fifth Amendment protections.</w:t>
      </w:r>
      <w:bookmarkEnd w:id="6"/>
    </w:p>
    <w:p w14:paraId="3DE738D5" w14:textId="07D187C2" w:rsidR="005A0F38" w:rsidRPr="00E65CC7" w:rsidRDefault="005A0F38" w:rsidP="005A0F38">
      <w:pPr>
        <w:jc w:val="both"/>
        <w:rPr>
          <w:rFonts w:eastAsia="Times New Roman" w:cs="Times New Roman"/>
          <w:kern w:val="0"/>
          <w:sz w:val="28"/>
          <w:szCs w:val="28"/>
          <w14:ligatures w14:val="none"/>
        </w:rPr>
      </w:pPr>
      <w:r w:rsidRPr="00E65CC7">
        <w:rPr>
          <w:rFonts w:eastAsia="Times New Roman" w:cs="Times New Roman"/>
          <w:color w:val="000000"/>
          <w:kern w:val="0"/>
          <w:sz w:val="28"/>
          <w:szCs w:val="28"/>
          <w14:ligatures w14:val="none"/>
        </w:rPr>
        <w:t>Under the Fifth Amendment, “no person</w:t>
      </w:r>
      <w:r w:rsidR="00E65CC7">
        <w:rPr>
          <w:rFonts w:eastAsia="Times New Roman" w:cs="Times New Roman"/>
          <w:color w:val="000000"/>
          <w:kern w:val="0"/>
          <w:sz w:val="28"/>
          <w:szCs w:val="28"/>
          <w14:ligatures w14:val="none"/>
        </w:rPr>
        <w:t xml:space="preserve"> . . . </w:t>
      </w:r>
      <w:r w:rsidRPr="00E65CC7">
        <w:rPr>
          <w:rFonts w:eastAsia="Times New Roman" w:cs="Times New Roman"/>
          <w:color w:val="000000"/>
          <w:kern w:val="0"/>
          <w:sz w:val="28"/>
          <w:szCs w:val="28"/>
          <w14:ligatures w14:val="none"/>
        </w:rPr>
        <w:t>shall be compelled in any criminal case to be a witness against [themselves</w:t>
      </w:r>
      <w:r w:rsidR="00E65CC7">
        <w:rPr>
          <w:rFonts w:eastAsia="Times New Roman" w:cs="Times New Roman"/>
          <w:color w:val="000000"/>
          <w:kern w:val="0"/>
          <w:sz w:val="28"/>
          <w:szCs w:val="28"/>
          <w14:ligatures w14:val="none"/>
        </w:rPr>
        <w:t>]</w:t>
      </w:r>
      <w:r w:rsidRPr="00E65CC7">
        <w:rPr>
          <w:rFonts w:eastAsia="Times New Roman" w:cs="Times New Roman"/>
          <w:color w:val="000000"/>
          <w:kern w:val="0"/>
          <w:sz w:val="28"/>
          <w:szCs w:val="28"/>
          <w14:ligatures w14:val="none"/>
        </w:rPr>
        <w:t xml:space="preserve">.” </w:t>
      </w:r>
      <w:r w:rsidRPr="00E65CC7">
        <w:rPr>
          <w:rFonts w:eastAsia="Times New Roman" w:cs="Times New Roman"/>
          <w:smallCaps/>
          <w:color w:val="000000"/>
          <w:kern w:val="0"/>
          <w:sz w:val="28"/>
          <w:szCs w:val="28"/>
          <w14:ligatures w14:val="none"/>
        </w:rPr>
        <w:t>U.S. Const.</w:t>
      </w:r>
      <w:r w:rsidRPr="00E65CC7">
        <w:rPr>
          <w:rFonts w:eastAsia="Times New Roman" w:cs="Times New Roman"/>
          <w:color w:val="000000"/>
          <w:kern w:val="0"/>
          <w:sz w:val="28"/>
          <w:szCs w:val="28"/>
          <w14:ligatures w14:val="none"/>
        </w:rPr>
        <w:t xml:space="preserve"> </w:t>
      </w:r>
      <w:proofErr w:type="gramStart"/>
      <w:r w:rsidRPr="00E65CC7">
        <w:rPr>
          <w:rFonts w:eastAsia="Times New Roman" w:cs="Times New Roman"/>
          <w:color w:val="000000"/>
          <w:kern w:val="0"/>
          <w:sz w:val="28"/>
          <w:szCs w:val="28"/>
          <w14:ligatures w14:val="none"/>
        </w:rPr>
        <w:t>amend</w:t>
      </w:r>
      <w:proofErr w:type="gramEnd"/>
      <w:r w:rsidRPr="00E65CC7">
        <w:rPr>
          <w:rFonts w:eastAsia="Times New Roman" w:cs="Times New Roman"/>
          <w:color w:val="000000"/>
          <w:kern w:val="0"/>
          <w:sz w:val="28"/>
          <w:szCs w:val="28"/>
          <w14:ligatures w14:val="none"/>
        </w:rPr>
        <w:t>. V</w:t>
      </w:r>
      <w:r w:rsidR="007D7FB7" w:rsidRPr="00E65CC7">
        <w:rPr>
          <w:rFonts w:eastAsia="Times New Roman" w:cs="Times New Roman"/>
          <w:color w:val="000000"/>
          <w:kern w:val="0"/>
          <w:sz w:val="28"/>
          <w:szCs w:val="28"/>
          <w14:ligatures w14:val="none"/>
        </w:rPr>
        <w:fldChar w:fldCharType="begin"/>
      </w:r>
      <w:r w:rsidR="007D7FB7" w:rsidRPr="00E65CC7">
        <w:rPr>
          <w:rFonts w:cs="Times New Roman"/>
          <w:sz w:val="28"/>
          <w:szCs w:val="28"/>
        </w:rPr>
        <w:instrText xml:space="preserve"> TA \l "</w:instrText>
      </w:r>
      <w:r w:rsidR="007D7FB7" w:rsidRPr="00E65CC7">
        <w:rPr>
          <w:rFonts w:eastAsia="Times New Roman" w:cs="Times New Roman"/>
          <w:smallCaps/>
          <w:color w:val="000000"/>
          <w:kern w:val="0"/>
          <w:sz w:val="28"/>
          <w:szCs w:val="28"/>
          <w14:ligatures w14:val="none"/>
        </w:rPr>
        <w:instrText>U.S. Const.</w:instrText>
      </w:r>
      <w:r w:rsidR="007D7FB7" w:rsidRPr="00E65CC7">
        <w:rPr>
          <w:rFonts w:eastAsia="Times New Roman" w:cs="Times New Roman"/>
          <w:color w:val="000000"/>
          <w:kern w:val="0"/>
          <w:sz w:val="28"/>
          <w:szCs w:val="28"/>
          <w14:ligatures w14:val="none"/>
        </w:rPr>
        <w:instrText xml:space="preserve"> amend. V</w:instrText>
      </w:r>
      <w:r w:rsidR="007D7FB7" w:rsidRPr="00E65CC7">
        <w:rPr>
          <w:rFonts w:cs="Times New Roman"/>
          <w:sz w:val="28"/>
          <w:szCs w:val="28"/>
        </w:rPr>
        <w:instrText xml:space="preserve">" \s "U.S. Const. amend. V" \c 7 </w:instrText>
      </w:r>
      <w:r w:rsidR="007D7FB7" w:rsidRPr="00E65CC7">
        <w:rPr>
          <w:rFonts w:eastAsia="Times New Roman" w:cs="Times New Roman"/>
          <w:color w:val="000000"/>
          <w:kern w:val="0"/>
          <w:sz w:val="28"/>
          <w:szCs w:val="28"/>
          <w14:ligatures w14:val="none"/>
        </w:rPr>
        <w:fldChar w:fldCharType="end"/>
      </w:r>
      <w:r w:rsidRPr="00E65CC7">
        <w:rPr>
          <w:rFonts w:eastAsia="Times New Roman" w:cs="Times New Roman"/>
          <w:color w:val="000000"/>
          <w:kern w:val="0"/>
          <w:sz w:val="28"/>
          <w:szCs w:val="28"/>
          <w14:ligatures w14:val="none"/>
        </w:rPr>
        <w:t>. The right against self-incrimination extends to any communication between an alleged defendant and law enforcement that supports a conviction under a federal statute.</w:t>
      </w:r>
      <w:r w:rsidRPr="00E65CC7">
        <w:rPr>
          <w:rFonts w:eastAsia="Times New Roman" w:cs="Times New Roman"/>
          <w:i/>
          <w:iCs/>
          <w:color w:val="000000"/>
          <w:kern w:val="0"/>
          <w:sz w:val="28"/>
          <w:szCs w:val="28"/>
          <w14:ligatures w14:val="none"/>
        </w:rPr>
        <w:t xml:space="preserve"> </w:t>
      </w:r>
      <w:r w:rsidR="007D7FB7" w:rsidRPr="00E65CC7">
        <w:rPr>
          <w:rFonts w:cs="Times New Roman"/>
          <w:i/>
          <w:iCs/>
          <w:color w:val="000000"/>
          <w:sz w:val="28"/>
          <w:szCs w:val="28"/>
        </w:rPr>
        <w:t>Hoffman v. United States</w:t>
      </w:r>
      <w:r w:rsidR="007D7FB7" w:rsidRPr="00E65CC7">
        <w:rPr>
          <w:rFonts w:cs="Times New Roman"/>
          <w:color w:val="000000"/>
          <w:sz w:val="28"/>
          <w:szCs w:val="28"/>
        </w:rPr>
        <w:t>, 341 U.S. 479, 486 (1951)</w:t>
      </w:r>
      <w:r w:rsidR="007D7FB7" w:rsidRPr="00E65CC7">
        <w:rPr>
          <w:rFonts w:cs="Times New Roman"/>
          <w:color w:val="000000"/>
          <w:sz w:val="28"/>
          <w:szCs w:val="28"/>
        </w:rPr>
        <w:fldChar w:fldCharType="begin"/>
      </w:r>
      <w:r w:rsidR="007D7FB7" w:rsidRPr="00E65CC7">
        <w:rPr>
          <w:rFonts w:cs="Times New Roman"/>
          <w:sz w:val="28"/>
          <w:szCs w:val="28"/>
        </w:rPr>
        <w:instrText xml:space="preserve"> TA \l "</w:instrText>
      </w:r>
      <w:r w:rsidR="007D7FB7" w:rsidRPr="00E65CC7">
        <w:rPr>
          <w:rFonts w:cs="Times New Roman"/>
          <w:i/>
          <w:iCs/>
          <w:color w:val="000000"/>
          <w:sz w:val="28"/>
          <w:szCs w:val="28"/>
        </w:rPr>
        <w:instrText>Hoffman v. United States</w:instrText>
      </w:r>
      <w:r w:rsidR="007D7FB7" w:rsidRPr="00E65CC7">
        <w:rPr>
          <w:rFonts w:cs="Times New Roman"/>
          <w:color w:val="000000"/>
          <w:sz w:val="28"/>
          <w:szCs w:val="28"/>
        </w:rPr>
        <w:instrText>, 341 U.S. 479, 486 (1951)</w:instrText>
      </w:r>
      <w:r w:rsidR="007D7FB7" w:rsidRPr="00E65CC7">
        <w:rPr>
          <w:rFonts w:cs="Times New Roman"/>
          <w:sz w:val="28"/>
          <w:szCs w:val="28"/>
        </w:rPr>
        <w:instrText xml:space="preserve">" \s "Hoffman v. United States, 341 U.S. 479 (1951)" \c 1 </w:instrText>
      </w:r>
      <w:r w:rsidR="007D7FB7" w:rsidRPr="00E65CC7">
        <w:rPr>
          <w:rFonts w:cs="Times New Roman"/>
          <w:color w:val="000000"/>
          <w:sz w:val="28"/>
          <w:szCs w:val="28"/>
        </w:rPr>
        <w:fldChar w:fldCharType="end"/>
      </w:r>
      <w:r w:rsidRPr="00E65CC7">
        <w:rPr>
          <w:rFonts w:eastAsia="Times New Roman" w:cs="Times New Roman"/>
          <w:color w:val="000000"/>
          <w:kern w:val="0"/>
          <w:sz w:val="28"/>
          <w:szCs w:val="28"/>
          <w14:ligatures w14:val="none"/>
        </w:rPr>
        <w:t xml:space="preserve">. The right also extends to </w:t>
      </w:r>
      <w:r w:rsidRPr="00E65CC7">
        <w:rPr>
          <w:rFonts w:eastAsia="Times New Roman" w:cs="Times New Roman"/>
          <w:color w:val="000000"/>
          <w:kern w:val="0"/>
          <w:sz w:val="28"/>
          <w:szCs w:val="28"/>
          <w14:ligatures w14:val="none"/>
        </w:rPr>
        <w:lastRenderedPageBreak/>
        <w:t xml:space="preserve">statements that “furnish a link in the chain of evidence” that could be used to prosecute for any federal crime. </w:t>
      </w:r>
      <w:r w:rsidRPr="00E65CC7">
        <w:rPr>
          <w:rFonts w:eastAsia="Times New Roman" w:cs="Times New Roman"/>
          <w:i/>
          <w:iCs/>
          <w:color w:val="000000"/>
          <w:kern w:val="0"/>
          <w:sz w:val="28"/>
          <w:szCs w:val="28"/>
          <w14:ligatures w14:val="none"/>
        </w:rPr>
        <w:t>Id.</w:t>
      </w:r>
      <w:r w:rsidR="007D7FB7" w:rsidRPr="00E65CC7">
        <w:rPr>
          <w:rFonts w:eastAsia="Times New Roman" w:cs="Times New Roman"/>
          <w:i/>
          <w:iCs/>
          <w:color w:val="000000"/>
          <w:kern w:val="0"/>
          <w:sz w:val="28"/>
          <w:szCs w:val="28"/>
          <w14:ligatures w14:val="none"/>
        </w:rPr>
        <w:fldChar w:fldCharType="begin"/>
      </w:r>
      <w:r w:rsidR="007D7FB7" w:rsidRPr="00E65CC7">
        <w:rPr>
          <w:rFonts w:cs="Times New Roman"/>
          <w:sz w:val="28"/>
          <w:szCs w:val="28"/>
        </w:rPr>
        <w:instrText xml:space="preserve"> TA \s "Hoffman v. United States, 341 U.S. 479 (1951)" </w:instrText>
      </w:r>
      <w:r w:rsidR="007D7FB7" w:rsidRPr="00E65CC7">
        <w:rPr>
          <w:rFonts w:eastAsia="Times New Roman" w:cs="Times New Roman"/>
          <w:i/>
          <w:iCs/>
          <w:color w:val="000000"/>
          <w:kern w:val="0"/>
          <w:sz w:val="28"/>
          <w:szCs w:val="28"/>
          <w14:ligatures w14:val="none"/>
        </w:rPr>
        <w:fldChar w:fldCharType="end"/>
      </w:r>
      <w:r w:rsidRPr="00E65CC7">
        <w:rPr>
          <w:rFonts w:eastAsia="Times New Roman" w:cs="Times New Roman"/>
          <w:color w:val="000000"/>
          <w:kern w:val="0"/>
          <w:sz w:val="28"/>
          <w:szCs w:val="28"/>
          <w14:ligatures w14:val="none"/>
        </w:rPr>
        <w:t> </w:t>
      </w:r>
    </w:p>
    <w:p w14:paraId="6A7C2455" w14:textId="68637E32" w:rsidR="005A0F38" w:rsidRPr="00E65CC7" w:rsidRDefault="005A0F38" w:rsidP="005A0F38">
      <w:pPr>
        <w:jc w:val="both"/>
        <w:rPr>
          <w:rFonts w:eastAsia="Times New Roman" w:cs="Times New Roman"/>
          <w:kern w:val="0"/>
          <w:sz w:val="28"/>
          <w:szCs w:val="28"/>
          <w14:ligatures w14:val="none"/>
        </w:rPr>
      </w:pPr>
      <w:r w:rsidRPr="00E65CC7">
        <w:rPr>
          <w:rFonts w:eastAsia="Times New Roman" w:cs="Times New Roman"/>
          <w:color w:val="000000"/>
          <w:kern w:val="0"/>
          <w:sz w:val="28"/>
          <w:szCs w:val="28"/>
          <w14:ligatures w14:val="none"/>
        </w:rPr>
        <w:t xml:space="preserve">While the Supreme Court fundamentally protects this right, there are exceptions that allow courts to compel this evidence. </w:t>
      </w:r>
      <w:r w:rsidRPr="00E65CC7">
        <w:rPr>
          <w:rFonts w:eastAsia="Times New Roman" w:cs="Times New Roman"/>
          <w:i/>
          <w:iCs/>
          <w:color w:val="000000"/>
          <w:kern w:val="0"/>
          <w:sz w:val="28"/>
          <w:szCs w:val="28"/>
          <w14:ligatures w14:val="none"/>
        </w:rPr>
        <w:t>Kastigar,</w:t>
      </w:r>
      <w:r w:rsidRPr="00E65CC7">
        <w:rPr>
          <w:rFonts w:eastAsia="Times New Roman" w:cs="Times New Roman"/>
          <w:color w:val="000000"/>
          <w:kern w:val="0"/>
          <w:sz w:val="28"/>
          <w:szCs w:val="28"/>
          <w14:ligatures w14:val="none"/>
        </w:rPr>
        <w:t xml:space="preserve"> 406 U.S. at 453</w:t>
      </w:r>
      <w:r w:rsidR="007D7FB7" w:rsidRPr="00E65CC7">
        <w:rPr>
          <w:rFonts w:eastAsia="Times New Roman" w:cs="Times New Roman"/>
          <w:color w:val="000000"/>
          <w:kern w:val="0"/>
          <w:sz w:val="28"/>
          <w:szCs w:val="28"/>
          <w14:ligatures w14:val="none"/>
        </w:rPr>
        <w:fldChar w:fldCharType="begin"/>
      </w:r>
      <w:r w:rsidR="007D7FB7" w:rsidRPr="00E65CC7">
        <w:rPr>
          <w:rFonts w:cs="Times New Roman"/>
          <w:sz w:val="28"/>
          <w:szCs w:val="28"/>
        </w:rPr>
        <w:instrText xml:space="preserve"> TA \s "Kastigar v. United States, 406 U.S. 441 (1972)." </w:instrText>
      </w:r>
      <w:r w:rsidR="007D7FB7" w:rsidRPr="00E65CC7">
        <w:rPr>
          <w:rFonts w:eastAsia="Times New Roman" w:cs="Times New Roman"/>
          <w:color w:val="000000"/>
          <w:kern w:val="0"/>
          <w:sz w:val="28"/>
          <w:szCs w:val="28"/>
          <w14:ligatures w14:val="none"/>
        </w:rPr>
        <w:fldChar w:fldCharType="end"/>
      </w:r>
      <w:r w:rsidRPr="00E65CC7">
        <w:rPr>
          <w:rFonts w:eastAsia="Times New Roman" w:cs="Times New Roman"/>
          <w:color w:val="000000"/>
          <w:kern w:val="0"/>
          <w:sz w:val="28"/>
          <w:szCs w:val="28"/>
          <w14:ligatures w14:val="none"/>
        </w:rPr>
        <w:t xml:space="preserve">. When permitted, courts must grant “immunity from use and derivative use” to compel testimony over the claim of privilege. </w:t>
      </w:r>
      <w:r w:rsidRPr="00E65CC7">
        <w:rPr>
          <w:rFonts w:eastAsia="Times New Roman" w:cs="Times New Roman"/>
          <w:i/>
          <w:iCs/>
          <w:color w:val="000000"/>
          <w:kern w:val="0"/>
          <w:sz w:val="28"/>
          <w:szCs w:val="28"/>
          <w14:ligatures w14:val="none"/>
        </w:rPr>
        <w:t>Id.</w:t>
      </w:r>
      <w:r w:rsidR="007D7FB7" w:rsidRPr="00E65CC7">
        <w:rPr>
          <w:rFonts w:eastAsia="Times New Roman" w:cs="Times New Roman"/>
          <w:i/>
          <w:iCs/>
          <w:color w:val="000000"/>
          <w:kern w:val="0"/>
          <w:sz w:val="28"/>
          <w:szCs w:val="28"/>
          <w14:ligatures w14:val="none"/>
        </w:rPr>
        <w:fldChar w:fldCharType="begin"/>
      </w:r>
      <w:r w:rsidR="007D7FB7" w:rsidRPr="00E65CC7">
        <w:rPr>
          <w:rFonts w:cs="Times New Roman"/>
          <w:sz w:val="28"/>
          <w:szCs w:val="28"/>
        </w:rPr>
        <w:instrText xml:space="preserve"> TA \s "Kastigar v. United States, 406 U.S. 441 (1972)." </w:instrText>
      </w:r>
      <w:r w:rsidR="007D7FB7" w:rsidRPr="00E65CC7">
        <w:rPr>
          <w:rFonts w:eastAsia="Times New Roman" w:cs="Times New Roman"/>
          <w:i/>
          <w:iCs/>
          <w:color w:val="000000"/>
          <w:kern w:val="0"/>
          <w:sz w:val="28"/>
          <w:szCs w:val="28"/>
          <w14:ligatures w14:val="none"/>
        </w:rPr>
        <w:fldChar w:fldCharType="end"/>
      </w:r>
      <w:r w:rsidRPr="00E65CC7">
        <w:rPr>
          <w:rFonts w:eastAsia="Times New Roman" w:cs="Times New Roman"/>
          <w:color w:val="000000"/>
          <w:kern w:val="0"/>
          <w:sz w:val="28"/>
          <w:szCs w:val="28"/>
          <w14:ligatures w14:val="none"/>
        </w:rPr>
        <w:t xml:space="preserve"> Accordingly, statutory immunity was granted to Ms. Calloway on August 23, 2024, stating “no testimony or other information compelled under the order</w:t>
      </w:r>
      <w:r w:rsidR="00F647B5">
        <w:rPr>
          <w:rFonts w:eastAsia="Times New Roman" w:cs="Times New Roman"/>
          <w:color w:val="000000"/>
          <w:kern w:val="0"/>
          <w:sz w:val="28"/>
          <w:szCs w:val="28"/>
          <w14:ligatures w14:val="none"/>
        </w:rPr>
        <w:t xml:space="preserve"> . . . </w:t>
      </w:r>
      <w:r w:rsidRPr="00E65CC7">
        <w:rPr>
          <w:rFonts w:eastAsia="Times New Roman" w:cs="Times New Roman"/>
          <w:color w:val="000000"/>
          <w:kern w:val="0"/>
          <w:sz w:val="28"/>
          <w:szCs w:val="28"/>
          <w14:ligatures w14:val="none"/>
        </w:rPr>
        <w:t>may be used</w:t>
      </w:r>
      <w:r w:rsidR="00F647B5">
        <w:rPr>
          <w:rFonts w:eastAsia="Times New Roman" w:cs="Times New Roman"/>
          <w:color w:val="000000"/>
          <w:kern w:val="0"/>
          <w:sz w:val="28"/>
          <w:szCs w:val="28"/>
          <w14:ligatures w14:val="none"/>
        </w:rPr>
        <w:t>.</w:t>
      </w:r>
      <w:r w:rsidRPr="00E65CC7">
        <w:rPr>
          <w:rFonts w:eastAsia="Times New Roman" w:cs="Times New Roman"/>
          <w:color w:val="000000"/>
          <w:kern w:val="0"/>
          <w:sz w:val="28"/>
          <w:szCs w:val="28"/>
          <w14:ligatures w14:val="none"/>
        </w:rPr>
        <w:t xml:space="preserve">” Order, Exhibit No. 10. The Government admitted that </w:t>
      </w:r>
      <w:r w:rsidR="00F647B5">
        <w:rPr>
          <w:rFonts w:eastAsia="Times New Roman" w:cs="Times New Roman"/>
          <w:color w:val="000000"/>
          <w:kern w:val="0"/>
          <w:sz w:val="28"/>
          <w:szCs w:val="28"/>
          <w14:ligatures w14:val="none"/>
        </w:rPr>
        <w:t>its</w:t>
      </w:r>
      <w:r w:rsidRPr="00E65CC7">
        <w:rPr>
          <w:rFonts w:eastAsia="Times New Roman" w:cs="Times New Roman"/>
          <w:color w:val="000000"/>
          <w:kern w:val="0"/>
          <w:sz w:val="28"/>
          <w:szCs w:val="28"/>
          <w14:ligatures w14:val="none"/>
        </w:rPr>
        <w:t xml:space="preserve"> first meeting under the order to compel testimony occurred on August 28, 2024. Nolan Dep. 22:554–55.</w:t>
      </w:r>
    </w:p>
    <w:p w14:paraId="378AD2BB" w14:textId="3E12DDE5" w:rsidR="005A0F38" w:rsidRPr="008C104D" w:rsidRDefault="005A0F38" w:rsidP="005A0F38">
      <w:pPr>
        <w:jc w:val="both"/>
        <w:rPr>
          <w:rFonts w:eastAsia="Times New Roman" w:cs="Times New Roman"/>
          <w:i/>
          <w:iCs/>
          <w:kern w:val="0"/>
          <w:sz w:val="28"/>
          <w:szCs w:val="28"/>
          <w14:ligatures w14:val="none"/>
        </w:rPr>
      </w:pPr>
      <w:r w:rsidRPr="00E65CC7">
        <w:rPr>
          <w:rFonts w:eastAsia="Times New Roman" w:cs="Times New Roman"/>
          <w:color w:val="000000"/>
          <w:kern w:val="0"/>
          <w:sz w:val="28"/>
          <w:szCs w:val="28"/>
          <w14:ligatures w14:val="none"/>
        </w:rPr>
        <w:t xml:space="preserve">Once a defendant has been compelled, federal authorities have the burden of proving that their evidence is “not tainted” and “is derived from a legitimate source wholly independent </w:t>
      </w:r>
      <w:r w:rsidR="00F647B5">
        <w:rPr>
          <w:rFonts w:eastAsia="Times New Roman" w:cs="Times New Roman"/>
          <w:color w:val="000000"/>
          <w:kern w:val="0"/>
          <w:sz w:val="28"/>
          <w:szCs w:val="28"/>
          <w14:ligatures w14:val="none"/>
        </w:rPr>
        <w:t>of</w:t>
      </w:r>
      <w:r w:rsidRPr="00E65CC7">
        <w:rPr>
          <w:rFonts w:eastAsia="Times New Roman" w:cs="Times New Roman"/>
          <w:color w:val="000000"/>
          <w:kern w:val="0"/>
          <w:sz w:val="28"/>
          <w:szCs w:val="28"/>
          <w14:ligatures w14:val="none"/>
        </w:rPr>
        <w:t xml:space="preserve"> the compelled testimony.” </w:t>
      </w:r>
      <w:r w:rsidRPr="00E65CC7">
        <w:rPr>
          <w:rFonts w:eastAsia="Times New Roman" w:cs="Times New Roman"/>
          <w:i/>
          <w:iCs/>
          <w:color w:val="000000"/>
          <w:kern w:val="0"/>
          <w:sz w:val="28"/>
          <w:szCs w:val="28"/>
          <w14:ligatures w14:val="none"/>
        </w:rPr>
        <w:t>Kastigar,</w:t>
      </w:r>
      <w:r w:rsidRPr="00E65CC7">
        <w:rPr>
          <w:rFonts w:eastAsia="Times New Roman" w:cs="Times New Roman"/>
          <w:color w:val="000000"/>
          <w:kern w:val="0"/>
          <w:sz w:val="28"/>
          <w:szCs w:val="28"/>
          <w14:ligatures w14:val="none"/>
        </w:rPr>
        <w:t xml:space="preserve"> 406 U.S. at 4</w:t>
      </w:r>
      <w:r w:rsidR="008C104D">
        <w:rPr>
          <w:rFonts w:eastAsia="Times New Roman" w:cs="Times New Roman"/>
          <w:color w:val="000000"/>
          <w:kern w:val="0"/>
          <w:sz w:val="28"/>
          <w:szCs w:val="28"/>
          <w14:ligatures w14:val="none"/>
        </w:rPr>
        <w:t>60</w:t>
      </w:r>
      <w:r w:rsidRPr="00E65CC7">
        <w:rPr>
          <w:rFonts w:eastAsia="Times New Roman" w:cs="Times New Roman"/>
          <w:color w:val="000000"/>
          <w:kern w:val="0"/>
          <w:sz w:val="28"/>
          <w:szCs w:val="28"/>
          <w14:ligatures w14:val="none"/>
        </w:rPr>
        <w:t>. A government agent’s denial that immunize</w:t>
      </w:r>
      <w:r w:rsidR="008C104D">
        <w:rPr>
          <w:rFonts w:eastAsia="Times New Roman" w:cs="Times New Roman"/>
          <w:color w:val="000000"/>
          <w:kern w:val="0"/>
          <w:sz w:val="28"/>
          <w:szCs w:val="28"/>
          <w14:ligatures w14:val="none"/>
        </w:rPr>
        <w:t>d</w:t>
      </w:r>
      <w:r w:rsidRPr="00E65CC7">
        <w:rPr>
          <w:rFonts w:eastAsia="Times New Roman" w:cs="Times New Roman"/>
          <w:color w:val="000000"/>
          <w:kern w:val="0"/>
          <w:sz w:val="28"/>
          <w:szCs w:val="28"/>
          <w14:ligatures w14:val="none"/>
        </w:rPr>
        <w:t xml:space="preserve"> testimony </w:t>
      </w:r>
      <w:r w:rsidR="008C104D">
        <w:rPr>
          <w:rFonts w:eastAsia="Times New Roman" w:cs="Times New Roman"/>
          <w:color w:val="000000"/>
          <w:kern w:val="0"/>
          <w:sz w:val="28"/>
          <w:szCs w:val="28"/>
          <w14:ligatures w14:val="none"/>
        </w:rPr>
        <w:t xml:space="preserve">was </w:t>
      </w:r>
      <w:r w:rsidRPr="00E65CC7">
        <w:rPr>
          <w:rFonts w:eastAsia="Times New Roman" w:cs="Times New Roman"/>
          <w:color w:val="000000"/>
          <w:kern w:val="0"/>
          <w:sz w:val="28"/>
          <w:szCs w:val="28"/>
          <w14:ligatures w14:val="none"/>
        </w:rPr>
        <w:t xml:space="preserve">used in an investigation is generally insufficient to meet this burden. </w:t>
      </w:r>
      <w:r w:rsidRPr="00E65CC7">
        <w:rPr>
          <w:rFonts w:eastAsia="Times New Roman" w:cs="Times New Roman"/>
          <w:i/>
          <w:iCs/>
          <w:color w:val="000000"/>
          <w:kern w:val="0"/>
          <w:sz w:val="28"/>
          <w:szCs w:val="28"/>
          <w14:ligatures w14:val="none"/>
        </w:rPr>
        <w:t>United States v. Hampton</w:t>
      </w:r>
      <w:r w:rsidRPr="00E65CC7">
        <w:rPr>
          <w:rFonts w:eastAsia="Times New Roman" w:cs="Times New Roman"/>
          <w:color w:val="000000"/>
          <w:kern w:val="0"/>
          <w:sz w:val="28"/>
          <w:szCs w:val="28"/>
          <w14:ligatures w14:val="none"/>
        </w:rPr>
        <w:t>, 775 F.2d 1479, 1485 (11th Cir. 1985)</w:t>
      </w:r>
      <w:r w:rsidR="007D7FB7" w:rsidRPr="00E65CC7">
        <w:rPr>
          <w:rFonts w:eastAsia="Times New Roman" w:cs="Times New Roman"/>
          <w:color w:val="000000"/>
          <w:kern w:val="0"/>
          <w:sz w:val="28"/>
          <w:szCs w:val="28"/>
          <w14:ligatures w14:val="none"/>
        </w:rPr>
        <w:fldChar w:fldCharType="begin"/>
      </w:r>
      <w:r w:rsidR="007D7FB7" w:rsidRPr="00E65CC7">
        <w:rPr>
          <w:rFonts w:cs="Times New Roman"/>
          <w:sz w:val="28"/>
          <w:szCs w:val="28"/>
        </w:rPr>
        <w:instrText xml:space="preserve"> TA \l "</w:instrText>
      </w:r>
      <w:r w:rsidR="007D7FB7" w:rsidRPr="00E65CC7">
        <w:rPr>
          <w:rFonts w:eastAsia="Times New Roman" w:cs="Times New Roman"/>
          <w:i/>
          <w:iCs/>
          <w:color w:val="000000"/>
          <w:kern w:val="0"/>
          <w:sz w:val="28"/>
          <w:szCs w:val="28"/>
          <w14:ligatures w14:val="none"/>
        </w:rPr>
        <w:instrText>United States v. Hampton</w:instrText>
      </w:r>
      <w:r w:rsidR="007D7FB7" w:rsidRPr="00E65CC7">
        <w:rPr>
          <w:rFonts w:eastAsia="Times New Roman" w:cs="Times New Roman"/>
          <w:color w:val="000000"/>
          <w:kern w:val="0"/>
          <w:sz w:val="28"/>
          <w:szCs w:val="28"/>
          <w14:ligatures w14:val="none"/>
        </w:rPr>
        <w:instrText>, 775 F.2d 1479, 1485 (11th Cir. 1985)</w:instrText>
      </w:r>
      <w:r w:rsidR="007D7FB7" w:rsidRPr="00E65CC7">
        <w:rPr>
          <w:rFonts w:cs="Times New Roman"/>
          <w:sz w:val="28"/>
          <w:szCs w:val="28"/>
        </w:rPr>
        <w:instrText xml:space="preserve">" \s "United States v. Hampton, 775 F.2d 1479, 1485 (11th Cir. 1985)" \c 1 </w:instrText>
      </w:r>
      <w:r w:rsidR="007D7FB7" w:rsidRPr="00E65CC7">
        <w:rPr>
          <w:rFonts w:eastAsia="Times New Roman" w:cs="Times New Roman"/>
          <w:color w:val="000000"/>
          <w:kern w:val="0"/>
          <w:sz w:val="28"/>
          <w:szCs w:val="28"/>
          <w14:ligatures w14:val="none"/>
        </w:rPr>
        <w:fldChar w:fldCharType="end"/>
      </w:r>
      <w:r w:rsidRPr="00E65CC7">
        <w:rPr>
          <w:rFonts w:eastAsia="Times New Roman" w:cs="Times New Roman"/>
          <w:color w:val="000000"/>
          <w:kern w:val="0"/>
          <w:sz w:val="28"/>
          <w:szCs w:val="28"/>
          <w14:ligatures w14:val="none"/>
        </w:rPr>
        <w:t xml:space="preserve">. To reconcile the loss of the right to remain silent, law enforcement agencies are barred from utilizing that testimony against them. </w:t>
      </w:r>
      <w:r w:rsidRPr="00E65CC7">
        <w:rPr>
          <w:rFonts w:eastAsia="Times New Roman" w:cs="Times New Roman"/>
          <w:i/>
          <w:iCs/>
          <w:color w:val="000000"/>
          <w:kern w:val="0"/>
          <w:sz w:val="28"/>
          <w:szCs w:val="28"/>
          <w14:ligatures w14:val="none"/>
        </w:rPr>
        <w:t>Id.</w:t>
      </w:r>
      <w:r w:rsidRPr="00E65CC7">
        <w:rPr>
          <w:rFonts w:eastAsia="Times New Roman" w:cs="Times New Roman"/>
          <w:color w:val="000000"/>
          <w:kern w:val="0"/>
          <w:sz w:val="28"/>
          <w:szCs w:val="28"/>
          <w14:ligatures w14:val="none"/>
        </w:rPr>
        <w:t xml:space="preserve"> at 460. </w:t>
      </w:r>
      <w:r w:rsidR="008C104D">
        <w:rPr>
          <w:rFonts w:eastAsia="Times New Roman" w:cs="Times New Roman"/>
          <w:color w:val="000000"/>
          <w:kern w:val="0"/>
          <w:sz w:val="28"/>
          <w:szCs w:val="28"/>
          <w14:ligatures w14:val="none"/>
        </w:rPr>
        <w:t xml:space="preserve">Simply, the Government may not </w:t>
      </w:r>
      <w:r w:rsidRPr="00E65CC7">
        <w:rPr>
          <w:rFonts w:eastAsia="Times New Roman" w:cs="Times New Roman"/>
          <w:color w:val="000000"/>
          <w:kern w:val="0"/>
          <w:sz w:val="28"/>
          <w:szCs w:val="28"/>
          <w14:ligatures w14:val="none"/>
        </w:rPr>
        <w:t xml:space="preserve">“alter its investigatory strategy as a result of the immunized statement.” </w:t>
      </w:r>
      <w:r w:rsidRPr="00E65CC7">
        <w:rPr>
          <w:rFonts w:eastAsia="Times New Roman" w:cs="Times New Roman"/>
          <w:i/>
          <w:iCs/>
          <w:color w:val="000000"/>
          <w:kern w:val="0"/>
          <w:sz w:val="28"/>
          <w:szCs w:val="28"/>
          <w14:ligatures w14:val="none"/>
        </w:rPr>
        <w:t>United States v. Harris</w:t>
      </w:r>
      <w:r w:rsidRPr="00E65CC7">
        <w:rPr>
          <w:rFonts w:eastAsia="Times New Roman" w:cs="Times New Roman"/>
          <w:color w:val="000000"/>
          <w:kern w:val="0"/>
          <w:sz w:val="28"/>
          <w:szCs w:val="28"/>
          <w14:ligatures w14:val="none"/>
        </w:rPr>
        <w:t>, 973 F.2d 333, 336 (4th Cir. 1992).</w:t>
      </w:r>
      <w:r w:rsidR="007D7FB7" w:rsidRPr="00E65CC7">
        <w:rPr>
          <w:rFonts w:eastAsia="Times New Roman" w:cs="Times New Roman"/>
          <w:color w:val="000000"/>
          <w:kern w:val="0"/>
          <w:sz w:val="28"/>
          <w:szCs w:val="28"/>
          <w14:ligatures w14:val="none"/>
        </w:rPr>
        <w:fldChar w:fldCharType="begin"/>
      </w:r>
      <w:r w:rsidR="007D7FB7" w:rsidRPr="00E65CC7">
        <w:rPr>
          <w:rFonts w:cs="Times New Roman"/>
          <w:sz w:val="28"/>
          <w:szCs w:val="28"/>
        </w:rPr>
        <w:instrText xml:space="preserve"> TA \l "</w:instrText>
      </w:r>
      <w:r w:rsidR="007D7FB7" w:rsidRPr="00E65CC7">
        <w:rPr>
          <w:rFonts w:eastAsia="Times New Roman" w:cs="Times New Roman"/>
          <w:i/>
          <w:iCs/>
          <w:color w:val="000000"/>
          <w:kern w:val="0"/>
          <w:sz w:val="28"/>
          <w:szCs w:val="28"/>
          <w14:ligatures w14:val="none"/>
        </w:rPr>
        <w:instrText>United States v. Harris</w:instrText>
      </w:r>
      <w:r w:rsidR="007D7FB7" w:rsidRPr="00E65CC7">
        <w:rPr>
          <w:rFonts w:eastAsia="Times New Roman" w:cs="Times New Roman"/>
          <w:color w:val="000000"/>
          <w:kern w:val="0"/>
          <w:sz w:val="28"/>
          <w:szCs w:val="28"/>
          <w14:ligatures w14:val="none"/>
        </w:rPr>
        <w:instrText>, 973 F.2d 333, 336 (4th Cir. 1992).</w:instrText>
      </w:r>
      <w:r w:rsidR="007D7FB7" w:rsidRPr="00E65CC7">
        <w:rPr>
          <w:rFonts w:cs="Times New Roman"/>
          <w:sz w:val="28"/>
          <w:szCs w:val="28"/>
        </w:rPr>
        <w:instrText xml:space="preserve">" \s "United States v. Harris, 973 F.2d 333 (4th Cir. 1992)" \c 1 </w:instrText>
      </w:r>
      <w:r w:rsidR="007D7FB7" w:rsidRPr="00E65CC7">
        <w:rPr>
          <w:rFonts w:eastAsia="Times New Roman" w:cs="Times New Roman"/>
          <w:color w:val="000000"/>
          <w:kern w:val="0"/>
          <w:sz w:val="28"/>
          <w:szCs w:val="28"/>
          <w14:ligatures w14:val="none"/>
        </w:rPr>
        <w:fldChar w:fldCharType="end"/>
      </w:r>
      <w:r w:rsidRPr="00E65CC7">
        <w:rPr>
          <w:rFonts w:eastAsia="Times New Roman" w:cs="Times New Roman"/>
          <w:color w:val="000000"/>
          <w:kern w:val="0"/>
          <w:sz w:val="28"/>
          <w:szCs w:val="28"/>
          <w14:ligatures w14:val="none"/>
        </w:rPr>
        <w:t xml:space="preserve"> Here, the Government’s burden began on August 28, 2024</w:t>
      </w:r>
      <w:r w:rsidR="007D7FB7" w:rsidRPr="00E65CC7">
        <w:rPr>
          <w:rFonts w:eastAsia="Times New Roman" w:cs="Times New Roman"/>
          <w:color w:val="000000"/>
          <w:kern w:val="0"/>
          <w:sz w:val="28"/>
          <w:szCs w:val="28"/>
          <w14:ligatures w14:val="none"/>
        </w:rPr>
        <w:t>,</w:t>
      </w:r>
      <w:r w:rsidRPr="00E65CC7">
        <w:rPr>
          <w:rFonts w:eastAsia="Times New Roman" w:cs="Times New Roman"/>
          <w:color w:val="000000"/>
          <w:kern w:val="0"/>
          <w:sz w:val="28"/>
          <w:szCs w:val="28"/>
          <w14:ligatures w14:val="none"/>
        </w:rPr>
        <w:t xml:space="preserve"> and remains </w:t>
      </w:r>
      <w:r w:rsidRPr="00E65CC7">
        <w:rPr>
          <w:rFonts w:eastAsia="Times New Roman" w:cs="Times New Roman"/>
          <w:color w:val="000000"/>
          <w:kern w:val="0"/>
          <w:sz w:val="28"/>
          <w:szCs w:val="28"/>
          <w14:ligatures w14:val="none"/>
        </w:rPr>
        <w:lastRenderedPageBreak/>
        <w:t>through Ms. Calloway’s testimony and beyond. As such, evidence, directly or indirectly, derived from this testimony must be suppressed. </w:t>
      </w:r>
      <w:r w:rsidR="008C104D" w:rsidRPr="008C104D">
        <w:rPr>
          <w:rFonts w:eastAsia="Times New Roman" w:cs="Times New Roman"/>
          <w:i/>
          <w:iCs/>
          <w:color w:val="000000"/>
          <w:kern w:val="0"/>
          <w:sz w:val="28"/>
          <w:szCs w:val="28"/>
          <w14:ligatures w14:val="none"/>
        </w:rPr>
        <w:t xml:space="preserve">See id. </w:t>
      </w:r>
    </w:p>
    <w:p w14:paraId="63C32174" w14:textId="38587B04" w:rsidR="005A0F38" w:rsidRPr="00E65CC7" w:rsidRDefault="005A0F38" w:rsidP="005A0F38">
      <w:pPr>
        <w:jc w:val="both"/>
        <w:rPr>
          <w:rFonts w:eastAsia="Times New Roman" w:cs="Times New Roman"/>
          <w:kern w:val="0"/>
          <w:sz w:val="28"/>
          <w:szCs w:val="28"/>
          <w14:ligatures w14:val="none"/>
        </w:rPr>
      </w:pPr>
      <w:r w:rsidRPr="00E65CC7">
        <w:rPr>
          <w:rFonts w:eastAsia="Times New Roman" w:cs="Times New Roman"/>
          <w:color w:val="000000"/>
          <w:kern w:val="0"/>
          <w:sz w:val="28"/>
          <w:szCs w:val="28"/>
          <w14:ligatures w14:val="none"/>
        </w:rPr>
        <w:t xml:space="preserve">For example, in </w:t>
      </w:r>
      <w:r w:rsidRPr="00E65CC7">
        <w:rPr>
          <w:rFonts w:eastAsia="Times New Roman" w:cs="Times New Roman"/>
          <w:i/>
          <w:iCs/>
          <w:color w:val="000000"/>
          <w:kern w:val="0"/>
          <w:sz w:val="28"/>
          <w:szCs w:val="28"/>
          <w14:ligatures w14:val="none"/>
        </w:rPr>
        <w:t>United States v. Schmidgall</w:t>
      </w:r>
      <w:r w:rsidR="007D7FB7" w:rsidRPr="00E65CC7">
        <w:rPr>
          <w:rFonts w:eastAsia="Times New Roman" w:cs="Times New Roman"/>
          <w:i/>
          <w:iCs/>
          <w:color w:val="000000"/>
          <w:kern w:val="0"/>
          <w:sz w:val="28"/>
          <w:szCs w:val="28"/>
          <w14:ligatures w14:val="none"/>
        </w:rPr>
        <w:fldChar w:fldCharType="begin"/>
      </w:r>
      <w:r w:rsidR="007D7FB7" w:rsidRPr="00E65CC7">
        <w:rPr>
          <w:rFonts w:cs="Times New Roman"/>
          <w:sz w:val="28"/>
          <w:szCs w:val="28"/>
        </w:rPr>
        <w:instrText xml:space="preserve"> TA \l "</w:instrText>
      </w:r>
      <w:r w:rsidR="007D7FB7" w:rsidRPr="00E65CC7">
        <w:rPr>
          <w:rFonts w:eastAsia="Times New Roman" w:cs="Times New Roman"/>
          <w:i/>
          <w:iCs/>
          <w:color w:val="000000"/>
          <w:kern w:val="0"/>
          <w:sz w:val="28"/>
          <w:szCs w:val="28"/>
          <w14:ligatures w14:val="none"/>
        </w:rPr>
        <w:instrText>United States v. Schmidgall</w:instrText>
      </w:r>
      <w:r w:rsidR="007D7FB7" w:rsidRPr="00E65CC7">
        <w:rPr>
          <w:rFonts w:cs="Times New Roman"/>
          <w:sz w:val="28"/>
          <w:szCs w:val="28"/>
        </w:rPr>
        <w:instrText xml:space="preserve">" \s "United States v. Schmidgall, 25 F.3d 1523 (11th Cir. 1994)" \c 1 </w:instrText>
      </w:r>
      <w:r w:rsidR="007D7FB7" w:rsidRPr="00E65CC7">
        <w:rPr>
          <w:rFonts w:eastAsia="Times New Roman" w:cs="Times New Roman"/>
          <w:i/>
          <w:iCs/>
          <w:color w:val="000000"/>
          <w:kern w:val="0"/>
          <w:sz w:val="28"/>
          <w:szCs w:val="28"/>
          <w14:ligatures w14:val="none"/>
        </w:rPr>
        <w:fldChar w:fldCharType="end"/>
      </w:r>
      <w:r w:rsidRPr="00E65CC7">
        <w:rPr>
          <w:rFonts w:eastAsia="Times New Roman" w:cs="Times New Roman"/>
          <w:color w:val="000000"/>
          <w:kern w:val="0"/>
          <w:sz w:val="28"/>
          <w:szCs w:val="28"/>
          <w14:ligatures w14:val="none"/>
        </w:rPr>
        <w:t xml:space="preserve">, the Eleventh Circuit dismissed a defendant’s charges after determining that the Government failed to meet its burden of establishing evidence independent of compelled testimony. 25 F.3d 1523, 1532 (11th Cir. 1994). There, the court determined that an investigator used notes from an immunized interview to shape further questioning. </w:t>
      </w:r>
      <w:r w:rsidRPr="00E65CC7">
        <w:rPr>
          <w:rFonts w:eastAsia="Times New Roman" w:cs="Times New Roman"/>
          <w:i/>
          <w:iCs/>
          <w:color w:val="000000"/>
          <w:kern w:val="0"/>
          <w:sz w:val="28"/>
          <w:szCs w:val="28"/>
          <w14:ligatures w14:val="none"/>
        </w:rPr>
        <w:t>Id.</w:t>
      </w:r>
      <w:r w:rsidR="007D7FB7" w:rsidRPr="00E65CC7">
        <w:rPr>
          <w:rFonts w:eastAsia="Times New Roman" w:cs="Times New Roman"/>
          <w:i/>
          <w:iCs/>
          <w:color w:val="000000"/>
          <w:kern w:val="0"/>
          <w:sz w:val="28"/>
          <w:szCs w:val="28"/>
          <w14:ligatures w14:val="none"/>
        </w:rPr>
        <w:fldChar w:fldCharType="begin"/>
      </w:r>
      <w:r w:rsidR="007D7FB7" w:rsidRPr="00E65CC7">
        <w:rPr>
          <w:rFonts w:cs="Times New Roman"/>
          <w:sz w:val="28"/>
          <w:szCs w:val="28"/>
        </w:rPr>
        <w:instrText xml:space="preserve"> TA \s "United States v. Schmidgall, 25 F.3d 1523 (11th Cir. 1994)" </w:instrText>
      </w:r>
      <w:r w:rsidR="007D7FB7" w:rsidRPr="00E65CC7">
        <w:rPr>
          <w:rFonts w:eastAsia="Times New Roman" w:cs="Times New Roman"/>
          <w:i/>
          <w:iCs/>
          <w:color w:val="000000"/>
          <w:kern w:val="0"/>
          <w:sz w:val="28"/>
          <w:szCs w:val="28"/>
          <w14:ligatures w14:val="none"/>
        </w:rPr>
        <w:fldChar w:fldCharType="end"/>
      </w:r>
      <w:r w:rsidRPr="00E65CC7">
        <w:rPr>
          <w:rFonts w:eastAsia="Times New Roman" w:cs="Times New Roman"/>
          <w:color w:val="000000"/>
          <w:kern w:val="0"/>
          <w:sz w:val="28"/>
          <w:szCs w:val="28"/>
          <w14:ligatures w14:val="none"/>
        </w:rPr>
        <w:t xml:space="preserve"> at 1530. Further, the investigator interacted with parties who conducted the interview or had knowledge of its content. </w:t>
      </w:r>
      <w:r w:rsidRPr="00E65CC7">
        <w:rPr>
          <w:rFonts w:eastAsia="Times New Roman" w:cs="Times New Roman"/>
          <w:i/>
          <w:iCs/>
          <w:color w:val="000000"/>
          <w:kern w:val="0"/>
          <w:sz w:val="28"/>
          <w:szCs w:val="28"/>
          <w14:ligatures w14:val="none"/>
        </w:rPr>
        <w:t>Id.</w:t>
      </w:r>
      <w:r w:rsidR="007D7FB7" w:rsidRPr="00E65CC7">
        <w:rPr>
          <w:rFonts w:eastAsia="Times New Roman" w:cs="Times New Roman"/>
          <w:i/>
          <w:iCs/>
          <w:color w:val="000000"/>
          <w:kern w:val="0"/>
          <w:sz w:val="28"/>
          <w:szCs w:val="28"/>
          <w14:ligatures w14:val="none"/>
        </w:rPr>
        <w:fldChar w:fldCharType="begin"/>
      </w:r>
      <w:r w:rsidR="007D7FB7" w:rsidRPr="00E65CC7">
        <w:rPr>
          <w:rFonts w:cs="Times New Roman"/>
          <w:sz w:val="28"/>
          <w:szCs w:val="28"/>
        </w:rPr>
        <w:instrText xml:space="preserve"> TA \s "United States v. Schmidgall, 25 F.3d 1523 (11th Cir. 1994)" </w:instrText>
      </w:r>
      <w:r w:rsidR="007D7FB7" w:rsidRPr="00E65CC7">
        <w:rPr>
          <w:rFonts w:eastAsia="Times New Roman" w:cs="Times New Roman"/>
          <w:i/>
          <w:iCs/>
          <w:color w:val="000000"/>
          <w:kern w:val="0"/>
          <w:sz w:val="28"/>
          <w:szCs w:val="28"/>
          <w14:ligatures w14:val="none"/>
        </w:rPr>
        <w:fldChar w:fldCharType="end"/>
      </w:r>
      <w:r w:rsidRPr="00E65CC7">
        <w:rPr>
          <w:rFonts w:eastAsia="Times New Roman" w:cs="Times New Roman"/>
          <w:color w:val="000000"/>
          <w:kern w:val="0"/>
          <w:sz w:val="28"/>
          <w:szCs w:val="28"/>
          <w14:ligatures w14:val="none"/>
        </w:rPr>
        <w:t xml:space="preserve"> at 1532. While the investigator found other witnesses to corroborate the evidence, the </w:t>
      </w:r>
      <w:r w:rsidR="008C104D">
        <w:rPr>
          <w:rFonts w:eastAsia="Times New Roman" w:cs="Times New Roman"/>
          <w:color w:val="000000"/>
          <w:kern w:val="0"/>
          <w:sz w:val="28"/>
          <w:szCs w:val="28"/>
          <w14:ligatures w14:val="none"/>
        </w:rPr>
        <w:t>C</w:t>
      </w:r>
      <w:r w:rsidRPr="00E65CC7">
        <w:rPr>
          <w:rFonts w:eastAsia="Times New Roman" w:cs="Times New Roman"/>
          <w:color w:val="000000"/>
          <w:kern w:val="0"/>
          <w:sz w:val="28"/>
          <w:szCs w:val="28"/>
          <w14:ligatures w14:val="none"/>
        </w:rPr>
        <w:t xml:space="preserve">ourt ultimately found that the Government failed to demonstrate that the </w:t>
      </w:r>
      <w:r w:rsidR="008C104D">
        <w:rPr>
          <w:rFonts w:eastAsia="Times New Roman" w:cs="Times New Roman"/>
          <w:color w:val="000000"/>
          <w:kern w:val="0"/>
          <w:sz w:val="28"/>
          <w:szCs w:val="28"/>
          <w14:ligatures w14:val="none"/>
        </w:rPr>
        <w:t>investigator</w:t>
      </w:r>
      <w:r w:rsidRPr="00E65CC7">
        <w:rPr>
          <w:rFonts w:eastAsia="Times New Roman" w:cs="Times New Roman"/>
          <w:color w:val="000000"/>
          <w:kern w:val="0"/>
          <w:sz w:val="28"/>
          <w:szCs w:val="28"/>
          <w14:ligatures w14:val="none"/>
        </w:rPr>
        <w:t xml:space="preserve"> could have identified these sources without knowledge of the immunized testimony. </w:t>
      </w:r>
      <w:r w:rsidRPr="00E65CC7">
        <w:rPr>
          <w:rFonts w:eastAsia="Times New Roman" w:cs="Times New Roman"/>
          <w:i/>
          <w:iCs/>
          <w:color w:val="000000"/>
          <w:kern w:val="0"/>
          <w:sz w:val="28"/>
          <w:szCs w:val="28"/>
          <w14:ligatures w14:val="none"/>
        </w:rPr>
        <w:t>Id.</w:t>
      </w:r>
      <w:r w:rsidR="007D7FB7" w:rsidRPr="00E65CC7">
        <w:rPr>
          <w:rFonts w:eastAsia="Times New Roman" w:cs="Times New Roman"/>
          <w:i/>
          <w:iCs/>
          <w:color w:val="000000"/>
          <w:kern w:val="0"/>
          <w:sz w:val="28"/>
          <w:szCs w:val="28"/>
          <w14:ligatures w14:val="none"/>
        </w:rPr>
        <w:fldChar w:fldCharType="begin"/>
      </w:r>
      <w:r w:rsidR="007D7FB7" w:rsidRPr="00E65CC7">
        <w:rPr>
          <w:rFonts w:cs="Times New Roman"/>
          <w:sz w:val="28"/>
          <w:szCs w:val="28"/>
        </w:rPr>
        <w:instrText xml:space="preserve"> TA \s "United States v. Schmidgall, 25 F.3d 1523 (11th Cir. 1994)" </w:instrText>
      </w:r>
      <w:r w:rsidR="007D7FB7" w:rsidRPr="00E65CC7">
        <w:rPr>
          <w:rFonts w:eastAsia="Times New Roman" w:cs="Times New Roman"/>
          <w:i/>
          <w:iCs/>
          <w:color w:val="000000"/>
          <w:kern w:val="0"/>
          <w:sz w:val="28"/>
          <w:szCs w:val="28"/>
          <w14:ligatures w14:val="none"/>
        </w:rPr>
        <w:fldChar w:fldCharType="end"/>
      </w:r>
      <w:r w:rsidRPr="00E65CC7">
        <w:rPr>
          <w:rFonts w:eastAsia="Times New Roman" w:cs="Times New Roman"/>
          <w:color w:val="000000"/>
          <w:kern w:val="0"/>
          <w:sz w:val="28"/>
          <w:szCs w:val="28"/>
          <w14:ligatures w14:val="none"/>
        </w:rPr>
        <w:t> </w:t>
      </w:r>
    </w:p>
    <w:p w14:paraId="4FE750F5" w14:textId="50D1E3C0" w:rsidR="005A0F38" w:rsidRPr="00E65CC7" w:rsidRDefault="005A0F38" w:rsidP="005A0F38">
      <w:pPr>
        <w:jc w:val="both"/>
        <w:rPr>
          <w:rFonts w:eastAsia="Times New Roman" w:cs="Times New Roman"/>
          <w:kern w:val="0"/>
          <w:sz w:val="28"/>
          <w:szCs w:val="28"/>
          <w14:ligatures w14:val="none"/>
        </w:rPr>
      </w:pPr>
      <w:r w:rsidRPr="00E65CC7">
        <w:rPr>
          <w:rFonts w:eastAsia="Times New Roman" w:cs="Times New Roman"/>
          <w:color w:val="000000"/>
          <w:kern w:val="0"/>
          <w:sz w:val="28"/>
          <w:szCs w:val="28"/>
          <w14:ligatures w14:val="none"/>
        </w:rPr>
        <w:t xml:space="preserve">In contrast, in </w:t>
      </w:r>
      <w:r w:rsidRPr="00E65CC7">
        <w:rPr>
          <w:rFonts w:eastAsia="Times New Roman" w:cs="Times New Roman"/>
          <w:i/>
          <w:iCs/>
          <w:color w:val="000000"/>
          <w:kern w:val="0"/>
          <w:sz w:val="28"/>
          <w:szCs w:val="28"/>
          <w14:ligatures w14:val="none"/>
        </w:rPr>
        <w:t>United States v. Bartel</w:t>
      </w:r>
      <w:r w:rsidR="007D7FB7" w:rsidRPr="00E65CC7">
        <w:rPr>
          <w:rFonts w:eastAsia="Times New Roman" w:cs="Times New Roman"/>
          <w:i/>
          <w:iCs/>
          <w:color w:val="000000"/>
          <w:kern w:val="0"/>
          <w:sz w:val="28"/>
          <w:szCs w:val="28"/>
          <w14:ligatures w14:val="none"/>
        </w:rPr>
        <w:fldChar w:fldCharType="begin"/>
      </w:r>
      <w:r w:rsidR="007D7FB7" w:rsidRPr="00E65CC7">
        <w:rPr>
          <w:rFonts w:cs="Times New Roman"/>
          <w:sz w:val="28"/>
          <w:szCs w:val="28"/>
        </w:rPr>
        <w:instrText xml:space="preserve"> TA \l "</w:instrText>
      </w:r>
      <w:r w:rsidR="007D7FB7" w:rsidRPr="00E65CC7">
        <w:rPr>
          <w:rFonts w:eastAsia="Times New Roman" w:cs="Times New Roman"/>
          <w:i/>
          <w:iCs/>
          <w:color w:val="000000"/>
          <w:kern w:val="0"/>
          <w:sz w:val="28"/>
          <w:szCs w:val="28"/>
          <w14:ligatures w14:val="none"/>
        </w:rPr>
        <w:instrText>United States v. Bartel</w:instrText>
      </w:r>
      <w:r w:rsidR="007D7FB7" w:rsidRPr="00E65CC7">
        <w:rPr>
          <w:rFonts w:cs="Times New Roman"/>
          <w:sz w:val="28"/>
          <w:szCs w:val="28"/>
        </w:rPr>
        <w:instrText xml:space="preserve">" \s "United States v. Bartel, 19 F.3d 1105 (6th Cir. 1994)" \c 1 </w:instrText>
      </w:r>
      <w:r w:rsidR="007D7FB7" w:rsidRPr="00E65CC7">
        <w:rPr>
          <w:rFonts w:eastAsia="Times New Roman" w:cs="Times New Roman"/>
          <w:i/>
          <w:iCs/>
          <w:color w:val="000000"/>
          <w:kern w:val="0"/>
          <w:sz w:val="28"/>
          <w:szCs w:val="28"/>
          <w14:ligatures w14:val="none"/>
        </w:rPr>
        <w:fldChar w:fldCharType="end"/>
      </w:r>
      <w:r w:rsidRPr="00E65CC7">
        <w:rPr>
          <w:rFonts w:eastAsia="Times New Roman" w:cs="Times New Roman"/>
          <w:color w:val="000000"/>
          <w:kern w:val="0"/>
          <w:sz w:val="28"/>
          <w:szCs w:val="28"/>
          <w14:ligatures w14:val="none"/>
        </w:rPr>
        <w:t xml:space="preserve">, the Sixth Circuit determined the Government’s evidence as “wholly independent” of a defendant’s compelled testimony. 19 F.3d 1105, 1112–13 (6th Cir. 1994). In their testimony, the defendant discussed interactions with individuals under investigation. </w:t>
      </w:r>
      <w:r w:rsidRPr="00E65CC7">
        <w:rPr>
          <w:rFonts w:eastAsia="Times New Roman" w:cs="Times New Roman"/>
          <w:i/>
          <w:iCs/>
          <w:color w:val="000000"/>
          <w:kern w:val="0"/>
          <w:sz w:val="28"/>
          <w:szCs w:val="28"/>
          <w14:ligatures w14:val="none"/>
        </w:rPr>
        <w:t>Id.</w:t>
      </w:r>
      <w:r w:rsidR="007D7FB7" w:rsidRPr="00E65CC7">
        <w:rPr>
          <w:rFonts w:eastAsia="Times New Roman" w:cs="Times New Roman"/>
          <w:i/>
          <w:iCs/>
          <w:color w:val="000000"/>
          <w:kern w:val="0"/>
          <w:sz w:val="28"/>
          <w:szCs w:val="28"/>
          <w14:ligatures w14:val="none"/>
        </w:rPr>
        <w:fldChar w:fldCharType="begin"/>
      </w:r>
      <w:r w:rsidR="007D7FB7" w:rsidRPr="00E65CC7">
        <w:rPr>
          <w:rFonts w:cs="Times New Roman"/>
          <w:sz w:val="28"/>
          <w:szCs w:val="28"/>
        </w:rPr>
        <w:instrText xml:space="preserve"> TA \s "United States v. Bartel, 19 F.3d 1105 (6th Cir. 1994)" </w:instrText>
      </w:r>
      <w:r w:rsidR="007D7FB7" w:rsidRPr="00E65CC7">
        <w:rPr>
          <w:rFonts w:eastAsia="Times New Roman" w:cs="Times New Roman"/>
          <w:i/>
          <w:iCs/>
          <w:color w:val="000000"/>
          <w:kern w:val="0"/>
          <w:sz w:val="28"/>
          <w:szCs w:val="28"/>
          <w14:ligatures w14:val="none"/>
        </w:rPr>
        <w:fldChar w:fldCharType="end"/>
      </w:r>
      <w:r w:rsidRPr="00E65CC7">
        <w:rPr>
          <w:rFonts w:eastAsia="Times New Roman" w:cs="Times New Roman"/>
          <w:i/>
          <w:iCs/>
          <w:color w:val="000000"/>
          <w:kern w:val="0"/>
          <w:sz w:val="28"/>
          <w:szCs w:val="28"/>
          <w14:ligatures w14:val="none"/>
        </w:rPr>
        <w:t xml:space="preserve"> </w:t>
      </w:r>
      <w:r w:rsidRPr="00E65CC7">
        <w:rPr>
          <w:rFonts w:eastAsia="Times New Roman" w:cs="Times New Roman"/>
          <w:color w:val="000000"/>
          <w:kern w:val="0"/>
          <w:sz w:val="28"/>
          <w:szCs w:val="28"/>
          <w14:ligatures w14:val="none"/>
        </w:rPr>
        <w:t xml:space="preserve">at 1108–09. A grand jury later named the defendant as a co-conspirator in an indictment. </w:t>
      </w:r>
      <w:r w:rsidRPr="00E65CC7">
        <w:rPr>
          <w:rFonts w:eastAsia="Times New Roman" w:cs="Times New Roman"/>
          <w:i/>
          <w:iCs/>
          <w:color w:val="000000"/>
          <w:kern w:val="0"/>
          <w:sz w:val="28"/>
          <w:szCs w:val="28"/>
          <w14:ligatures w14:val="none"/>
        </w:rPr>
        <w:t>Id.</w:t>
      </w:r>
      <w:r w:rsidR="007D7FB7" w:rsidRPr="00E65CC7">
        <w:rPr>
          <w:rFonts w:eastAsia="Times New Roman" w:cs="Times New Roman"/>
          <w:i/>
          <w:iCs/>
          <w:color w:val="000000"/>
          <w:kern w:val="0"/>
          <w:sz w:val="28"/>
          <w:szCs w:val="28"/>
          <w14:ligatures w14:val="none"/>
        </w:rPr>
        <w:fldChar w:fldCharType="begin"/>
      </w:r>
      <w:r w:rsidR="007D7FB7" w:rsidRPr="00E65CC7">
        <w:rPr>
          <w:rFonts w:cs="Times New Roman"/>
          <w:sz w:val="28"/>
          <w:szCs w:val="28"/>
        </w:rPr>
        <w:instrText xml:space="preserve"> TA \s "United States v. Bartel, 19 F.3d 1105 (6th Cir. 1994)" </w:instrText>
      </w:r>
      <w:r w:rsidR="007D7FB7" w:rsidRPr="00E65CC7">
        <w:rPr>
          <w:rFonts w:eastAsia="Times New Roman" w:cs="Times New Roman"/>
          <w:i/>
          <w:iCs/>
          <w:color w:val="000000"/>
          <w:kern w:val="0"/>
          <w:sz w:val="28"/>
          <w:szCs w:val="28"/>
          <w14:ligatures w14:val="none"/>
        </w:rPr>
        <w:fldChar w:fldCharType="end"/>
      </w:r>
      <w:r w:rsidRPr="00E65CC7">
        <w:rPr>
          <w:rFonts w:eastAsia="Times New Roman" w:cs="Times New Roman"/>
          <w:i/>
          <w:iCs/>
          <w:color w:val="000000"/>
          <w:kern w:val="0"/>
          <w:sz w:val="28"/>
          <w:szCs w:val="28"/>
          <w14:ligatures w14:val="none"/>
        </w:rPr>
        <w:t xml:space="preserve"> </w:t>
      </w:r>
      <w:r w:rsidRPr="00E65CC7">
        <w:rPr>
          <w:rFonts w:eastAsia="Times New Roman" w:cs="Times New Roman"/>
          <w:color w:val="000000"/>
          <w:kern w:val="0"/>
          <w:sz w:val="28"/>
          <w:szCs w:val="28"/>
          <w14:ligatures w14:val="none"/>
        </w:rPr>
        <w:t xml:space="preserve">at 1109. Though the defendant alleged that the grounds were “improperly based upon his immunized testimony,” the </w:t>
      </w:r>
      <w:r w:rsidR="008C104D">
        <w:rPr>
          <w:rFonts w:eastAsia="Times New Roman" w:cs="Times New Roman"/>
          <w:color w:val="000000"/>
          <w:kern w:val="0"/>
          <w:sz w:val="28"/>
          <w:szCs w:val="28"/>
          <w14:ligatures w14:val="none"/>
        </w:rPr>
        <w:t>C</w:t>
      </w:r>
      <w:r w:rsidRPr="00E65CC7">
        <w:rPr>
          <w:rFonts w:eastAsia="Times New Roman" w:cs="Times New Roman"/>
          <w:color w:val="000000"/>
          <w:kern w:val="0"/>
          <w:sz w:val="28"/>
          <w:szCs w:val="28"/>
          <w14:ligatures w14:val="none"/>
        </w:rPr>
        <w:t xml:space="preserve">ourt permitted the evidence, finding that the </w:t>
      </w:r>
      <w:r w:rsidR="00F647B5">
        <w:rPr>
          <w:rFonts w:eastAsia="Times New Roman" w:cs="Times New Roman"/>
          <w:color w:val="000000"/>
          <w:kern w:val="0"/>
          <w:sz w:val="28"/>
          <w:szCs w:val="28"/>
          <w14:ligatures w14:val="none"/>
        </w:rPr>
        <w:t>G</w:t>
      </w:r>
      <w:r w:rsidRPr="00E65CC7">
        <w:rPr>
          <w:rFonts w:eastAsia="Times New Roman" w:cs="Times New Roman"/>
          <w:color w:val="000000"/>
          <w:kern w:val="0"/>
          <w:sz w:val="28"/>
          <w:szCs w:val="28"/>
          <w14:ligatures w14:val="none"/>
        </w:rPr>
        <w:t xml:space="preserve">overnment established its burden in proving the evidence was “wholly </w:t>
      </w:r>
      <w:r w:rsidRPr="00E65CC7">
        <w:rPr>
          <w:rFonts w:eastAsia="Times New Roman" w:cs="Times New Roman"/>
          <w:color w:val="000000"/>
          <w:kern w:val="0"/>
          <w:sz w:val="28"/>
          <w:szCs w:val="28"/>
          <w14:ligatures w14:val="none"/>
        </w:rPr>
        <w:lastRenderedPageBreak/>
        <w:t xml:space="preserve">independent” of the compelled testimony. </w:t>
      </w:r>
      <w:r w:rsidRPr="00E65CC7">
        <w:rPr>
          <w:rFonts w:eastAsia="Times New Roman" w:cs="Times New Roman"/>
          <w:i/>
          <w:iCs/>
          <w:color w:val="000000"/>
          <w:kern w:val="0"/>
          <w:sz w:val="28"/>
          <w:szCs w:val="28"/>
          <w14:ligatures w14:val="none"/>
        </w:rPr>
        <w:t>Id.</w:t>
      </w:r>
      <w:r w:rsidR="007D7FB7" w:rsidRPr="00E65CC7">
        <w:rPr>
          <w:rFonts w:eastAsia="Times New Roman" w:cs="Times New Roman"/>
          <w:i/>
          <w:iCs/>
          <w:color w:val="000000"/>
          <w:kern w:val="0"/>
          <w:sz w:val="28"/>
          <w:szCs w:val="28"/>
          <w14:ligatures w14:val="none"/>
        </w:rPr>
        <w:fldChar w:fldCharType="begin"/>
      </w:r>
      <w:r w:rsidR="007D7FB7" w:rsidRPr="00E65CC7">
        <w:rPr>
          <w:rFonts w:cs="Times New Roman"/>
          <w:sz w:val="28"/>
          <w:szCs w:val="28"/>
        </w:rPr>
        <w:instrText xml:space="preserve"> TA \s "United States v. Bartel, 19 F.3d 1105 (6th Cir. 1994)" </w:instrText>
      </w:r>
      <w:r w:rsidR="007D7FB7" w:rsidRPr="00E65CC7">
        <w:rPr>
          <w:rFonts w:eastAsia="Times New Roman" w:cs="Times New Roman"/>
          <w:i/>
          <w:iCs/>
          <w:color w:val="000000"/>
          <w:kern w:val="0"/>
          <w:sz w:val="28"/>
          <w:szCs w:val="28"/>
          <w14:ligatures w14:val="none"/>
        </w:rPr>
        <w:fldChar w:fldCharType="end"/>
      </w:r>
      <w:r w:rsidRPr="00E65CC7">
        <w:rPr>
          <w:rFonts w:eastAsia="Times New Roman" w:cs="Times New Roman"/>
          <w:i/>
          <w:iCs/>
          <w:color w:val="000000"/>
          <w:kern w:val="0"/>
          <w:sz w:val="28"/>
          <w:szCs w:val="28"/>
          <w14:ligatures w14:val="none"/>
        </w:rPr>
        <w:t xml:space="preserve"> </w:t>
      </w:r>
      <w:r w:rsidRPr="00E65CC7">
        <w:rPr>
          <w:rFonts w:eastAsia="Times New Roman" w:cs="Times New Roman"/>
          <w:color w:val="000000"/>
          <w:kern w:val="0"/>
          <w:sz w:val="28"/>
          <w:szCs w:val="28"/>
          <w14:ligatures w14:val="none"/>
        </w:rPr>
        <w:t xml:space="preserve">at 1112–13. </w:t>
      </w:r>
      <w:r w:rsidR="008C104D">
        <w:rPr>
          <w:rFonts w:eastAsia="Times New Roman" w:cs="Times New Roman"/>
          <w:color w:val="000000"/>
          <w:kern w:val="0"/>
          <w:sz w:val="28"/>
          <w:szCs w:val="28"/>
          <w14:ligatures w14:val="none"/>
        </w:rPr>
        <w:t xml:space="preserve">The burden was met through evidence of prior interviews and ongoing investigations of parties who named </w:t>
      </w:r>
      <w:proofErr w:type="gramStart"/>
      <w:r w:rsidR="008C104D">
        <w:rPr>
          <w:rFonts w:eastAsia="Times New Roman" w:cs="Times New Roman"/>
          <w:color w:val="000000"/>
          <w:kern w:val="0"/>
          <w:sz w:val="28"/>
          <w:szCs w:val="28"/>
          <w14:ligatures w14:val="none"/>
        </w:rPr>
        <w:t>defendant</w:t>
      </w:r>
      <w:proofErr w:type="gramEnd"/>
      <w:r w:rsidR="008C104D">
        <w:rPr>
          <w:rFonts w:eastAsia="Times New Roman" w:cs="Times New Roman"/>
          <w:color w:val="000000"/>
          <w:kern w:val="0"/>
          <w:sz w:val="28"/>
          <w:szCs w:val="28"/>
          <w14:ligatures w14:val="none"/>
        </w:rPr>
        <w:t xml:space="preserve"> as </w:t>
      </w:r>
      <w:proofErr w:type="gramStart"/>
      <w:r w:rsidR="008C104D">
        <w:rPr>
          <w:rFonts w:eastAsia="Times New Roman" w:cs="Times New Roman"/>
          <w:color w:val="000000"/>
          <w:kern w:val="0"/>
          <w:sz w:val="28"/>
          <w:szCs w:val="28"/>
          <w14:ligatures w14:val="none"/>
        </w:rPr>
        <w:t>a co</w:t>
      </w:r>
      <w:proofErr w:type="gramEnd"/>
      <w:r w:rsidR="008C104D">
        <w:rPr>
          <w:rFonts w:eastAsia="Times New Roman" w:cs="Times New Roman"/>
          <w:color w:val="000000"/>
          <w:kern w:val="0"/>
          <w:sz w:val="28"/>
          <w:szCs w:val="28"/>
          <w14:ligatures w14:val="none"/>
        </w:rPr>
        <w:t xml:space="preserve">-conspirator. </w:t>
      </w:r>
      <w:r w:rsidR="008C104D" w:rsidRPr="008C104D">
        <w:rPr>
          <w:rFonts w:eastAsia="Times New Roman" w:cs="Times New Roman"/>
          <w:i/>
          <w:iCs/>
          <w:color w:val="000000"/>
          <w:kern w:val="0"/>
          <w:sz w:val="28"/>
          <w:szCs w:val="28"/>
          <w14:ligatures w14:val="none"/>
        </w:rPr>
        <w:t>Id.</w:t>
      </w:r>
      <w:r w:rsidR="008C104D">
        <w:rPr>
          <w:rFonts w:eastAsia="Times New Roman" w:cs="Times New Roman"/>
          <w:color w:val="000000"/>
          <w:kern w:val="0"/>
          <w:sz w:val="28"/>
          <w:szCs w:val="28"/>
          <w14:ligatures w14:val="none"/>
        </w:rPr>
        <w:t xml:space="preserve"> </w:t>
      </w:r>
      <w:r w:rsidRPr="00E65CC7">
        <w:rPr>
          <w:rFonts w:eastAsia="Times New Roman" w:cs="Times New Roman"/>
          <w:color w:val="000000"/>
          <w:kern w:val="0"/>
          <w:sz w:val="28"/>
          <w:szCs w:val="28"/>
          <w14:ligatures w14:val="none"/>
        </w:rPr>
        <w:t xml:space="preserve">The Court held that the defendant's testimony could not have provided an investigative lead or new information to the Government; thus, there existed no error in determining that the testimony could not have led to indictment. </w:t>
      </w:r>
      <w:r w:rsidRPr="00E65CC7">
        <w:rPr>
          <w:rFonts w:eastAsia="Times New Roman" w:cs="Times New Roman"/>
          <w:i/>
          <w:iCs/>
          <w:color w:val="000000"/>
          <w:kern w:val="0"/>
          <w:sz w:val="28"/>
          <w:szCs w:val="28"/>
          <w14:ligatures w14:val="none"/>
        </w:rPr>
        <w:t>Id.</w:t>
      </w:r>
      <w:r w:rsidR="007D7FB7" w:rsidRPr="00E65CC7">
        <w:rPr>
          <w:rFonts w:eastAsia="Times New Roman" w:cs="Times New Roman"/>
          <w:i/>
          <w:iCs/>
          <w:color w:val="000000"/>
          <w:kern w:val="0"/>
          <w:sz w:val="28"/>
          <w:szCs w:val="28"/>
          <w14:ligatures w14:val="none"/>
        </w:rPr>
        <w:fldChar w:fldCharType="begin"/>
      </w:r>
      <w:r w:rsidR="007D7FB7" w:rsidRPr="00E65CC7">
        <w:rPr>
          <w:rFonts w:cs="Times New Roman"/>
          <w:sz w:val="28"/>
          <w:szCs w:val="28"/>
        </w:rPr>
        <w:instrText xml:space="preserve"> TA \s "United States v. Bartel, 19 F.3d 1105 (6th Cir. 1994)" </w:instrText>
      </w:r>
      <w:r w:rsidR="007D7FB7" w:rsidRPr="00E65CC7">
        <w:rPr>
          <w:rFonts w:eastAsia="Times New Roman" w:cs="Times New Roman"/>
          <w:i/>
          <w:iCs/>
          <w:color w:val="000000"/>
          <w:kern w:val="0"/>
          <w:sz w:val="28"/>
          <w:szCs w:val="28"/>
          <w14:ligatures w14:val="none"/>
        </w:rPr>
        <w:fldChar w:fldCharType="end"/>
      </w:r>
      <w:r w:rsidRPr="00E65CC7">
        <w:rPr>
          <w:rFonts w:eastAsia="Times New Roman" w:cs="Times New Roman"/>
          <w:i/>
          <w:iCs/>
          <w:color w:val="000000"/>
          <w:kern w:val="0"/>
          <w:sz w:val="28"/>
          <w:szCs w:val="28"/>
          <w14:ligatures w14:val="none"/>
        </w:rPr>
        <w:t xml:space="preserve"> </w:t>
      </w:r>
      <w:r w:rsidRPr="00E65CC7">
        <w:rPr>
          <w:rFonts w:eastAsia="Times New Roman" w:cs="Times New Roman"/>
          <w:color w:val="000000"/>
          <w:kern w:val="0"/>
          <w:sz w:val="28"/>
          <w:szCs w:val="28"/>
          <w14:ligatures w14:val="none"/>
        </w:rPr>
        <w:t>at 1112.</w:t>
      </w:r>
    </w:p>
    <w:p w14:paraId="78199D78" w14:textId="55AF8820" w:rsidR="005A0F38" w:rsidRPr="00E65CC7" w:rsidRDefault="005A0F38" w:rsidP="005A0F38">
      <w:pPr>
        <w:jc w:val="both"/>
        <w:rPr>
          <w:rFonts w:eastAsia="Times New Roman" w:cs="Times New Roman"/>
          <w:kern w:val="0"/>
          <w:sz w:val="28"/>
          <w:szCs w:val="28"/>
          <w14:ligatures w14:val="none"/>
        </w:rPr>
      </w:pPr>
      <w:r w:rsidRPr="00E65CC7">
        <w:rPr>
          <w:rFonts w:eastAsia="Times New Roman" w:cs="Times New Roman"/>
          <w:color w:val="000000"/>
          <w:kern w:val="0"/>
          <w:sz w:val="28"/>
          <w:szCs w:val="28"/>
          <w14:ligatures w14:val="none"/>
        </w:rPr>
        <w:t xml:space="preserve">Here, unlike </w:t>
      </w:r>
      <w:r w:rsidRPr="00E65CC7">
        <w:rPr>
          <w:rFonts w:eastAsia="Times New Roman" w:cs="Times New Roman"/>
          <w:i/>
          <w:iCs/>
          <w:color w:val="000000"/>
          <w:kern w:val="0"/>
          <w:sz w:val="28"/>
          <w:szCs w:val="28"/>
          <w14:ligatures w14:val="none"/>
        </w:rPr>
        <w:t>Bartel</w:t>
      </w:r>
      <w:r w:rsidRPr="00E65CC7">
        <w:rPr>
          <w:rFonts w:eastAsia="Times New Roman" w:cs="Times New Roman"/>
          <w:color w:val="000000"/>
          <w:kern w:val="0"/>
          <w:sz w:val="28"/>
          <w:szCs w:val="28"/>
          <w14:ligatures w14:val="none"/>
        </w:rPr>
        <w:t xml:space="preserve">, where the </w:t>
      </w:r>
      <w:r w:rsidR="00F647B5">
        <w:rPr>
          <w:rFonts w:eastAsia="Times New Roman" w:cs="Times New Roman"/>
          <w:color w:val="000000"/>
          <w:kern w:val="0"/>
          <w:sz w:val="28"/>
          <w:szCs w:val="28"/>
          <w14:ligatures w14:val="none"/>
        </w:rPr>
        <w:t>G</w:t>
      </w:r>
      <w:r w:rsidRPr="00E65CC7">
        <w:rPr>
          <w:rFonts w:eastAsia="Times New Roman" w:cs="Times New Roman"/>
          <w:color w:val="000000"/>
          <w:kern w:val="0"/>
          <w:sz w:val="28"/>
          <w:szCs w:val="28"/>
          <w14:ligatures w14:val="none"/>
        </w:rPr>
        <w:t>overnment had already been interviewing a key witness, Nolan never interacted with Parker prior to Ms. Calloway’s immunized testimony. 19 F.3d at 1108–09</w:t>
      </w:r>
      <w:r w:rsidR="007D7FB7" w:rsidRPr="00E65CC7">
        <w:rPr>
          <w:rFonts w:eastAsia="Times New Roman" w:cs="Times New Roman"/>
          <w:color w:val="000000"/>
          <w:kern w:val="0"/>
          <w:sz w:val="28"/>
          <w:szCs w:val="28"/>
          <w14:ligatures w14:val="none"/>
        </w:rPr>
        <w:fldChar w:fldCharType="begin"/>
      </w:r>
      <w:r w:rsidR="007D7FB7" w:rsidRPr="00E65CC7">
        <w:rPr>
          <w:rFonts w:cs="Times New Roman"/>
          <w:sz w:val="28"/>
          <w:szCs w:val="28"/>
        </w:rPr>
        <w:instrText xml:space="preserve"> TA \s "United States v. Bartel, 19 F.3d 1105 (6th Cir. 1994)" </w:instrText>
      </w:r>
      <w:r w:rsidR="007D7FB7" w:rsidRPr="00E65CC7">
        <w:rPr>
          <w:rFonts w:eastAsia="Times New Roman" w:cs="Times New Roman"/>
          <w:color w:val="000000"/>
          <w:kern w:val="0"/>
          <w:sz w:val="28"/>
          <w:szCs w:val="28"/>
          <w14:ligatures w14:val="none"/>
        </w:rPr>
        <w:fldChar w:fldCharType="end"/>
      </w:r>
      <w:r w:rsidRPr="00E65CC7">
        <w:rPr>
          <w:rFonts w:eastAsia="Times New Roman" w:cs="Times New Roman"/>
          <w:color w:val="000000"/>
          <w:kern w:val="0"/>
          <w:sz w:val="28"/>
          <w:szCs w:val="28"/>
          <w14:ligatures w14:val="none"/>
        </w:rPr>
        <w:t xml:space="preserve">, Sinclair Dep. 22:572–76. </w:t>
      </w:r>
      <w:r w:rsidR="008C104D">
        <w:rPr>
          <w:rFonts w:eastAsia="Times New Roman" w:cs="Times New Roman"/>
          <w:color w:val="000000"/>
          <w:kern w:val="0"/>
          <w:sz w:val="28"/>
          <w:szCs w:val="28"/>
          <w14:ligatures w14:val="none"/>
        </w:rPr>
        <w:t>However, t</w:t>
      </w:r>
      <w:r w:rsidRPr="00E65CC7">
        <w:rPr>
          <w:rFonts w:eastAsia="Times New Roman" w:cs="Times New Roman"/>
          <w:color w:val="000000"/>
          <w:kern w:val="0"/>
          <w:sz w:val="28"/>
          <w:szCs w:val="28"/>
          <w14:ligatures w14:val="none"/>
        </w:rPr>
        <w:t xml:space="preserve">he present case mirrors </w:t>
      </w:r>
      <w:proofErr w:type="spellStart"/>
      <w:r w:rsidR="008C104D">
        <w:rPr>
          <w:rFonts w:eastAsia="Times New Roman" w:cs="Times New Roman"/>
          <w:i/>
          <w:iCs/>
          <w:color w:val="000000"/>
          <w:kern w:val="0"/>
          <w:sz w:val="28"/>
          <w:szCs w:val="28"/>
          <w14:ligatures w14:val="none"/>
        </w:rPr>
        <w:t>Schmit</w:t>
      </w:r>
      <w:r w:rsidR="00AD44EA">
        <w:rPr>
          <w:rFonts w:eastAsia="Times New Roman" w:cs="Times New Roman"/>
          <w:i/>
          <w:iCs/>
          <w:color w:val="000000"/>
          <w:kern w:val="0"/>
          <w:sz w:val="28"/>
          <w:szCs w:val="28"/>
          <w14:ligatures w14:val="none"/>
        </w:rPr>
        <w:t>d</w:t>
      </w:r>
      <w:r w:rsidR="008C104D">
        <w:rPr>
          <w:rFonts w:eastAsia="Times New Roman" w:cs="Times New Roman"/>
          <w:i/>
          <w:iCs/>
          <w:color w:val="000000"/>
          <w:kern w:val="0"/>
          <w:sz w:val="28"/>
          <w:szCs w:val="28"/>
          <w14:ligatures w14:val="none"/>
        </w:rPr>
        <w:t>all</w:t>
      </w:r>
      <w:proofErr w:type="spellEnd"/>
      <w:r w:rsidRPr="00E65CC7">
        <w:rPr>
          <w:rFonts w:eastAsia="Times New Roman" w:cs="Times New Roman"/>
          <w:color w:val="000000"/>
          <w:kern w:val="0"/>
          <w:sz w:val="28"/>
          <w:szCs w:val="28"/>
          <w14:ligatures w14:val="none"/>
        </w:rPr>
        <w:t xml:space="preserve">, where an investigator frequently spoke with members of the investigative force handling an immunized testimony. </w:t>
      </w:r>
      <w:r w:rsidR="008C104D" w:rsidRPr="00E65CC7">
        <w:rPr>
          <w:rFonts w:eastAsia="Times New Roman" w:cs="Times New Roman"/>
          <w:color w:val="000000"/>
          <w:kern w:val="0"/>
          <w:sz w:val="28"/>
          <w:szCs w:val="28"/>
          <w14:ligatures w14:val="none"/>
        </w:rPr>
        <w:t xml:space="preserve">25 F.3d </w:t>
      </w:r>
      <w:r w:rsidR="008C104D">
        <w:rPr>
          <w:rFonts w:eastAsia="Times New Roman" w:cs="Times New Roman"/>
          <w:color w:val="000000"/>
          <w:kern w:val="0"/>
          <w:sz w:val="28"/>
          <w:szCs w:val="28"/>
          <w14:ligatures w14:val="none"/>
        </w:rPr>
        <w:t>at 1532</w:t>
      </w:r>
      <w:r w:rsidR="007D7FB7" w:rsidRPr="00E65CC7">
        <w:rPr>
          <w:rFonts w:eastAsia="Times New Roman" w:cs="Times New Roman"/>
          <w:color w:val="000000"/>
          <w:kern w:val="0"/>
          <w:sz w:val="28"/>
          <w:szCs w:val="28"/>
          <w14:ligatures w14:val="none"/>
        </w:rPr>
        <w:fldChar w:fldCharType="begin"/>
      </w:r>
      <w:r w:rsidR="007D7FB7" w:rsidRPr="00E65CC7">
        <w:rPr>
          <w:rFonts w:cs="Times New Roman"/>
          <w:sz w:val="28"/>
          <w:szCs w:val="28"/>
        </w:rPr>
        <w:instrText xml:space="preserve"> TA \s "United States v. Bartel, 19 F.3d 1105 (6th Cir. 1994)" </w:instrText>
      </w:r>
      <w:r w:rsidR="007D7FB7" w:rsidRPr="00E65CC7">
        <w:rPr>
          <w:rFonts w:eastAsia="Times New Roman" w:cs="Times New Roman"/>
          <w:color w:val="000000"/>
          <w:kern w:val="0"/>
          <w:sz w:val="28"/>
          <w:szCs w:val="28"/>
          <w14:ligatures w14:val="none"/>
        </w:rPr>
        <w:fldChar w:fldCharType="end"/>
      </w:r>
      <w:r w:rsidRPr="00E65CC7">
        <w:rPr>
          <w:rFonts w:eastAsia="Times New Roman" w:cs="Times New Roman"/>
          <w:color w:val="000000"/>
          <w:kern w:val="0"/>
          <w:sz w:val="28"/>
          <w:szCs w:val="28"/>
          <w14:ligatures w14:val="none"/>
        </w:rPr>
        <w:t>. Nolan and Sinclair had frequent meetings outside of the investigation, despite the teams’ alleged “</w:t>
      </w:r>
      <w:proofErr w:type="gramStart"/>
      <w:r w:rsidRPr="00E65CC7">
        <w:rPr>
          <w:rFonts w:eastAsia="Times New Roman" w:cs="Times New Roman"/>
          <w:color w:val="000000"/>
          <w:kern w:val="0"/>
          <w:sz w:val="28"/>
          <w:szCs w:val="28"/>
          <w14:ligatures w14:val="none"/>
        </w:rPr>
        <w:t>walled-off</w:t>
      </w:r>
      <w:proofErr w:type="gramEnd"/>
      <w:r w:rsidRPr="00E65CC7">
        <w:rPr>
          <w:rFonts w:eastAsia="Times New Roman" w:cs="Times New Roman"/>
          <w:color w:val="000000"/>
          <w:kern w:val="0"/>
          <w:sz w:val="28"/>
          <w:szCs w:val="28"/>
          <w14:ligatures w14:val="none"/>
        </w:rPr>
        <w:t xml:space="preserve">” procedure. </w:t>
      </w:r>
      <w:r w:rsidR="008C104D">
        <w:rPr>
          <w:rFonts w:eastAsia="Times New Roman" w:cs="Times New Roman"/>
          <w:color w:val="000000"/>
          <w:kern w:val="0"/>
          <w:sz w:val="28"/>
          <w:szCs w:val="28"/>
          <w14:ligatures w14:val="none"/>
        </w:rPr>
        <w:t xml:space="preserve">Sinclair Dep. 22:583–86. </w:t>
      </w:r>
      <w:proofErr w:type="gramStart"/>
      <w:r w:rsidRPr="00E65CC7">
        <w:rPr>
          <w:rFonts w:eastAsia="Times New Roman" w:cs="Times New Roman"/>
          <w:color w:val="000000"/>
          <w:kern w:val="0"/>
          <w:sz w:val="28"/>
          <w:szCs w:val="28"/>
          <w14:ligatures w14:val="none"/>
        </w:rPr>
        <w:t>Similar to</w:t>
      </w:r>
      <w:proofErr w:type="gramEnd"/>
      <w:r w:rsidRPr="00E65CC7">
        <w:rPr>
          <w:rFonts w:eastAsia="Times New Roman" w:cs="Times New Roman"/>
          <w:color w:val="000000"/>
          <w:kern w:val="0"/>
          <w:sz w:val="28"/>
          <w:szCs w:val="28"/>
          <w14:ligatures w14:val="none"/>
        </w:rPr>
        <w:t xml:space="preserve"> </w:t>
      </w:r>
      <w:r w:rsidRPr="00E65CC7">
        <w:rPr>
          <w:rFonts w:eastAsia="Times New Roman" w:cs="Times New Roman"/>
          <w:i/>
          <w:iCs/>
          <w:color w:val="000000"/>
          <w:kern w:val="0"/>
          <w:sz w:val="28"/>
          <w:szCs w:val="28"/>
          <w14:ligatures w14:val="none"/>
        </w:rPr>
        <w:t>Schmidgall</w:t>
      </w:r>
      <w:r w:rsidRPr="00E65CC7">
        <w:rPr>
          <w:rFonts w:eastAsia="Times New Roman" w:cs="Times New Roman"/>
          <w:color w:val="000000"/>
          <w:kern w:val="0"/>
          <w:sz w:val="28"/>
          <w:szCs w:val="28"/>
          <w14:ligatures w14:val="none"/>
        </w:rPr>
        <w:t xml:space="preserve">, where continued contact with investigators raised concerns of direct or indirect exposure to immunized testimony, there </w:t>
      </w:r>
      <w:r w:rsidR="0051362A">
        <w:rPr>
          <w:rFonts w:eastAsia="Times New Roman" w:cs="Times New Roman"/>
          <w:color w:val="000000"/>
          <w:kern w:val="0"/>
          <w:sz w:val="28"/>
          <w:szCs w:val="28"/>
          <w14:ligatures w14:val="none"/>
        </w:rPr>
        <w:t>i</w:t>
      </w:r>
      <w:r w:rsidRPr="00E65CC7">
        <w:rPr>
          <w:rFonts w:eastAsia="Times New Roman" w:cs="Times New Roman"/>
          <w:color w:val="000000"/>
          <w:kern w:val="0"/>
          <w:sz w:val="28"/>
          <w:szCs w:val="28"/>
          <w14:ligatures w14:val="none"/>
        </w:rPr>
        <w:t xml:space="preserve">s no ability to ascertain what Nolan and Sinclair discussed in these meetings. </w:t>
      </w:r>
      <w:r w:rsidR="0051362A" w:rsidRPr="0051362A">
        <w:rPr>
          <w:rFonts w:eastAsia="Times New Roman" w:cs="Times New Roman"/>
          <w:i/>
          <w:iCs/>
          <w:color w:val="000000"/>
          <w:kern w:val="0"/>
          <w:sz w:val="28"/>
          <w:szCs w:val="28"/>
          <w14:ligatures w14:val="none"/>
        </w:rPr>
        <w:t>Id.</w:t>
      </w:r>
      <w:r w:rsidR="0051362A">
        <w:rPr>
          <w:rFonts w:eastAsia="Times New Roman" w:cs="Times New Roman"/>
          <w:color w:val="000000"/>
          <w:kern w:val="0"/>
          <w:sz w:val="28"/>
          <w:szCs w:val="28"/>
          <w14:ligatures w14:val="none"/>
        </w:rPr>
        <w:t xml:space="preserve"> at</w:t>
      </w:r>
      <w:r w:rsidRPr="00E65CC7">
        <w:rPr>
          <w:rFonts w:eastAsia="Times New Roman" w:cs="Times New Roman"/>
          <w:color w:val="000000"/>
          <w:kern w:val="0"/>
          <w:sz w:val="28"/>
          <w:szCs w:val="28"/>
          <w14:ligatures w14:val="none"/>
        </w:rPr>
        <w:t xml:space="preserve"> 1526–27</w:t>
      </w:r>
      <w:r w:rsidR="007D7FB7" w:rsidRPr="00E65CC7">
        <w:rPr>
          <w:rFonts w:eastAsia="Times New Roman" w:cs="Times New Roman"/>
          <w:color w:val="000000"/>
          <w:kern w:val="0"/>
          <w:sz w:val="28"/>
          <w:szCs w:val="28"/>
          <w14:ligatures w14:val="none"/>
        </w:rPr>
        <w:fldChar w:fldCharType="begin"/>
      </w:r>
      <w:r w:rsidR="007D7FB7" w:rsidRPr="00E65CC7">
        <w:rPr>
          <w:rFonts w:cs="Times New Roman"/>
          <w:sz w:val="28"/>
          <w:szCs w:val="28"/>
        </w:rPr>
        <w:instrText xml:space="preserve"> TA \s "United States v. Schmidgall, 25 F.3d 1523 (11th Cir. 1994)" </w:instrText>
      </w:r>
      <w:r w:rsidR="007D7FB7" w:rsidRPr="00E65CC7">
        <w:rPr>
          <w:rFonts w:eastAsia="Times New Roman" w:cs="Times New Roman"/>
          <w:color w:val="000000"/>
          <w:kern w:val="0"/>
          <w:sz w:val="28"/>
          <w:szCs w:val="28"/>
          <w14:ligatures w14:val="none"/>
        </w:rPr>
        <w:fldChar w:fldCharType="end"/>
      </w:r>
      <w:r w:rsidR="0051362A">
        <w:rPr>
          <w:rFonts w:eastAsia="Times New Roman" w:cs="Times New Roman"/>
          <w:color w:val="000000"/>
          <w:kern w:val="0"/>
          <w:sz w:val="28"/>
          <w:szCs w:val="28"/>
          <w14:ligatures w14:val="none"/>
        </w:rPr>
        <w:t>;</w:t>
      </w:r>
      <w:r w:rsidRPr="00E65CC7">
        <w:rPr>
          <w:rFonts w:eastAsia="Times New Roman" w:cs="Times New Roman"/>
          <w:color w:val="000000"/>
          <w:kern w:val="0"/>
          <w:sz w:val="28"/>
          <w:szCs w:val="28"/>
          <w14:ligatures w14:val="none"/>
        </w:rPr>
        <w:t xml:space="preserve"> Sinclair Dep. 22:548–52. The Government had alternate witnesses that could have been targeted in the investigation, but because of their lack of </w:t>
      </w:r>
      <w:proofErr w:type="gramStart"/>
      <w:r w:rsidRPr="00E65CC7">
        <w:rPr>
          <w:rFonts w:eastAsia="Times New Roman" w:cs="Times New Roman"/>
          <w:color w:val="000000"/>
          <w:kern w:val="0"/>
          <w:sz w:val="28"/>
          <w:szCs w:val="28"/>
          <w14:ligatures w14:val="none"/>
        </w:rPr>
        <w:t>leads</w:t>
      </w:r>
      <w:proofErr w:type="gramEnd"/>
      <w:r w:rsidRPr="00E65CC7">
        <w:rPr>
          <w:rFonts w:eastAsia="Times New Roman" w:cs="Times New Roman"/>
          <w:color w:val="000000"/>
          <w:kern w:val="0"/>
          <w:sz w:val="28"/>
          <w:szCs w:val="28"/>
          <w14:ligatures w14:val="none"/>
        </w:rPr>
        <w:t xml:space="preserve">, they chose to compel Ms. Calloway’s testimony to guide their investigation. </w:t>
      </w:r>
      <w:r w:rsidRPr="00E65CC7">
        <w:rPr>
          <w:rFonts w:eastAsia="Times New Roman" w:cs="Times New Roman"/>
          <w:i/>
          <w:iCs/>
          <w:color w:val="000000"/>
          <w:kern w:val="0"/>
          <w:sz w:val="28"/>
          <w:szCs w:val="28"/>
          <w14:ligatures w14:val="none"/>
        </w:rPr>
        <w:t>See</w:t>
      </w:r>
      <w:r w:rsidRPr="00E65CC7">
        <w:rPr>
          <w:rFonts w:eastAsia="Times New Roman" w:cs="Times New Roman"/>
          <w:color w:val="000000"/>
          <w:kern w:val="0"/>
          <w:sz w:val="28"/>
          <w:szCs w:val="28"/>
          <w14:ligatures w14:val="none"/>
        </w:rPr>
        <w:t xml:space="preserve"> Sinclair Dep. 21:527–46 </w:t>
      </w:r>
      <w:r w:rsidRPr="00E65CC7">
        <w:rPr>
          <w:rFonts w:eastAsia="Times New Roman" w:cs="Times New Roman"/>
          <w:color w:val="000000"/>
          <w:kern w:val="0"/>
          <w:sz w:val="28"/>
          <w:szCs w:val="28"/>
          <w14:ligatures w14:val="none"/>
        </w:rPr>
        <w:lastRenderedPageBreak/>
        <w:t>(Government could have considered, for example, other heads of companies they believed were part of the financial shell game). </w:t>
      </w:r>
    </w:p>
    <w:p w14:paraId="09BAF5F7" w14:textId="55ADCBC0" w:rsidR="005A0F38" w:rsidRPr="00E65CC7" w:rsidRDefault="005A0F38" w:rsidP="005A0F38">
      <w:pPr>
        <w:jc w:val="both"/>
        <w:rPr>
          <w:rFonts w:eastAsia="Times New Roman" w:cs="Times New Roman"/>
          <w:kern w:val="0"/>
          <w:sz w:val="28"/>
          <w:szCs w:val="28"/>
          <w14:ligatures w14:val="none"/>
        </w:rPr>
      </w:pPr>
      <w:r w:rsidRPr="00E65CC7">
        <w:rPr>
          <w:rFonts w:eastAsia="Times New Roman" w:cs="Times New Roman"/>
          <w:color w:val="000000"/>
          <w:kern w:val="0"/>
          <w:sz w:val="28"/>
          <w:szCs w:val="28"/>
          <w14:ligatures w14:val="none"/>
        </w:rPr>
        <w:t xml:space="preserve">Prior to the proffered testimony of Ms. Calloway, Parker had never been contacted by officials. Nolan Dep. 32:327–28. However, after the testimony, Parker appeared on </w:t>
      </w:r>
      <w:proofErr w:type="gramStart"/>
      <w:r w:rsidRPr="00E65CC7">
        <w:rPr>
          <w:rFonts w:eastAsia="Times New Roman" w:cs="Times New Roman"/>
          <w:color w:val="000000"/>
          <w:kern w:val="0"/>
          <w:sz w:val="28"/>
          <w:szCs w:val="28"/>
          <w14:ligatures w14:val="none"/>
        </w:rPr>
        <w:t>a</w:t>
      </w:r>
      <w:r w:rsidR="0051362A">
        <w:rPr>
          <w:rFonts w:eastAsia="Times New Roman" w:cs="Times New Roman"/>
          <w:color w:val="000000"/>
          <w:kern w:val="0"/>
          <w:sz w:val="28"/>
          <w:szCs w:val="28"/>
          <w14:ligatures w14:val="none"/>
        </w:rPr>
        <w:t>n</w:t>
      </w:r>
      <w:proofErr w:type="gramEnd"/>
      <w:r w:rsidR="0051362A">
        <w:rPr>
          <w:rFonts w:eastAsia="Times New Roman" w:cs="Times New Roman"/>
          <w:color w:val="000000"/>
          <w:kern w:val="0"/>
          <w:sz w:val="28"/>
          <w:szCs w:val="28"/>
          <w14:ligatures w14:val="none"/>
        </w:rPr>
        <w:t xml:space="preserve"> interview priority</w:t>
      </w:r>
      <w:r w:rsidRPr="00E65CC7">
        <w:rPr>
          <w:rFonts w:eastAsia="Times New Roman" w:cs="Times New Roman"/>
          <w:color w:val="000000"/>
          <w:kern w:val="0"/>
          <w:sz w:val="28"/>
          <w:szCs w:val="28"/>
          <w14:ligatures w14:val="none"/>
        </w:rPr>
        <w:t xml:space="preserve"> list. </w:t>
      </w:r>
      <w:r w:rsidRPr="00E65CC7">
        <w:rPr>
          <w:rFonts w:eastAsia="Times New Roman" w:cs="Times New Roman"/>
          <w:i/>
          <w:iCs/>
          <w:color w:val="000000"/>
          <w:kern w:val="0"/>
          <w:sz w:val="28"/>
          <w:szCs w:val="28"/>
          <w14:ligatures w14:val="none"/>
        </w:rPr>
        <w:t>See</w:t>
      </w:r>
      <w:r w:rsidRPr="00E65CC7">
        <w:rPr>
          <w:rFonts w:eastAsia="Times New Roman" w:cs="Times New Roman"/>
          <w:color w:val="000000"/>
          <w:kern w:val="0"/>
          <w:sz w:val="28"/>
          <w:szCs w:val="28"/>
          <w14:ligatures w14:val="none"/>
        </w:rPr>
        <w:t xml:space="preserve"> Employee Interview Priority List, Exhibit No. 17. Then, immediately after Ms. Calloway testified in court, Parker was interviewed. </w:t>
      </w:r>
      <w:r w:rsidRPr="00E65CC7">
        <w:rPr>
          <w:rFonts w:eastAsia="Times New Roman" w:cs="Times New Roman"/>
          <w:i/>
          <w:iCs/>
          <w:color w:val="000000"/>
          <w:kern w:val="0"/>
          <w:sz w:val="28"/>
          <w:szCs w:val="28"/>
          <w14:ligatures w14:val="none"/>
        </w:rPr>
        <w:t>See</w:t>
      </w:r>
      <w:r w:rsidRPr="00E65CC7">
        <w:rPr>
          <w:rFonts w:eastAsia="Times New Roman" w:cs="Times New Roman"/>
          <w:color w:val="000000"/>
          <w:kern w:val="0"/>
          <w:sz w:val="28"/>
          <w:szCs w:val="28"/>
          <w14:ligatures w14:val="none"/>
        </w:rPr>
        <w:t xml:space="preserve"> Nolan Dep. 31:293–306. Here, the Government had ample opportunity to create investigative leads, like in </w:t>
      </w:r>
      <w:r w:rsidRPr="00E65CC7">
        <w:rPr>
          <w:rFonts w:eastAsia="Times New Roman" w:cs="Times New Roman"/>
          <w:i/>
          <w:iCs/>
          <w:color w:val="000000"/>
          <w:kern w:val="0"/>
          <w:sz w:val="28"/>
          <w:szCs w:val="28"/>
          <w14:ligatures w14:val="none"/>
        </w:rPr>
        <w:t xml:space="preserve">Bartel, </w:t>
      </w:r>
      <w:r w:rsidRPr="00E65CC7">
        <w:rPr>
          <w:rFonts w:eastAsia="Times New Roman" w:cs="Times New Roman"/>
          <w:color w:val="000000"/>
          <w:kern w:val="0"/>
          <w:sz w:val="28"/>
          <w:szCs w:val="28"/>
          <w14:ligatures w14:val="none"/>
        </w:rPr>
        <w:t xml:space="preserve">but instead decided to utilize the immunized testimony of Ms. Calloway. </w:t>
      </w:r>
      <w:r w:rsidRPr="00E65CC7">
        <w:rPr>
          <w:rFonts w:eastAsia="Times New Roman" w:cs="Times New Roman"/>
          <w:i/>
          <w:iCs/>
          <w:color w:val="000000"/>
          <w:kern w:val="0"/>
          <w:sz w:val="28"/>
          <w:szCs w:val="28"/>
          <w14:ligatures w14:val="none"/>
        </w:rPr>
        <w:t xml:space="preserve">See </w:t>
      </w:r>
      <w:r w:rsidR="0051362A" w:rsidRPr="00E65CC7">
        <w:rPr>
          <w:rFonts w:eastAsia="Times New Roman" w:cs="Times New Roman"/>
          <w:color w:val="000000"/>
          <w:kern w:val="0"/>
          <w:sz w:val="28"/>
          <w:szCs w:val="28"/>
          <w14:ligatures w14:val="none"/>
        </w:rPr>
        <w:t>19 F.3d at 1108–09</w:t>
      </w:r>
      <w:r w:rsidR="0051362A">
        <w:rPr>
          <w:rFonts w:eastAsia="Times New Roman" w:cs="Times New Roman"/>
          <w:color w:val="000000"/>
          <w:kern w:val="0"/>
          <w:sz w:val="28"/>
          <w:szCs w:val="28"/>
          <w14:ligatures w14:val="none"/>
        </w:rPr>
        <w:t>.</w:t>
      </w:r>
      <w:r w:rsidR="007D7FB7" w:rsidRPr="00E65CC7">
        <w:rPr>
          <w:rFonts w:eastAsia="Times New Roman" w:cs="Times New Roman"/>
          <w:i/>
          <w:iCs/>
          <w:color w:val="000000"/>
          <w:kern w:val="0"/>
          <w:sz w:val="28"/>
          <w:szCs w:val="28"/>
          <w14:ligatures w14:val="none"/>
        </w:rPr>
        <w:fldChar w:fldCharType="begin"/>
      </w:r>
      <w:r w:rsidR="007D7FB7" w:rsidRPr="00E65CC7">
        <w:rPr>
          <w:rFonts w:cs="Times New Roman"/>
          <w:sz w:val="28"/>
          <w:szCs w:val="28"/>
        </w:rPr>
        <w:instrText xml:space="preserve"> TA \s "United States v. Bartel, 19 F.3d 1105 (6th Cir. 1994)" </w:instrText>
      </w:r>
      <w:r w:rsidR="007D7FB7" w:rsidRPr="00E65CC7">
        <w:rPr>
          <w:rFonts w:eastAsia="Times New Roman" w:cs="Times New Roman"/>
          <w:i/>
          <w:iCs/>
          <w:color w:val="000000"/>
          <w:kern w:val="0"/>
          <w:sz w:val="28"/>
          <w:szCs w:val="28"/>
          <w14:ligatures w14:val="none"/>
        </w:rPr>
        <w:fldChar w:fldCharType="end"/>
      </w:r>
      <w:r w:rsidRPr="00E65CC7">
        <w:rPr>
          <w:rFonts w:eastAsia="Times New Roman" w:cs="Times New Roman"/>
          <w:i/>
          <w:iCs/>
          <w:color w:val="000000"/>
          <w:kern w:val="0"/>
          <w:sz w:val="28"/>
          <w:szCs w:val="28"/>
          <w14:ligatures w14:val="none"/>
        </w:rPr>
        <w:t xml:space="preserve"> </w:t>
      </w:r>
      <w:r w:rsidRPr="00E65CC7">
        <w:rPr>
          <w:rFonts w:eastAsia="Times New Roman" w:cs="Times New Roman"/>
          <w:color w:val="000000"/>
          <w:kern w:val="0"/>
          <w:sz w:val="28"/>
          <w:szCs w:val="28"/>
          <w14:ligatures w14:val="none"/>
        </w:rPr>
        <w:t>Sinclair and Nolan, admittedly, needed “somebody who could stand in front of a jury and explain the structure [of the money and companies] . . . and why an outsider should believe . . . it was criminal”. Sinclair Dep. 21:520</w:t>
      </w:r>
      <w:r w:rsidR="0051362A">
        <w:rPr>
          <w:rFonts w:eastAsia="Times New Roman" w:cs="Times New Roman"/>
          <w:color w:val="000000"/>
          <w:kern w:val="0"/>
          <w:sz w:val="28"/>
          <w:szCs w:val="28"/>
          <w14:ligatures w14:val="none"/>
        </w:rPr>
        <w:t>–</w:t>
      </w:r>
      <w:r w:rsidRPr="00E65CC7">
        <w:rPr>
          <w:rFonts w:eastAsia="Times New Roman" w:cs="Times New Roman"/>
          <w:color w:val="000000"/>
          <w:kern w:val="0"/>
          <w:sz w:val="28"/>
          <w:szCs w:val="28"/>
          <w14:ligatures w14:val="none"/>
        </w:rPr>
        <w:t>34.</w:t>
      </w:r>
    </w:p>
    <w:p w14:paraId="647AB176" w14:textId="06A5BFF0" w:rsidR="005A0F38" w:rsidRPr="00E65CC7" w:rsidRDefault="005A0F38" w:rsidP="005A0F38">
      <w:pPr>
        <w:jc w:val="both"/>
        <w:rPr>
          <w:rFonts w:eastAsia="Times New Roman" w:cs="Times New Roman"/>
          <w:kern w:val="0"/>
          <w:sz w:val="28"/>
          <w:szCs w:val="28"/>
          <w14:ligatures w14:val="none"/>
        </w:rPr>
      </w:pPr>
      <w:r w:rsidRPr="00E65CC7">
        <w:rPr>
          <w:rFonts w:eastAsia="Times New Roman" w:cs="Times New Roman"/>
          <w:color w:val="000000"/>
          <w:kern w:val="0"/>
          <w:sz w:val="28"/>
          <w:szCs w:val="28"/>
          <w14:ligatures w14:val="none"/>
        </w:rPr>
        <w:t>Nolan points to three documents as proof that the Government holds a wholly independent</w:t>
      </w:r>
      <w:r w:rsidR="002B452F">
        <w:rPr>
          <w:rFonts w:eastAsia="Times New Roman" w:cs="Times New Roman"/>
          <w:color w:val="000000"/>
          <w:kern w:val="0"/>
          <w:sz w:val="28"/>
          <w:szCs w:val="28"/>
          <w14:ligatures w14:val="none"/>
        </w:rPr>
        <w:t>,</w:t>
      </w:r>
      <w:r w:rsidRPr="00E65CC7">
        <w:rPr>
          <w:rFonts w:eastAsia="Times New Roman" w:cs="Times New Roman"/>
          <w:color w:val="000000"/>
          <w:kern w:val="0"/>
          <w:sz w:val="28"/>
          <w:szCs w:val="28"/>
          <w14:ligatures w14:val="none"/>
        </w:rPr>
        <w:t xml:space="preserve"> legitimate source. The Silver Palms Hospitality Employee Roster, Exhibit No. 10; Team Calloway To-Do list, Exhibit No. 16; Employee Interview Priority List</w:t>
      </w:r>
      <w:r w:rsidRPr="00E65CC7">
        <w:rPr>
          <w:rFonts w:eastAsia="Times New Roman" w:cs="Times New Roman"/>
          <w:i/>
          <w:iCs/>
          <w:color w:val="000000"/>
          <w:kern w:val="0"/>
          <w:sz w:val="28"/>
          <w:szCs w:val="28"/>
          <w14:ligatures w14:val="none"/>
        </w:rPr>
        <w:t>,</w:t>
      </w:r>
      <w:r w:rsidRPr="00E65CC7">
        <w:rPr>
          <w:rFonts w:eastAsia="Times New Roman" w:cs="Times New Roman"/>
          <w:color w:val="000000"/>
          <w:kern w:val="0"/>
          <w:sz w:val="28"/>
          <w:szCs w:val="28"/>
          <w14:ligatures w14:val="none"/>
        </w:rPr>
        <w:t xml:space="preserve"> Exhibit No. 17. However, the Government cannot meet its burden through these exhibits, because </w:t>
      </w:r>
      <w:r w:rsidR="002B452F">
        <w:rPr>
          <w:rFonts w:eastAsia="Times New Roman" w:cs="Times New Roman"/>
          <w:color w:val="000000"/>
          <w:kern w:val="0"/>
          <w:sz w:val="28"/>
          <w:szCs w:val="28"/>
          <w14:ligatures w14:val="none"/>
        </w:rPr>
        <w:t>its</w:t>
      </w:r>
      <w:r w:rsidRPr="00E65CC7">
        <w:rPr>
          <w:rFonts w:eastAsia="Times New Roman" w:cs="Times New Roman"/>
          <w:color w:val="000000"/>
          <w:kern w:val="0"/>
          <w:sz w:val="28"/>
          <w:szCs w:val="28"/>
          <w14:ligatures w14:val="none"/>
        </w:rPr>
        <w:t xml:space="preserve"> strategy pivoted immediately following the testimony of Ms. Calloway by focusing on Parker, a person </w:t>
      </w:r>
      <w:r w:rsidR="002B452F">
        <w:rPr>
          <w:rFonts w:eastAsia="Times New Roman" w:cs="Times New Roman"/>
          <w:color w:val="000000"/>
          <w:kern w:val="0"/>
          <w:sz w:val="28"/>
          <w:szCs w:val="28"/>
          <w14:ligatures w14:val="none"/>
        </w:rPr>
        <w:t>who was not a prior person of interest</w:t>
      </w:r>
      <w:r w:rsidRPr="00E65CC7">
        <w:rPr>
          <w:rFonts w:eastAsia="Times New Roman" w:cs="Times New Roman"/>
          <w:color w:val="000000"/>
          <w:kern w:val="0"/>
          <w:sz w:val="28"/>
          <w:szCs w:val="28"/>
          <w14:ligatures w14:val="none"/>
        </w:rPr>
        <w:t>. The notion that Nolan and Sinclair would have eventually found Parker h</w:t>
      </w:r>
      <w:r w:rsidR="002B452F">
        <w:rPr>
          <w:rFonts w:eastAsia="Times New Roman" w:cs="Times New Roman"/>
          <w:color w:val="000000"/>
          <w:kern w:val="0"/>
          <w:sz w:val="28"/>
          <w:szCs w:val="28"/>
          <w14:ligatures w14:val="none"/>
        </w:rPr>
        <w:t>a</w:t>
      </w:r>
      <w:r w:rsidRPr="00E65CC7">
        <w:rPr>
          <w:rFonts w:eastAsia="Times New Roman" w:cs="Times New Roman"/>
          <w:color w:val="000000"/>
          <w:kern w:val="0"/>
          <w:sz w:val="28"/>
          <w:szCs w:val="28"/>
          <w14:ligatures w14:val="none"/>
        </w:rPr>
        <w:t xml:space="preserve">s no bearing when considering the fundamental change in strategy </w:t>
      </w:r>
      <w:r w:rsidRPr="00E65CC7">
        <w:rPr>
          <w:rFonts w:eastAsia="Times New Roman" w:cs="Times New Roman"/>
          <w:color w:val="000000"/>
          <w:kern w:val="0"/>
          <w:sz w:val="28"/>
          <w:szCs w:val="28"/>
          <w14:ligatures w14:val="none"/>
        </w:rPr>
        <w:lastRenderedPageBreak/>
        <w:t xml:space="preserve">immediately </w:t>
      </w:r>
      <w:r w:rsidR="002B452F">
        <w:rPr>
          <w:rFonts w:eastAsia="Times New Roman" w:cs="Times New Roman"/>
          <w:color w:val="000000"/>
          <w:kern w:val="0"/>
          <w:sz w:val="28"/>
          <w:szCs w:val="28"/>
          <w14:ligatures w14:val="none"/>
        </w:rPr>
        <w:t>after</w:t>
      </w:r>
      <w:r w:rsidRPr="00E65CC7">
        <w:rPr>
          <w:rFonts w:eastAsia="Times New Roman" w:cs="Times New Roman"/>
          <w:color w:val="000000"/>
          <w:kern w:val="0"/>
          <w:sz w:val="28"/>
          <w:szCs w:val="28"/>
          <w14:ligatures w14:val="none"/>
        </w:rPr>
        <w:t xml:space="preserve"> Ms. Calloway</w:t>
      </w:r>
      <w:r w:rsidR="002B452F">
        <w:rPr>
          <w:rFonts w:eastAsia="Times New Roman" w:cs="Times New Roman"/>
          <w:color w:val="000000"/>
          <w:kern w:val="0"/>
          <w:sz w:val="28"/>
          <w:szCs w:val="28"/>
          <w14:ligatures w14:val="none"/>
        </w:rPr>
        <w:t>'s testimony</w:t>
      </w:r>
      <w:r w:rsidRPr="00E65CC7">
        <w:rPr>
          <w:rFonts w:eastAsia="Times New Roman" w:cs="Times New Roman"/>
          <w:color w:val="000000"/>
          <w:kern w:val="0"/>
          <w:sz w:val="28"/>
          <w:szCs w:val="28"/>
          <w14:ligatures w14:val="none"/>
        </w:rPr>
        <w:t xml:space="preserve">. Nolan Dep. 31:293–306; 33:366–75.; </w:t>
      </w:r>
      <w:r w:rsidR="002B452F">
        <w:rPr>
          <w:rFonts w:eastAsia="Times New Roman" w:cs="Times New Roman"/>
          <w:i/>
          <w:iCs/>
          <w:color w:val="000000"/>
          <w:kern w:val="0"/>
          <w:sz w:val="28"/>
          <w:szCs w:val="28"/>
          <w14:ligatures w14:val="none"/>
        </w:rPr>
        <w:t>s</w:t>
      </w:r>
      <w:r w:rsidRPr="00E65CC7">
        <w:rPr>
          <w:rFonts w:eastAsia="Times New Roman" w:cs="Times New Roman"/>
          <w:i/>
          <w:iCs/>
          <w:color w:val="000000"/>
          <w:kern w:val="0"/>
          <w:sz w:val="28"/>
          <w:szCs w:val="28"/>
          <w14:ligatures w14:val="none"/>
        </w:rPr>
        <w:t>ee</w:t>
      </w:r>
      <w:r w:rsidRPr="00E65CC7">
        <w:rPr>
          <w:rFonts w:eastAsia="Times New Roman" w:cs="Times New Roman"/>
          <w:color w:val="000000"/>
          <w:kern w:val="0"/>
          <w:sz w:val="28"/>
          <w:szCs w:val="28"/>
          <w14:ligatures w14:val="none"/>
        </w:rPr>
        <w:t xml:space="preserve"> </w:t>
      </w:r>
      <w:r w:rsidRPr="00E65CC7">
        <w:rPr>
          <w:rFonts w:eastAsia="Times New Roman" w:cs="Times New Roman"/>
          <w:i/>
          <w:iCs/>
          <w:color w:val="000000"/>
          <w:kern w:val="0"/>
          <w:sz w:val="28"/>
          <w:szCs w:val="28"/>
          <w14:ligatures w14:val="none"/>
        </w:rPr>
        <w:t>Harris</w:t>
      </w:r>
      <w:r w:rsidRPr="00E65CC7">
        <w:rPr>
          <w:rFonts w:eastAsia="Times New Roman" w:cs="Times New Roman"/>
          <w:color w:val="000000"/>
          <w:kern w:val="0"/>
          <w:sz w:val="28"/>
          <w:szCs w:val="28"/>
          <w14:ligatures w14:val="none"/>
        </w:rPr>
        <w:t>, 973 F.2d at 336</w:t>
      </w:r>
      <w:r w:rsidR="007D7FB7" w:rsidRPr="00E65CC7">
        <w:rPr>
          <w:rFonts w:eastAsia="Times New Roman" w:cs="Times New Roman"/>
          <w:color w:val="000000"/>
          <w:kern w:val="0"/>
          <w:sz w:val="28"/>
          <w:szCs w:val="28"/>
          <w14:ligatures w14:val="none"/>
        </w:rPr>
        <w:fldChar w:fldCharType="begin"/>
      </w:r>
      <w:r w:rsidR="007D7FB7" w:rsidRPr="00E65CC7">
        <w:rPr>
          <w:rFonts w:cs="Times New Roman"/>
          <w:sz w:val="28"/>
          <w:szCs w:val="28"/>
        </w:rPr>
        <w:instrText xml:space="preserve"> TA \s "United States v. Harris, 973 F.2d 333 (4th Cir. 1992)" </w:instrText>
      </w:r>
      <w:r w:rsidR="007D7FB7" w:rsidRPr="00E65CC7">
        <w:rPr>
          <w:rFonts w:eastAsia="Times New Roman" w:cs="Times New Roman"/>
          <w:color w:val="000000"/>
          <w:kern w:val="0"/>
          <w:sz w:val="28"/>
          <w:szCs w:val="28"/>
          <w14:ligatures w14:val="none"/>
        </w:rPr>
        <w:fldChar w:fldCharType="end"/>
      </w:r>
      <w:r w:rsidRPr="00E65CC7">
        <w:rPr>
          <w:rFonts w:eastAsia="Times New Roman" w:cs="Times New Roman"/>
          <w:color w:val="000000"/>
          <w:kern w:val="0"/>
          <w:sz w:val="28"/>
          <w:szCs w:val="28"/>
          <w14:ligatures w14:val="none"/>
        </w:rPr>
        <w:t xml:space="preserve"> (holding the </w:t>
      </w:r>
      <w:r w:rsidR="00F647B5">
        <w:rPr>
          <w:rFonts w:eastAsia="Times New Roman" w:cs="Times New Roman"/>
          <w:color w:val="000000"/>
          <w:kern w:val="0"/>
          <w:sz w:val="28"/>
          <w:szCs w:val="28"/>
          <w14:ligatures w14:val="none"/>
        </w:rPr>
        <w:t>G</w:t>
      </w:r>
      <w:r w:rsidRPr="00E65CC7">
        <w:rPr>
          <w:rFonts w:eastAsia="Times New Roman" w:cs="Times New Roman"/>
          <w:color w:val="000000"/>
          <w:kern w:val="0"/>
          <w:sz w:val="28"/>
          <w:szCs w:val="28"/>
          <w14:ligatures w14:val="none"/>
        </w:rPr>
        <w:t>overnment cannot alter strategy because of immunized testimony).</w:t>
      </w:r>
    </w:p>
    <w:p w14:paraId="51F6E690" w14:textId="1A13A2B3" w:rsidR="005A0F38" w:rsidRPr="00E65CC7" w:rsidRDefault="005A0F38" w:rsidP="005A0F38">
      <w:pPr>
        <w:jc w:val="both"/>
        <w:rPr>
          <w:rFonts w:eastAsia="Times New Roman" w:cs="Times New Roman"/>
          <w:kern w:val="0"/>
          <w:sz w:val="28"/>
          <w:szCs w:val="28"/>
          <w14:ligatures w14:val="none"/>
        </w:rPr>
      </w:pPr>
      <w:r w:rsidRPr="00E65CC7">
        <w:rPr>
          <w:rFonts w:eastAsia="Times New Roman" w:cs="Times New Roman"/>
          <w:color w:val="000000"/>
          <w:kern w:val="0"/>
          <w:sz w:val="28"/>
          <w:szCs w:val="28"/>
          <w14:ligatures w14:val="none"/>
        </w:rPr>
        <w:t xml:space="preserve">In </w:t>
      </w:r>
      <w:r w:rsidRPr="00E65CC7">
        <w:rPr>
          <w:rFonts w:eastAsia="Times New Roman" w:cs="Times New Roman"/>
          <w:i/>
          <w:iCs/>
          <w:color w:val="000000"/>
          <w:kern w:val="0"/>
          <w:sz w:val="28"/>
          <w:szCs w:val="28"/>
          <w14:ligatures w14:val="none"/>
        </w:rPr>
        <w:t>Schmidgall</w:t>
      </w:r>
      <w:r w:rsidRPr="00E65CC7">
        <w:rPr>
          <w:rFonts w:eastAsia="Times New Roman" w:cs="Times New Roman"/>
          <w:color w:val="000000"/>
          <w:kern w:val="0"/>
          <w:sz w:val="28"/>
          <w:szCs w:val="28"/>
          <w14:ligatures w14:val="none"/>
        </w:rPr>
        <w:t>, the Court did not accept the Government's denial that immunized testimony was used and instead required it to demonstrate a wholly independent source. 25 F.3d at 1530</w:t>
      </w:r>
      <w:r w:rsidR="007D7FB7" w:rsidRPr="00E65CC7">
        <w:rPr>
          <w:rFonts w:eastAsia="Times New Roman" w:cs="Times New Roman"/>
          <w:color w:val="000000"/>
          <w:kern w:val="0"/>
          <w:sz w:val="28"/>
          <w:szCs w:val="28"/>
          <w14:ligatures w14:val="none"/>
        </w:rPr>
        <w:fldChar w:fldCharType="begin"/>
      </w:r>
      <w:r w:rsidR="007D7FB7" w:rsidRPr="00E65CC7">
        <w:rPr>
          <w:rFonts w:cs="Times New Roman"/>
          <w:sz w:val="28"/>
          <w:szCs w:val="28"/>
        </w:rPr>
        <w:instrText xml:space="preserve"> TA \s "United States v. Schmidgall, 25 F.3d 1523 (11th Cir. 1994)" </w:instrText>
      </w:r>
      <w:r w:rsidR="007D7FB7" w:rsidRPr="00E65CC7">
        <w:rPr>
          <w:rFonts w:eastAsia="Times New Roman" w:cs="Times New Roman"/>
          <w:color w:val="000000"/>
          <w:kern w:val="0"/>
          <w:sz w:val="28"/>
          <w:szCs w:val="28"/>
          <w14:ligatures w14:val="none"/>
        </w:rPr>
        <w:fldChar w:fldCharType="end"/>
      </w:r>
      <w:r w:rsidRPr="00E65CC7">
        <w:rPr>
          <w:rFonts w:eastAsia="Times New Roman" w:cs="Times New Roman"/>
          <w:color w:val="000000"/>
          <w:kern w:val="0"/>
          <w:sz w:val="28"/>
          <w:szCs w:val="28"/>
          <w14:ligatures w14:val="none"/>
        </w:rPr>
        <w:t xml:space="preserve">. Like </w:t>
      </w:r>
      <w:r w:rsidRPr="00E65CC7">
        <w:rPr>
          <w:rFonts w:eastAsia="Times New Roman" w:cs="Times New Roman"/>
          <w:i/>
          <w:iCs/>
          <w:color w:val="000000"/>
          <w:kern w:val="0"/>
          <w:sz w:val="28"/>
          <w:szCs w:val="28"/>
          <w14:ligatures w14:val="none"/>
        </w:rPr>
        <w:t>Schmidgall</w:t>
      </w:r>
      <w:r w:rsidRPr="00E65CC7">
        <w:rPr>
          <w:rFonts w:eastAsia="Times New Roman" w:cs="Times New Roman"/>
          <w:color w:val="000000"/>
          <w:kern w:val="0"/>
          <w:sz w:val="28"/>
          <w:szCs w:val="28"/>
          <w14:ligatures w14:val="none"/>
        </w:rPr>
        <w:t xml:space="preserve">, where the Government could not </w:t>
      </w:r>
      <w:r w:rsidR="002B452F">
        <w:rPr>
          <w:rFonts w:eastAsia="Times New Roman" w:cs="Times New Roman"/>
          <w:color w:val="000000"/>
          <w:kern w:val="0"/>
          <w:sz w:val="28"/>
          <w:szCs w:val="28"/>
          <w14:ligatures w14:val="none"/>
        </w:rPr>
        <w:t>explain its sudden interest in the defendant's company outside of immunized testimony, Nolan cannot explain their sudden interest in ignoring their witness priority list and instead targeting</w:t>
      </w:r>
      <w:r w:rsidRPr="00E65CC7">
        <w:rPr>
          <w:rFonts w:eastAsia="Times New Roman" w:cs="Times New Roman"/>
          <w:color w:val="000000"/>
          <w:kern w:val="0"/>
          <w:sz w:val="28"/>
          <w:szCs w:val="28"/>
          <w14:ligatures w14:val="none"/>
        </w:rPr>
        <w:t xml:space="preserve"> Parker.</w:t>
      </w:r>
      <w:r w:rsidRPr="00E65CC7">
        <w:rPr>
          <w:rFonts w:eastAsia="Times New Roman" w:cs="Times New Roman"/>
          <w:i/>
          <w:iCs/>
          <w:color w:val="000000"/>
          <w:kern w:val="0"/>
          <w:sz w:val="28"/>
          <w:szCs w:val="28"/>
          <w14:ligatures w14:val="none"/>
        </w:rPr>
        <w:t xml:space="preserve"> Id</w:t>
      </w:r>
      <w:r w:rsidR="007D7FB7" w:rsidRPr="00E65CC7">
        <w:rPr>
          <w:rFonts w:eastAsia="Times New Roman" w:cs="Times New Roman"/>
          <w:i/>
          <w:iCs/>
          <w:color w:val="000000"/>
          <w:kern w:val="0"/>
          <w:sz w:val="28"/>
          <w:szCs w:val="28"/>
          <w14:ligatures w14:val="none"/>
        </w:rPr>
        <w:fldChar w:fldCharType="begin"/>
      </w:r>
      <w:r w:rsidR="007D7FB7" w:rsidRPr="00E65CC7">
        <w:rPr>
          <w:rFonts w:cs="Times New Roman"/>
          <w:sz w:val="28"/>
          <w:szCs w:val="28"/>
        </w:rPr>
        <w:instrText xml:space="preserve"> TA \s "United States v. Schmidgall, 25 F.3d 1523 (11th Cir. 1994)" </w:instrText>
      </w:r>
      <w:r w:rsidR="007D7FB7" w:rsidRPr="00E65CC7">
        <w:rPr>
          <w:rFonts w:eastAsia="Times New Roman" w:cs="Times New Roman"/>
          <w:i/>
          <w:iCs/>
          <w:color w:val="000000"/>
          <w:kern w:val="0"/>
          <w:sz w:val="28"/>
          <w:szCs w:val="28"/>
          <w14:ligatures w14:val="none"/>
        </w:rPr>
        <w:fldChar w:fldCharType="end"/>
      </w:r>
      <w:r w:rsidRPr="00E65CC7">
        <w:rPr>
          <w:rFonts w:eastAsia="Times New Roman" w:cs="Times New Roman"/>
          <w:i/>
          <w:iCs/>
          <w:color w:val="000000"/>
          <w:kern w:val="0"/>
          <w:sz w:val="28"/>
          <w:szCs w:val="28"/>
          <w14:ligatures w14:val="none"/>
        </w:rPr>
        <w:t>.</w:t>
      </w:r>
      <w:r w:rsidRPr="00E65CC7">
        <w:rPr>
          <w:rFonts w:eastAsia="Times New Roman" w:cs="Times New Roman"/>
          <w:color w:val="000000"/>
          <w:kern w:val="0"/>
          <w:sz w:val="28"/>
          <w:szCs w:val="28"/>
          <w14:ligatures w14:val="none"/>
        </w:rPr>
        <w:t>; Nolan Dep. 31:293–306. Nolan has not provided a reason as to why Parker appeared on the list outside of the fact that the list was created during the week Ms. Calloway proffered her immunized testimony to Sinclair. Team Calloway To-Do List, Exhibit No. 16. Parker acknowledges that the Government had ample opportunity to speak to them, but because they were “just banquet staff</w:t>
      </w:r>
      <w:r w:rsidR="007D7FB7" w:rsidRPr="00E65CC7">
        <w:rPr>
          <w:rFonts w:eastAsia="Times New Roman" w:cs="Times New Roman"/>
          <w:color w:val="000000"/>
          <w:kern w:val="0"/>
          <w:sz w:val="28"/>
          <w:szCs w:val="28"/>
          <w14:ligatures w14:val="none"/>
        </w:rPr>
        <w:t>,</w:t>
      </w:r>
      <w:r w:rsidRPr="00E65CC7">
        <w:rPr>
          <w:rFonts w:eastAsia="Times New Roman" w:cs="Times New Roman"/>
          <w:color w:val="000000"/>
          <w:kern w:val="0"/>
          <w:sz w:val="28"/>
          <w:szCs w:val="28"/>
          <w14:ligatures w14:val="none"/>
        </w:rPr>
        <w:t xml:space="preserve">” the Government elected not to. Parker Dep. 39:227–30. The Government has no proof of independence other than Nolan’s word. </w:t>
      </w:r>
      <w:r w:rsidRPr="00E65CC7">
        <w:rPr>
          <w:rFonts w:eastAsia="Times New Roman" w:cs="Times New Roman"/>
          <w:i/>
          <w:iCs/>
          <w:color w:val="000000"/>
          <w:kern w:val="0"/>
          <w:sz w:val="28"/>
          <w:szCs w:val="28"/>
          <w14:ligatures w14:val="none"/>
        </w:rPr>
        <w:t>See</w:t>
      </w:r>
      <w:r w:rsidRPr="00E65CC7">
        <w:rPr>
          <w:rFonts w:eastAsia="Times New Roman" w:cs="Times New Roman"/>
          <w:color w:val="000000"/>
          <w:kern w:val="0"/>
          <w:sz w:val="28"/>
          <w:szCs w:val="28"/>
          <w14:ligatures w14:val="none"/>
        </w:rPr>
        <w:t xml:space="preserve"> Nolan Dep. 29:221–28.</w:t>
      </w:r>
    </w:p>
    <w:p w14:paraId="53742778" w14:textId="539E9844" w:rsidR="005A0F38" w:rsidRPr="00E65CC7" w:rsidRDefault="005A0F38" w:rsidP="005A0F38">
      <w:pPr>
        <w:pStyle w:val="Heading3"/>
        <w:rPr>
          <w:rFonts w:cs="Times New Roman"/>
        </w:rPr>
      </w:pPr>
      <w:bookmarkStart w:id="7" w:name="_Toc239108812"/>
      <w:r w:rsidRPr="00E65CC7">
        <w:rPr>
          <w:rFonts w:cs="Times New Roman"/>
        </w:rPr>
        <w:t>The Government has failed to prove that its evidence is not tainted by Ms. Calloway’s testimony.</w:t>
      </w:r>
      <w:bookmarkEnd w:id="7"/>
      <w:r w:rsidRPr="00E65CC7">
        <w:rPr>
          <w:rFonts w:cs="Times New Roman"/>
        </w:rPr>
        <w:t>  </w:t>
      </w:r>
    </w:p>
    <w:p w14:paraId="7EF4D20D" w14:textId="25B8CD23" w:rsidR="005A0F38" w:rsidRPr="00E65CC7" w:rsidRDefault="005A0F38" w:rsidP="005A0F38">
      <w:pPr>
        <w:jc w:val="both"/>
        <w:rPr>
          <w:rFonts w:eastAsia="Times New Roman" w:cs="Times New Roman"/>
          <w:kern w:val="0"/>
          <w:sz w:val="28"/>
          <w:szCs w:val="28"/>
          <w14:ligatures w14:val="none"/>
        </w:rPr>
      </w:pPr>
      <w:r w:rsidRPr="00E65CC7">
        <w:rPr>
          <w:rFonts w:eastAsia="Times New Roman" w:cs="Times New Roman"/>
          <w:color w:val="000000"/>
          <w:kern w:val="0"/>
          <w:sz w:val="28"/>
          <w:szCs w:val="28"/>
          <w14:ligatures w14:val="none"/>
        </w:rPr>
        <w:t xml:space="preserve">Following </w:t>
      </w:r>
      <w:r w:rsidRPr="00E65CC7">
        <w:rPr>
          <w:rFonts w:eastAsia="Times New Roman" w:cs="Times New Roman"/>
          <w:i/>
          <w:iCs/>
          <w:color w:val="000000"/>
          <w:kern w:val="0"/>
          <w:sz w:val="28"/>
          <w:szCs w:val="28"/>
          <w14:ligatures w14:val="none"/>
        </w:rPr>
        <w:t>Kastigar</w:t>
      </w:r>
      <w:r w:rsidRPr="00E65CC7">
        <w:rPr>
          <w:rFonts w:eastAsia="Times New Roman" w:cs="Times New Roman"/>
          <w:color w:val="000000"/>
          <w:kern w:val="0"/>
          <w:sz w:val="28"/>
          <w:szCs w:val="28"/>
          <w14:ligatures w14:val="none"/>
        </w:rPr>
        <w:t>, federal authorities have the burden of proving that their evidence is “not tainted.” 406 U.S. at 453</w:t>
      </w:r>
      <w:r w:rsidR="007D7FB7" w:rsidRPr="00E65CC7">
        <w:rPr>
          <w:rFonts w:eastAsia="Times New Roman" w:cs="Times New Roman"/>
          <w:color w:val="000000"/>
          <w:kern w:val="0"/>
          <w:sz w:val="28"/>
          <w:szCs w:val="28"/>
          <w14:ligatures w14:val="none"/>
        </w:rPr>
        <w:fldChar w:fldCharType="begin"/>
      </w:r>
      <w:r w:rsidR="007D7FB7" w:rsidRPr="00E65CC7">
        <w:rPr>
          <w:rFonts w:cs="Times New Roman"/>
          <w:sz w:val="28"/>
          <w:szCs w:val="28"/>
        </w:rPr>
        <w:instrText xml:space="preserve"> TA \s "Kastigar v. United States, 406 U.S. 441 (1972)." </w:instrText>
      </w:r>
      <w:r w:rsidR="007D7FB7" w:rsidRPr="00E65CC7">
        <w:rPr>
          <w:rFonts w:eastAsia="Times New Roman" w:cs="Times New Roman"/>
          <w:color w:val="000000"/>
          <w:kern w:val="0"/>
          <w:sz w:val="28"/>
          <w:szCs w:val="28"/>
          <w14:ligatures w14:val="none"/>
        </w:rPr>
        <w:fldChar w:fldCharType="end"/>
      </w:r>
      <w:r w:rsidRPr="00E65CC7">
        <w:rPr>
          <w:rFonts w:eastAsia="Times New Roman" w:cs="Times New Roman"/>
          <w:color w:val="000000"/>
          <w:kern w:val="0"/>
          <w:sz w:val="28"/>
          <w:szCs w:val="28"/>
          <w14:ligatures w14:val="none"/>
        </w:rPr>
        <w:t xml:space="preserve">. Both Sinclair and Nolan grew up in the small community of Gulf </w:t>
      </w:r>
      <w:r w:rsidR="002B452F">
        <w:rPr>
          <w:rFonts w:eastAsia="Times New Roman" w:cs="Times New Roman"/>
          <w:color w:val="000000"/>
          <w:kern w:val="0"/>
          <w:sz w:val="28"/>
          <w:szCs w:val="28"/>
          <w14:ligatures w14:val="none"/>
        </w:rPr>
        <w:t>Haven</w:t>
      </w:r>
      <w:r w:rsidRPr="00E65CC7">
        <w:rPr>
          <w:rFonts w:eastAsia="Times New Roman" w:cs="Times New Roman"/>
          <w:color w:val="000000"/>
          <w:kern w:val="0"/>
          <w:sz w:val="28"/>
          <w:szCs w:val="28"/>
          <w14:ligatures w14:val="none"/>
        </w:rPr>
        <w:t xml:space="preserve"> and are personally invested in the outcome of the </w:t>
      </w:r>
      <w:r w:rsidRPr="00E65CC7">
        <w:rPr>
          <w:rFonts w:eastAsia="Times New Roman" w:cs="Times New Roman"/>
          <w:color w:val="000000"/>
          <w:kern w:val="0"/>
          <w:sz w:val="28"/>
          <w:szCs w:val="28"/>
          <w14:ligatures w14:val="none"/>
        </w:rPr>
        <w:lastRenderedPageBreak/>
        <w:t xml:space="preserve">case, in addition to possessing preconceived notions about Ms. Calloway. </w:t>
      </w:r>
      <w:r w:rsidRPr="00E65CC7">
        <w:rPr>
          <w:rFonts w:eastAsia="Times New Roman" w:cs="Times New Roman"/>
          <w:i/>
          <w:iCs/>
          <w:color w:val="000000"/>
          <w:kern w:val="0"/>
          <w:sz w:val="28"/>
          <w:szCs w:val="28"/>
          <w14:ligatures w14:val="none"/>
        </w:rPr>
        <w:t>See</w:t>
      </w:r>
      <w:r w:rsidRPr="00E65CC7">
        <w:rPr>
          <w:rFonts w:eastAsia="Times New Roman" w:cs="Times New Roman"/>
          <w:color w:val="000000"/>
          <w:kern w:val="0"/>
          <w:sz w:val="28"/>
          <w:szCs w:val="28"/>
          <w14:ligatures w14:val="none"/>
        </w:rPr>
        <w:t xml:space="preserve"> Sinclair Dep. 8:19–30</w:t>
      </w:r>
      <w:r w:rsidR="007D7FB7" w:rsidRPr="00E65CC7">
        <w:rPr>
          <w:rFonts w:eastAsia="Times New Roman" w:cs="Times New Roman"/>
          <w:color w:val="000000"/>
          <w:kern w:val="0"/>
          <w:sz w:val="28"/>
          <w:szCs w:val="28"/>
          <w14:ligatures w14:val="none"/>
        </w:rPr>
        <w:t>.</w:t>
      </w:r>
      <w:r w:rsidRPr="00E65CC7">
        <w:rPr>
          <w:rFonts w:eastAsia="Times New Roman" w:cs="Times New Roman"/>
          <w:color w:val="000000"/>
          <w:kern w:val="0"/>
          <w:sz w:val="28"/>
          <w:szCs w:val="28"/>
          <w14:ligatures w14:val="none"/>
        </w:rPr>
        <w:t xml:space="preserve"> It is evident that Sincla</w:t>
      </w:r>
      <w:r w:rsidR="007D7FB7" w:rsidRPr="00E65CC7">
        <w:rPr>
          <w:rFonts w:eastAsia="Times New Roman" w:cs="Times New Roman"/>
          <w:color w:val="000000"/>
          <w:kern w:val="0"/>
          <w:sz w:val="28"/>
          <w:szCs w:val="28"/>
          <w14:ligatures w14:val="none"/>
        </w:rPr>
        <w:t>i</w:t>
      </w:r>
      <w:r w:rsidRPr="00E65CC7">
        <w:rPr>
          <w:rFonts w:eastAsia="Times New Roman" w:cs="Times New Roman"/>
          <w:color w:val="000000"/>
          <w:kern w:val="0"/>
          <w:sz w:val="28"/>
          <w:szCs w:val="28"/>
          <w14:ligatures w14:val="none"/>
        </w:rPr>
        <w:t>r and Nolan harbor resentment for Ms. Calloway, referring to her as the “Homecoming Queen.” Sinclair Dep. 9:45–51. Through this, witnesses could be unknowingly influenced by word of mouth in a community where “everyone knows everyone.” Sinclair Dep. 9:24–51. The local community is deeply involved with the goings</w:t>
      </w:r>
      <w:r w:rsidR="007D7FB7" w:rsidRPr="00E65CC7">
        <w:rPr>
          <w:rFonts w:eastAsia="Times New Roman" w:cs="Times New Roman"/>
          <w:color w:val="000000"/>
          <w:kern w:val="0"/>
          <w:sz w:val="28"/>
          <w:szCs w:val="28"/>
          <w14:ligatures w14:val="none"/>
        </w:rPr>
        <w:t>-</w:t>
      </w:r>
      <w:r w:rsidRPr="00E65CC7">
        <w:rPr>
          <w:rFonts w:eastAsia="Times New Roman" w:cs="Times New Roman"/>
          <w:color w:val="000000"/>
          <w:kern w:val="0"/>
          <w:sz w:val="28"/>
          <w:szCs w:val="28"/>
          <w14:ligatures w14:val="none"/>
        </w:rPr>
        <w:t xml:space="preserve">on of the hotel and its figurehead. </w:t>
      </w:r>
      <w:r w:rsidRPr="00E65CC7">
        <w:rPr>
          <w:rFonts w:eastAsia="Times New Roman" w:cs="Times New Roman"/>
          <w:i/>
          <w:iCs/>
          <w:color w:val="000000"/>
          <w:kern w:val="0"/>
          <w:sz w:val="28"/>
          <w:szCs w:val="28"/>
          <w14:ligatures w14:val="none"/>
        </w:rPr>
        <w:t xml:space="preserve">See id. </w:t>
      </w:r>
      <w:r w:rsidRPr="00E65CC7">
        <w:rPr>
          <w:rFonts w:eastAsia="Times New Roman" w:cs="Times New Roman"/>
          <w:color w:val="000000"/>
          <w:kern w:val="0"/>
          <w:sz w:val="28"/>
          <w:szCs w:val="28"/>
          <w14:ligatures w14:val="none"/>
        </w:rPr>
        <w:t>Discussions of the arrests went through the staff like wildfire</w:t>
      </w:r>
      <w:r w:rsidR="007D7FB7" w:rsidRPr="00E65CC7">
        <w:rPr>
          <w:rFonts w:eastAsia="Times New Roman" w:cs="Times New Roman"/>
          <w:color w:val="000000"/>
          <w:kern w:val="0"/>
          <w:sz w:val="28"/>
          <w:szCs w:val="28"/>
          <w14:ligatures w14:val="none"/>
        </w:rPr>
        <w:t>,</w:t>
      </w:r>
      <w:r w:rsidRPr="00E65CC7">
        <w:rPr>
          <w:rFonts w:eastAsia="Times New Roman" w:cs="Times New Roman"/>
          <w:color w:val="000000"/>
          <w:kern w:val="0"/>
          <w:sz w:val="28"/>
          <w:szCs w:val="28"/>
          <w14:ligatures w14:val="none"/>
        </w:rPr>
        <w:t xml:space="preserve"> and the </w:t>
      </w:r>
      <w:r w:rsidR="00F647B5">
        <w:rPr>
          <w:rFonts w:eastAsia="Times New Roman" w:cs="Times New Roman"/>
          <w:color w:val="000000"/>
          <w:kern w:val="0"/>
          <w:sz w:val="28"/>
          <w:szCs w:val="28"/>
          <w14:ligatures w14:val="none"/>
        </w:rPr>
        <w:t>G</w:t>
      </w:r>
      <w:r w:rsidRPr="00E65CC7">
        <w:rPr>
          <w:rFonts w:eastAsia="Times New Roman" w:cs="Times New Roman"/>
          <w:color w:val="000000"/>
          <w:kern w:val="0"/>
          <w:sz w:val="28"/>
          <w:szCs w:val="28"/>
          <w14:ligatures w14:val="none"/>
        </w:rPr>
        <w:t xml:space="preserve">overnment has made no effort to dispel the assertion that the community and the staff would be discussing the trial at length, a burden that lies solely with the Government. Parker Dep. 41:294–98. </w:t>
      </w:r>
      <w:proofErr w:type="gramStart"/>
      <w:r w:rsidRPr="00E65CC7">
        <w:rPr>
          <w:rFonts w:eastAsia="Times New Roman" w:cs="Times New Roman"/>
          <w:color w:val="000000"/>
          <w:kern w:val="0"/>
          <w:sz w:val="28"/>
          <w:szCs w:val="28"/>
          <w14:ligatures w14:val="none"/>
        </w:rPr>
        <w:t>All of</w:t>
      </w:r>
      <w:proofErr w:type="gramEnd"/>
      <w:r w:rsidRPr="00E65CC7">
        <w:rPr>
          <w:rFonts w:eastAsia="Times New Roman" w:cs="Times New Roman"/>
          <w:color w:val="000000"/>
          <w:kern w:val="0"/>
          <w:sz w:val="28"/>
          <w:szCs w:val="28"/>
          <w14:ligatures w14:val="none"/>
        </w:rPr>
        <w:t xml:space="preserve"> these factors demonstrate that the </w:t>
      </w:r>
      <w:r w:rsidR="00F647B5">
        <w:rPr>
          <w:rFonts w:eastAsia="Times New Roman" w:cs="Times New Roman"/>
          <w:color w:val="000000"/>
          <w:kern w:val="0"/>
          <w:sz w:val="28"/>
          <w:szCs w:val="28"/>
          <w14:ligatures w14:val="none"/>
        </w:rPr>
        <w:t>G</w:t>
      </w:r>
      <w:r w:rsidRPr="00E65CC7">
        <w:rPr>
          <w:rFonts w:eastAsia="Times New Roman" w:cs="Times New Roman"/>
          <w:color w:val="000000"/>
          <w:kern w:val="0"/>
          <w:sz w:val="28"/>
          <w:szCs w:val="28"/>
          <w14:ligatures w14:val="none"/>
        </w:rPr>
        <w:t xml:space="preserve">overnment has not shown a lack of taint in </w:t>
      </w:r>
      <w:r w:rsidR="007D7FB7" w:rsidRPr="00E65CC7">
        <w:rPr>
          <w:rFonts w:eastAsia="Times New Roman" w:cs="Times New Roman"/>
          <w:color w:val="000000"/>
          <w:kern w:val="0"/>
          <w:sz w:val="28"/>
          <w:szCs w:val="28"/>
          <w14:ligatures w14:val="none"/>
        </w:rPr>
        <w:t>its</w:t>
      </w:r>
      <w:r w:rsidRPr="00E65CC7">
        <w:rPr>
          <w:rFonts w:eastAsia="Times New Roman" w:cs="Times New Roman"/>
          <w:color w:val="000000"/>
          <w:kern w:val="0"/>
          <w:sz w:val="28"/>
          <w:szCs w:val="28"/>
          <w14:ligatures w14:val="none"/>
        </w:rPr>
        <w:t xml:space="preserve"> evidence from the immunized testimony, and even if </w:t>
      </w:r>
      <w:r w:rsidR="007D7FB7" w:rsidRPr="00E65CC7">
        <w:rPr>
          <w:rFonts w:eastAsia="Times New Roman" w:cs="Times New Roman"/>
          <w:color w:val="000000"/>
          <w:kern w:val="0"/>
          <w:sz w:val="28"/>
          <w:szCs w:val="28"/>
          <w14:ligatures w14:val="none"/>
        </w:rPr>
        <w:t>it</w:t>
      </w:r>
      <w:r w:rsidRPr="00E65CC7">
        <w:rPr>
          <w:rFonts w:eastAsia="Times New Roman" w:cs="Times New Roman"/>
          <w:color w:val="000000"/>
          <w:kern w:val="0"/>
          <w:sz w:val="28"/>
          <w:szCs w:val="28"/>
          <w14:ligatures w14:val="none"/>
        </w:rPr>
        <w:t xml:space="preserve"> could</w:t>
      </w:r>
      <w:r w:rsidR="007D7FB7" w:rsidRPr="00E65CC7">
        <w:rPr>
          <w:rFonts w:eastAsia="Times New Roman" w:cs="Times New Roman"/>
          <w:color w:val="000000"/>
          <w:kern w:val="0"/>
          <w:sz w:val="28"/>
          <w:szCs w:val="28"/>
          <w14:ligatures w14:val="none"/>
        </w:rPr>
        <w:t>,</w:t>
      </w:r>
      <w:r w:rsidRPr="00E65CC7">
        <w:rPr>
          <w:rFonts w:eastAsia="Times New Roman" w:cs="Times New Roman"/>
          <w:color w:val="000000"/>
          <w:kern w:val="0"/>
          <w:sz w:val="28"/>
          <w:szCs w:val="28"/>
          <w14:ligatures w14:val="none"/>
        </w:rPr>
        <w:t xml:space="preserve"> that still does not satisfy </w:t>
      </w:r>
      <w:r w:rsidR="007D7FB7" w:rsidRPr="00E65CC7">
        <w:rPr>
          <w:rFonts w:eastAsia="Times New Roman" w:cs="Times New Roman"/>
          <w:color w:val="000000"/>
          <w:kern w:val="0"/>
          <w:sz w:val="28"/>
          <w:szCs w:val="28"/>
          <w14:ligatures w14:val="none"/>
        </w:rPr>
        <w:t>its</w:t>
      </w:r>
      <w:r w:rsidRPr="00E65CC7">
        <w:rPr>
          <w:rFonts w:eastAsia="Times New Roman" w:cs="Times New Roman"/>
          <w:color w:val="000000"/>
          <w:kern w:val="0"/>
          <w:sz w:val="28"/>
          <w:szCs w:val="28"/>
          <w14:ligatures w14:val="none"/>
        </w:rPr>
        <w:t xml:space="preserve"> burden. </w:t>
      </w:r>
    </w:p>
    <w:p w14:paraId="3F17C734" w14:textId="3A7EC3E6" w:rsidR="00E57BCB" w:rsidRPr="00E65CC7" w:rsidRDefault="005A0F38" w:rsidP="005A0F38">
      <w:pPr>
        <w:jc w:val="both"/>
        <w:rPr>
          <w:rFonts w:eastAsia="Times New Roman" w:cs="Times New Roman"/>
          <w:kern w:val="0"/>
          <w:sz w:val="28"/>
          <w:szCs w:val="28"/>
          <w14:ligatures w14:val="none"/>
        </w:rPr>
      </w:pPr>
      <w:r w:rsidRPr="00E65CC7">
        <w:rPr>
          <w:rFonts w:eastAsia="Times New Roman" w:cs="Times New Roman"/>
          <w:color w:val="000000"/>
          <w:kern w:val="0"/>
          <w:sz w:val="28"/>
          <w:szCs w:val="28"/>
          <w14:ligatures w14:val="none"/>
        </w:rPr>
        <w:t xml:space="preserve">Moreover, Parker themselves did not believe their testimony relevant to the police’s investigation. Parker Dep. 39-40:222–37. The police elected not to speak to Parker, and it was only after the trial and Ms. Calloway’s testimony that the police thought Parker’s testimony could be relevant. Parker Dep. 39-40:222–37. There is no testimony of who Parker spoke with and who of those individuals watched the trial. There is no information about the discussions of the staff that could have </w:t>
      </w:r>
      <w:proofErr w:type="gramStart"/>
      <w:r w:rsidRPr="00E65CC7">
        <w:rPr>
          <w:rFonts w:eastAsia="Times New Roman" w:cs="Times New Roman"/>
          <w:color w:val="000000"/>
          <w:kern w:val="0"/>
          <w:sz w:val="28"/>
          <w:szCs w:val="28"/>
          <w14:ligatures w14:val="none"/>
        </w:rPr>
        <w:t>impacted</w:t>
      </w:r>
      <w:proofErr w:type="gramEnd"/>
      <w:r w:rsidRPr="00E65CC7">
        <w:rPr>
          <w:rFonts w:eastAsia="Times New Roman" w:cs="Times New Roman"/>
          <w:color w:val="000000"/>
          <w:kern w:val="0"/>
          <w:sz w:val="28"/>
          <w:szCs w:val="28"/>
          <w14:ligatures w14:val="none"/>
        </w:rPr>
        <w:t xml:space="preserve"> this testimony despite the community being so invested. There is no explanation as to why Nolan targeted Parker as a person of interest other than the </w:t>
      </w:r>
      <w:r w:rsidRPr="00E65CC7">
        <w:rPr>
          <w:rFonts w:eastAsia="Times New Roman" w:cs="Times New Roman"/>
          <w:color w:val="000000"/>
          <w:kern w:val="0"/>
          <w:sz w:val="28"/>
          <w:szCs w:val="28"/>
          <w14:ligatures w14:val="none"/>
        </w:rPr>
        <w:lastRenderedPageBreak/>
        <w:t xml:space="preserve">immunized testimony of Ms. Calloway. There is no insight into what Sinclair and Nolan discuss in their frequent meetings. The only thing known is that the Government’s investigation shifted direction days after Ms. Calloway </w:t>
      </w:r>
      <w:proofErr w:type="gramStart"/>
      <w:r w:rsidRPr="00E65CC7">
        <w:rPr>
          <w:rFonts w:eastAsia="Times New Roman" w:cs="Times New Roman"/>
          <w:color w:val="000000"/>
          <w:kern w:val="0"/>
          <w:sz w:val="28"/>
          <w:szCs w:val="28"/>
          <w14:ligatures w14:val="none"/>
        </w:rPr>
        <w:t>met with</w:t>
      </w:r>
      <w:proofErr w:type="gramEnd"/>
      <w:r w:rsidRPr="00E65CC7">
        <w:rPr>
          <w:rFonts w:eastAsia="Times New Roman" w:cs="Times New Roman"/>
          <w:color w:val="000000"/>
          <w:kern w:val="0"/>
          <w:sz w:val="28"/>
          <w:szCs w:val="28"/>
          <w14:ligatures w14:val="none"/>
        </w:rPr>
        <w:t xml:space="preserve"> Sinclair. Because of these glaring errors, the Government cannot overcome its burden. As such, this Court must suppress the testimony of Parker and Exhibit 19.</w:t>
      </w:r>
    </w:p>
    <w:p w14:paraId="77C5F85A" w14:textId="790C5DBB" w:rsidR="00E57BCB" w:rsidRPr="006134A9" w:rsidRDefault="00E57BCB" w:rsidP="005A0F38">
      <w:pPr>
        <w:pStyle w:val="Heading2"/>
        <w:rPr>
          <w:b w:val="0"/>
          <w:bCs w:val="0"/>
          <w:u w:val="single"/>
        </w:rPr>
      </w:pPr>
      <w:bookmarkStart w:id="8" w:name="_Toc239108813"/>
      <w:r w:rsidRPr="006134A9">
        <w:rPr>
          <w:b w:val="0"/>
          <w:bCs w:val="0"/>
          <w:u w:val="single"/>
        </w:rPr>
        <w:t xml:space="preserve">This Court must grant Defendant’s Motion to Quash United States Subpoena Duces Tecum on Armana because </w:t>
      </w:r>
      <w:proofErr w:type="gramStart"/>
      <w:r w:rsidRPr="006134A9">
        <w:rPr>
          <w:b w:val="0"/>
          <w:bCs w:val="0"/>
          <w:u w:val="single"/>
        </w:rPr>
        <w:t>any and all</w:t>
      </w:r>
      <w:proofErr w:type="gramEnd"/>
      <w:r w:rsidRPr="006134A9">
        <w:rPr>
          <w:b w:val="0"/>
          <w:bCs w:val="0"/>
          <w:u w:val="single"/>
        </w:rPr>
        <w:t xml:space="preserve"> records related to their interview with Seton are protected as work-product</w:t>
      </w:r>
      <w:bookmarkEnd w:id="8"/>
      <w:r w:rsidR="006134A9" w:rsidRPr="006134A9">
        <w:rPr>
          <w:b w:val="0"/>
          <w:bCs w:val="0"/>
          <w:u w:val="single"/>
        </w:rPr>
        <w:t>.</w:t>
      </w:r>
      <w:r w:rsidRPr="006134A9">
        <w:rPr>
          <w:b w:val="0"/>
          <w:bCs w:val="0"/>
          <w:u w:val="single"/>
        </w:rPr>
        <w:t> </w:t>
      </w:r>
    </w:p>
    <w:p w14:paraId="27885DCB" w14:textId="0C51D0EC" w:rsidR="00F22AE5" w:rsidRPr="00E65CC7" w:rsidRDefault="00F22AE5" w:rsidP="00E65CC7">
      <w:pPr>
        <w:jc w:val="both"/>
        <w:rPr>
          <w:rFonts w:eastAsia="Times New Roman" w:cs="Times New Roman"/>
          <w:kern w:val="0"/>
          <w:sz w:val="28"/>
          <w:szCs w:val="28"/>
          <w14:ligatures w14:val="none"/>
        </w:rPr>
      </w:pPr>
      <w:bookmarkStart w:id="9" w:name="_Toc239108814"/>
      <w:r w:rsidRPr="00E65CC7">
        <w:rPr>
          <w:rFonts w:eastAsia="Times New Roman" w:cs="Times New Roman"/>
          <w:color w:val="000000"/>
          <w:kern w:val="0"/>
          <w:sz w:val="28"/>
          <w:szCs w:val="28"/>
          <w14:ligatures w14:val="none"/>
        </w:rPr>
        <w:t xml:space="preserve">In a 1947 opinion, the U.S. Supreme Court created the attorney work-product privilege doctrine, explaining: “In performing his various duties, . . . it is essential that a lawyer work with a certain degree of privacy, free from unnecessary intrusion by opposing parties and their counsel.” </w:t>
      </w:r>
      <w:r w:rsidRPr="00E65CC7">
        <w:rPr>
          <w:rFonts w:eastAsia="Times New Roman" w:cs="Times New Roman"/>
          <w:i/>
          <w:iCs/>
          <w:color w:val="000000"/>
          <w:kern w:val="0"/>
          <w:sz w:val="28"/>
          <w:szCs w:val="28"/>
          <w14:ligatures w14:val="none"/>
        </w:rPr>
        <w:t>Hickman v. Taylor</w:t>
      </w:r>
      <w:r w:rsidRPr="00E65CC7">
        <w:rPr>
          <w:rFonts w:eastAsia="Times New Roman" w:cs="Times New Roman"/>
          <w:color w:val="000000"/>
          <w:kern w:val="0"/>
          <w:sz w:val="28"/>
          <w:szCs w:val="28"/>
          <w14:ligatures w14:val="none"/>
        </w:rPr>
        <w:t>, 329 U.S. 495, 510 (1947)</w:t>
      </w:r>
      <w:r w:rsidRPr="00E65CC7">
        <w:rPr>
          <w:rFonts w:eastAsia="Times New Roman" w:cs="Times New Roman"/>
          <w:color w:val="000000"/>
          <w:kern w:val="0"/>
          <w:sz w:val="28"/>
          <w:szCs w:val="28"/>
          <w14:ligatures w14:val="none"/>
        </w:rPr>
        <w:fldChar w:fldCharType="begin"/>
      </w:r>
      <w:r w:rsidRPr="00E65CC7">
        <w:rPr>
          <w:rFonts w:cs="Times New Roman"/>
          <w:sz w:val="28"/>
          <w:szCs w:val="28"/>
        </w:rPr>
        <w:instrText xml:space="preserve"> TA \l "</w:instrText>
      </w:r>
      <w:r w:rsidRPr="00E65CC7">
        <w:rPr>
          <w:rFonts w:eastAsia="Times New Roman" w:cs="Times New Roman"/>
          <w:i/>
          <w:iCs/>
          <w:color w:val="000000"/>
          <w:kern w:val="0"/>
          <w:sz w:val="28"/>
          <w:szCs w:val="28"/>
          <w14:ligatures w14:val="none"/>
        </w:rPr>
        <w:instrText>Hickman v. Taylor</w:instrText>
      </w:r>
      <w:r w:rsidRPr="00E65CC7">
        <w:rPr>
          <w:rFonts w:eastAsia="Times New Roman" w:cs="Times New Roman"/>
          <w:color w:val="000000"/>
          <w:kern w:val="0"/>
          <w:sz w:val="28"/>
          <w:szCs w:val="28"/>
          <w14:ligatures w14:val="none"/>
        </w:rPr>
        <w:instrText>, 329 U.S. 495, 510 (1947)</w:instrText>
      </w:r>
      <w:r w:rsidRPr="00E65CC7">
        <w:rPr>
          <w:rFonts w:cs="Times New Roman"/>
          <w:sz w:val="28"/>
          <w:szCs w:val="28"/>
        </w:rPr>
        <w:instrText xml:space="preserve">" \s "Hickman v. Taylor, 329 U.S. 495, 510 (1947)" \c 1 </w:instrText>
      </w:r>
      <w:r w:rsidRPr="00E65CC7">
        <w:rPr>
          <w:rFonts w:eastAsia="Times New Roman" w:cs="Times New Roman"/>
          <w:color w:val="000000"/>
          <w:kern w:val="0"/>
          <w:sz w:val="28"/>
          <w:szCs w:val="28"/>
          <w14:ligatures w14:val="none"/>
        </w:rPr>
        <w:fldChar w:fldCharType="end"/>
      </w:r>
      <w:r w:rsidRPr="00E65CC7">
        <w:rPr>
          <w:rFonts w:eastAsia="Times New Roman" w:cs="Times New Roman"/>
          <w:color w:val="000000"/>
          <w:kern w:val="0"/>
          <w:sz w:val="28"/>
          <w:szCs w:val="28"/>
          <w14:ligatures w14:val="none"/>
        </w:rPr>
        <w:t xml:space="preserve">. Without such protections, the thoughts of an attorney would not be their own, and the interests of clients “would be poorly served.” </w:t>
      </w:r>
      <w:r w:rsidRPr="00E65CC7">
        <w:rPr>
          <w:rFonts w:eastAsia="Times New Roman" w:cs="Times New Roman"/>
          <w:i/>
          <w:iCs/>
          <w:color w:val="000000"/>
          <w:kern w:val="0"/>
          <w:sz w:val="28"/>
          <w:szCs w:val="28"/>
          <w14:ligatures w14:val="none"/>
        </w:rPr>
        <w:t>Id.</w:t>
      </w:r>
      <w:r w:rsidRPr="00E65CC7">
        <w:rPr>
          <w:rFonts w:eastAsia="Times New Roman" w:cs="Times New Roman"/>
          <w:i/>
          <w:iCs/>
          <w:color w:val="000000"/>
          <w:kern w:val="0"/>
          <w:sz w:val="28"/>
          <w:szCs w:val="28"/>
          <w14:ligatures w14:val="none"/>
        </w:rPr>
        <w:fldChar w:fldCharType="begin"/>
      </w:r>
      <w:r w:rsidRPr="00E65CC7">
        <w:rPr>
          <w:rFonts w:cs="Times New Roman"/>
          <w:sz w:val="28"/>
          <w:szCs w:val="28"/>
        </w:rPr>
        <w:instrText xml:space="preserve"> TA \s "Hickman v. Taylor, 329 U.S. 495, 510 (1947)" </w:instrText>
      </w:r>
      <w:r w:rsidRPr="00E65CC7">
        <w:rPr>
          <w:rFonts w:eastAsia="Times New Roman" w:cs="Times New Roman"/>
          <w:i/>
          <w:iCs/>
          <w:color w:val="000000"/>
          <w:kern w:val="0"/>
          <w:sz w:val="28"/>
          <w:szCs w:val="28"/>
          <w14:ligatures w14:val="none"/>
        </w:rPr>
        <w:fldChar w:fldCharType="end"/>
      </w:r>
      <w:r w:rsidRPr="00E65CC7">
        <w:rPr>
          <w:rFonts w:eastAsia="Times New Roman" w:cs="Times New Roman"/>
          <w:i/>
          <w:iCs/>
          <w:color w:val="000000"/>
          <w:kern w:val="0"/>
          <w:sz w:val="28"/>
          <w:szCs w:val="28"/>
          <w14:ligatures w14:val="none"/>
        </w:rPr>
        <w:t xml:space="preserve"> </w:t>
      </w:r>
      <w:r w:rsidRPr="00E65CC7">
        <w:rPr>
          <w:rFonts w:eastAsia="Times New Roman" w:cs="Times New Roman"/>
          <w:color w:val="000000"/>
          <w:kern w:val="0"/>
          <w:sz w:val="28"/>
          <w:szCs w:val="28"/>
          <w14:ligatures w14:val="none"/>
        </w:rPr>
        <w:t xml:space="preserve">at 511. Work-product privilege is intended to encourage and broadly protect materials prepared in anticipation of litigation from being viewed by opposing parties, allowing parties to strategize without fear that their legal theories will be disclosed. </w:t>
      </w:r>
      <w:r w:rsidRPr="00E65CC7">
        <w:rPr>
          <w:rFonts w:eastAsia="Times New Roman" w:cs="Times New Roman"/>
          <w:i/>
          <w:iCs/>
          <w:color w:val="000000"/>
          <w:kern w:val="0"/>
          <w:sz w:val="28"/>
          <w:szCs w:val="28"/>
          <w14:ligatures w14:val="none"/>
        </w:rPr>
        <w:t>See</w:t>
      </w:r>
      <w:r w:rsidRPr="00E65CC7">
        <w:rPr>
          <w:rFonts w:eastAsia="Times New Roman" w:cs="Times New Roman"/>
          <w:color w:val="000000"/>
          <w:kern w:val="0"/>
          <w:sz w:val="28"/>
          <w:szCs w:val="28"/>
          <w14:ligatures w14:val="none"/>
        </w:rPr>
        <w:t xml:space="preserve"> </w:t>
      </w:r>
      <w:r w:rsidRPr="00E65CC7">
        <w:rPr>
          <w:rFonts w:eastAsia="Times New Roman" w:cs="Times New Roman"/>
          <w:i/>
          <w:iCs/>
          <w:color w:val="000000"/>
          <w:kern w:val="0"/>
          <w:sz w:val="28"/>
          <w:szCs w:val="28"/>
          <w14:ligatures w14:val="none"/>
        </w:rPr>
        <w:t>id.</w:t>
      </w:r>
      <w:r w:rsidRPr="00E65CC7">
        <w:rPr>
          <w:rFonts w:eastAsia="Times New Roman" w:cs="Times New Roman"/>
          <w:i/>
          <w:iCs/>
          <w:color w:val="000000"/>
          <w:kern w:val="0"/>
          <w:sz w:val="28"/>
          <w:szCs w:val="28"/>
          <w14:ligatures w14:val="none"/>
        </w:rPr>
        <w:fldChar w:fldCharType="begin"/>
      </w:r>
      <w:r w:rsidRPr="00E65CC7">
        <w:rPr>
          <w:rFonts w:cs="Times New Roman"/>
          <w:sz w:val="28"/>
          <w:szCs w:val="28"/>
        </w:rPr>
        <w:instrText xml:space="preserve"> TA \s "Hickman v. Taylor, 329 U.S. 495, 510 (1947)" </w:instrText>
      </w:r>
      <w:r w:rsidRPr="00E65CC7">
        <w:rPr>
          <w:rFonts w:eastAsia="Times New Roman" w:cs="Times New Roman"/>
          <w:i/>
          <w:iCs/>
          <w:color w:val="000000"/>
          <w:kern w:val="0"/>
          <w:sz w:val="28"/>
          <w:szCs w:val="28"/>
          <w14:ligatures w14:val="none"/>
        </w:rPr>
        <w:fldChar w:fldCharType="end"/>
      </w:r>
      <w:r w:rsidRPr="00E65CC7">
        <w:rPr>
          <w:rFonts w:eastAsia="Times New Roman" w:cs="Times New Roman"/>
          <w:i/>
          <w:iCs/>
          <w:color w:val="000000"/>
          <w:kern w:val="0"/>
          <w:sz w:val="28"/>
          <w:szCs w:val="28"/>
          <w14:ligatures w14:val="none"/>
        </w:rPr>
        <w:t> </w:t>
      </w:r>
    </w:p>
    <w:p w14:paraId="597A9365" w14:textId="6E45E2F8" w:rsidR="00E57BCB" w:rsidRPr="00E65CC7" w:rsidRDefault="00E57BCB" w:rsidP="005A0F38">
      <w:pPr>
        <w:pStyle w:val="Heading4"/>
        <w:rPr>
          <w:rFonts w:cs="Times New Roman"/>
        </w:rPr>
      </w:pPr>
      <w:r w:rsidRPr="00E65CC7">
        <w:rPr>
          <w:rFonts w:cs="Times New Roman"/>
        </w:rPr>
        <w:t>Attorney work-product privilege applies to all records of Armana’s interview with Seton because they include mental impressions prepared in anticipation of litigation.</w:t>
      </w:r>
      <w:bookmarkEnd w:id="9"/>
      <w:r w:rsidRPr="00E65CC7">
        <w:rPr>
          <w:rFonts w:cs="Times New Roman"/>
        </w:rPr>
        <w:t> </w:t>
      </w:r>
    </w:p>
    <w:p w14:paraId="46291F58" w14:textId="39C8995F" w:rsidR="00F22AE5" w:rsidRPr="00E65CC7" w:rsidRDefault="00F22AE5" w:rsidP="00E65CC7">
      <w:pPr>
        <w:jc w:val="both"/>
        <w:rPr>
          <w:rFonts w:eastAsia="Times New Roman" w:cs="Times New Roman"/>
          <w:kern w:val="0"/>
          <w:sz w:val="28"/>
          <w:szCs w:val="28"/>
          <w14:ligatures w14:val="none"/>
        </w:rPr>
      </w:pPr>
      <w:bookmarkStart w:id="10" w:name="_Toc239108815"/>
      <w:r w:rsidRPr="00E65CC7">
        <w:rPr>
          <w:rFonts w:eastAsia="Times New Roman" w:cs="Times New Roman"/>
          <w:color w:val="000000"/>
          <w:kern w:val="0"/>
          <w:sz w:val="28"/>
          <w:szCs w:val="28"/>
          <w14:ligatures w14:val="none"/>
        </w:rPr>
        <w:t>Codified into Federal Rule of Civil Procedure 26(b)(3)</w:t>
      </w:r>
      <w:r w:rsidRPr="00E65CC7">
        <w:rPr>
          <w:rFonts w:eastAsia="Times New Roman" w:cs="Times New Roman"/>
          <w:color w:val="000000"/>
          <w:kern w:val="0"/>
          <w:sz w:val="28"/>
          <w:szCs w:val="28"/>
          <w14:ligatures w14:val="none"/>
        </w:rPr>
        <w:fldChar w:fldCharType="begin"/>
      </w:r>
      <w:r w:rsidRPr="00E65CC7">
        <w:rPr>
          <w:rFonts w:cs="Times New Roman"/>
          <w:sz w:val="28"/>
          <w:szCs w:val="28"/>
        </w:rPr>
        <w:instrText xml:space="preserve"> TA \l "</w:instrText>
      </w:r>
      <w:r w:rsidRPr="00E65CC7">
        <w:rPr>
          <w:rFonts w:eastAsia="Times New Roman" w:cs="Times New Roman"/>
          <w:color w:val="000000"/>
          <w:kern w:val="0"/>
          <w:sz w:val="28"/>
          <w:szCs w:val="28"/>
          <w14:ligatures w14:val="none"/>
        </w:rPr>
        <w:instrText>Federal Rule of Civil Procedure 26(b)(3)</w:instrText>
      </w:r>
      <w:r w:rsidRPr="00E65CC7">
        <w:rPr>
          <w:rFonts w:cs="Times New Roman"/>
          <w:sz w:val="28"/>
          <w:szCs w:val="28"/>
        </w:rPr>
        <w:instrText xml:space="preserve">" \s "Federal Rule of Civil Procedure 26(b)(3)" \c 4 </w:instrText>
      </w:r>
      <w:r w:rsidRPr="00E65CC7">
        <w:rPr>
          <w:rFonts w:eastAsia="Times New Roman" w:cs="Times New Roman"/>
          <w:color w:val="000000"/>
          <w:kern w:val="0"/>
          <w:sz w:val="28"/>
          <w:szCs w:val="28"/>
          <w14:ligatures w14:val="none"/>
        </w:rPr>
        <w:fldChar w:fldCharType="end"/>
      </w:r>
      <w:r w:rsidRPr="00E65CC7">
        <w:rPr>
          <w:rFonts w:eastAsia="Times New Roman" w:cs="Times New Roman"/>
          <w:color w:val="000000"/>
          <w:kern w:val="0"/>
          <w:sz w:val="28"/>
          <w:szCs w:val="28"/>
          <w14:ligatures w14:val="none"/>
        </w:rPr>
        <w:t xml:space="preserve"> and Florida Rule of Civil Procedure 1.280(c)(4)</w:t>
      </w:r>
      <w:r w:rsidRPr="00E65CC7">
        <w:rPr>
          <w:rFonts w:eastAsia="Times New Roman" w:cs="Times New Roman"/>
          <w:color w:val="000000"/>
          <w:kern w:val="0"/>
          <w:sz w:val="28"/>
          <w:szCs w:val="28"/>
          <w14:ligatures w14:val="none"/>
        </w:rPr>
        <w:fldChar w:fldCharType="begin"/>
      </w:r>
      <w:r w:rsidRPr="00E65CC7">
        <w:rPr>
          <w:rFonts w:cs="Times New Roman"/>
          <w:sz w:val="28"/>
          <w:szCs w:val="28"/>
        </w:rPr>
        <w:instrText xml:space="preserve"> TA \l "</w:instrText>
      </w:r>
      <w:r w:rsidRPr="00E65CC7">
        <w:rPr>
          <w:rFonts w:eastAsia="Times New Roman" w:cs="Times New Roman"/>
          <w:color w:val="000000"/>
          <w:kern w:val="0"/>
          <w:sz w:val="28"/>
          <w:szCs w:val="28"/>
          <w14:ligatures w14:val="none"/>
        </w:rPr>
        <w:instrText>Florida Rule of Civil Procedure 1.280(c)(4)</w:instrText>
      </w:r>
      <w:r w:rsidRPr="00E65CC7">
        <w:rPr>
          <w:rFonts w:cs="Times New Roman"/>
          <w:sz w:val="28"/>
          <w:szCs w:val="28"/>
        </w:rPr>
        <w:instrText xml:space="preserve">" \s "Florida Rule of Civil Procedure 1.280(c)(4)" \c 4 </w:instrText>
      </w:r>
      <w:r w:rsidRPr="00E65CC7">
        <w:rPr>
          <w:rFonts w:eastAsia="Times New Roman" w:cs="Times New Roman"/>
          <w:color w:val="000000"/>
          <w:kern w:val="0"/>
          <w:sz w:val="28"/>
          <w:szCs w:val="28"/>
          <w14:ligatures w14:val="none"/>
        </w:rPr>
        <w:fldChar w:fldCharType="end"/>
      </w:r>
      <w:r w:rsidRPr="00E65CC7">
        <w:rPr>
          <w:rFonts w:eastAsia="Times New Roman" w:cs="Times New Roman"/>
          <w:color w:val="000000"/>
          <w:kern w:val="0"/>
          <w:sz w:val="28"/>
          <w:szCs w:val="28"/>
          <w14:ligatures w14:val="none"/>
        </w:rPr>
        <w:t xml:space="preserve">, work-product privilege protects disclosure of </w:t>
      </w:r>
      <w:r w:rsidRPr="00E65CC7">
        <w:rPr>
          <w:rFonts w:eastAsia="Times New Roman" w:cs="Times New Roman"/>
          <w:color w:val="000000"/>
          <w:kern w:val="0"/>
          <w:sz w:val="28"/>
          <w:szCs w:val="28"/>
          <w14:ligatures w14:val="none"/>
        </w:rPr>
        <w:lastRenderedPageBreak/>
        <w:t xml:space="preserve">“documents and tangible things” that a party prepares in anticipation of litigation. </w:t>
      </w:r>
      <w:r w:rsidRPr="00E65CC7">
        <w:rPr>
          <w:rFonts w:eastAsia="Times New Roman" w:cs="Times New Roman"/>
          <w:smallCaps/>
          <w:color w:val="000000"/>
          <w:kern w:val="0"/>
          <w:sz w:val="28"/>
          <w:szCs w:val="28"/>
          <w14:ligatures w14:val="none"/>
        </w:rPr>
        <w:t xml:space="preserve">Fed. R. Civ. P. </w:t>
      </w:r>
      <w:r w:rsidRPr="00E65CC7">
        <w:rPr>
          <w:rFonts w:eastAsia="Times New Roman" w:cs="Times New Roman"/>
          <w:color w:val="000000"/>
          <w:kern w:val="0"/>
          <w:sz w:val="28"/>
          <w:szCs w:val="28"/>
          <w14:ligatures w14:val="none"/>
        </w:rPr>
        <w:t xml:space="preserve">26(b)(3); </w:t>
      </w:r>
      <w:r w:rsidRPr="00E65CC7">
        <w:rPr>
          <w:rFonts w:eastAsia="Times New Roman" w:cs="Times New Roman"/>
          <w:smallCaps/>
          <w:color w:val="000000"/>
          <w:kern w:val="0"/>
          <w:sz w:val="28"/>
          <w:szCs w:val="28"/>
          <w14:ligatures w14:val="none"/>
        </w:rPr>
        <w:t xml:space="preserve">Fla. R. Civ. P. </w:t>
      </w:r>
      <w:r w:rsidRPr="00E65CC7">
        <w:rPr>
          <w:rFonts w:eastAsia="Times New Roman" w:cs="Times New Roman"/>
          <w:color w:val="000000"/>
          <w:kern w:val="0"/>
          <w:sz w:val="28"/>
          <w:szCs w:val="28"/>
          <w14:ligatures w14:val="none"/>
        </w:rPr>
        <w:t xml:space="preserve">1.280(b)(4). There are two kinds of work-product: fact work-product, </w:t>
      </w:r>
      <w:proofErr w:type="gramStart"/>
      <w:r w:rsidRPr="00E65CC7">
        <w:rPr>
          <w:rFonts w:eastAsia="Times New Roman" w:cs="Times New Roman"/>
          <w:color w:val="000000"/>
          <w:kern w:val="0"/>
          <w:sz w:val="28"/>
          <w:szCs w:val="28"/>
          <w14:ligatures w14:val="none"/>
        </w:rPr>
        <w:t>factual information</w:t>
      </w:r>
      <w:proofErr w:type="gramEnd"/>
      <w:r w:rsidRPr="00E65CC7">
        <w:rPr>
          <w:rFonts w:eastAsia="Times New Roman" w:cs="Times New Roman"/>
          <w:color w:val="000000"/>
          <w:kern w:val="0"/>
          <w:sz w:val="28"/>
          <w:szCs w:val="28"/>
          <w14:ligatures w14:val="none"/>
        </w:rPr>
        <w:t xml:space="preserve"> gathered in anticipation of litigation, and opinion work-product, the “mental impressions, conclusions, opinions, and theories” of an attorney or their agent. </w:t>
      </w:r>
      <w:r w:rsidRPr="00E65CC7">
        <w:rPr>
          <w:rFonts w:eastAsia="Times New Roman" w:cs="Times New Roman"/>
          <w:i/>
          <w:iCs/>
          <w:color w:val="000000"/>
          <w:kern w:val="0"/>
          <w:sz w:val="28"/>
          <w:szCs w:val="28"/>
          <w14:ligatures w14:val="none"/>
        </w:rPr>
        <w:t>State v. Rabin</w:t>
      </w:r>
      <w:r w:rsidRPr="00E65CC7">
        <w:rPr>
          <w:rFonts w:eastAsia="Times New Roman" w:cs="Times New Roman"/>
          <w:color w:val="000000"/>
          <w:kern w:val="0"/>
          <w:sz w:val="28"/>
          <w:szCs w:val="28"/>
          <w14:ligatures w14:val="none"/>
        </w:rPr>
        <w:t>, 495 So. 2d 257, 262 (Fla. Dist. Ct. App. 1986)</w:t>
      </w:r>
      <w:r w:rsidRPr="00E65CC7">
        <w:rPr>
          <w:rFonts w:eastAsia="Times New Roman" w:cs="Times New Roman"/>
          <w:color w:val="000000"/>
          <w:kern w:val="0"/>
          <w:sz w:val="28"/>
          <w:szCs w:val="28"/>
          <w14:ligatures w14:val="none"/>
        </w:rPr>
        <w:fldChar w:fldCharType="begin"/>
      </w:r>
      <w:r w:rsidRPr="00E65CC7">
        <w:rPr>
          <w:rFonts w:cs="Times New Roman"/>
          <w:sz w:val="28"/>
          <w:szCs w:val="28"/>
        </w:rPr>
        <w:instrText xml:space="preserve"> TA \l "</w:instrText>
      </w:r>
      <w:r w:rsidRPr="00E65CC7">
        <w:rPr>
          <w:rFonts w:eastAsia="Times New Roman" w:cs="Times New Roman"/>
          <w:i/>
          <w:iCs/>
          <w:color w:val="000000"/>
          <w:kern w:val="0"/>
          <w:sz w:val="28"/>
          <w:szCs w:val="28"/>
          <w14:ligatures w14:val="none"/>
        </w:rPr>
        <w:instrText>State v. Rabin</w:instrText>
      </w:r>
      <w:r w:rsidRPr="00E65CC7">
        <w:rPr>
          <w:rFonts w:eastAsia="Times New Roman" w:cs="Times New Roman"/>
          <w:color w:val="000000"/>
          <w:kern w:val="0"/>
          <w:sz w:val="28"/>
          <w:szCs w:val="28"/>
          <w14:ligatures w14:val="none"/>
        </w:rPr>
        <w:instrText>, 495 So. 2d 257, 262 (Fla. Dist. Ct. App. 1986)</w:instrText>
      </w:r>
      <w:r w:rsidRPr="00E65CC7">
        <w:rPr>
          <w:rFonts w:cs="Times New Roman"/>
          <w:sz w:val="28"/>
          <w:szCs w:val="28"/>
        </w:rPr>
        <w:instrText xml:space="preserve">" \s "State v. Rabin, 495 So. 2d 257 (Fla. Dist. Ct. App. 1986)" \c 1 </w:instrText>
      </w:r>
      <w:r w:rsidRPr="00E65CC7">
        <w:rPr>
          <w:rFonts w:eastAsia="Times New Roman" w:cs="Times New Roman"/>
          <w:color w:val="000000"/>
          <w:kern w:val="0"/>
          <w:sz w:val="28"/>
          <w:szCs w:val="28"/>
          <w14:ligatures w14:val="none"/>
        </w:rPr>
        <w:fldChar w:fldCharType="end"/>
      </w:r>
      <w:r w:rsidRPr="00E65CC7">
        <w:rPr>
          <w:rFonts w:eastAsia="Times New Roman" w:cs="Times New Roman"/>
          <w:color w:val="000000"/>
          <w:kern w:val="0"/>
          <w:sz w:val="28"/>
          <w:szCs w:val="28"/>
          <w14:ligatures w14:val="none"/>
        </w:rPr>
        <w:t xml:space="preserve">. The party seeking discovery of work-product must prove a substantial need for the material, demonstrating the material could not be obtained without undue hardship. </w:t>
      </w:r>
      <w:r w:rsidRPr="00E65CC7">
        <w:rPr>
          <w:rFonts w:eastAsia="Times New Roman" w:cs="Times New Roman"/>
          <w:i/>
          <w:iCs/>
          <w:color w:val="000000"/>
          <w:kern w:val="0"/>
          <w:sz w:val="28"/>
          <w:szCs w:val="28"/>
          <w14:ligatures w14:val="none"/>
        </w:rPr>
        <w:t>See</w:t>
      </w:r>
      <w:r w:rsidRPr="00E65CC7">
        <w:rPr>
          <w:rFonts w:eastAsia="Times New Roman" w:cs="Times New Roman"/>
          <w:color w:val="000000"/>
          <w:kern w:val="0"/>
          <w:sz w:val="28"/>
          <w:szCs w:val="28"/>
          <w14:ligatures w14:val="none"/>
        </w:rPr>
        <w:t xml:space="preserve"> Fla. R. Civ. P. 1.280(c)(4).</w:t>
      </w:r>
      <w:r w:rsidRPr="00E65CC7">
        <w:rPr>
          <w:rFonts w:eastAsia="Times New Roman" w:cs="Times New Roman"/>
          <w:color w:val="000000"/>
          <w:kern w:val="0"/>
          <w:sz w:val="28"/>
          <w:szCs w:val="28"/>
          <w14:ligatures w14:val="none"/>
        </w:rPr>
        <w:fldChar w:fldCharType="begin"/>
      </w:r>
      <w:r w:rsidRPr="00E65CC7">
        <w:rPr>
          <w:rFonts w:cs="Times New Roman"/>
          <w:sz w:val="28"/>
          <w:szCs w:val="28"/>
        </w:rPr>
        <w:instrText xml:space="preserve"> TA \s "Florida Rule of Civil Procedure 1.280(c)(4)" </w:instrText>
      </w:r>
      <w:r w:rsidRPr="00E65CC7">
        <w:rPr>
          <w:rFonts w:eastAsia="Times New Roman" w:cs="Times New Roman"/>
          <w:color w:val="000000"/>
          <w:kern w:val="0"/>
          <w:sz w:val="28"/>
          <w:szCs w:val="28"/>
          <w14:ligatures w14:val="none"/>
        </w:rPr>
        <w:fldChar w:fldCharType="end"/>
      </w:r>
      <w:r w:rsidRPr="00E65CC7">
        <w:rPr>
          <w:rFonts w:eastAsia="Times New Roman" w:cs="Times New Roman"/>
          <w:color w:val="000000"/>
          <w:kern w:val="0"/>
          <w:sz w:val="28"/>
          <w:szCs w:val="28"/>
          <w14:ligatures w14:val="none"/>
        </w:rPr>
        <w:t xml:space="preserve"> However, opinion work-product is </w:t>
      </w:r>
      <w:proofErr w:type="gramStart"/>
      <w:r w:rsidRPr="00E65CC7">
        <w:rPr>
          <w:rFonts w:eastAsia="Times New Roman" w:cs="Times New Roman"/>
          <w:color w:val="000000"/>
          <w:kern w:val="0"/>
          <w:sz w:val="28"/>
          <w:szCs w:val="28"/>
          <w14:ligatures w14:val="none"/>
        </w:rPr>
        <w:t>absolutely immune</w:t>
      </w:r>
      <w:proofErr w:type="gramEnd"/>
      <w:r w:rsidRPr="00E65CC7">
        <w:rPr>
          <w:rFonts w:eastAsia="Times New Roman" w:cs="Times New Roman"/>
          <w:color w:val="000000"/>
          <w:kern w:val="0"/>
          <w:sz w:val="28"/>
          <w:szCs w:val="28"/>
          <w14:ligatures w14:val="none"/>
        </w:rPr>
        <w:t xml:space="preserve">. </w:t>
      </w:r>
      <w:r w:rsidRPr="00E65CC7">
        <w:rPr>
          <w:rFonts w:eastAsia="Times New Roman" w:cs="Times New Roman"/>
          <w:i/>
          <w:iCs/>
          <w:color w:val="000000"/>
          <w:kern w:val="0"/>
          <w:sz w:val="28"/>
          <w:szCs w:val="28"/>
          <w14:ligatures w14:val="none"/>
        </w:rPr>
        <w:t>Ford Motor Co. v. Hall-Edwards</w:t>
      </w:r>
      <w:r w:rsidRPr="00E65CC7">
        <w:rPr>
          <w:rFonts w:eastAsia="Times New Roman" w:cs="Times New Roman"/>
          <w:color w:val="000000"/>
          <w:kern w:val="0"/>
          <w:sz w:val="28"/>
          <w:szCs w:val="28"/>
          <w14:ligatures w14:val="none"/>
        </w:rPr>
        <w:t>, 997 So. 2d 1148, 1154 (Fla. Dist. Ct. App. 2008);</w:t>
      </w:r>
      <w:r w:rsidRPr="00E65CC7">
        <w:rPr>
          <w:rFonts w:eastAsia="Times New Roman" w:cs="Times New Roman"/>
          <w:color w:val="000000"/>
          <w:kern w:val="0"/>
          <w:sz w:val="28"/>
          <w:szCs w:val="28"/>
          <w14:ligatures w14:val="none"/>
        </w:rPr>
        <w:fldChar w:fldCharType="begin"/>
      </w:r>
      <w:r w:rsidRPr="00E65CC7">
        <w:rPr>
          <w:rFonts w:cs="Times New Roman"/>
          <w:sz w:val="28"/>
          <w:szCs w:val="28"/>
        </w:rPr>
        <w:instrText xml:space="preserve"> TA \l "</w:instrText>
      </w:r>
      <w:r w:rsidRPr="00E65CC7">
        <w:rPr>
          <w:rFonts w:eastAsia="Times New Roman" w:cs="Times New Roman"/>
          <w:i/>
          <w:iCs/>
          <w:color w:val="000000"/>
          <w:kern w:val="0"/>
          <w:sz w:val="28"/>
          <w:szCs w:val="28"/>
          <w14:ligatures w14:val="none"/>
        </w:rPr>
        <w:instrText>Ford Motor Co. v. Hall-Edwards</w:instrText>
      </w:r>
      <w:r w:rsidRPr="00E65CC7">
        <w:rPr>
          <w:rFonts w:eastAsia="Times New Roman" w:cs="Times New Roman"/>
          <w:color w:val="000000"/>
          <w:kern w:val="0"/>
          <w:sz w:val="28"/>
          <w:szCs w:val="28"/>
          <w14:ligatures w14:val="none"/>
        </w:rPr>
        <w:instrText>, 997 So. 2d 1148, 1154 (Fla. Dist. Ct. App. 2008);</w:instrText>
      </w:r>
      <w:r w:rsidRPr="00E65CC7">
        <w:rPr>
          <w:rFonts w:cs="Times New Roman"/>
          <w:sz w:val="28"/>
          <w:szCs w:val="28"/>
        </w:rPr>
        <w:instrText xml:space="preserve">" \s "Ford Motor Co. v. Hall-Edwards, 997 So. 2d 1148 (Fla. Dist. Ct. App. 2008)" \c 1 </w:instrText>
      </w:r>
      <w:r w:rsidRPr="00E65CC7">
        <w:rPr>
          <w:rFonts w:eastAsia="Times New Roman" w:cs="Times New Roman"/>
          <w:color w:val="000000"/>
          <w:kern w:val="0"/>
          <w:sz w:val="28"/>
          <w:szCs w:val="28"/>
          <w14:ligatures w14:val="none"/>
        </w:rPr>
        <w:fldChar w:fldCharType="end"/>
      </w:r>
      <w:r w:rsidRPr="00E65CC7">
        <w:rPr>
          <w:rFonts w:eastAsia="Times New Roman" w:cs="Times New Roman"/>
          <w:color w:val="000000"/>
          <w:kern w:val="0"/>
          <w:sz w:val="28"/>
          <w:szCs w:val="28"/>
          <w14:ligatures w14:val="none"/>
        </w:rPr>
        <w:t xml:space="preserve"> </w:t>
      </w:r>
      <w:r w:rsidRPr="00E65CC7">
        <w:rPr>
          <w:rFonts w:eastAsia="Times New Roman" w:cs="Times New Roman"/>
          <w:i/>
          <w:iCs/>
          <w:color w:val="000000"/>
          <w:kern w:val="0"/>
          <w:sz w:val="28"/>
          <w:szCs w:val="28"/>
          <w14:ligatures w14:val="none"/>
        </w:rPr>
        <w:t>see Hickman</w:t>
      </w:r>
      <w:r w:rsidRPr="00E65CC7">
        <w:rPr>
          <w:rFonts w:eastAsia="Times New Roman" w:cs="Times New Roman"/>
          <w:i/>
          <w:iCs/>
          <w:color w:val="000000"/>
          <w:kern w:val="0"/>
          <w:sz w:val="28"/>
          <w:szCs w:val="28"/>
          <w14:ligatures w14:val="none"/>
        </w:rPr>
        <w:fldChar w:fldCharType="begin"/>
      </w:r>
      <w:r w:rsidRPr="00E65CC7">
        <w:rPr>
          <w:rFonts w:cs="Times New Roman"/>
          <w:sz w:val="28"/>
          <w:szCs w:val="28"/>
        </w:rPr>
        <w:instrText xml:space="preserve"> TA \s "Hickman v. Taylor, 329 U.S. 495, 510 (1947)" </w:instrText>
      </w:r>
      <w:r w:rsidRPr="00E65CC7">
        <w:rPr>
          <w:rFonts w:eastAsia="Times New Roman" w:cs="Times New Roman"/>
          <w:i/>
          <w:iCs/>
          <w:color w:val="000000"/>
          <w:kern w:val="0"/>
          <w:sz w:val="28"/>
          <w:szCs w:val="28"/>
          <w14:ligatures w14:val="none"/>
        </w:rPr>
        <w:fldChar w:fldCharType="end"/>
      </w:r>
      <w:r w:rsidRPr="00E65CC7">
        <w:rPr>
          <w:rFonts w:eastAsia="Times New Roman" w:cs="Times New Roman"/>
          <w:color w:val="000000"/>
          <w:kern w:val="0"/>
          <w:sz w:val="28"/>
          <w:szCs w:val="28"/>
          <w14:ligatures w14:val="none"/>
        </w:rPr>
        <w:t>, 329 U.S. at 510.</w:t>
      </w:r>
    </w:p>
    <w:p w14:paraId="15D8BE62" w14:textId="093F1F9D" w:rsidR="00E57BCB" w:rsidRPr="006134A9" w:rsidRDefault="00E57BCB" w:rsidP="005A0F38">
      <w:pPr>
        <w:pStyle w:val="Heading5"/>
        <w:rPr>
          <w:b w:val="0"/>
          <w:bCs w:val="0"/>
          <w:i/>
          <w:iCs/>
        </w:rPr>
      </w:pPr>
      <w:r w:rsidRPr="006134A9">
        <w:rPr>
          <w:b w:val="0"/>
          <w:bCs w:val="0"/>
          <w:i/>
          <w:iCs/>
        </w:rPr>
        <w:t>Work-product privilege extends to Armana as an agent of counse</w:t>
      </w:r>
      <w:bookmarkEnd w:id="10"/>
      <w:r w:rsidR="00166EF5">
        <w:rPr>
          <w:b w:val="0"/>
          <w:bCs w:val="0"/>
          <w:i/>
          <w:iCs/>
        </w:rPr>
        <w:t>l.</w:t>
      </w:r>
    </w:p>
    <w:p w14:paraId="559038B8" w14:textId="45BCF569" w:rsidR="00F22AE5" w:rsidRPr="00E65CC7" w:rsidRDefault="00F22AE5" w:rsidP="00F22AE5">
      <w:pPr>
        <w:ind w:firstLine="0"/>
        <w:jc w:val="both"/>
        <w:rPr>
          <w:rFonts w:eastAsia="Times New Roman" w:cs="Times New Roman"/>
          <w:kern w:val="0"/>
          <w:sz w:val="28"/>
          <w:szCs w:val="28"/>
          <w14:ligatures w14:val="none"/>
        </w:rPr>
      </w:pPr>
      <w:r w:rsidRPr="00E65CC7">
        <w:rPr>
          <w:rFonts w:eastAsia="Times New Roman" w:cs="Times New Roman"/>
          <w:color w:val="000000"/>
          <w:kern w:val="0"/>
          <w:sz w:val="28"/>
          <w:szCs w:val="28"/>
          <w14:ligatures w14:val="none"/>
        </w:rPr>
        <w:tab/>
        <w:t xml:space="preserve">Work-product protection extends to information gathered by any non-attorney employed as an extension of a legal team. </w:t>
      </w:r>
      <w:r w:rsidRPr="00E65CC7">
        <w:rPr>
          <w:rFonts w:eastAsia="Times New Roman" w:cs="Times New Roman"/>
          <w:i/>
          <w:iCs/>
          <w:color w:val="000000"/>
          <w:kern w:val="0"/>
          <w:sz w:val="28"/>
          <w:szCs w:val="28"/>
          <w14:ligatures w14:val="none"/>
        </w:rPr>
        <w:t>See e.g.</w:t>
      </w:r>
      <w:r w:rsidRPr="00E65CC7">
        <w:rPr>
          <w:rFonts w:eastAsia="Times New Roman" w:cs="Times New Roman"/>
          <w:color w:val="000000"/>
          <w:kern w:val="0"/>
          <w:sz w:val="28"/>
          <w:szCs w:val="28"/>
          <w14:ligatures w14:val="none"/>
        </w:rPr>
        <w:t>,</w:t>
      </w:r>
      <w:r w:rsidRPr="00E65CC7">
        <w:rPr>
          <w:rFonts w:eastAsia="Times New Roman" w:cs="Times New Roman"/>
          <w:i/>
          <w:iCs/>
          <w:color w:val="000000"/>
          <w:kern w:val="0"/>
          <w:sz w:val="28"/>
          <w:szCs w:val="28"/>
          <w14:ligatures w14:val="none"/>
        </w:rPr>
        <w:t xml:space="preserve"> Heartland Express, Inc., of Iowa v. Torres</w:t>
      </w:r>
      <w:r w:rsidRPr="00E65CC7">
        <w:rPr>
          <w:rFonts w:eastAsia="Times New Roman" w:cs="Times New Roman"/>
          <w:color w:val="000000"/>
          <w:kern w:val="0"/>
          <w:sz w:val="28"/>
          <w:szCs w:val="28"/>
          <w14:ligatures w14:val="none"/>
        </w:rPr>
        <w:t>, 90 So. 3d 365, 367 (Fla. Dist. Ct. App. 2012)</w:t>
      </w:r>
      <w:r w:rsidRPr="00E65CC7">
        <w:rPr>
          <w:rFonts w:eastAsia="Times New Roman" w:cs="Times New Roman"/>
          <w:color w:val="000000"/>
          <w:kern w:val="0"/>
          <w:sz w:val="28"/>
          <w:szCs w:val="28"/>
          <w14:ligatures w14:val="none"/>
        </w:rPr>
        <w:fldChar w:fldCharType="begin"/>
      </w:r>
      <w:r w:rsidRPr="00E65CC7">
        <w:rPr>
          <w:rFonts w:cs="Times New Roman"/>
          <w:sz w:val="28"/>
          <w:szCs w:val="28"/>
        </w:rPr>
        <w:instrText xml:space="preserve"> TA \l "</w:instrText>
      </w:r>
      <w:r w:rsidRPr="00E65CC7">
        <w:rPr>
          <w:rFonts w:eastAsia="Times New Roman" w:cs="Times New Roman"/>
          <w:i/>
          <w:iCs/>
          <w:color w:val="000000"/>
          <w:kern w:val="0"/>
          <w:sz w:val="28"/>
          <w:szCs w:val="28"/>
          <w14:ligatures w14:val="none"/>
        </w:rPr>
        <w:instrText>.</w:instrText>
      </w:r>
      <w:r w:rsidRPr="00E65CC7">
        <w:rPr>
          <w:rFonts w:eastAsia="Times New Roman" w:cs="Times New Roman"/>
          <w:color w:val="000000"/>
          <w:kern w:val="0"/>
          <w:sz w:val="28"/>
          <w:szCs w:val="28"/>
          <w14:ligatures w14:val="none"/>
        </w:rPr>
        <w:instrText>,</w:instrText>
      </w:r>
      <w:r w:rsidRPr="00E65CC7">
        <w:rPr>
          <w:rFonts w:eastAsia="Times New Roman" w:cs="Times New Roman"/>
          <w:i/>
          <w:iCs/>
          <w:color w:val="000000"/>
          <w:kern w:val="0"/>
          <w:sz w:val="28"/>
          <w:szCs w:val="28"/>
          <w14:ligatures w14:val="none"/>
        </w:rPr>
        <w:instrText xml:space="preserve"> Heartland Express, Inc., of Iowa v. Torres</w:instrText>
      </w:r>
      <w:r w:rsidRPr="00E65CC7">
        <w:rPr>
          <w:rFonts w:eastAsia="Times New Roman" w:cs="Times New Roman"/>
          <w:color w:val="000000"/>
          <w:kern w:val="0"/>
          <w:sz w:val="28"/>
          <w:szCs w:val="28"/>
          <w14:ligatures w14:val="none"/>
        </w:rPr>
        <w:instrText>, 90 So. 3d 365, 367 (Fla. Dist. Ct. App. 2012)</w:instrText>
      </w:r>
      <w:r w:rsidRPr="00E65CC7">
        <w:rPr>
          <w:rFonts w:cs="Times New Roman"/>
          <w:sz w:val="28"/>
          <w:szCs w:val="28"/>
        </w:rPr>
        <w:instrText xml:space="preserve">" \s ".Heartland Express, Inc., of Iowa v. Torres, 90 So. 3d 365 (Fla. Dist. Ct. App. 2012)" \c 1 </w:instrText>
      </w:r>
      <w:r w:rsidRPr="00E65CC7">
        <w:rPr>
          <w:rFonts w:eastAsia="Times New Roman" w:cs="Times New Roman"/>
          <w:color w:val="000000"/>
          <w:kern w:val="0"/>
          <w:sz w:val="28"/>
          <w:szCs w:val="28"/>
          <w14:ligatures w14:val="none"/>
        </w:rPr>
        <w:fldChar w:fldCharType="end"/>
      </w:r>
      <w:r w:rsidRPr="00E65CC7">
        <w:rPr>
          <w:rFonts w:eastAsia="Times New Roman" w:cs="Times New Roman"/>
          <w:color w:val="000000"/>
          <w:kern w:val="0"/>
          <w:sz w:val="28"/>
          <w:szCs w:val="28"/>
          <w14:ligatures w14:val="none"/>
        </w:rPr>
        <w:t xml:space="preserve">; </w:t>
      </w:r>
      <w:r w:rsidRPr="00E65CC7">
        <w:rPr>
          <w:rFonts w:eastAsia="Times New Roman" w:cs="Times New Roman"/>
          <w:i/>
          <w:iCs/>
          <w:color w:val="000000"/>
          <w:kern w:val="0"/>
          <w:sz w:val="28"/>
          <w:szCs w:val="28"/>
          <w14:ligatures w14:val="none"/>
        </w:rPr>
        <w:t>see United States v. Nobles</w:t>
      </w:r>
      <w:r w:rsidRPr="00E65CC7">
        <w:rPr>
          <w:rFonts w:eastAsia="Times New Roman" w:cs="Times New Roman"/>
          <w:color w:val="000000"/>
          <w:kern w:val="0"/>
          <w:sz w:val="28"/>
          <w:szCs w:val="28"/>
          <w14:ligatures w14:val="none"/>
        </w:rPr>
        <w:t>, 422 U.S. 225, 238–39 (1975)</w:t>
      </w:r>
      <w:r w:rsidRPr="00E65CC7">
        <w:rPr>
          <w:rFonts w:eastAsia="Times New Roman" w:cs="Times New Roman"/>
          <w:color w:val="000000"/>
          <w:kern w:val="0"/>
          <w:sz w:val="28"/>
          <w:szCs w:val="28"/>
          <w14:ligatures w14:val="none"/>
        </w:rPr>
        <w:fldChar w:fldCharType="begin"/>
      </w:r>
      <w:r w:rsidRPr="00E65CC7">
        <w:rPr>
          <w:rFonts w:cs="Times New Roman"/>
          <w:sz w:val="28"/>
          <w:szCs w:val="28"/>
        </w:rPr>
        <w:instrText xml:space="preserve"> TA \l "</w:instrText>
      </w:r>
      <w:r w:rsidRPr="00E65CC7">
        <w:rPr>
          <w:rFonts w:eastAsia="Times New Roman" w:cs="Times New Roman"/>
          <w:i/>
          <w:iCs/>
          <w:color w:val="000000"/>
          <w:kern w:val="0"/>
          <w:sz w:val="28"/>
          <w:szCs w:val="28"/>
          <w14:ligatures w14:val="none"/>
        </w:rPr>
        <w:instrText>see United States v. Nobles</w:instrText>
      </w:r>
      <w:r w:rsidRPr="00E65CC7">
        <w:rPr>
          <w:rFonts w:eastAsia="Times New Roman" w:cs="Times New Roman"/>
          <w:color w:val="000000"/>
          <w:kern w:val="0"/>
          <w:sz w:val="28"/>
          <w:szCs w:val="28"/>
          <w14:ligatures w14:val="none"/>
        </w:rPr>
        <w:instrText>, 422 U.S. 225, 238–39 (1975)</w:instrText>
      </w:r>
      <w:r w:rsidRPr="00E65CC7">
        <w:rPr>
          <w:rFonts w:cs="Times New Roman"/>
          <w:sz w:val="28"/>
          <w:szCs w:val="28"/>
        </w:rPr>
        <w:instrText xml:space="preserve">" \s "United States v. Nobles, 422 U.S. 225 (1975)" \c 1 </w:instrText>
      </w:r>
      <w:r w:rsidRPr="00E65CC7">
        <w:rPr>
          <w:rFonts w:eastAsia="Times New Roman" w:cs="Times New Roman"/>
          <w:color w:val="000000"/>
          <w:kern w:val="0"/>
          <w:sz w:val="28"/>
          <w:szCs w:val="28"/>
          <w14:ligatures w14:val="none"/>
        </w:rPr>
        <w:fldChar w:fldCharType="end"/>
      </w:r>
      <w:r w:rsidRPr="00E65CC7">
        <w:rPr>
          <w:rFonts w:eastAsia="Times New Roman" w:cs="Times New Roman"/>
          <w:color w:val="000000"/>
          <w:kern w:val="0"/>
          <w:sz w:val="28"/>
          <w:szCs w:val="28"/>
          <w14:ligatures w14:val="none"/>
        </w:rPr>
        <w:t xml:space="preserve"> (explaining that work-product privilege must extend to materials prepared by agents). Where an expert has been specially employed in anticipation of litigation to produce information relating to a matter subject to litigation, such information is protected as work-product. </w:t>
      </w:r>
      <w:r w:rsidRPr="00E65CC7">
        <w:rPr>
          <w:rFonts w:eastAsia="Times New Roman" w:cs="Times New Roman"/>
          <w:smallCaps/>
          <w:color w:val="000000"/>
          <w:kern w:val="0"/>
          <w:sz w:val="28"/>
          <w:szCs w:val="28"/>
          <w14:ligatures w14:val="none"/>
        </w:rPr>
        <w:t xml:space="preserve">Fla. R. Civ. P. </w:t>
      </w:r>
      <w:r w:rsidRPr="00E65CC7">
        <w:rPr>
          <w:rFonts w:eastAsia="Times New Roman" w:cs="Times New Roman"/>
          <w:color w:val="000000"/>
          <w:kern w:val="0"/>
          <w:sz w:val="28"/>
          <w:szCs w:val="28"/>
          <w14:ligatures w14:val="none"/>
        </w:rPr>
        <w:t>1.280(b)(4)(B)</w:t>
      </w:r>
      <w:r w:rsidRPr="00E65CC7">
        <w:rPr>
          <w:rFonts w:eastAsia="Times New Roman" w:cs="Times New Roman"/>
          <w:color w:val="000000"/>
          <w:kern w:val="0"/>
          <w:sz w:val="28"/>
          <w:szCs w:val="28"/>
          <w14:ligatures w14:val="none"/>
        </w:rPr>
        <w:fldChar w:fldCharType="begin"/>
      </w:r>
      <w:r w:rsidRPr="00E65CC7">
        <w:rPr>
          <w:rFonts w:cs="Times New Roman"/>
          <w:sz w:val="28"/>
          <w:szCs w:val="28"/>
        </w:rPr>
        <w:instrText xml:space="preserve"> TA \s "Fla. R. Civ. P. 1.280(b)(4)" </w:instrText>
      </w:r>
      <w:r w:rsidRPr="00E65CC7">
        <w:rPr>
          <w:rFonts w:eastAsia="Times New Roman" w:cs="Times New Roman"/>
          <w:color w:val="000000"/>
          <w:kern w:val="0"/>
          <w:sz w:val="28"/>
          <w:szCs w:val="28"/>
          <w14:ligatures w14:val="none"/>
        </w:rPr>
        <w:fldChar w:fldCharType="end"/>
      </w:r>
      <w:r w:rsidRPr="00E65CC7">
        <w:rPr>
          <w:rFonts w:eastAsia="Times New Roman" w:cs="Times New Roman"/>
          <w:color w:val="000000"/>
          <w:kern w:val="0"/>
          <w:sz w:val="28"/>
          <w:szCs w:val="28"/>
          <w14:ligatures w14:val="none"/>
        </w:rPr>
        <w:t xml:space="preserve">; </w:t>
      </w:r>
      <w:r w:rsidRPr="00E65CC7">
        <w:rPr>
          <w:rFonts w:eastAsia="Times New Roman" w:cs="Times New Roman"/>
          <w:i/>
          <w:iCs/>
          <w:color w:val="000000"/>
          <w:kern w:val="0"/>
          <w:sz w:val="28"/>
          <w:szCs w:val="28"/>
          <w14:ligatures w14:val="none"/>
        </w:rPr>
        <w:t>see</w:t>
      </w:r>
      <w:r w:rsidRPr="00E65CC7">
        <w:rPr>
          <w:rFonts w:eastAsia="Times New Roman" w:cs="Times New Roman"/>
          <w:color w:val="000000"/>
          <w:kern w:val="0"/>
          <w:sz w:val="28"/>
          <w:szCs w:val="28"/>
          <w14:ligatures w14:val="none"/>
        </w:rPr>
        <w:t xml:space="preserve"> </w:t>
      </w:r>
      <w:r w:rsidRPr="00E65CC7">
        <w:rPr>
          <w:rFonts w:eastAsia="Times New Roman" w:cs="Times New Roman"/>
          <w:i/>
          <w:iCs/>
          <w:color w:val="000000"/>
          <w:kern w:val="0"/>
          <w:sz w:val="28"/>
          <w:szCs w:val="28"/>
          <w14:ligatures w14:val="none"/>
        </w:rPr>
        <w:t>Metric Eng’g, Inc. v. Small</w:t>
      </w:r>
      <w:r w:rsidRPr="00E65CC7">
        <w:rPr>
          <w:rFonts w:eastAsia="Times New Roman" w:cs="Times New Roman"/>
          <w:color w:val="000000"/>
          <w:kern w:val="0"/>
          <w:sz w:val="28"/>
          <w:szCs w:val="28"/>
          <w14:ligatures w14:val="none"/>
        </w:rPr>
        <w:t>, 861 So. 2d 1248, 1250 (Fla, 1st DCA 2003)</w:t>
      </w:r>
      <w:r w:rsidRPr="00E65CC7">
        <w:rPr>
          <w:rFonts w:eastAsia="Times New Roman" w:cs="Times New Roman"/>
          <w:color w:val="000000"/>
          <w:kern w:val="0"/>
          <w:sz w:val="28"/>
          <w:szCs w:val="28"/>
          <w14:ligatures w14:val="none"/>
        </w:rPr>
        <w:fldChar w:fldCharType="begin"/>
      </w:r>
      <w:r w:rsidRPr="00E65CC7">
        <w:rPr>
          <w:rFonts w:cs="Times New Roman"/>
          <w:sz w:val="28"/>
          <w:szCs w:val="28"/>
        </w:rPr>
        <w:instrText xml:space="preserve"> TA \s "Metric Eng’g, Inc. v. Small, 861 So. 2d 1248, 1250 (Fla, 1st DCA 2003)" </w:instrText>
      </w:r>
      <w:r w:rsidRPr="00E65CC7">
        <w:rPr>
          <w:rFonts w:eastAsia="Times New Roman" w:cs="Times New Roman"/>
          <w:color w:val="000000"/>
          <w:kern w:val="0"/>
          <w:sz w:val="28"/>
          <w:szCs w:val="28"/>
          <w14:ligatures w14:val="none"/>
        </w:rPr>
        <w:fldChar w:fldCharType="end"/>
      </w:r>
      <w:r w:rsidRPr="00E65CC7">
        <w:rPr>
          <w:rFonts w:eastAsia="Times New Roman" w:cs="Times New Roman"/>
          <w:color w:val="000000"/>
          <w:kern w:val="0"/>
          <w:sz w:val="28"/>
          <w:szCs w:val="28"/>
          <w14:ligatures w14:val="none"/>
        </w:rPr>
        <w:t xml:space="preserve"> (explaining protected materials don’t need to be gathered by an attorney </w:t>
      </w:r>
      <w:r w:rsidRPr="00E65CC7">
        <w:rPr>
          <w:rFonts w:eastAsia="Times New Roman" w:cs="Times New Roman"/>
          <w:color w:val="000000"/>
          <w:kern w:val="0"/>
          <w:sz w:val="28"/>
          <w:szCs w:val="28"/>
          <w14:ligatures w14:val="none"/>
        </w:rPr>
        <w:lastRenderedPageBreak/>
        <w:t xml:space="preserve">but merely in anticipation of litigation); </w:t>
      </w:r>
      <w:r w:rsidRPr="00E65CC7">
        <w:rPr>
          <w:rFonts w:eastAsia="Times New Roman" w:cs="Times New Roman"/>
          <w:i/>
          <w:iCs/>
          <w:color w:val="000000"/>
          <w:kern w:val="0"/>
          <w:sz w:val="28"/>
          <w:szCs w:val="28"/>
          <w14:ligatures w14:val="none"/>
        </w:rPr>
        <w:t>Cotton States Mut. Ins. Co. v. Turtle Reef Assocs., Inc.</w:t>
      </w:r>
      <w:r w:rsidRPr="00E65CC7">
        <w:rPr>
          <w:rFonts w:eastAsia="Times New Roman" w:cs="Times New Roman"/>
          <w:color w:val="000000"/>
          <w:kern w:val="0"/>
          <w:sz w:val="28"/>
          <w:szCs w:val="28"/>
          <w14:ligatures w14:val="none"/>
        </w:rPr>
        <w:t>, 444 So. 2d 595, 596 (Fla. Dist. Ct. App. 1984)</w:t>
      </w:r>
      <w:r w:rsidRPr="00E65CC7">
        <w:rPr>
          <w:rFonts w:eastAsia="Times New Roman" w:cs="Times New Roman"/>
          <w:color w:val="000000"/>
          <w:kern w:val="0"/>
          <w:sz w:val="28"/>
          <w:szCs w:val="28"/>
          <w14:ligatures w14:val="none"/>
        </w:rPr>
        <w:fldChar w:fldCharType="begin"/>
      </w:r>
      <w:r w:rsidRPr="00E65CC7">
        <w:rPr>
          <w:rFonts w:cs="Times New Roman"/>
          <w:sz w:val="28"/>
          <w:szCs w:val="28"/>
        </w:rPr>
        <w:instrText xml:space="preserve"> TA \l "</w:instrText>
      </w:r>
      <w:r w:rsidRPr="00E65CC7">
        <w:rPr>
          <w:rFonts w:eastAsia="Times New Roman" w:cs="Times New Roman"/>
          <w:i/>
          <w:iCs/>
          <w:color w:val="000000"/>
          <w:kern w:val="0"/>
          <w:sz w:val="28"/>
          <w:szCs w:val="28"/>
          <w14:ligatures w14:val="none"/>
        </w:rPr>
        <w:instrText>Cotton States Mut. Ins. Co. v. Turtle Reef Assocs., Inc.</w:instrText>
      </w:r>
      <w:r w:rsidRPr="00E65CC7">
        <w:rPr>
          <w:rFonts w:eastAsia="Times New Roman" w:cs="Times New Roman"/>
          <w:color w:val="000000"/>
          <w:kern w:val="0"/>
          <w:sz w:val="28"/>
          <w:szCs w:val="28"/>
          <w14:ligatures w14:val="none"/>
        </w:rPr>
        <w:instrText>, 444 So. 2d 595, 596 (Fla. Dist. Ct. App. 1984)</w:instrText>
      </w:r>
      <w:r w:rsidRPr="00E65CC7">
        <w:rPr>
          <w:rFonts w:cs="Times New Roman"/>
          <w:sz w:val="28"/>
          <w:szCs w:val="28"/>
        </w:rPr>
        <w:instrText xml:space="preserve">" \s "Cotton States Mut. Ins. Co. v. Turtle Reef Assocs., Inc., 444 So. 2d 595 (Fla. Dist. Ct. App. 1984)" \c 1 </w:instrText>
      </w:r>
      <w:r w:rsidRPr="00E65CC7">
        <w:rPr>
          <w:rFonts w:eastAsia="Times New Roman" w:cs="Times New Roman"/>
          <w:color w:val="000000"/>
          <w:kern w:val="0"/>
          <w:sz w:val="28"/>
          <w:szCs w:val="28"/>
          <w14:ligatures w14:val="none"/>
        </w:rPr>
        <w:fldChar w:fldCharType="end"/>
      </w:r>
      <w:r w:rsidRPr="00E65CC7">
        <w:rPr>
          <w:rFonts w:eastAsia="Times New Roman" w:cs="Times New Roman"/>
          <w:color w:val="000000"/>
          <w:kern w:val="0"/>
          <w:sz w:val="28"/>
          <w:szCs w:val="28"/>
          <w14:ligatures w14:val="none"/>
        </w:rPr>
        <w:t xml:space="preserve"> (holding that work-product privilege attaches to “statements and materials prepared by a party’s investigator”). </w:t>
      </w:r>
    </w:p>
    <w:p w14:paraId="281C3AC2" w14:textId="05A670C4" w:rsidR="00F22AE5" w:rsidRPr="00E65CC7" w:rsidRDefault="00F22AE5" w:rsidP="00F22AE5">
      <w:pPr>
        <w:ind w:firstLine="0"/>
        <w:jc w:val="both"/>
        <w:rPr>
          <w:rFonts w:eastAsia="Times New Roman" w:cs="Times New Roman"/>
          <w:kern w:val="0"/>
          <w:sz w:val="28"/>
          <w:szCs w:val="28"/>
          <w14:ligatures w14:val="none"/>
        </w:rPr>
      </w:pPr>
      <w:r w:rsidRPr="00E65CC7">
        <w:rPr>
          <w:rFonts w:eastAsia="Times New Roman" w:cs="Times New Roman"/>
          <w:color w:val="000000"/>
          <w:kern w:val="0"/>
          <w:sz w:val="28"/>
          <w:szCs w:val="28"/>
          <w14:ligatures w14:val="none"/>
        </w:rPr>
        <w:tab/>
        <w:t xml:space="preserve">For example, in </w:t>
      </w:r>
      <w:r w:rsidRPr="00E65CC7">
        <w:rPr>
          <w:rFonts w:eastAsia="Times New Roman" w:cs="Times New Roman"/>
          <w:i/>
          <w:iCs/>
          <w:color w:val="000000"/>
          <w:kern w:val="0"/>
          <w:sz w:val="28"/>
          <w:szCs w:val="28"/>
          <w14:ligatures w14:val="none"/>
        </w:rPr>
        <w:t xml:space="preserve">Nevin v. Palm Beach </w:t>
      </w:r>
      <w:proofErr w:type="spellStart"/>
      <w:r w:rsidRPr="00E65CC7">
        <w:rPr>
          <w:rFonts w:eastAsia="Times New Roman" w:cs="Times New Roman"/>
          <w:i/>
          <w:iCs/>
          <w:color w:val="000000"/>
          <w:kern w:val="0"/>
          <w:sz w:val="28"/>
          <w:szCs w:val="28"/>
          <w14:ligatures w14:val="none"/>
        </w:rPr>
        <w:t>Cnty</w:t>
      </w:r>
      <w:proofErr w:type="spellEnd"/>
      <w:r w:rsidRPr="00E65CC7">
        <w:rPr>
          <w:rFonts w:eastAsia="Times New Roman" w:cs="Times New Roman"/>
          <w:i/>
          <w:iCs/>
          <w:color w:val="000000"/>
          <w:kern w:val="0"/>
          <w:sz w:val="28"/>
          <w:szCs w:val="28"/>
          <w14:ligatures w14:val="none"/>
        </w:rPr>
        <w:t>. School Bd.</w:t>
      </w:r>
      <w:r w:rsidRPr="00E65CC7">
        <w:rPr>
          <w:rFonts w:eastAsia="Times New Roman" w:cs="Times New Roman"/>
          <w:color w:val="000000"/>
          <w:kern w:val="0"/>
          <w:sz w:val="28"/>
          <w:szCs w:val="28"/>
          <w14:ligatures w14:val="none"/>
        </w:rPr>
        <w:t>,</w:t>
      </w:r>
      <w:r w:rsidRPr="00E65CC7">
        <w:rPr>
          <w:rFonts w:eastAsia="Times New Roman" w:cs="Times New Roman"/>
          <w:color w:val="000000"/>
          <w:kern w:val="0"/>
          <w:sz w:val="28"/>
          <w:szCs w:val="28"/>
          <w14:ligatures w14:val="none"/>
        </w:rPr>
        <w:fldChar w:fldCharType="begin"/>
      </w:r>
      <w:r w:rsidRPr="00E65CC7">
        <w:rPr>
          <w:rFonts w:cs="Times New Roman"/>
          <w:sz w:val="28"/>
          <w:szCs w:val="28"/>
        </w:rPr>
        <w:instrText xml:space="preserve"> TA \l "</w:instrText>
      </w:r>
      <w:r w:rsidRPr="00E65CC7">
        <w:rPr>
          <w:rFonts w:eastAsia="Times New Roman" w:cs="Times New Roman"/>
          <w:i/>
          <w:iCs/>
          <w:color w:val="000000"/>
          <w:kern w:val="0"/>
          <w:sz w:val="28"/>
          <w:szCs w:val="28"/>
          <w14:ligatures w14:val="none"/>
        </w:rPr>
        <w:instrText>Nevin v. Palm Beach Cnty. School Bd.</w:instrText>
      </w:r>
      <w:r w:rsidRPr="00E65CC7">
        <w:rPr>
          <w:rFonts w:eastAsia="Times New Roman" w:cs="Times New Roman"/>
          <w:color w:val="000000"/>
          <w:kern w:val="0"/>
          <w:sz w:val="28"/>
          <w:szCs w:val="28"/>
          <w14:ligatures w14:val="none"/>
        </w:rPr>
        <w:instrText>,</w:instrText>
      </w:r>
      <w:r w:rsidRPr="00E65CC7">
        <w:rPr>
          <w:rFonts w:cs="Times New Roman"/>
          <w:sz w:val="28"/>
          <w:szCs w:val="28"/>
        </w:rPr>
        <w:instrText xml:space="preserve">" \s "Nevin v. Palm Beach Cnty. School Bd., 958 So. 2d 1003 (Fla. Dist. Ct. App. 2007)" \c 1 </w:instrText>
      </w:r>
      <w:r w:rsidRPr="00E65CC7">
        <w:rPr>
          <w:rFonts w:eastAsia="Times New Roman" w:cs="Times New Roman"/>
          <w:color w:val="000000"/>
          <w:kern w:val="0"/>
          <w:sz w:val="28"/>
          <w:szCs w:val="28"/>
          <w14:ligatures w14:val="none"/>
        </w:rPr>
        <w:fldChar w:fldCharType="end"/>
      </w:r>
      <w:r w:rsidRPr="00E65CC7">
        <w:rPr>
          <w:rFonts w:eastAsia="Times New Roman" w:cs="Times New Roman"/>
          <w:color w:val="000000"/>
          <w:kern w:val="0"/>
          <w:sz w:val="28"/>
          <w:szCs w:val="28"/>
          <w14:ligatures w14:val="none"/>
        </w:rPr>
        <w:t xml:space="preserve"> the First District held that an expert’s opinions constitute non-discoverable work-product, explaining that any forced release of work-product constitutes a departure from the essential requirements of law. 958 So. 2d 1003, 1007 (Fla. Dist. Ct. App. 2007). There, an attorney hired an expert, acting as an agent of the firm, to perform pretrial investigations. </w:t>
      </w:r>
      <w:r w:rsidRPr="00E65CC7">
        <w:rPr>
          <w:rFonts w:eastAsia="Times New Roman" w:cs="Times New Roman"/>
          <w:i/>
          <w:iCs/>
          <w:color w:val="000000"/>
          <w:kern w:val="0"/>
          <w:sz w:val="28"/>
          <w:szCs w:val="28"/>
          <w14:ligatures w14:val="none"/>
        </w:rPr>
        <w:t>Id.</w:t>
      </w:r>
      <w:r w:rsidRPr="00E65CC7">
        <w:rPr>
          <w:rFonts w:eastAsia="Times New Roman" w:cs="Times New Roman"/>
          <w:i/>
          <w:iCs/>
          <w:color w:val="000000"/>
          <w:kern w:val="0"/>
          <w:sz w:val="28"/>
          <w:szCs w:val="28"/>
          <w14:ligatures w14:val="none"/>
        </w:rPr>
        <w:fldChar w:fldCharType="begin"/>
      </w:r>
      <w:r w:rsidRPr="00E65CC7">
        <w:rPr>
          <w:rFonts w:cs="Times New Roman"/>
          <w:sz w:val="28"/>
          <w:szCs w:val="28"/>
        </w:rPr>
        <w:instrText xml:space="preserve"> TA \s "Nevin v. Palm Beach Cnty. School Bd., 958 So. 2d 1003 (Fla. Dist. Ct. App. 2007)" </w:instrText>
      </w:r>
      <w:r w:rsidRPr="00E65CC7">
        <w:rPr>
          <w:rFonts w:eastAsia="Times New Roman" w:cs="Times New Roman"/>
          <w:i/>
          <w:iCs/>
          <w:color w:val="000000"/>
          <w:kern w:val="0"/>
          <w:sz w:val="28"/>
          <w:szCs w:val="28"/>
          <w14:ligatures w14:val="none"/>
        </w:rPr>
        <w:fldChar w:fldCharType="end"/>
      </w:r>
      <w:r w:rsidRPr="00E65CC7">
        <w:rPr>
          <w:rFonts w:eastAsia="Times New Roman" w:cs="Times New Roman"/>
          <w:color w:val="000000"/>
          <w:kern w:val="0"/>
          <w:sz w:val="28"/>
          <w:szCs w:val="28"/>
          <w14:ligatures w14:val="none"/>
        </w:rPr>
        <w:t xml:space="preserve"> at 1005. Respondents sought all materials prepared, including notes and memoranda created by the expert. Because the expert worked as “a consulting expert hired in anticipation of litigation,” not a witness, their findings and opinions remained protected by work-product immunity. </w:t>
      </w:r>
      <w:r w:rsidRPr="00E65CC7">
        <w:rPr>
          <w:rFonts w:eastAsia="Times New Roman" w:cs="Times New Roman"/>
          <w:i/>
          <w:iCs/>
          <w:color w:val="000000"/>
          <w:kern w:val="0"/>
          <w:sz w:val="28"/>
          <w:szCs w:val="28"/>
          <w14:ligatures w14:val="none"/>
        </w:rPr>
        <w:t>Id.</w:t>
      </w:r>
      <w:r w:rsidRPr="00E65CC7">
        <w:rPr>
          <w:rFonts w:eastAsia="Times New Roman" w:cs="Times New Roman"/>
          <w:i/>
          <w:iCs/>
          <w:color w:val="000000"/>
          <w:kern w:val="0"/>
          <w:sz w:val="28"/>
          <w:szCs w:val="28"/>
          <w14:ligatures w14:val="none"/>
        </w:rPr>
        <w:fldChar w:fldCharType="begin"/>
      </w:r>
      <w:r w:rsidRPr="00E65CC7">
        <w:rPr>
          <w:rFonts w:cs="Times New Roman"/>
          <w:sz w:val="28"/>
          <w:szCs w:val="28"/>
        </w:rPr>
        <w:instrText xml:space="preserve"> TA \s "Nevin v. Palm Beach Cnty. School Bd., 958 So. 2d 1003 (Fla. Dist. Ct. App. 2007)" </w:instrText>
      </w:r>
      <w:r w:rsidRPr="00E65CC7">
        <w:rPr>
          <w:rFonts w:eastAsia="Times New Roman" w:cs="Times New Roman"/>
          <w:i/>
          <w:iCs/>
          <w:color w:val="000000"/>
          <w:kern w:val="0"/>
          <w:sz w:val="28"/>
          <w:szCs w:val="28"/>
          <w14:ligatures w14:val="none"/>
        </w:rPr>
        <w:fldChar w:fldCharType="end"/>
      </w:r>
      <w:r w:rsidRPr="00E65CC7">
        <w:rPr>
          <w:rFonts w:eastAsia="Times New Roman" w:cs="Times New Roman"/>
          <w:i/>
          <w:iCs/>
          <w:color w:val="000000"/>
          <w:kern w:val="0"/>
          <w:sz w:val="28"/>
          <w:szCs w:val="28"/>
          <w14:ligatures w14:val="none"/>
        </w:rPr>
        <w:t xml:space="preserve"> </w:t>
      </w:r>
      <w:r w:rsidRPr="00E65CC7">
        <w:rPr>
          <w:rFonts w:eastAsia="Times New Roman" w:cs="Times New Roman"/>
          <w:color w:val="000000"/>
          <w:kern w:val="0"/>
          <w:sz w:val="28"/>
          <w:szCs w:val="28"/>
          <w14:ligatures w14:val="none"/>
        </w:rPr>
        <w:t>at 1007. </w:t>
      </w:r>
    </w:p>
    <w:p w14:paraId="4BD5CECB" w14:textId="4C192C04" w:rsidR="00F22AE5" w:rsidRPr="00E65CC7" w:rsidRDefault="00F22AE5" w:rsidP="00F22AE5">
      <w:pPr>
        <w:ind w:firstLine="0"/>
        <w:jc w:val="both"/>
        <w:rPr>
          <w:rFonts w:eastAsia="Times New Roman" w:cs="Times New Roman"/>
          <w:kern w:val="0"/>
          <w:sz w:val="28"/>
          <w:szCs w:val="28"/>
          <w14:ligatures w14:val="none"/>
        </w:rPr>
      </w:pPr>
      <w:bookmarkStart w:id="11" w:name="_Toc239108816"/>
      <w:r w:rsidRPr="00E65CC7">
        <w:rPr>
          <w:rFonts w:eastAsia="Times New Roman" w:cs="Times New Roman"/>
          <w:color w:val="000000"/>
          <w:kern w:val="0"/>
          <w:sz w:val="28"/>
          <w:szCs w:val="28"/>
          <w14:ligatures w14:val="none"/>
        </w:rPr>
        <w:tab/>
        <w:t xml:space="preserve">Here, Armana demonstrated that they conducted their interview with Seton as an extension of the legal team. Armana Dep. 43:23–38. Their retention went into effect following counsel’s suspicions of the Government becoming involved in litigation against Ms. Calloway, making clear that they interviewed Seton in anticipation of litigation. Armana Dep. 43:35–38. Like the expert in </w:t>
      </w:r>
      <w:r w:rsidRPr="00E65CC7">
        <w:rPr>
          <w:rFonts w:eastAsia="Times New Roman" w:cs="Times New Roman"/>
          <w:i/>
          <w:iCs/>
          <w:color w:val="000000"/>
          <w:kern w:val="0"/>
          <w:sz w:val="28"/>
          <w:szCs w:val="28"/>
          <w14:ligatures w14:val="none"/>
        </w:rPr>
        <w:t>Nevin</w:t>
      </w:r>
      <w:r w:rsidRPr="00E65CC7">
        <w:rPr>
          <w:rFonts w:eastAsia="Times New Roman" w:cs="Times New Roman"/>
          <w:color w:val="000000"/>
          <w:kern w:val="0"/>
          <w:sz w:val="28"/>
          <w:szCs w:val="28"/>
          <w14:ligatures w14:val="none"/>
        </w:rPr>
        <w:t xml:space="preserve">, Armana acted as an </w:t>
      </w:r>
      <w:proofErr w:type="gramStart"/>
      <w:r w:rsidRPr="00E65CC7">
        <w:rPr>
          <w:rFonts w:eastAsia="Times New Roman" w:cs="Times New Roman"/>
          <w:color w:val="000000"/>
          <w:kern w:val="0"/>
          <w:sz w:val="28"/>
          <w:szCs w:val="28"/>
          <w14:ligatures w14:val="none"/>
        </w:rPr>
        <w:t>agent of attorneys</w:t>
      </w:r>
      <w:proofErr w:type="gramEnd"/>
      <w:r w:rsidRPr="00E65CC7">
        <w:rPr>
          <w:rFonts w:eastAsia="Times New Roman" w:cs="Times New Roman"/>
          <w:color w:val="000000"/>
          <w:kern w:val="0"/>
          <w:sz w:val="28"/>
          <w:szCs w:val="28"/>
          <w14:ligatures w14:val="none"/>
        </w:rPr>
        <w:t xml:space="preserve">, </w:t>
      </w:r>
      <w:proofErr w:type="gramStart"/>
      <w:r w:rsidRPr="00E65CC7">
        <w:rPr>
          <w:rFonts w:eastAsia="Times New Roman" w:cs="Times New Roman"/>
          <w:color w:val="000000"/>
          <w:kern w:val="0"/>
          <w:sz w:val="28"/>
          <w:szCs w:val="28"/>
          <w14:ligatures w14:val="none"/>
        </w:rPr>
        <w:t>conducting an investigation</w:t>
      </w:r>
      <w:proofErr w:type="gramEnd"/>
      <w:r w:rsidRPr="00E65CC7">
        <w:rPr>
          <w:rFonts w:eastAsia="Times New Roman" w:cs="Times New Roman"/>
          <w:color w:val="000000"/>
          <w:kern w:val="0"/>
          <w:sz w:val="28"/>
          <w:szCs w:val="28"/>
          <w14:ligatures w14:val="none"/>
        </w:rPr>
        <w:t xml:space="preserve"> to aid in an anticipated defense of Ms. Calloway. 958 So. 2d at 1005</w:t>
      </w:r>
      <w:r w:rsidRPr="00E65CC7">
        <w:rPr>
          <w:rFonts w:eastAsia="Times New Roman" w:cs="Times New Roman"/>
          <w:color w:val="000000"/>
          <w:kern w:val="0"/>
          <w:sz w:val="28"/>
          <w:szCs w:val="28"/>
          <w14:ligatures w14:val="none"/>
        </w:rPr>
        <w:fldChar w:fldCharType="begin"/>
      </w:r>
      <w:r w:rsidRPr="00E65CC7">
        <w:rPr>
          <w:rFonts w:cs="Times New Roman"/>
          <w:sz w:val="28"/>
          <w:szCs w:val="28"/>
        </w:rPr>
        <w:instrText xml:space="preserve"> TA \s "Nevin v. Palm Beach Cnty. School Bd., 958 So. 2d 1003 (Fla. Dist. Ct. App. 2007)" </w:instrText>
      </w:r>
      <w:r w:rsidRPr="00E65CC7">
        <w:rPr>
          <w:rFonts w:eastAsia="Times New Roman" w:cs="Times New Roman"/>
          <w:color w:val="000000"/>
          <w:kern w:val="0"/>
          <w:sz w:val="28"/>
          <w:szCs w:val="28"/>
          <w14:ligatures w14:val="none"/>
        </w:rPr>
        <w:fldChar w:fldCharType="end"/>
      </w:r>
      <w:r w:rsidRPr="00E65CC7">
        <w:rPr>
          <w:rFonts w:eastAsia="Times New Roman" w:cs="Times New Roman"/>
          <w:color w:val="000000"/>
          <w:kern w:val="0"/>
          <w:sz w:val="28"/>
          <w:szCs w:val="28"/>
          <w14:ligatures w14:val="none"/>
        </w:rPr>
        <w:t xml:space="preserve">. Therefore, were Armana denied the </w:t>
      </w:r>
      <w:r w:rsidRPr="00E65CC7">
        <w:rPr>
          <w:rFonts w:eastAsia="Times New Roman" w:cs="Times New Roman"/>
          <w:color w:val="000000"/>
          <w:kern w:val="0"/>
          <w:sz w:val="28"/>
          <w:szCs w:val="28"/>
          <w14:ligatures w14:val="none"/>
        </w:rPr>
        <w:lastRenderedPageBreak/>
        <w:t xml:space="preserve">protections of the work-product doctrine, there would </w:t>
      </w:r>
      <w:proofErr w:type="gramStart"/>
      <w:r w:rsidRPr="00E65CC7">
        <w:rPr>
          <w:rFonts w:eastAsia="Times New Roman" w:cs="Times New Roman"/>
          <w:color w:val="000000"/>
          <w:kern w:val="0"/>
          <w:sz w:val="28"/>
          <w:szCs w:val="28"/>
          <w14:ligatures w14:val="none"/>
        </w:rPr>
        <w:t>exist</w:t>
      </w:r>
      <w:proofErr w:type="gramEnd"/>
      <w:r w:rsidRPr="00E65CC7">
        <w:rPr>
          <w:rFonts w:eastAsia="Times New Roman" w:cs="Times New Roman"/>
          <w:color w:val="000000"/>
          <w:kern w:val="0"/>
          <w:sz w:val="28"/>
          <w:szCs w:val="28"/>
          <w14:ligatures w14:val="none"/>
        </w:rPr>
        <w:t xml:space="preserve"> an egregious error, because compelling production of materials prepared in anticipation of litigation deviates from settled law. </w:t>
      </w:r>
      <w:r w:rsidRPr="00E65CC7">
        <w:rPr>
          <w:rFonts w:eastAsia="Times New Roman" w:cs="Times New Roman"/>
          <w:i/>
          <w:iCs/>
          <w:color w:val="000000"/>
          <w:kern w:val="0"/>
          <w:sz w:val="28"/>
          <w:szCs w:val="28"/>
          <w14:ligatures w14:val="none"/>
        </w:rPr>
        <w:t>See Nevin</w:t>
      </w:r>
      <w:r w:rsidRPr="00E65CC7">
        <w:rPr>
          <w:rFonts w:eastAsia="Times New Roman" w:cs="Times New Roman"/>
          <w:color w:val="000000"/>
          <w:kern w:val="0"/>
          <w:sz w:val="28"/>
          <w:szCs w:val="28"/>
          <w14:ligatures w14:val="none"/>
        </w:rPr>
        <w:t>, 958 So. 3d at 1007</w:t>
      </w:r>
      <w:r w:rsidRPr="00E65CC7">
        <w:rPr>
          <w:rFonts w:eastAsia="Times New Roman" w:cs="Times New Roman"/>
          <w:color w:val="000000"/>
          <w:kern w:val="0"/>
          <w:sz w:val="28"/>
          <w:szCs w:val="28"/>
          <w14:ligatures w14:val="none"/>
        </w:rPr>
        <w:fldChar w:fldCharType="begin"/>
      </w:r>
      <w:r w:rsidRPr="00E65CC7">
        <w:rPr>
          <w:rFonts w:cs="Times New Roman"/>
          <w:sz w:val="28"/>
          <w:szCs w:val="28"/>
        </w:rPr>
        <w:instrText xml:space="preserve"> TA \s "Nevin v. Palm Beach Cnty. School Bd., 958 So. 2d 1003 (Fla. Dist. Ct. App. 2007)" </w:instrText>
      </w:r>
      <w:r w:rsidRPr="00E65CC7">
        <w:rPr>
          <w:rFonts w:eastAsia="Times New Roman" w:cs="Times New Roman"/>
          <w:color w:val="000000"/>
          <w:kern w:val="0"/>
          <w:sz w:val="28"/>
          <w:szCs w:val="28"/>
          <w14:ligatures w14:val="none"/>
        </w:rPr>
        <w:fldChar w:fldCharType="end"/>
      </w:r>
      <w:r w:rsidRPr="00E65CC7">
        <w:rPr>
          <w:rFonts w:eastAsia="Times New Roman" w:cs="Times New Roman"/>
          <w:color w:val="000000"/>
          <w:kern w:val="0"/>
          <w:sz w:val="28"/>
          <w:szCs w:val="28"/>
          <w14:ligatures w14:val="none"/>
        </w:rPr>
        <w:t xml:space="preserve">; </w:t>
      </w:r>
      <w:r w:rsidRPr="00E65CC7">
        <w:rPr>
          <w:rFonts w:eastAsia="Times New Roman" w:cs="Times New Roman"/>
          <w:i/>
          <w:iCs/>
          <w:color w:val="000000"/>
          <w:kern w:val="0"/>
          <w:sz w:val="28"/>
          <w:szCs w:val="28"/>
          <w14:ligatures w14:val="none"/>
        </w:rPr>
        <w:t>Hickman</w:t>
      </w:r>
      <w:r w:rsidRPr="00E65CC7">
        <w:rPr>
          <w:rFonts w:eastAsia="Times New Roman" w:cs="Times New Roman"/>
          <w:color w:val="000000"/>
          <w:kern w:val="0"/>
          <w:sz w:val="28"/>
          <w:szCs w:val="28"/>
          <w14:ligatures w14:val="none"/>
        </w:rPr>
        <w:t>, 329 U.S. at 510</w:t>
      </w:r>
      <w:r w:rsidRPr="00E65CC7">
        <w:rPr>
          <w:rFonts w:eastAsia="Times New Roman" w:cs="Times New Roman"/>
          <w:color w:val="000000"/>
          <w:kern w:val="0"/>
          <w:sz w:val="28"/>
          <w:szCs w:val="28"/>
          <w14:ligatures w14:val="none"/>
        </w:rPr>
        <w:fldChar w:fldCharType="begin"/>
      </w:r>
      <w:r w:rsidRPr="00E65CC7">
        <w:rPr>
          <w:rFonts w:cs="Times New Roman"/>
          <w:sz w:val="28"/>
          <w:szCs w:val="28"/>
        </w:rPr>
        <w:instrText xml:space="preserve"> TA \s "Hickman v. Taylor, 329 U.S. 495, 510 (1947)" </w:instrText>
      </w:r>
      <w:r w:rsidRPr="00E65CC7">
        <w:rPr>
          <w:rFonts w:eastAsia="Times New Roman" w:cs="Times New Roman"/>
          <w:color w:val="000000"/>
          <w:kern w:val="0"/>
          <w:sz w:val="28"/>
          <w:szCs w:val="28"/>
          <w14:ligatures w14:val="none"/>
        </w:rPr>
        <w:fldChar w:fldCharType="end"/>
      </w:r>
      <w:r w:rsidRPr="00E65CC7">
        <w:rPr>
          <w:rFonts w:eastAsia="Times New Roman" w:cs="Times New Roman"/>
          <w:color w:val="000000"/>
          <w:kern w:val="0"/>
          <w:sz w:val="28"/>
          <w:szCs w:val="28"/>
          <w14:ligatures w14:val="none"/>
        </w:rPr>
        <w:t>.</w:t>
      </w:r>
    </w:p>
    <w:p w14:paraId="728A8597" w14:textId="1007388C" w:rsidR="00E57BCB" w:rsidRPr="00E65CC7" w:rsidRDefault="00E57BCB" w:rsidP="005A0F38">
      <w:pPr>
        <w:pStyle w:val="Heading4"/>
        <w:rPr>
          <w:rFonts w:cs="Times New Roman"/>
        </w:rPr>
      </w:pPr>
      <w:r w:rsidRPr="00E65CC7">
        <w:rPr>
          <w:rFonts w:cs="Times New Roman"/>
        </w:rPr>
        <w:t>There is no evidence of undue burden or substantial need to justify the production of protected materials.</w:t>
      </w:r>
      <w:bookmarkEnd w:id="11"/>
    </w:p>
    <w:p w14:paraId="33803F92" w14:textId="1F796487" w:rsidR="00F22AE5" w:rsidRPr="00E65CC7" w:rsidRDefault="00F22AE5" w:rsidP="00F22AE5">
      <w:pPr>
        <w:jc w:val="both"/>
        <w:rPr>
          <w:rFonts w:eastAsia="Times New Roman" w:cs="Times New Roman"/>
          <w:kern w:val="0"/>
          <w:sz w:val="28"/>
          <w:szCs w:val="28"/>
          <w14:ligatures w14:val="none"/>
        </w:rPr>
      </w:pPr>
      <w:r w:rsidRPr="00E65CC7">
        <w:rPr>
          <w:rFonts w:eastAsia="Times New Roman" w:cs="Times New Roman"/>
          <w:color w:val="000000"/>
          <w:kern w:val="0"/>
          <w:sz w:val="28"/>
          <w:szCs w:val="28"/>
          <w14:ligatures w14:val="none"/>
        </w:rPr>
        <w:t xml:space="preserve">If an opposing party can establish a substantial need for protected material and an inability to obtain equivalent materials without undue hardship, a Court may order production of the protected material. </w:t>
      </w:r>
      <w:r w:rsidRPr="00E65CC7">
        <w:rPr>
          <w:rFonts w:eastAsia="Times New Roman" w:cs="Times New Roman"/>
          <w:smallCaps/>
          <w:color w:val="000000"/>
          <w:kern w:val="0"/>
          <w:sz w:val="28"/>
          <w:szCs w:val="28"/>
          <w14:ligatures w14:val="none"/>
        </w:rPr>
        <w:t>Fla. R. Civ. Pro.</w:t>
      </w:r>
      <w:r w:rsidRPr="00E65CC7">
        <w:rPr>
          <w:rFonts w:eastAsia="Times New Roman" w:cs="Times New Roman"/>
          <w:color w:val="000000"/>
          <w:kern w:val="0"/>
          <w:sz w:val="28"/>
          <w:szCs w:val="28"/>
          <w14:ligatures w14:val="none"/>
        </w:rPr>
        <w:t xml:space="preserve"> 1.280(b)(4);</w:t>
      </w:r>
      <w:r w:rsidRPr="00E65CC7">
        <w:rPr>
          <w:rFonts w:eastAsia="Times New Roman" w:cs="Times New Roman"/>
          <w:color w:val="000000"/>
          <w:kern w:val="0"/>
          <w:sz w:val="28"/>
          <w:szCs w:val="28"/>
          <w14:ligatures w14:val="none"/>
        </w:rPr>
        <w:fldChar w:fldCharType="begin"/>
      </w:r>
      <w:r w:rsidRPr="00E65CC7">
        <w:rPr>
          <w:rFonts w:cs="Times New Roman"/>
          <w:sz w:val="28"/>
          <w:szCs w:val="28"/>
        </w:rPr>
        <w:instrText xml:space="preserve"> TA \s "Fla. R. Civ. P. 1.280(b)(4)" </w:instrText>
      </w:r>
      <w:r w:rsidRPr="00E65CC7">
        <w:rPr>
          <w:rFonts w:eastAsia="Times New Roman" w:cs="Times New Roman"/>
          <w:color w:val="000000"/>
          <w:kern w:val="0"/>
          <w:sz w:val="28"/>
          <w:szCs w:val="28"/>
          <w14:ligatures w14:val="none"/>
        </w:rPr>
        <w:fldChar w:fldCharType="end"/>
      </w:r>
      <w:r w:rsidRPr="00E65CC7">
        <w:rPr>
          <w:rFonts w:eastAsia="Times New Roman" w:cs="Times New Roman"/>
          <w:color w:val="000000"/>
          <w:kern w:val="0"/>
          <w:sz w:val="28"/>
          <w:szCs w:val="28"/>
          <w14:ligatures w14:val="none"/>
        </w:rPr>
        <w:t xml:space="preserve"> </w:t>
      </w:r>
      <w:r w:rsidRPr="00E65CC7">
        <w:rPr>
          <w:rFonts w:eastAsia="Times New Roman" w:cs="Times New Roman"/>
          <w:i/>
          <w:iCs/>
          <w:color w:val="000000"/>
          <w:kern w:val="0"/>
          <w:sz w:val="28"/>
          <w:szCs w:val="28"/>
          <w14:ligatures w14:val="none"/>
        </w:rPr>
        <w:t>see</w:t>
      </w:r>
      <w:r w:rsidRPr="00E65CC7">
        <w:rPr>
          <w:rFonts w:eastAsia="Times New Roman" w:cs="Times New Roman"/>
          <w:color w:val="000000"/>
          <w:kern w:val="0"/>
          <w:sz w:val="28"/>
          <w:szCs w:val="28"/>
          <w14:ligatures w14:val="none"/>
        </w:rPr>
        <w:t xml:space="preserve"> </w:t>
      </w:r>
      <w:r w:rsidRPr="00E65CC7">
        <w:rPr>
          <w:rFonts w:eastAsia="Times New Roman" w:cs="Times New Roman"/>
          <w:i/>
          <w:iCs/>
          <w:color w:val="000000"/>
          <w:kern w:val="0"/>
          <w:sz w:val="28"/>
          <w:szCs w:val="28"/>
          <w14:ligatures w14:val="none"/>
        </w:rPr>
        <w:t>Dodson v.</w:t>
      </w:r>
      <w:r w:rsidRPr="00E65CC7">
        <w:rPr>
          <w:rFonts w:eastAsia="Times New Roman" w:cs="Times New Roman"/>
          <w:color w:val="000000"/>
          <w:kern w:val="0"/>
          <w:sz w:val="28"/>
          <w:szCs w:val="28"/>
          <w14:ligatures w14:val="none"/>
        </w:rPr>
        <w:t xml:space="preserve"> </w:t>
      </w:r>
      <w:r w:rsidRPr="00E65CC7">
        <w:rPr>
          <w:rFonts w:eastAsia="Times New Roman" w:cs="Times New Roman"/>
          <w:i/>
          <w:iCs/>
          <w:color w:val="000000"/>
          <w:kern w:val="0"/>
          <w:sz w:val="28"/>
          <w:szCs w:val="28"/>
          <w14:ligatures w14:val="none"/>
        </w:rPr>
        <w:t>Persell</w:t>
      </w:r>
      <w:r w:rsidRPr="00E65CC7">
        <w:rPr>
          <w:rFonts w:eastAsia="Times New Roman" w:cs="Times New Roman"/>
          <w:color w:val="000000"/>
          <w:kern w:val="0"/>
          <w:sz w:val="28"/>
          <w:szCs w:val="28"/>
          <w14:ligatures w14:val="none"/>
        </w:rPr>
        <w:t>, 390 So. 2d 704, 705 (Fla. 1980)</w:t>
      </w:r>
      <w:r w:rsidRPr="00E65CC7">
        <w:rPr>
          <w:rFonts w:eastAsia="Times New Roman" w:cs="Times New Roman"/>
          <w:color w:val="000000"/>
          <w:kern w:val="0"/>
          <w:sz w:val="28"/>
          <w:szCs w:val="28"/>
          <w14:ligatures w14:val="none"/>
        </w:rPr>
        <w:fldChar w:fldCharType="begin"/>
      </w:r>
      <w:r w:rsidRPr="00E65CC7">
        <w:rPr>
          <w:rFonts w:cs="Times New Roman"/>
          <w:sz w:val="28"/>
          <w:szCs w:val="28"/>
        </w:rPr>
        <w:instrText xml:space="preserve"> TA \l "</w:instrText>
      </w:r>
      <w:r w:rsidRPr="00E65CC7">
        <w:rPr>
          <w:rFonts w:eastAsia="Times New Roman" w:cs="Times New Roman"/>
          <w:i/>
          <w:iCs/>
          <w:color w:val="000000"/>
          <w:kern w:val="0"/>
          <w:sz w:val="28"/>
          <w:szCs w:val="28"/>
          <w14:ligatures w14:val="none"/>
        </w:rPr>
        <w:instrText>Dodson v.</w:instrText>
      </w:r>
      <w:r w:rsidRPr="00E65CC7">
        <w:rPr>
          <w:rFonts w:eastAsia="Times New Roman" w:cs="Times New Roman"/>
          <w:color w:val="000000"/>
          <w:kern w:val="0"/>
          <w:sz w:val="28"/>
          <w:szCs w:val="28"/>
          <w14:ligatures w14:val="none"/>
        </w:rPr>
        <w:instrText xml:space="preserve"> </w:instrText>
      </w:r>
      <w:r w:rsidRPr="00E65CC7">
        <w:rPr>
          <w:rFonts w:eastAsia="Times New Roman" w:cs="Times New Roman"/>
          <w:i/>
          <w:iCs/>
          <w:color w:val="000000"/>
          <w:kern w:val="0"/>
          <w:sz w:val="28"/>
          <w:szCs w:val="28"/>
          <w14:ligatures w14:val="none"/>
        </w:rPr>
        <w:instrText>Persell</w:instrText>
      </w:r>
      <w:r w:rsidRPr="00E65CC7">
        <w:rPr>
          <w:rFonts w:eastAsia="Times New Roman" w:cs="Times New Roman"/>
          <w:color w:val="000000"/>
          <w:kern w:val="0"/>
          <w:sz w:val="28"/>
          <w:szCs w:val="28"/>
          <w14:ligatures w14:val="none"/>
        </w:rPr>
        <w:instrText>, 390 So. 2d 704, 705 (Fla. 1980)</w:instrText>
      </w:r>
      <w:r w:rsidRPr="00E65CC7">
        <w:rPr>
          <w:rFonts w:cs="Times New Roman"/>
          <w:sz w:val="28"/>
          <w:szCs w:val="28"/>
        </w:rPr>
        <w:instrText xml:space="preserve">" \s "Dodson v. Persell, 390 So. 2d 704 (Fla. 1980)" \c 1 </w:instrText>
      </w:r>
      <w:r w:rsidRPr="00E65CC7">
        <w:rPr>
          <w:rFonts w:eastAsia="Times New Roman" w:cs="Times New Roman"/>
          <w:color w:val="000000"/>
          <w:kern w:val="0"/>
          <w:sz w:val="28"/>
          <w:szCs w:val="28"/>
          <w14:ligatures w14:val="none"/>
        </w:rPr>
        <w:fldChar w:fldCharType="end"/>
      </w:r>
      <w:r w:rsidRPr="00E65CC7">
        <w:rPr>
          <w:rFonts w:eastAsia="Times New Roman" w:cs="Times New Roman"/>
          <w:color w:val="000000"/>
          <w:kern w:val="0"/>
          <w:sz w:val="28"/>
          <w:szCs w:val="28"/>
          <w14:ligatures w14:val="none"/>
        </w:rPr>
        <w:t xml:space="preserve"> (finding surveillance films subject to discovery if they were unique, otherwise unavailable, and materially relevant to the cause’s issues); </w:t>
      </w:r>
      <w:r w:rsidRPr="00E65CC7">
        <w:rPr>
          <w:rFonts w:eastAsia="Times New Roman" w:cs="Times New Roman"/>
          <w:i/>
          <w:iCs/>
          <w:color w:val="000000"/>
          <w:kern w:val="0"/>
          <w:sz w:val="28"/>
          <w:szCs w:val="28"/>
          <w14:ligatures w14:val="none"/>
        </w:rPr>
        <w:t>Havener v. Gabby G. Fisheries, Inc.</w:t>
      </w:r>
      <w:r w:rsidRPr="00E65CC7">
        <w:rPr>
          <w:rFonts w:eastAsia="Times New Roman" w:cs="Times New Roman"/>
          <w:color w:val="000000"/>
          <w:kern w:val="0"/>
          <w:sz w:val="28"/>
          <w:szCs w:val="28"/>
          <w14:ligatures w14:val="none"/>
        </w:rPr>
        <w:t>, 615 F. Supp. 3d 1, 7 (D. Mass. 2022)</w:t>
      </w:r>
      <w:r w:rsidRPr="00E65CC7">
        <w:rPr>
          <w:rFonts w:eastAsia="Times New Roman" w:cs="Times New Roman"/>
          <w:color w:val="000000"/>
          <w:kern w:val="0"/>
          <w:sz w:val="28"/>
          <w:szCs w:val="28"/>
          <w14:ligatures w14:val="none"/>
        </w:rPr>
        <w:fldChar w:fldCharType="begin"/>
      </w:r>
      <w:r w:rsidRPr="00E65CC7">
        <w:rPr>
          <w:rFonts w:cs="Times New Roman"/>
          <w:sz w:val="28"/>
          <w:szCs w:val="28"/>
        </w:rPr>
        <w:instrText xml:space="preserve"> TA \l "</w:instrText>
      </w:r>
      <w:r w:rsidRPr="00E65CC7">
        <w:rPr>
          <w:rFonts w:eastAsia="Times New Roman" w:cs="Times New Roman"/>
          <w:i/>
          <w:iCs/>
          <w:color w:val="000000"/>
          <w:kern w:val="0"/>
          <w:sz w:val="28"/>
          <w:szCs w:val="28"/>
          <w14:ligatures w14:val="none"/>
        </w:rPr>
        <w:instrText>Havener v. Gabby G. Fisheries, Inc.</w:instrText>
      </w:r>
      <w:r w:rsidRPr="00E65CC7">
        <w:rPr>
          <w:rFonts w:eastAsia="Times New Roman" w:cs="Times New Roman"/>
          <w:color w:val="000000"/>
          <w:kern w:val="0"/>
          <w:sz w:val="28"/>
          <w:szCs w:val="28"/>
          <w14:ligatures w14:val="none"/>
        </w:rPr>
        <w:instrText>, 615 F. Supp. 3d 1, 7 (D. Mass. 2022)</w:instrText>
      </w:r>
      <w:r w:rsidRPr="00E65CC7">
        <w:rPr>
          <w:rFonts w:cs="Times New Roman"/>
          <w:sz w:val="28"/>
          <w:szCs w:val="28"/>
        </w:rPr>
        <w:instrText xml:space="preserve">" \s "Havener v. Gabby G. Fisheries, Inc., 615 F. Supp. 3d 1 (D. Mass. 2022)" \c 1 </w:instrText>
      </w:r>
      <w:r w:rsidRPr="00E65CC7">
        <w:rPr>
          <w:rFonts w:eastAsia="Times New Roman" w:cs="Times New Roman"/>
          <w:color w:val="000000"/>
          <w:kern w:val="0"/>
          <w:sz w:val="28"/>
          <w:szCs w:val="28"/>
          <w14:ligatures w14:val="none"/>
        </w:rPr>
        <w:fldChar w:fldCharType="end"/>
      </w:r>
      <w:r w:rsidRPr="00E65CC7">
        <w:rPr>
          <w:rFonts w:eastAsia="Times New Roman" w:cs="Times New Roman"/>
          <w:color w:val="000000"/>
          <w:kern w:val="0"/>
          <w:sz w:val="28"/>
          <w:szCs w:val="28"/>
          <w14:ligatures w14:val="none"/>
        </w:rPr>
        <w:t xml:space="preserve"> (photographs taken at a scene of an accident are not the substantial equivalent of photographs after). To demonstrate “need,” a party must present evidence showing that the requested material is critical to the theory or significant aspect of the case. </w:t>
      </w:r>
      <w:r w:rsidRPr="00E65CC7">
        <w:rPr>
          <w:rFonts w:eastAsia="Times New Roman" w:cs="Times New Roman"/>
          <w:i/>
          <w:iCs/>
          <w:color w:val="000000"/>
          <w:kern w:val="0"/>
          <w:sz w:val="28"/>
          <w:szCs w:val="28"/>
          <w14:ligatures w14:val="none"/>
        </w:rPr>
        <w:t>See Small</w:t>
      </w:r>
      <w:r w:rsidRPr="00E65CC7">
        <w:rPr>
          <w:rFonts w:eastAsia="Times New Roman" w:cs="Times New Roman"/>
          <w:i/>
          <w:iCs/>
          <w:color w:val="000000"/>
          <w:kern w:val="0"/>
          <w:sz w:val="28"/>
          <w:szCs w:val="28"/>
          <w14:ligatures w14:val="none"/>
        </w:rPr>
        <w:fldChar w:fldCharType="begin"/>
      </w:r>
      <w:r w:rsidRPr="00E65CC7">
        <w:rPr>
          <w:rFonts w:cs="Times New Roman"/>
          <w:sz w:val="28"/>
          <w:szCs w:val="28"/>
        </w:rPr>
        <w:instrText xml:space="preserve"> TA \s "Metric Eng’g, Inc. v. Small, 861 So. 2d 1248, 1250 (Fla, 1st DCA 2003)" </w:instrText>
      </w:r>
      <w:r w:rsidRPr="00E65CC7">
        <w:rPr>
          <w:rFonts w:eastAsia="Times New Roman" w:cs="Times New Roman"/>
          <w:i/>
          <w:iCs/>
          <w:color w:val="000000"/>
          <w:kern w:val="0"/>
          <w:sz w:val="28"/>
          <w:szCs w:val="28"/>
          <w14:ligatures w14:val="none"/>
        </w:rPr>
        <w:fldChar w:fldCharType="end"/>
      </w:r>
      <w:r w:rsidRPr="00E65CC7">
        <w:rPr>
          <w:rFonts w:eastAsia="Times New Roman" w:cs="Times New Roman"/>
          <w:color w:val="000000"/>
          <w:kern w:val="0"/>
          <w:sz w:val="28"/>
          <w:szCs w:val="28"/>
          <w14:ligatures w14:val="none"/>
        </w:rPr>
        <w:t xml:space="preserve">, 861 So. 2d at 1250. The threshold for this standard is high, requiring that the hardship make the materials “difficult, if not impossible,” to obtain. </w:t>
      </w:r>
      <w:r w:rsidRPr="00E65CC7">
        <w:rPr>
          <w:rFonts w:eastAsia="Times New Roman" w:cs="Times New Roman"/>
          <w:i/>
          <w:iCs/>
          <w:color w:val="000000"/>
          <w:kern w:val="0"/>
          <w:sz w:val="28"/>
          <w:szCs w:val="28"/>
          <w14:ligatures w14:val="none"/>
        </w:rPr>
        <w:t>See Paradise Pines Health Care Assn., LLC v. Bruce</w:t>
      </w:r>
      <w:r w:rsidRPr="00E65CC7">
        <w:rPr>
          <w:rFonts w:eastAsia="Times New Roman" w:cs="Times New Roman"/>
          <w:color w:val="000000"/>
          <w:kern w:val="0"/>
          <w:sz w:val="28"/>
          <w:szCs w:val="28"/>
          <w14:ligatures w14:val="none"/>
        </w:rPr>
        <w:t>, 27 So. 3d 83, 84 (Fla. Dist. Ct. App. 2009)</w:t>
      </w:r>
      <w:r w:rsidRPr="00E65CC7">
        <w:rPr>
          <w:rFonts w:eastAsia="Times New Roman" w:cs="Times New Roman"/>
          <w:color w:val="000000"/>
          <w:kern w:val="0"/>
          <w:sz w:val="28"/>
          <w:szCs w:val="28"/>
          <w14:ligatures w14:val="none"/>
        </w:rPr>
        <w:fldChar w:fldCharType="begin"/>
      </w:r>
      <w:r w:rsidRPr="00E65CC7">
        <w:rPr>
          <w:rFonts w:cs="Times New Roman"/>
          <w:sz w:val="28"/>
          <w:szCs w:val="28"/>
        </w:rPr>
        <w:instrText xml:space="preserve"> TA \l "</w:instrText>
      </w:r>
      <w:r w:rsidRPr="00E65CC7">
        <w:rPr>
          <w:rFonts w:eastAsia="Times New Roman" w:cs="Times New Roman"/>
          <w:i/>
          <w:iCs/>
          <w:color w:val="000000"/>
          <w:kern w:val="0"/>
          <w:sz w:val="28"/>
          <w:szCs w:val="28"/>
          <w14:ligatures w14:val="none"/>
        </w:rPr>
        <w:instrText>Paradise Pines Health Care Assn., LLC v. Bruce</w:instrText>
      </w:r>
      <w:r w:rsidRPr="00E65CC7">
        <w:rPr>
          <w:rFonts w:eastAsia="Times New Roman" w:cs="Times New Roman"/>
          <w:color w:val="000000"/>
          <w:kern w:val="0"/>
          <w:sz w:val="28"/>
          <w:szCs w:val="28"/>
          <w14:ligatures w14:val="none"/>
        </w:rPr>
        <w:instrText>, 27 So. 3d 83, 84 (Fla. Dist. Ct. App. 2009)</w:instrText>
      </w:r>
      <w:r w:rsidRPr="00E65CC7">
        <w:rPr>
          <w:rFonts w:cs="Times New Roman"/>
          <w:sz w:val="28"/>
          <w:szCs w:val="28"/>
        </w:rPr>
        <w:instrText xml:space="preserve">" \s "Paradise Pines Health Care Assn., LLC v. Bruce, 27 So. 3d 83 (Fla. Dist. Ct. App. 2009)" \c 1 </w:instrText>
      </w:r>
      <w:r w:rsidRPr="00E65CC7">
        <w:rPr>
          <w:rFonts w:eastAsia="Times New Roman" w:cs="Times New Roman"/>
          <w:color w:val="000000"/>
          <w:kern w:val="0"/>
          <w:sz w:val="28"/>
          <w:szCs w:val="28"/>
          <w14:ligatures w14:val="none"/>
        </w:rPr>
        <w:fldChar w:fldCharType="end"/>
      </w:r>
      <w:r w:rsidRPr="00E65CC7">
        <w:rPr>
          <w:rFonts w:eastAsia="Times New Roman" w:cs="Times New Roman"/>
          <w:i/>
          <w:iCs/>
          <w:color w:val="000000"/>
          <w:kern w:val="0"/>
          <w:sz w:val="28"/>
          <w:szCs w:val="28"/>
          <w14:ligatures w14:val="none"/>
        </w:rPr>
        <w:t>. </w:t>
      </w:r>
    </w:p>
    <w:p w14:paraId="0F597819" w14:textId="05542530" w:rsidR="00F22AE5" w:rsidRPr="00E65CC7" w:rsidRDefault="00F22AE5" w:rsidP="00F22AE5">
      <w:pPr>
        <w:jc w:val="both"/>
        <w:rPr>
          <w:rFonts w:eastAsia="Times New Roman" w:cs="Times New Roman"/>
          <w:kern w:val="0"/>
          <w:sz w:val="28"/>
          <w:szCs w:val="28"/>
          <w14:ligatures w14:val="none"/>
        </w:rPr>
      </w:pPr>
      <w:r w:rsidRPr="00E65CC7">
        <w:rPr>
          <w:rFonts w:eastAsia="Times New Roman" w:cs="Times New Roman"/>
          <w:color w:val="000000"/>
          <w:kern w:val="0"/>
          <w:sz w:val="28"/>
          <w:szCs w:val="28"/>
          <w14:ligatures w14:val="none"/>
        </w:rPr>
        <w:t xml:space="preserve">For example, in </w:t>
      </w:r>
      <w:r w:rsidRPr="00E65CC7">
        <w:rPr>
          <w:rFonts w:eastAsia="Times New Roman" w:cs="Times New Roman"/>
          <w:i/>
          <w:iCs/>
          <w:color w:val="000000"/>
          <w:kern w:val="0"/>
          <w:sz w:val="28"/>
          <w:szCs w:val="28"/>
          <w14:ligatures w14:val="none"/>
        </w:rPr>
        <w:t>Butler v. Harter</w:t>
      </w:r>
      <w:r w:rsidRPr="00E65CC7">
        <w:rPr>
          <w:rFonts w:eastAsia="Times New Roman" w:cs="Times New Roman"/>
          <w:i/>
          <w:iCs/>
          <w:color w:val="000000"/>
          <w:kern w:val="0"/>
          <w:sz w:val="28"/>
          <w:szCs w:val="28"/>
          <w14:ligatures w14:val="none"/>
        </w:rPr>
        <w:fldChar w:fldCharType="begin"/>
      </w:r>
      <w:r w:rsidRPr="00E65CC7">
        <w:rPr>
          <w:rFonts w:cs="Times New Roman"/>
          <w:sz w:val="28"/>
          <w:szCs w:val="28"/>
        </w:rPr>
        <w:instrText xml:space="preserve"> TA \l "</w:instrText>
      </w:r>
      <w:r w:rsidRPr="00E65CC7">
        <w:rPr>
          <w:rFonts w:eastAsia="Times New Roman" w:cs="Times New Roman"/>
          <w:i/>
          <w:iCs/>
          <w:color w:val="000000"/>
          <w:kern w:val="0"/>
          <w:sz w:val="28"/>
          <w:szCs w:val="28"/>
          <w14:ligatures w14:val="none"/>
        </w:rPr>
        <w:instrText>Butler v. Harter</w:instrText>
      </w:r>
      <w:r w:rsidRPr="00E65CC7">
        <w:rPr>
          <w:rFonts w:cs="Times New Roman"/>
          <w:sz w:val="28"/>
          <w:szCs w:val="28"/>
        </w:rPr>
        <w:instrText xml:space="preserve">" \s "Butler v. Harter, 152 So. 3d 705 (Fla. Dist. Ct. App. 2014)" \c 1 </w:instrText>
      </w:r>
      <w:r w:rsidRPr="00E65CC7">
        <w:rPr>
          <w:rFonts w:eastAsia="Times New Roman" w:cs="Times New Roman"/>
          <w:i/>
          <w:iCs/>
          <w:color w:val="000000"/>
          <w:kern w:val="0"/>
          <w:sz w:val="28"/>
          <w:szCs w:val="28"/>
          <w14:ligatures w14:val="none"/>
        </w:rPr>
        <w:fldChar w:fldCharType="end"/>
      </w:r>
      <w:r w:rsidRPr="00E65CC7">
        <w:rPr>
          <w:rFonts w:eastAsia="Times New Roman" w:cs="Times New Roman"/>
          <w:color w:val="000000"/>
          <w:kern w:val="0"/>
          <w:sz w:val="28"/>
          <w:szCs w:val="28"/>
          <w14:ligatures w14:val="none"/>
        </w:rPr>
        <w:t xml:space="preserve">, the Court found no attempt to establish need or undue hardship to warrant production of work-product. 152 So. 3d 705, 712 (Fla. Dist. Ct. App. 2014). There, the Court determined that the trial court erred by </w:t>
      </w:r>
      <w:r w:rsidRPr="00E65CC7">
        <w:rPr>
          <w:rFonts w:eastAsia="Times New Roman" w:cs="Times New Roman"/>
          <w:color w:val="000000"/>
          <w:kern w:val="0"/>
          <w:sz w:val="28"/>
          <w:szCs w:val="28"/>
          <w14:ligatures w14:val="none"/>
        </w:rPr>
        <w:lastRenderedPageBreak/>
        <w:t xml:space="preserve">ordering production of the petitioner’s litigation file because of a lack of undue hardship and no legitimate need for the materials sought caused. </w:t>
      </w:r>
      <w:r w:rsidRPr="00E65CC7">
        <w:rPr>
          <w:rFonts w:eastAsia="Times New Roman" w:cs="Times New Roman"/>
          <w:i/>
          <w:iCs/>
          <w:color w:val="000000"/>
          <w:kern w:val="0"/>
          <w:sz w:val="28"/>
          <w:szCs w:val="28"/>
          <w14:ligatures w14:val="none"/>
        </w:rPr>
        <w:t>Id.</w:t>
      </w:r>
      <w:r w:rsidRPr="00E65CC7">
        <w:rPr>
          <w:rFonts w:eastAsia="Times New Roman" w:cs="Times New Roman"/>
          <w:i/>
          <w:iCs/>
          <w:color w:val="000000"/>
          <w:kern w:val="0"/>
          <w:sz w:val="28"/>
          <w:szCs w:val="28"/>
          <w14:ligatures w14:val="none"/>
        </w:rPr>
        <w:fldChar w:fldCharType="begin"/>
      </w:r>
      <w:r w:rsidRPr="00E65CC7">
        <w:rPr>
          <w:rFonts w:cs="Times New Roman"/>
          <w:sz w:val="28"/>
          <w:szCs w:val="28"/>
        </w:rPr>
        <w:instrText xml:space="preserve"> TA \s "Butler v. Harter, 152 So. 3d 705 (Fla. Dist. Ct. App. 2014)" </w:instrText>
      </w:r>
      <w:r w:rsidRPr="00E65CC7">
        <w:rPr>
          <w:rFonts w:eastAsia="Times New Roman" w:cs="Times New Roman"/>
          <w:i/>
          <w:iCs/>
          <w:color w:val="000000"/>
          <w:kern w:val="0"/>
          <w:sz w:val="28"/>
          <w:szCs w:val="28"/>
          <w14:ligatures w14:val="none"/>
        </w:rPr>
        <w:fldChar w:fldCharType="end"/>
      </w:r>
      <w:r w:rsidRPr="00E65CC7">
        <w:rPr>
          <w:rFonts w:eastAsia="Times New Roman" w:cs="Times New Roman"/>
          <w:color w:val="000000"/>
          <w:kern w:val="0"/>
          <w:sz w:val="28"/>
          <w:szCs w:val="28"/>
          <w14:ligatures w14:val="none"/>
        </w:rPr>
        <w:t xml:space="preserve"> at 713. In contrast, the Second District found exceptional circumstances to authorize the discovery of protected materials in </w:t>
      </w:r>
      <w:r w:rsidRPr="00E65CC7">
        <w:rPr>
          <w:rFonts w:eastAsia="Times New Roman" w:cs="Times New Roman"/>
          <w:i/>
          <w:iCs/>
          <w:color w:val="000000"/>
          <w:kern w:val="0"/>
          <w:sz w:val="28"/>
          <w:szCs w:val="28"/>
          <w14:ligatures w14:val="none"/>
        </w:rPr>
        <w:t>Wackenhut Corp. v. Crant-Heisz Enterprises, Inc.</w:t>
      </w:r>
      <w:r w:rsidRPr="00E65CC7">
        <w:rPr>
          <w:rFonts w:eastAsia="Times New Roman" w:cs="Times New Roman"/>
          <w:color w:val="000000"/>
          <w:kern w:val="0"/>
          <w:sz w:val="28"/>
          <w:szCs w:val="28"/>
          <w14:ligatures w14:val="none"/>
        </w:rPr>
        <w:t>, 451 So. 2d 900, 903 (Fla. Dist. Ct. App. 1984)</w:t>
      </w:r>
      <w:r w:rsidRPr="00E65CC7">
        <w:rPr>
          <w:rFonts w:eastAsia="Times New Roman" w:cs="Times New Roman"/>
          <w:color w:val="000000"/>
          <w:kern w:val="0"/>
          <w:sz w:val="28"/>
          <w:szCs w:val="28"/>
          <w14:ligatures w14:val="none"/>
        </w:rPr>
        <w:fldChar w:fldCharType="begin"/>
      </w:r>
      <w:r w:rsidRPr="00E65CC7">
        <w:rPr>
          <w:rFonts w:cs="Times New Roman"/>
          <w:sz w:val="28"/>
          <w:szCs w:val="28"/>
        </w:rPr>
        <w:instrText xml:space="preserve"> TA \s "Wackenhut Corp. v. Crant-Heisz Enterprises, Inc., 451 So. 2d 900, 903 (Fla. Dist. Ct. App. 1984)." </w:instrText>
      </w:r>
      <w:r w:rsidRPr="00E65CC7">
        <w:rPr>
          <w:rFonts w:eastAsia="Times New Roman" w:cs="Times New Roman"/>
          <w:color w:val="000000"/>
          <w:kern w:val="0"/>
          <w:sz w:val="28"/>
          <w:szCs w:val="28"/>
          <w14:ligatures w14:val="none"/>
        </w:rPr>
        <w:fldChar w:fldCharType="end"/>
      </w:r>
      <w:r w:rsidRPr="00E65CC7">
        <w:rPr>
          <w:rFonts w:eastAsia="Times New Roman" w:cs="Times New Roman"/>
          <w:color w:val="000000"/>
          <w:kern w:val="0"/>
          <w:sz w:val="28"/>
          <w:szCs w:val="28"/>
          <w14:ligatures w14:val="none"/>
        </w:rPr>
        <w:t xml:space="preserve">. There, a fire occurred at a warehouse causing property damage. </w:t>
      </w:r>
      <w:r w:rsidRPr="00E65CC7">
        <w:rPr>
          <w:rFonts w:eastAsia="Times New Roman" w:cs="Times New Roman"/>
          <w:i/>
          <w:iCs/>
          <w:color w:val="000000"/>
          <w:kern w:val="0"/>
          <w:sz w:val="28"/>
          <w:szCs w:val="28"/>
          <w14:ligatures w14:val="none"/>
        </w:rPr>
        <w:t>Id.</w:t>
      </w:r>
      <w:r w:rsidRPr="00E65CC7">
        <w:rPr>
          <w:rFonts w:eastAsia="Times New Roman" w:cs="Times New Roman"/>
          <w:color w:val="000000"/>
          <w:kern w:val="0"/>
          <w:sz w:val="28"/>
          <w:szCs w:val="28"/>
          <w14:ligatures w14:val="none"/>
        </w:rPr>
        <w:t xml:space="preserve"> at 901. The Court concluded that </w:t>
      </w:r>
      <w:proofErr w:type="gramStart"/>
      <w:r w:rsidRPr="00E65CC7">
        <w:rPr>
          <w:rFonts w:eastAsia="Times New Roman" w:cs="Times New Roman"/>
          <w:color w:val="000000"/>
          <w:kern w:val="0"/>
          <w:sz w:val="28"/>
          <w:szCs w:val="28"/>
          <w14:ligatures w14:val="none"/>
        </w:rPr>
        <w:t>any</w:t>
      </w:r>
      <w:proofErr w:type="gramEnd"/>
      <w:r w:rsidRPr="00E65CC7">
        <w:rPr>
          <w:rFonts w:eastAsia="Times New Roman" w:cs="Times New Roman"/>
          <w:color w:val="000000"/>
          <w:kern w:val="0"/>
          <w:sz w:val="28"/>
          <w:szCs w:val="28"/>
          <w14:ligatures w14:val="none"/>
        </w:rPr>
        <w:t xml:space="preserve"> personnel hired to investigate the fire were hired in anticipation of litigation. </w:t>
      </w:r>
      <w:r w:rsidRPr="00E65CC7">
        <w:rPr>
          <w:rFonts w:eastAsia="Times New Roman" w:cs="Times New Roman"/>
          <w:i/>
          <w:iCs/>
          <w:color w:val="000000"/>
          <w:kern w:val="0"/>
          <w:sz w:val="28"/>
          <w:szCs w:val="28"/>
          <w14:ligatures w14:val="none"/>
        </w:rPr>
        <w:t>Id.</w:t>
      </w:r>
      <w:r w:rsidRPr="00E65CC7">
        <w:rPr>
          <w:rFonts w:eastAsia="Times New Roman" w:cs="Times New Roman"/>
          <w:i/>
          <w:iCs/>
          <w:color w:val="000000"/>
          <w:kern w:val="0"/>
          <w:sz w:val="28"/>
          <w:szCs w:val="28"/>
          <w14:ligatures w14:val="none"/>
        </w:rPr>
        <w:fldChar w:fldCharType="begin"/>
      </w:r>
      <w:r w:rsidRPr="00E65CC7">
        <w:rPr>
          <w:rFonts w:cs="Times New Roman"/>
          <w:sz w:val="28"/>
          <w:szCs w:val="28"/>
        </w:rPr>
        <w:instrText xml:space="preserve"> TA \s "Wackenhut Corp. v. Crant-Heisz Enterprises, Inc., 451 So. 2d 900, 903 (Fla. Dist. Ct. App. 1984)." </w:instrText>
      </w:r>
      <w:r w:rsidRPr="00E65CC7">
        <w:rPr>
          <w:rFonts w:eastAsia="Times New Roman" w:cs="Times New Roman"/>
          <w:i/>
          <w:iCs/>
          <w:color w:val="000000"/>
          <w:kern w:val="0"/>
          <w:sz w:val="28"/>
          <w:szCs w:val="28"/>
          <w14:ligatures w14:val="none"/>
        </w:rPr>
        <w:fldChar w:fldCharType="end"/>
      </w:r>
      <w:r w:rsidRPr="00E65CC7">
        <w:rPr>
          <w:rFonts w:eastAsia="Times New Roman" w:cs="Times New Roman"/>
          <w:color w:val="000000"/>
          <w:kern w:val="0"/>
          <w:sz w:val="28"/>
          <w:szCs w:val="28"/>
          <w14:ligatures w14:val="none"/>
        </w:rPr>
        <w:t xml:space="preserve"> at 902. Thus, materials relating to the fire constituted work-product. </w:t>
      </w:r>
      <w:r w:rsidRPr="00E65CC7">
        <w:rPr>
          <w:rFonts w:eastAsia="Times New Roman" w:cs="Times New Roman"/>
          <w:i/>
          <w:iCs/>
          <w:color w:val="000000"/>
          <w:kern w:val="0"/>
          <w:sz w:val="28"/>
          <w:szCs w:val="28"/>
          <w14:ligatures w14:val="none"/>
        </w:rPr>
        <w:t>Id.</w:t>
      </w:r>
      <w:r w:rsidRPr="00E65CC7">
        <w:rPr>
          <w:rFonts w:eastAsia="Times New Roman" w:cs="Times New Roman"/>
          <w:i/>
          <w:iCs/>
          <w:color w:val="000000"/>
          <w:kern w:val="0"/>
          <w:sz w:val="28"/>
          <w:szCs w:val="28"/>
          <w14:ligatures w14:val="none"/>
        </w:rPr>
        <w:fldChar w:fldCharType="begin"/>
      </w:r>
      <w:r w:rsidRPr="00E65CC7">
        <w:rPr>
          <w:rFonts w:cs="Times New Roman"/>
          <w:sz w:val="28"/>
          <w:szCs w:val="28"/>
        </w:rPr>
        <w:instrText xml:space="preserve"> TA \s "Wackenhut Corp. v. Crant-Heisz Enterprises, Inc., 451 So. 2d 900, 903 (Fla. Dist. Ct. App. 1984)." </w:instrText>
      </w:r>
      <w:r w:rsidRPr="00E65CC7">
        <w:rPr>
          <w:rFonts w:eastAsia="Times New Roman" w:cs="Times New Roman"/>
          <w:i/>
          <w:iCs/>
          <w:color w:val="000000"/>
          <w:kern w:val="0"/>
          <w:sz w:val="28"/>
          <w:szCs w:val="28"/>
          <w14:ligatures w14:val="none"/>
        </w:rPr>
        <w:fldChar w:fldCharType="end"/>
      </w:r>
      <w:r w:rsidRPr="00E65CC7">
        <w:rPr>
          <w:rFonts w:eastAsia="Times New Roman" w:cs="Times New Roman"/>
          <w:color w:val="000000"/>
          <w:kern w:val="0"/>
          <w:sz w:val="28"/>
          <w:szCs w:val="28"/>
          <w14:ligatures w14:val="none"/>
        </w:rPr>
        <w:t xml:space="preserve"> However, the court found that any photographs of the scene were discoverable, as the warehouse had been replaced and the scene could never be reproduced, demonstrating no substantial equivalent. </w:t>
      </w:r>
      <w:r w:rsidRPr="00E65CC7">
        <w:rPr>
          <w:rFonts w:eastAsia="Times New Roman" w:cs="Times New Roman"/>
          <w:i/>
          <w:iCs/>
          <w:color w:val="000000"/>
          <w:kern w:val="0"/>
          <w:sz w:val="28"/>
          <w:szCs w:val="28"/>
          <w14:ligatures w14:val="none"/>
        </w:rPr>
        <w:t>Id.</w:t>
      </w:r>
      <w:r w:rsidRPr="00E65CC7">
        <w:rPr>
          <w:rFonts w:eastAsia="Times New Roman" w:cs="Times New Roman"/>
          <w:color w:val="000000"/>
          <w:kern w:val="0"/>
          <w:sz w:val="28"/>
          <w:szCs w:val="28"/>
          <w14:ligatures w14:val="none"/>
        </w:rPr>
        <w:t xml:space="preserve"> at 902–03.</w:t>
      </w:r>
      <w:r w:rsidRPr="00E65CC7">
        <w:rPr>
          <w:rFonts w:eastAsia="Times New Roman" w:cs="Times New Roman"/>
          <w:color w:val="000000"/>
          <w:kern w:val="0"/>
          <w:sz w:val="28"/>
          <w:szCs w:val="28"/>
          <w14:ligatures w14:val="none"/>
        </w:rPr>
        <w:fldChar w:fldCharType="begin"/>
      </w:r>
      <w:r w:rsidRPr="00E65CC7">
        <w:rPr>
          <w:rFonts w:cs="Times New Roman"/>
          <w:sz w:val="28"/>
          <w:szCs w:val="28"/>
        </w:rPr>
        <w:instrText xml:space="preserve"> TA \s "Wackenhut Corp. v. Crant-Heisz Enterprises, Inc., 451 So. 2d 900, 903 (Fla. Dist. Ct. App. 1984)." </w:instrText>
      </w:r>
      <w:r w:rsidRPr="00E65CC7">
        <w:rPr>
          <w:rFonts w:eastAsia="Times New Roman" w:cs="Times New Roman"/>
          <w:color w:val="000000"/>
          <w:kern w:val="0"/>
          <w:sz w:val="28"/>
          <w:szCs w:val="28"/>
          <w14:ligatures w14:val="none"/>
        </w:rPr>
        <w:fldChar w:fldCharType="end"/>
      </w:r>
      <w:r w:rsidRPr="00E65CC7">
        <w:rPr>
          <w:rFonts w:eastAsia="Times New Roman" w:cs="Times New Roman"/>
          <w:color w:val="000000"/>
          <w:kern w:val="0"/>
          <w:sz w:val="28"/>
          <w:szCs w:val="28"/>
          <w14:ligatures w14:val="none"/>
        </w:rPr>
        <w:t>  </w:t>
      </w:r>
    </w:p>
    <w:p w14:paraId="27B0273D" w14:textId="5FB0A7D1" w:rsidR="00F22AE5" w:rsidRPr="00E65CC7" w:rsidRDefault="00F22AE5" w:rsidP="00E65CC7">
      <w:pPr>
        <w:jc w:val="both"/>
        <w:rPr>
          <w:rFonts w:eastAsia="Times New Roman" w:cs="Times New Roman"/>
          <w:kern w:val="0"/>
          <w:sz w:val="28"/>
          <w:szCs w:val="28"/>
          <w14:ligatures w14:val="none"/>
        </w:rPr>
      </w:pPr>
      <w:bookmarkStart w:id="12" w:name="_Toc239108817"/>
      <w:r w:rsidRPr="00E65CC7">
        <w:rPr>
          <w:rFonts w:eastAsia="Times New Roman" w:cs="Times New Roman"/>
          <w:color w:val="000000"/>
          <w:kern w:val="0"/>
          <w:sz w:val="28"/>
          <w:szCs w:val="28"/>
          <w14:ligatures w14:val="none"/>
        </w:rPr>
        <w:t xml:space="preserve">Here, though Armana expressed difficulty in obtaining a secondary interview with Seton, there is no evidence to indicate that they cannot procure a substantial equivalent to information revealed in the interview. The testimony of Seton is not the only insight into the mechanics of </w:t>
      </w:r>
      <w:proofErr w:type="spellStart"/>
      <w:r w:rsidRPr="00E65CC7">
        <w:rPr>
          <w:rFonts w:eastAsia="Times New Roman" w:cs="Times New Roman"/>
          <w:color w:val="000000"/>
          <w:kern w:val="0"/>
          <w:sz w:val="28"/>
          <w:szCs w:val="28"/>
          <w14:ligatures w14:val="none"/>
        </w:rPr>
        <w:t>Coastal’s</w:t>
      </w:r>
      <w:proofErr w:type="spellEnd"/>
      <w:r w:rsidRPr="00E65CC7">
        <w:rPr>
          <w:rFonts w:eastAsia="Times New Roman" w:cs="Times New Roman"/>
          <w:color w:val="000000"/>
          <w:kern w:val="0"/>
          <w:sz w:val="28"/>
          <w:szCs w:val="28"/>
          <w14:ligatures w14:val="none"/>
        </w:rPr>
        <w:t xml:space="preserve"> operations; merely, they are the most accessible and detailed. </w:t>
      </w:r>
      <w:r w:rsidRPr="00E65CC7">
        <w:rPr>
          <w:rFonts w:eastAsia="Times New Roman" w:cs="Times New Roman"/>
          <w:i/>
          <w:iCs/>
          <w:color w:val="000000"/>
          <w:kern w:val="0"/>
          <w:sz w:val="28"/>
          <w:szCs w:val="28"/>
          <w14:ligatures w14:val="none"/>
        </w:rPr>
        <w:t>See</w:t>
      </w:r>
      <w:r w:rsidRPr="00E65CC7">
        <w:rPr>
          <w:rFonts w:eastAsia="Times New Roman" w:cs="Times New Roman"/>
          <w:color w:val="000000"/>
          <w:kern w:val="0"/>
          <w:sz w:val="28"/>
          <w:szCs w:val="28"/>
          <w14:ligatures w14:val="none"/>
        </w:rPr>
        <w:t xml:space="preserve"> Armana Dep. 46:131–34. Unlike the discoverable materials in </w:t>
      </w:r>
      <w:r w:rsidRPr="00E65CC7">
        <w:rPr>
          <w:rFonts w:eastAsia="Times New Roman" w:cs="Times New Roman"/>
          <w:i/>
          <w:iCs/>
          <w:color w:val="000000"/>
          <w:kern w:val="0"/>
          <w:sz w:val="28"/>
          <w:szCs w:val="28"/>
          <w14:ligatures w14:val="none"/>
        </w:rPr>
        <w:t>Wackenhut</w:t>
      </w:r>
      <w:r w:rsidRPr="00E65CC7">
        <w:rPr>
          <w:rFonts w:eastAsia="Times New Roman" w:cs="Times New Roman"/>
          <w:color w:val="000000"/>
          <w:kern w:val="0"/>
          <w:sz w:val="28"/>
          <w:szCs w:val="28"/>
          <w14:ligatures w14:val="none"/>
        </w:rPr>
        <w:t xml:space="preserve">, which could never be recovered or reconstructed, there is no exceptional circumstance preventing Armana, or any investigator, from accessing information relating to Coastal, or from obtaining testimony from a financial </w:t>
      </w:r>
      <w:proofErr w:type="gramStart"/>
      <w:r w:rsidRPr="00E65CC7">
        <w:rPr>
          <w:rFonts w:eastAsia="Times New Roman" w:cs="Times New Roman"/>
          <w:color w:val="000000"/>
          <w:kern w:val="0"/>
          <w:sz w:val="28"/>
          <w:szCs w:val="28"/>
          <w14:ligatures w14:val="none"/>
        </w:rPr>
        <w:t>crimes</w:t>
      </w:r>
      <w:proofErr w:type="gramEnd"/>
      <w:r w:rsidRPr="00E65CC7">
        <w:rPr>
          <w:rFonts w:eastAsia="Times New Roman" w:cs="Times New Roman"/>
          <w:color w:val="000000"/>
          <w:kern w:val="0"/>
          <w:sz w:val="28"/>
          <w:szCs w:val="28"/>
          <w14:ligatures w14:val="none"/>
        </w:rPr>
        <w:t xml:space="preserve"> expert. 451 So. 2d at 903</w:t>
      </w:r>
      <w:r w:rsidRPr="00E65CC7">
        <w:rPr>
          <w:rFonts w:eastAsia="Times New Roman" w:cs="Times New Roman"/>
          <w:color w:val="000000"/>
          <w:kern w:val="0"/>
          <w:sz w:val="28"/>
          <w:szCs w:val="28"/>
          <w14:ligatures w14:val="none"/>
        </w:rPr>
        <w:fldChar w:fldCharType="begin"/>
      </w:r>
      <w:r w:rsidRPr="00E65CC7">
        <w:rPr>
          <w:rFonts w:cs="Times New Roman"/>
          <w:sz w:val="28"/>
          <w:szCs w:val="28"/>
        </w:rPr>
        <w:instrText xml:space="preserve"> TA \s "Wackenhut Corp. v. Crant-Heisz Enterprises, Inc., 451 So. 2d 900, 903 (Fla. Dist. Ct. App. 1984)." </w:instrText>
      </w:r>
      <w:r w:rsidRPr="00E65CC7">
        <w:rPr>
          <w:rFonts w:eastAsia="Times New Roman" w:cs="Times New Roman"/>
          <w:color w:val="000000"/>
          <w:kern w:val="0"/>
          <w:sz w:val="28"/>
          <w:szCs w:val="28"/>
          <w14:ligatures w14:val="none"/>
        </w:rPr>
        <w:fldChar w:fldCharType="end"/>
      </w:r>
      <w:r w:rsidRPr="00E65CC7">
        <w:rPr>
          <w:rFonts w:eastAsia="Times New Roman" w:cs="Times New Roman"/>
          <w:color w:val="000000"/>
          <w:kern w:val="0"/>
          <w:sz w:val="28"/>
          <w:szCs w:val="28"/>
          <w14:ligatures w14:val="none"/>
        </w:rPr>
        <w:t xml:space="preserve">. Though Armana has indicated the importance of Seton’s </w:t>
      </w:r>
      <w:r w:rsidRPr="00E65CC7">
        <w:rPr>
          <w:rFonts w:eastAsia="Times New Roman" w:cs="Times New Roman"/>
          <w:color w:val="000000"/>
          <w:kern w:val="0"/>
          <w:sz w:val="28"/>
          <w:szCs w:val="28"/>
          <w14:ligatures w14:val="none"/>
        </w:rPr>
        <w:lastRenderedPageBreak/>
        <w:t xml:space="preserve">testimony, there is nothing to indicate that, without the information in the interview, there is no way forward in the case. </w:t>
      </w:r>
      <w:r w:rsidRPr="00E65CC7">
        <w:rPr>
          <w:rFonts w:eastAsia="Times New Roman" w:cs="Times New Roman"/>
          <w:i/>
          <w:iCs/>
          <w:color w:val="000000"/>
          <w:kern w:val="0"/>
          <w:sz w:val="28"/>
          <w:szCs w:val="28"/>
          <w14:ligatures w14:val="none"/>
        </w:rPr>
        <w:t>See</w:t>
      </w:r>
      <w:r w:rsidRPr="00E65CC7">
        <w:rPr>
          <w:rFonts w:eastAsia="Times New Roman" w:cs="Times New Roman"/>
          <w:color w:val="000000"/>
          <w:kern w:val="0"/>
          <w:sz w:val="28"/>
          <w:szCs w:val="28"/>
          <w14:ligatures w14:val="none"/>
        </w:rPr>
        <w:t xml:space="preserve"> Armana Dep. 47:166–68. There is no substantive information that an outside expert could not provide. </w:t>
      </w:r>
      <w:r w:rsidRPr="00E65CC7">
        <w:rPr>
          <w:rFonts w:eastAsia="Times New Roman" w:cs="Times New Roman"/>
          <w:i/>
          <w:iCs/>
          <w:color w:val="000000"/>
          <w:kern w:val="0"/>
          <w:sz w:val="28"/>
          <w:szCs w:val="28"/>
          <w14:ligatures w14:val="none"/>
        </w:rPr>
        <w:t>Id.</w:t>
      </w:r>
      <w:r w:rsidRPr="00E65CC7">
        <w:rPr>
          <w:rFonts w:eastAsia="Times New Roman" w:cs="Times New Roman"/>
          <w:color w:val="000000"/>
          <w:kern w:val="0"/>
          <w:sz w:val="28"/>
          <w:szCs w:val="28"/>
          <w14:ligatures w14:val="none"/>
        </w:rPr>
        <w:t xml:space="preserve"> Without showing that in the absence of this interview the court would create an egregious error, the work-product privilege cannot be overridden through the exception of undue hardship. </w:t>
      </w:r>
      <w:r w:rsidRPr="00E65CC7">
        <w:rPr>
          <w:rFonts w:eastAsia="Times New Roman" w:cs="Times New Roman"/>
          <w:i/>
          <w:iCs/>
          <w:color w:val="000000"/>
          <w:kern w:val="0"/>
          <w:sz w:val="28"/>
          <w:szCs w:val="28"/>
          <w14:ligatures w14:val="none"/>
        </w:rPr>
        <w:t>See Butler</w:t>
      </w:r>
      <w:r w:rsidRPr="00E65CC7">
        <w:rPr>
          <w:rFonts w:eastAsia="Times New Roman" w:cs="Times New Roman"/>
          <w:color w:val="000000"/>
          <w:kern w:val="0"/>
          <w:sz w:val="28"/>
          <w:szCs w:val="28"/>
          <w14:ligatures w14:val="none"/>
        </w:rPr>
        <w:t>, 152 So. 3d at 713</w:t>
      </w:r>
      <w:r w:rsidRPr="00E65CC7">
        <w:rPr>
          <w:rFonts w:eastAsia="Times New Roman" w:cs="Times New Roman"/>
          <w:color w:val="000000"/>
          <w:kern w:val="0"/>
          <w:sz w:val="28"/>
          <w:szCs w:val="28"/>
          <w14:ligatures w14:val="none"/>
        </w:rPr>
        <w:fldChar w:fldCharType="begin"/>
      </w:r>
      <w:r w:rsidRPr="00E65CC7">
        <w:rPr>
          <w:rFonts w:cs="Times New Roman"/>
          <w:sz w:val="28"/>
          <w:szCs w:val="28"/>
        </w:rPr>
        <w:instrText xml:space="preserve"> TA \s "Butler v. Harter, 152 So. 3d 705 (Fla. Dist. Ct. App. 2014)" </w:instrText>
      </w:r>
      <w:r w:rsidRPr="00E65CC7">
        <w:rPr>
          <w:rFonts w:eastAsia="Times New Roman" w:cs="Times New Roman"/>
          <w:color w:val="000000"/>
          <w:kern w:val="0"/>
          <w:sz w:val="28"/>
          <w:szCs w:val="28"/>
          <w14:ligatures w14:val="none"/>
        </w:rPr>
        <w:fldChar w:fldCharType="end"/>
      </w:r>
      <w:r w:rsidRPr="00E65CC7">
        <w:rPr>
          <w:rFonts w:eastAsia="Times New Roman" w:cs="Times New Roman"/>
          <w:color w:val="000000"/>
          <w:kern w:val="0"/>
          <w:sz w:val="28"/>
          <w:szCs w:val="28"/>
          <w14:ligatures w14:val="none"/>
        </w:rPr>
        <w:t xml:space="preserve"> (exceptions like disappearing, time-barred evidence).</w:t>
      </w:r>
    </w:p>
    <w:p w14:paraId="7AF8BDFA" w14:textId="3C426AE9" w:rsidR="00E57BCB" w:rsidRPr="00E65CC7" w:rsidRDefault="00E57BCB" w:rsidP="005A0F38">
      <w:pPr>
        <w:pStyle w:val="Heading4"/>
        <w:rPr>
          <w:rFonts w:cs="Times New Roman"/>
        </w:rPr>
      </w:pPr>
      <w:r w:rsidRPr="00E65CC7">
        <w:rPr>
          <w:rFonts w:cs="Times New Roman"/>
        </w:rPr>
        <w:t xml:space="preserve">The threshold for vitiating the work-product privilege is not met because, </w:t>
      </w:r>
      <w:proofErr w:type="gramStart"/>
      <w:r w:rsidRPr="00E65CC7">
        <w:rPr>
          <w:rFonts w:cs="Times New Roman"/>
        </w:rPr>
        <w:t>as opinion</w:t>
      </w:r>
      <w:proofErr w:type="gramEnd"/>
      <w:r w:rsidRPr="00E65CC7">
        <w:rPr>
          <w:rFonts w:cs="Times New Roman"/>
        </w:rPr>
        <w:t xml:space="preserve"> work-</w:t>
      </w:r>
      <w:proofErr w:type="gramStart"/>
      <w:r w:rsidRPr="00E65CC7">
        <w:rPr>
          <w:rFonts w:cs="Times New Roman"/>
        </w:rPr>
        <w:t>product</w:t>
      </w:r>
      <w:proofErr w:type="gramEnd"/>
      <w:r w:rsidRPr="00E65CC7">
        <w:rPr>
          <w:rFonts w:cs="Times New Roman"/>
        </w:rPr>
        <w:t>, Armana’s materials are absolutely protected.</w:t>
      </w:r>
      <w:bookmarkEnd w:id="12"/>
    </w:p>
    <w:p w14:paraId="64B3CB0A" w14:textId="11318B05" w:rsidR="00F22AE5" w:rsidRPr="00E65CC7" w:rsidRDefault="00F22AE5" w:rsidP="00492EB0">
      <w:pPr>
        <w:jc w:val="both"/>
        <w:rPr>
          <w:rFonts w:eastAsia="Times New Roman" w:cs="Times New Roman"/>
          <w:kern w:val="0"/>
          <w:sz w:val="28"/>
          <w:szCs w:val="28"/>
          <w14:ligatures w14:val="none"/>
        </w:rPr>
      </w:pPr>
      <w:r w:rsidRPr="00E65CC7">
        <w:rPr>
          <w:rFonts w:eastAsia="Times New Roman" w:cs="Times New Roman"/>
          <w:color w:val="000000"/>
          <w:kern w:val="0"/>
          <w:sz w:val="28"/>
          <w:szCs w:val="28"/>
          <w14:ligatures w14:val="none"/>
        </w:rPr>
        <w:t xml:space="preserve">Work-product is split into two distinct categories. Fact work-product is generally discoverable upon a good-faith showing of need, whereas opinion work-product is never discoverable. </w:t>
      </w:r>
      <w:r w:rsidRPr="00E65CC7">
        <w:rPr>
          <w:rFonts w:eastAsia="Times New Roman" w:cs="Times New Roman"/>
          <w:i/>
          <w:iCs/>
          <w:color w:val="000000"/>
          <w:kern w:val="0"/>
          <w:sz w:val="28"/>
          <w:szCs w:val="28"/>
          <w14:ligatures w14:val="none"/>
        </w:rPr>
        <w:t>Butler</w:t>
      </w:r>
      <w:r w:rsidRPr="00E65CC7">
        <w:rPr>
          <w:rFonts w:eastAsia="Times New Roman" w:cs="Times New Roman"/>
          <w:color w:val="000000"/>
          <w:kern w:val="0"/>
          <w:sz w:val="28"/>
          <w:szCs w:val="28"/>
          <w14:ligatures w14:val="none"/>
        </w:rPr>
        <w:t>, 152 So. 3d at 712</w:t>
      </w:r>
      <w:r w:rsidRPr="00E65CC7">
        <w:rPr>
          <w:rFonts w:eastAsia="Times New Roman" w:cs="Times New Roman"/>
          <w:color w:val="000000"/>
          <w:kern w:val="0"/>
          <w:sz w:val="28"/>
          <w:szCs w:val="28"/>
          <w14:ligatures w14:val="none"/>
        </w:rPr>
        <w:fldChar w:fldCharType="begin"/>
      </w:r>
      <w:r w:rsidRPr="00E65CC7">
        <w:rPr>
          <w:rFonts w:cs="Times New Roman"/>
          <w:sz w:val="28"/>
          <w:szCs w:val="28"/>
        </w:rPr>
        <w:instrText xml:space="preserve"> TA \s "Butler v. Harter, 152 So. 3d 705 (Fla. Dist. Ct. App. 2014)" </w:instrText>
      </w:r>
      <w:r w:rsidRPr="00E65CC7">
        <w:rPr>
          <w:rFonts w:eastAsia="Times New Roman" w:cs="Times New Roman"/>
          <w:color w:val="000000"/>
          <w:kern w:val="0"/>
          <w:sz w:val="28"/>
          <w:szCs w:val="28"/>
          <w14:ligatures w14:val="none"/>
        </w:rPr>
        <w:fldChar w:fldCharType="end"/>
      </w:r>
      <w:r w:rsidRPr="00E65CC7">
        <w:rPr>
          <w:rFonts w:eastAsia="Times New Roman" w:cs="Times New Roman"/>
          <w:color w:val="000000"/>
          <w:kern w:val="0"/>
          <w:sz w:val="28"/>
          <w:szCs w:val="28"/>
          <w14:ligatures w14:val="none"/>
        </w:rPr>
        <w:t xml:space="preserve">; </w:t>
      </w:r>
      <w:r w:rsidRPr="00E65CC7">
        <w:rPr>
          <w:rFonts w:eastAsia="Times New Roman" w:cs="Times New Roman"/>
          <w:i/>
          <w:iCs/>
          <w:color w:val="000000"/>
          <w:kern w:val="0"/>
          <w:sz w:val="28"/>
          <w:szCs w:val="28"/>
          <w14:ligatures w14:val="none"/>
        </w:rPr>
        <w:t>see Hickman</w:t>
      </w:r>
      <w:r w:rsidRPr="00E65CC7">
        <w:rPr>
          <w:rFonts w:eastAsia="Times New Roman" w:cs="Times New Roman"/>
          <w:color w:val="000000"/>
          <w:kern w:val="0"/>
          <w:sz w:val="28"/>
          <w:szCs w:val="28"/>
          <w14:ligatures w14:val="none"/>
        </w:rPr>
        <w:t>, 329 U.S. at 510</w:t>
      </w:r>
      <w:r w:rsidRPr="00E65CC7">
        <w:rPr>
          <w:rFonts w:eastAsia="Times New Roman" w:cs="Times New Roman"/>
          <w:color w:val="000000"/>
          <w:kern w:val="0"/>
          <w:sz w:val="28"/>
          <w:szCs w:val="28"/>
          <w14:ligatures w14:val="none"/>
        </w:rPr>
        <w:fldChar w:fldCharType="begin"/>
      </w:r>
      <w:r w:rsidRPr="00E65CC7">
        <w:rPr>
          <w:rFonts w:cs="Times New Roman"/>
          <w:sz w:val="28"/>
          <w:szCs w:val="28"/>
        </w:rPr>
        <w:instrText xml:space="preserve"> TA \s "Hickman v. Taylor, 329 U.S. 495, 510 (1947)" </w:instrText>
      </w:r>
      <w:r w:rsidRPr="00E65CC7">
        <w:rPr>
          <w:rFonts w:eastAsia="Times New Roman" w:cs="Times New Roman"/>
          <w:color w:val="000000"/>
          <w:kern w:val="0"/>
          <w:sz w:val="28"/>
          <w:szCs w:val="28"/>
          <w14:ligatures w14:val="none"/>
        </w:rPr>
        <w:fldChar w:fldCharType="end"/>
      </w:r>
      <w:r w:rsidRPr="00E65CC7">
        <w:rPr>
          <w:rFonts w:eastAsia="Times New Roman" w:cs="Times New Roman"/>
          <w:color w:val="000000"/>
          <w:kern w:val="0"/>
          <w:sz w:val="28"/>
          <w:szCs w:val="28"/>
          <w14:ligatures w14:val="none"/>
        </w:rPr>
        <w:t>. Opinion work-product is absolutely protected even if an undue hardship to provide substantial materials exists, as “[n]</w:t>
      </w:r>
      <w:proofErr w:type="spellStart"/>
      <w:r w:rsidRPr="00E65CC7">
        <w:rPr>
          <w:rFonts w:eastAsia="Times New Roman" w:cs="Times New Roman"/>
          <w:color w:val="000000"/>
          <w:kern w:val="0"/>
          <w:sz w:val="28"/>
          <w:szCs w:val="28"/>
          <w14:ligatures w14:val="none"/>
        </w:rPr>
        <w:t>otes</w:t>
      </w:r>
      <w:proofErr w:type="spellEnd"/>
      <w:r w:rsidRPr="00E65CC7">
        <w:rPr>
          <w:rFonts w:eastAsia="Times New Roman" w:cs="Times New Roman"/>
          <w:color w:val="000000"/>
          <w:kern w:val="0"/>
          <w:sz w:val="28"/>
          <w:szCs w:val="28"/>
          <w14:ligatures w14:val="none"/>
        </w:rPr>
        <w:t xml:space="preserve"> and memoranda of . . . an attorney’s agent, from [a] witness interview” are entitled to such protections. </w:t>
      </w:r>
      <w:r w:rsidRPr="00E65CC7">
        <w:rPr>
          <w:rFonts w:eastAsia="Times New Roman" w:cs="Times New Roman"/>
          <w:i/>
          <w:iCs/>
          <w:color w:val="000000"/>
          <w:kern w:val="0"/>
          <w:sz w:val="28"/>
          <w:szCs w:val="28"/>
          <w14:ligatures w14:val="none"/>
        </w:rPr>
        <w:t>Baker v. General Motors Corp.</w:t>
      </w:r>
      <w:r w:rsidRPr="00E65CC7">
        <w:rPr>
          <w:rFonts w:eastAsia="Times New Roman" w:cs="Times New Roman"/>
          <w:color w:val="000000"/>
          <w:kern w:val="0"/>
          <w:sz w:val="28"/>
          <w:szCs w:val="28"/>
          <w14:ligatures w14:val="none"/>
        </w:rPr>
        <w:t>, 209 F.3d 1051, 1054 (8th Cir. 2000);</w:t>
      </w:r>
      <w:r w:rsidRPr="00E65CC7">
        <w:rPr>
          <w:rFonts w:eastAsia="Times New Roman" w:cs="Times New Roman"/>
          <w:color w:val="000000"/>
          <w:kern w:val="0"/>
          <w:sz w:val="28"/>
          <w:szCs w:val="28"/>
          <w14:ligatures w14:val="none"/>
        </w:rPr>
        <w:fldChar w:fldCharType="begin"/>
      </w:r>
      <w:r w:rsidRPr="00E65CC7">
        <w:rPr>
          <w:rFonts w:cs="Times New Roman"/>
          <w:sz w:val="28"/>
          <w:szCs w:val="28"/>
        </w:rPr>
        <w:instrText xml:space="preserve"> TA \s "Baker v. General Motors Corp., 209 F.3d 1051, 1054 (8th Cir. 2000);" </w:instrText>
      </w:r>
      <w:r w:rsidRPr="00E65CC7">
        <w:rPr>
          <w:rFonts w:eastAsia="Times New Roman" w:cs="Times New Roman"/>
          <w:color w:val="000000"/>
          <w:kern w:val="0"/>
          <w:sz w:val="28"/>
          <w:szCs w:val="28"/>
          <w14:ligatures w14:val="none"/>
        </w:rPr>
        <w:fldChar w:fldCharType="end"/>
      </w:r>
      <w:r w:rsidRPr="00E65CC7">
        <w:rPr>
          <w:rFonts w:eastAsia="Times New Roman" w:cs="Times New Roman"/>
          <w:color w:val="000000"/>
          <w:kern w:val="0"/>
          <w:sz w:val="28"/>
          <w:szCs w:val="28"/>
          <w14:ligatures w14:val="none"/>
        </w:rPr>
        <w:t xml:space="preserve"> </w:t>
      </w:r>
      <w:r w:rsidRPr="00E65CC7">
        <w:rPr>
          <w:rFonts w:eastAsia="Times New Roman" w:cs="Times New Roman"/>
          <w:i/>
          <w:iCs/>
          <w:color w:val="000000"/>
          <w:kern w:val="0"/>
          <w:sz w:val="28"/>
          <w:szCs w:val="28"/>
          <w14:ligatures w14:val="none"/>
        </w:rPr>
        <w:t>see Walt Disney Parks &amp; Resorts U.S., Inc. v. Alesi,</w:t>
      </w:r>
      <w:r w:rsidRPr="00E65CC7">
        <w:rPr>
          <w:rFonts w:eastAsia="Times New Roman" w:cs="Times New Roman"/>
          <w:color w:val="000000"/>
          <w:kern w:val="0"/>
          <w:sz w:val="28"/>
          <w:szCs w:val="28"/>
          <w14:ligatures w14:val="none"/>
        </w:rPr>
        <w:t xml:space="preserve"> 351 So. 3d 642, 644 (Fla. Dist. Ct. App. 2022)</w:t>
      </w:r>
      <w:r w:rsidRPr="00E65CC7">
        <w:rPr>
          <w:rFonts w:eastAsia="Times New Roman" w:cs="Times New Roman"/>
          <w:color w:val="000000"/>
          <w:kern w:val="0"/>
          <w:sz w:val="28"/>
          <w:szCs w:val="28"/>
          <w14:ligatures w14:val="none"/>
        </w:rPr>
        <w:fldChar w:fldCharType="begin"/>
      </w:r>
      <w:r w:rsidRPr="00E65CC7">
        <w:rPr>
          <w:rFonts w:cs="Times New Roman"/>
          <w:sz w:val="28"/>
          <w:szCs w:val="28"/>
        </w:rPr>
        <w:instrText xml:space="preserve"> TA \l "</w:instrText>
      </w:r>
      <w:r w:rsidRPr="00E65CC7">
        <w:rPr>
          <w:rFonts w:eastAsia="Times New Roman" w:cs="Times New Roman"/>
          <w:i/>
          <w:iCs/>
          <w:color w:val="000000"/>
          <w:kern w:val="0"/>
          <w:sz w:val="28"/>
          <w:szCs w:val="28"/>
          <w14:ligatures w14:val="none"/>
        </w:rPr>
        <w:instrText>Walt Disney Parks &amp; Resorts U.S., Inc. v. Alesi,</w:instrText>
      </w:r>
      <w:r w:rsidRPr="00E65CC7">
        <w:rPr>
          <w:rFonts w:eastAsia="Times New Roman" w:cs="Times New Roman"/>
          <w:color w:val="000000"/>
          <w:kern w:val="0"/>
          <w:sz w:val="28"/>
          <w:szCs w:val="28"/>
          <w14:ligatures w14:val="none"/>
        </w:rPr>
        <w:instrText xml:space="preserve"> 351 So. 3d 642, 644 (Fla. Dist. Ct. App. 2022)</w:instrText>
      </w:r>
      <w:r w:rsidRPr="00E65CC7">
        <w:rPr>
          <w:rFonts w:cs="Times New Roman"/>
          <w:sz w:val="28"/>
          <w:szCs w:val="28"/>
        </w:rPr>
        <w:instrText xml:space="preserve">" \s "Walt Disney Parks &amp; Resorts U.S., Inc. v. Alesi, 351 So. 3d 642 (Fla. Dist. Ct. App. 2022)" \c 1 </w:instrText>
      </w:r>
      <w:r w:rsidRPr="00E65CC7">
        <w:rPr>
          <w:rFonts w:eastAsia="Times New Roman" w:cs="Times New Roman"/>
          <w:color w:val="000000"/>
          <w:kern w:val="0"/>
          <w:sz w:val="28"/>
          <w:szCs w:val="28"/>
          <w14:ligatures w14:val="none"/>
        </w:rPr>
        <w:fldChar w:fldCharType="end"/>
      </w:r>
      <w:r w:rsidRPr="00E65CC7">
        <w:rPr>
          <w:rFonts w:eastAsia="Times New Roman" w:cs="Times New Roman"/>
          <w:color w:val="000000"/>
          <w:kern w:val="0"/>
          <w:sz w:val="28"/>
          <w:szCs w:val="28"/>
          <w14:ligatures w14:val="none"/>
        </w:rPr>
        <w:t xml:space="preserve"> (holding that despite undue hardship, courts shall protect against disclosure of mental impressions or opinions of attorneys and agents); </w:t>
      </w:r>
      <w:r w:rsidRPr="00E65CC7">
        <w:rPr>
          <w:rFonts w:eastAsia="Times New Roman" w:cs="Times New Roman"/>
          <w:i/>
          <w:iCs/>
          <w:color w:val="000000"/>
          <w:kern w:val="0"/>
          <w:sz w:val="28"/>
          <w:szCs w:val="28"/>
          <w14:ligatures w14:val="none"/>
        </w:rPr>
        <w:t>Upjohn Co., v. U.S.</w:t>
      </w:r>
      <w:r w:rsidRPr="00E65CC7">
        <w:rPr>
          <w:rFonts w:eastAsia="Times New Roman" w:cs="Times New Roman"/>
          <w:color w:val="000000"/>
          <w:kern w:val="0"/>
          <w:sz w:val="28"/>
          <w:szCs w:val="28"/>
          <w14:ligatures w14:val="none"/>
        </w:rPr>
        <w:t>, 449 U.S. 383, 402 (1981)</w:t>
      </w:r>
      <w:r w:rsidRPr="00E65CC7">
        <w:rPr>
          <w:rFonts w:eastAsia="Times New Roman" w:cs="Times New Roman"/>
          <w:color w:val="000000"/>
          <w:kern w:val="0"/>
          <w:sz w:val="28"/>
          <w:szCs w:val="28"/>
          <w14:ligatures w14:val="none"/>
        </w:rPr>
        <w:fldChar w:fldCharType="begin"/>
      </w:r>
      <w:r w:rsidRPr="00E65CC7">
        <w:rPr>
          <w:rFonts w:cs="Times New Roman"/>
          <w:sz w:val="28"/>
          <w:szCs w:val="28"/>
        </w:rPr>
        <w:instrText xml:space="preserve"> TA \l "</w:instrText>
      </w:r>
      <w:r w:rsidRPr="00E65CC7">
        <w:rPr>
          <w:rFonts w:eastAsia="Times New Roman" w:cs="Times New Roman"/>
          <w:i/>
          <w:iCs/>
          <w:color w:val="000000"/>
          <w:kern w:val="0"/>
          <w:sz w:val="28"/>
          <w:szCs w:val="28"/>
          <w14:ligatures w14:val="none"/>
        </w:rPr>
        <w:instrText>Upjohn Co., v. U.S.</w:instrText>
      </w:r>
      <w:r w:rsidRPr="00E65CC7">
        <w:rPr>
          <w:rFonts w:eastAsia="Times New Roman" w:cs="Times New Roman"/>
          <w:color w:val="000000"/>
          <w:kern w:val="0"/>
          <w:sz w:val="28"/>
          <w:szCs w:val="28"/>
          <w14:ligatures w14:val="none"/>
        </w:rPr>
        <w:instrText>, 449 U.S. 383, 402 (1981)</w:instrText>
      </w:r>
      <w:r w:rsidRPr="00E65CC7">
        <w:rPr>
          <w:rFonts w:cs="Times New Roman"/>
          <w:sz w:val="28"/>
          <w:szCs w:val="28"/>
        </w:rPr>
        <w:instrText xml:space="preserve">" \s "Upjohn Co., v. U.S., 449 U.S. 383 (1981)" \c 1 </w:instrText>
      </w:r>
      <w:r w:rsidRPr="00E65CC7">
        <w:rPr>
          <w:rFonts w:eastAsia="Times New Roman" w:cs="Times New Roman"/>
          <w:color w:val="000000"/>
          <w:kern w:val="0"/>
          <w:sz w:val="28"/>
          <w:szCs w:val="28"/>
          <w14:ligatures w14:val="none"/>
        </w:rPr>
        <w:fldChar w:fldCharType="end"/>
      </w:r>
      <w:r w:rsidRPr="00E65CC7">
        <w:rPr>
          <w:rFonts w:eastAsia="Times New Roman" w:cs="Times New Roman"/>
          <w:color w:val="000000"/>
          <w:kern w:val="0"/>
          <w:sz w:val="28"/>
          <w:szCs w:val="28"/>
          <w14:ligatures w14:val="none"/>
        </w:rPr>
        <w:t xml:space="preserve"> (opinion work-product “cannot be disclosed simply on a showing of </w:t>
      </w:r>
      <w:r w:rsidRPr="00E65CC7">
        <w:rPr>
          <w:rFonts w:eastAsia="Times New Roman" w:cs="Times New Roman"/>
          <w:color w:val="000000"/>
          <w:kern w:val="0"/>
          <w:sz w:val="28"/>
          <w:szCs w:val="28"/>
          <w14:ligatures w14:val="none"/>
        </w:rPr>
        <w:lastRenderedPageBreak/>
        <w:t xml:space="preserve">substantial need and inability to obtain the equivalent without undue hardship” because it reflects mental impressions). Further, compelling discovery of an attorney’s, or their agents’, “notes and memoranda of witnesses’ oral statement[s] . . . </w:t>
      </w:r>
      <w:proofErr w:type="spellStart"/>
      <w:r w:rsidRPr="00E65CC7">
        <w:rPr>
          <w:rFonts w:eastAsia="Times New Roman" w:cs="Times New Roman"/>
          <w:color w:val="000000"/>
          <w:kern w:val="0"/>
          <w:sz w:val="28"/>
          <w:szCs w:val="28"/>
          <w14:ligatures w14:val="none"/>
        </w:rPr>
        <w:t>tend</w:t>
      </w:r>
      <w:proofErr w:type="spellEnd"/>
      <w:r w:rsidRPr="00E65CC7">
        <w:rPr>
          <w:rFonts w:eastAsia="Times New Roman" w:cs="Times New Roman"/>
          <w:color w:val="000000"/>
          <w:kern w:val="0"/>
          <w:sz w:val="28"/>
          <w:szCs w:val="28"/>
          <w14:ligatures w14:val="none"/>
        </w:rPr>
        <w:t xml:space="preserve">[s] to reveal” opinion work-product. </w:t>
      </w:r>
      <w:r w:rsidRPr="00E65CC7">
        <w:rPr>
          <w:rFonts w:eastAsia="Times New Roman" w:cs="Times New Roman"/>
          <w:i/>
          <w:iCs/>
          <w:color w:val="000000"/>
          <w:kern w:val="0"/>
          <w:sz w:val="28"/>
          <w:szCs w:val="28"/>
          <w14:ligatures w14:val="none"/>
        </w:rPr>
        <w:t>Upjohn</w:t>
      </w:r>
      <w:r w:rsidRPr="00E65CC7">
        <w:rPr>
          <w:rFonts w:eastAsia="Times New Roman" w:cs="Times New Roman"/>
          <w:color w:val="000000"/>
          <w:kern w:val="0"/>
          <w:sz w:val="28"/>
          <w:szCs w:val="28"/>
          <w14:ligatures w14:val="none"/>
        </w:rPr>
        <w:t xml:space="preserve"> 449 U.S. at 399–401; </w:t>
      </w:r>
      <w:r w:rsidRPr="00E65CC7">
        <w:rPr>
          <w:rFonts w:eastAsia="Times New Roman" w:cs="Times New Roman"/>
          <w:i/>
          <w:iCs/>
          <w:color w:val="000000"/>
          <w:kern w:val="0"/>
          <w:sz w:val="28"/>
          <w:szCs w:val="28"/>
          <w14:ligatures w14:val="none"/>
        </w:rPr>
        <w:t>see</w:t>
      </w:r>
      <w:r w:rsidRPr="00E65CC7">
        <w:rPr>
          <w:rFonts w:eastAsia="Times New Roman" w:cs="Times New Roman"/>
          <w:color w:val="000000"/>
          <w:kern w:val="0"/>
          <w:sz w:val="28"/>
          <w:szCs w:val="28"/>
          <w14:ligatures w14:val="none"/>
        </w:rPr>
        <w:t xml:space="preserve"> </w:t>
      </w:r>
      <w:r w:rsidRPr="00E65CC7">
        <w:rPr>
          <w:rFonts w:eastAsia="Times New Roman" w:cs="Times New Roman"/>
          <w:i/>
          <w:iCs/>
          <w:color w:val="000000"/>
          <w:kern w:val="0"/>
          <w:sz w:val="28"/>
          <w:szCs w:val="28"/>
          <w14:ligatures w14:val="none"/>
        </w:rPr>
        <w:t>Rabin</w:t>
      </w:r>
      <w:r w:rsidRPr="00E65CC7">
        <w:rPr>
          <w:rFonts w:eastAsia="Times New Roman" w:cs="Times New Roman"/>
          <w:i/>
          <w:iCs/>
          <w:color w:val="000000"/>
          <w:kern w:val="0"/>
          <w:sz w:val="28"/>
          <w:szCs w:val="28"/>
          <w14:ligatures w14:val="none"/>
        </w:rPr>
        <w:fldChar w:fldCharType="begin"/>
      </w:r>
      <w:r w:rsidRPr="00E65CC7">
        <w:rPr>
          <w:rFonts w:cs="Times New Roman"/>
          <w:sz w:val="28"/>
          <w:szCs w:val="28"/>
        </w:rPr>
        <w:instrText xml:space="preserve"> TA \s "State v. Rabin, 495 So. 2d 257 (Fla. Dist. Ct. App. 1986)" </w:instrText>
      </w:r>
      <w:r w:rsidRPr="00E65CC7">
        <w:rPr>
          <w:rFonts w:eastAsia="Times New Roman" w:cs="Times New Roman"/>
          <w:i/>
          <w:iCs/>
          <w:color w:val="000000"/>
          <w:kern w:val="0"/>
          <w:sz w:val="28"/>
          <w:szCs w:val="28"/>
          <w14:ligatures w14:val="none"/>
        </w:rPr>
        <w:fldChar w:fldCharType="end"/>
      </w:r>
      <w:r w:rsidRPr="00E65CC7">
        <w:rPr>
          <w:rFonts w:eastAsia="Times New Roman" w:cs="Times New Roman"/>
          <w:color w:val="000000"/>
          <w:kern w:val="0"/>
          <w:sz w:val="28"/>
          <w:szCs w:val="28"/>
          <w14:ligatures w14:val="none"/>
        </w:rPr>
        <w:t xml:space="preserve">, 495 So. 2d at 262; </w:t>
      </w:r>
      <w:r w:rsidRPr="00E65CC7">
        <w:rPr>
          <w:rFonts w:eastAsia="Times New Roman" w:cs="Times New Roman"/>
          <w:i/>
          <w:iCs/>
          <w:color w:val="000000"/>
          <w:kern w:val="0"/>
          <w:sz w:val="28"/>
          <w:szCs w:val="28"/>
          <w14:ligatures w14:val="none"/>
        </w:rPr>
        <w:t>In re Grand Jury Investigation</w:t>
      </w:r>
      <w:r w:rsidRPr="00E65CC7">
        <w:rPr>
          <w:rFonts w:eastAsia="Times New Roman" w:cs="Times New Roman"/>
          <w:color w:val="000000"/>
          <w:kern w:val="0"/>
          <w:sz w:val="28"/>
          <w:szCs w:val="28"/>
          <w14:ligatures w14:val="none"/>
        </w:rPr>
        <w:t xml:space="preserve">, </w:t>
      </w:r>
      <w:r w:rsidR="00492EB0" w:rsidRPr="00E65CC7">
        <w:rPr>
          <w:rFonts w:cs="Times New Roman"/>
          <w:color w:val="000000"/>
          <w:sz w:val="28"/>
          <w:szCs w:val="28"/>
        </w:rPr>
        <w:t>599 F.2d 1224, 1231 (3d Cir. 1979)</w:t>
      </w:r>
      <w:r w:rsidR="00492EB0" w:rsidRPr="00E65CC7">
        <w:rPr>
          <w:rFonts w:cs="Times New Roman"/>
          <w:color w:val="000000"/>
          <w:sz w:val="28"/>
          <w:szCs w:val="28"/>
        </w:rPr>
        <w:fldChar w:fldCharType="begin"/>
      </w:r>
      <w:r w:rsidR="00492EB0" w:rsidRPr="00E65CC7">
        <w:rPr>
          <w:rFonts w:cs="Times New Roman"/>
          <w:sz w:val="28"/>
          <w:szCs w:val="28"/>
        </w:rPr>
        <w:instrText xml:space="preserve"> TA \l "</w:instrText>
      </w:r>
      <w:r w:rsidR="00492EB0" w:rsidRPr="00E65CC7">
        <w:rPr>
          <w:rFonts w:eastAsia="Times New Roman" w:cs="Times New Roman"/>
          <w:i/>
          <w:iCs/>
          <w:color w:val="000000"/>
          <w:kern w:val="0"/>
          <w:sz w:val="28"/>
          <w:szCs w:val="28"/>
          <w14:ligatures w14:val="none"/>
        </w:rPr>
        <w:instrText>In re Grand Jury Investigation</w:instrText>
      </w:r>
      <w:r w:rsidR="00492EB0" w:rsidRPr="00E65CC7">
        <w:rPr>
          <w:rFonts w:eastAsia="Times New Roman" w:cs="Times New Roman"/>
          <w:color w:val="000000"/>
          <w:kern w:val="0"/>
          <w:sz w:val="28"/>
          <w:szCs w:val="28"/>
          <w14:ligatures w14:val="none"/>
        </w:rPr>
        <w:instrText xml:space="preserve">, </w:instrText>
      </w:r>
      <w:r w:rsidR="00492EB0" w:rsidRPr="00E65CC7">
        <w:rPr>
          <w:rFonts w:cs="Times New Roman"/>
          <w:color w:val="000000"/>
          <w:sz w:val="28"/>
          <w:szCs w:val="28"/>
        </w:rPr>
        <w:instrText>599 F.2d 1224, 1231 (3d Cir. 1979)</w:instrText>
      </w:r>
      <w:r w:rsidR="00492EB0" w:rsidRPr="00E65CC7">
        <w:rPr>
          <w:rFonts w:cs="Times New Roman"/>
          <w:sz w:val="28"/>
          <w:szCs w:val="28"/>
        </w:rPr>
        <w:instrText xml:space="preserve">" \s "In re Grand Jury Investigation, 599 F.2d 1224 (3d Cir. 1979)" \c 1 </w:instrText>
      </w:r>
      <w:r w:rsidR="00492EB0" w:rsidRPr="00E65CC7">
        <w:rPr>
          <w:rFonts w:cs="Times New Roman"/>
          <w:color w:val="000000"/>
          <w:sz w:val="28"/>
          <w:szCs w:val="28"/>
        </w:rPr>
        <w:fldChar w:fldCharType="end"/>
      </w:r>
      <w:r w:rsidRPr="00E65CC7">
        <w:rPr>
          <w:rFonts w:eastAsia="Times New Roman" w:cs="Times New Roman"/>
          <w:color w:val="000000"/>
          <w:kern w:val="0"/>
          <w:sz w:val="28"/>
          <w:szCs w:val="28"/>
          <w14:ligatures w14:val="none"/>
        </w:rPr>
        <w:t xml:space="preserve">; </w:t>
      </w:r>
      <w:r w:rsidRPr="00E65CC7">
        <w:rPr>
          <w:rFonts w:eastAsia="Times New Roman" w:cs="Times New Roman"/>
          <w:i/>
          <w:iCs/>
          <w:color w:val="000000"/>
          <w:kern w:val="0"/>
          <w:sz w:val="28"/>
          <w:szCs w:val="28"/>
          <w14:ligatures w14:val="none"/>
        </w:rPr>
        <w:t>see also</w:t>
      </w:r>
      <w:r w:rsidRPr="00E65CC7">
        <w:rPr>
          <w:rFonts w:eastAsia="Times New Roman" w:cs="Times New Roman"/>
          <w:color w:val="000000"/>
          <w:kern w:val="0"/>
          <w:sz w:val="28"/>
          <w:szCs w:val="28"/>
          <w14:ligatures w14:val="none"/>
        </w:rPr>
        <w:t xml:space="preserve"> </w:t>
      </w:r>
      <w:r w:rsidRPr="00E65CC7">
        <w:rPr>
          <w:rFonts w:eastAsia="Times New Roman" w:cs="Times New Roman"/>
          <w:i/>
          <w:iCs/>
          <w:color w:val="000000"/>
          <w:kern w:val="0"/>
          <w:sz w:val="28"/>
          <w:szCs w:val="28"/>
          <w14:ligatures w14:val="none"/>
        </w:rPr>
        <w:t>Baker</w:t>
      </w:r>
      <w:r w:rsidR="00492EB0" w:rsidRPr="00E65CC7">
        <w:rPr>
          <w:rFonts w:eastAsia="Times New Roman" w:cs="Times New Roman"/>
          <w:i/>
          <w:iCs/>
          <w:color w:val="000000"/>
          <w:kern w:val="0"/>
          <w:sz w:val="28"/>
          <w:szCs w:val="28"/>
          <w14:ligatures w14:val="none"/>
        </w:rPr>
        <w:fldChar w:fldCharType="begin"/>
      </w:r>
      <w:r w:rsidR="00492EB0" w:rsidRPr="00E65CC7">
        <w:rPr>
          <w:rFonts w:cs="Times New Roman"/>
          <w:sz w:val="28"/>
          <w:szCs w:val="28"/>
        </w:rPr>
        <w:instrText xml:space="preserve"> TA \s "Baker v. General Motors Corp., 209 F.3d 1051, 1054 (8th Cir. 2000);" </w:instrText>
      </w:r>
      <w:r w:rsidR="00492EB0" w:rsidRPr="00E65CC7">
        <w:rPr>
          <w:rFonts w:eastAsia="Times New Roman" w:cs="Times New Roman"/>
          <w:i/>
          <w:iCs/>
          <w:color w:val="000000"/>
          <w:kern w:val="0"/>
          <w:sz w:val="28"/>
          <w:szCs w:val="28"/>
          <w14:ligatures w14:val="none"/>
        </w:rPr>
        <w:fldChar w:fldCharType="end"/>
      </w:r>
      <w:r w:rsidRPr="00E65CC7">
        <w:rPr>
          <w:rFonts w:eastAsia="Times New Roman" w:cs="Times New Roman"/>
          <w:color w:val="000000"/>
          <w:kern w:val="0"/>
          <w:sz w:val="28"/>
          <w:szCs w:val="28"/>
          <w14:ligatures w14:val="none"/>
        </w:rPr>
        <w:t>, 209 F.3d at 1054 (explaining that an attorney’s handwritten notes reveal legal conclusions because they focus on facts personally deemed legally significant to include). </w:t>
      </w:r>
    </w:p>
    <w:p w14:paraId="6DACFA99" w14:textId="39C2DD3E" w:rsidR="00492EB0" w:rsidRPr="00E65CC7" w:rsidRDefault="00492EB0" w:rsidP="00492EB0">
      <w:pPr>
        <w:jc w:val="both"/>
        <w:rPr>
          <w:rFonts w:eastAsia="Times New Roman" w:cs="Times New Roman"/>
          <w:kern w:val="0"/>
          <w:sz w:val="28"/>
          <w:szCs w:val="28"/>
          <w14:ligatures w14:val="none"/>
        </w:rPr>
      </w:pPr>
      <w:r w:rsidRPr="00E65CC7">
        <w:rPr>
          <w:rFonts w:eastAsia="Times New Roman" w:cs="Times New Roman"/>
          <w:color w:val="000000"/>
          <w:kern w:val="0"/>
          <w:sz w:val="28"/>
          <w:szCs w:val="28"/>
          <w14:ligatures w14:val="none"/>
        </w:rPr>
        <w:t xml:space="preserve">For example, in </w:t>
      </w:r>
      <w:r w:rsidRPr="00E65CC7">
        <w:rPr>
          <w:rFonts w:eastAsia="Times New Roman" w:cs="Times New Roman"/>
          <w:i/>
          <w:iCs/>
          <w:color w:val="000000"/>
          <w:kern w:val="0"/>
          <w:sz w:val="28"/>
          <w:szCs w:val="28"/>
          <w14:ligatures w14:val="none"/>
        </w:rPr>
        <w:t>Butler v. Harter</w:t>
      </w:r>
      <w:r w:rsidRPr="00E65CC7">
        <w:rPr>
          <w:rFonts w:eastAsia="Times New Roman" w:cs="Times New Roman"/>
          <w:color w:val="000000"/>
          <w:kern w:val="0"/>
          <w:sz w:val="28"/>
          <w:szCs w:val="28"/>
          <w14:ligatures w14:val="none"/>
        </w:rPr>
        <w:t>, the court held that opinion work-product is never discoverable, even despite a showing of need and undue hardship. 152 So. 3d at 712</w:t>
      </w:r>
      <w:r w:rsidRPr="00E65CC7">
        <w:rPr>
          <w:rFonts w:eastAsia="Times New Roman" w:cs="Times New Roman"/>
          <w:color w:val="000000"/>
          <w:kern w:val="0"/>
          <w:sz w:val="28"/>
          <w:szCs w:val="28"/>
          <w14:ligatures w14:val="none"/>
        </w:rPr>
        <w:fldChar w:fldCharType="begin"/>
      </w:r>
      <w:r w:rsidRPr="00E65CC7">
        <w:rPr>
          <w:rFonts w:cs="Times New Roman"/>
          <w:sz w:val="28"/>
          <w:szCs w:val="28"/>
        </w:rPr>
        <w:instrText xml:space="preserve"> TA \s "Butler v. Harter, 152 So. 3d 705 (Fla. Dist. Ct. App. 2014)" </w:instrText>
      </w:r>
      <w:r w:rsidRPr="00E65CC7">
        <w:rPr>
          <w:rFonts w:eastAsia="Times New Roman" w:cs="Times New Roman"/>
          <w:color w:val="000000"/>
          <w:kern w:val="0"/>
          <w:sz w:val="28"/>
          <w:szCs w:val="28"/>
          <w14:ligatures w14:val="none"/>
        </w:rPr>
        <w:fldChar w:fldCharType="end"/>
      </w:r>
      <w:r w:rsidRPr="00E65CC7">
        <w:rPr>
          <w:rFonts w:eastAsia="Times New Roman" w:cs="Times New Roman"/>
          <w:color w:val="000000"/>
          <w:kern w:val="0"/>
          <w:sz w:val="28"/>
          <w:szCs w:val="28"/>
          <w14:ligatures w14:val="none"/>
        </w:rPr>
        <w:t xml:space="preserve">. There, the respondent sought information concerning the decision-making strategies and opinions behind the petitioner’s proposal for settlement. </w:t>
      </w:r>
      <w:r w:rsidRPr="00E65CC7">
        <w:rPr>
          <w:rFonts w:eastAsia="Times New Roman" w:cs="Times New Roman"/>
          <w:i/>
          <w:iCs/>
          <w:color w:val="000000"/>
          <w:kern w:val="0"/>
          <w:sz w:val="28"/>
          <w:szCs w:val="28"/>
          <w14:ligatures w14:val="none"/>
        </w:rPr>
        <w:t>Id</w:t>
      </w:r>
      <w:r w:rsidRPr="00E65CC7">
        <w:rPr>
          <w:rFonts w:eastAsia="Times New Roman" w:cs="Times New Roman"/>
          <w:i/>
          <w:iCs/>
          <w:color w:val="000000"/>
          <w:kern w:val="0"/>
          <w:sz w:val="28"/>
          <w:szCs w:val="28"/>
          <w14:ligatures w14:val="none"/>
        </w:rPr>
        <w:fldChar w:fldCharType="begin"/>
      </w:r>
      <w:r w:rsidRPr="00E65CC7">
        <w:rPr>
          <w:rFonts w:cs="Times New Roman"/>
          <w:sz w:val="28"/>
          <w:szCs w:val="28"/>
        </w:rPr>
        <w:instrText xml:space="preserve"> TA \s "Butler v. Harter, 152 So. 3d 705 (Fla. Dist. Ct. App. 2014)" </w:instrText>
      </w:r>
      <w:r w:rsidRPr="00E65CC7">
        <w:rPr>
          <w:rFonts w:eastAsia="Times New Roman" w:cs="Times New Roman"/>
          <w:i/>
          <w:iCs/>
          <w:color w:val="000000"/>
          <w:kern w:val="0"/>
          <w:sz w:val="28"/>
          <w:szCs w:val="28"/>
          <w14:ligatures w14:val="none"/>
        </w:rPr>
        <w:fldChar w:fldCharType="end"/>
      </w:r>
      <w:r w:rsidRPr="00E65CC7">
        <w:rPr>
          <w:rFonts w:eastAsia="Times New Roman" w:cs="Times New Roman"/>
          <w:i/>
          <w:iCs/>
          <w:color w:val="000000"/>
          <w:kern w:val="0"/>
          <w:sz w:val="28"/>
          <w:szCs w:val="28"/>
          <w14:ligatures w14:val="none"/>
        </w:rPr>
        <w:t>.</w:t>
      </w:r>
      <w:r w:rsidRPr="00E65CC7">
        <w:rPr>
          <w:rFonts w:eastAsia="Times New Roman" w:cs="Times New Roman"/>
          <w:color w:val="000000"/>
          <w:kern w:val="0"/>
          <w:sz w:val="28"/>
          <w:szCs w:val="28"/>
          <w14:ligatures w14:val="none"/>
        </w:rPr>
        <w:t xml:space="preserve"> at 709. The court found that the trial court erred when ordering production of the petitioner’s litigation file because it was opinion work-product and afforded absolute immunity. </w:t>
      </w:r>
      <w:r w:rsidRPr="00E65CC7">
        <w:rPr>
          <w:rFonts w:eastAsia="Times New Roman" w:cs="Times New Roman"/>
          <w:i/>
          <w:iCs/>
          <w:color w:val="000000"/>
          <w:kern w:val="0"/>
          <w:sz w:val="28"/>
          <w:szCs w:val="28"/>
          <w14:ligatures w14:val="none"/>
        </w:rPr>
        <w:t>Id</w:t>
      </w:r>
      <w:r w:rsidRPr="00E65CC7">
        <w:rPr>
          <w:rFonts w:eastAsia="Times New Roman" w:cs="Times New Roman"/>
          <w:i/>
          <w:iCs/>
          <w:color w:val="000000"/>
          <w:kern w:val="0"/>
          <w:sz w:val="28"/>
          <w:szCs w:val="28"/>
          <w14:ligatures w14:val="none"/>
        </w:rPr>
        <w:fldChar w:fldCharType="begin"/>
      </w:r>
      <w:r w:rsidRPr="00E65CC7">
        <w:rPr>
          <w:rFonts w:cs="Times New Roman"/>
          <w:sz w:val="28"/>
          <w:szCs w:val="28"/>
        </w:rPr>
        <w:instrText xml:space="preserve"> TA \s "Butler v. Harter, 152 So. 3d 705 (Fla. Dist. Ct. App. 2014)" </w:instrText>
      </w:r>
      <w:r w:rsidRPr="00E65CC7">
        <w:rPr>
          <w:rFonts w:eastAsia="Times New Roman" w:cs="Times New Roman"/>
          <w:i/>
          <w:iCs/>
          <w:color w:val="000000"/>
          <w:kern w:val="0"/>
          <w:sz w:val="28"/>
          <w:szCs w:val="28"/>
          <w14:ligatures w14:val="none"/>
        </w:rPr>
        <w:fldChar w:fldCharType="end"/>
      </w:r>
      <w:r w:rsidRPr="00E65CC7">
        <w:rPr>
          <w:rFonts w:eastAsia="Times New Roman" w:cs="Times New Roman"/>
          <w:i/>
          <w:iCs/>
          <w:color w:val="000000"/>
          <w:kern w:val="0"/>
          <w:sz w:val="28"/>
          <w:szCs w:val="28"/>
          <w14:ligatures w14:val="none"/>
        </w:rPr>
        <w:t>.</w:t>
      </w:r>
      <w:r w:rsidRPr="00E65CC7">
        <w:rPr>
          <w:rFonts w:eastAsia="Times New Roman" w:cs="Times New Roman"/>
          <w:color w:val="000000"/>
          <w:kern w:val="0"/>
          <w:sz w:val="28"/>
          <w:szCs w:val="28"/>
          <w14:ligatures w14:val="none"/>
        </w:rPr>
        <w:t xml:space="preserve"> at 713. The Third District upheld a similar standard in </w:t>
      </w:r>
      <w:r w:rsidRPr="00E65CC7">
        <w:rPr>
          <w:rFonts w:eastAsia="Times New Roman" w:cs="Times New Roman"/>
          <w:i/>
          <w:iCs/>
          <w:color w:val="000000"/>
          <w:kern w:val="0"/>
          <w:sz w:val="28"/>
          <w:szCs w:val="28"/>
          <w14:ligatures w14:val="none"/>
        </w:rPr>
        <w:t>Ford Motor Co. v. Hall-Edwards</w:t>
      </w:r>
      <w:r w:rsidRPr="00E65CC7">
        <w:rPr>
          <w:rFonts w:eastAsia="Times New Roman" w:cs="Times New Roman"/>
          <w:color w:val="000000"/>
          <w:kern w:val="0"/>
          <w:sz w:val="28"/>
          <w:szCs w:val="28"/>
          <w14:ligatures w14:val="none"/>
        </w:rPr>
        <w:t>,</w:t>
      </w:r>
      <w:r w:rsidRPr="00E65CC7">
        <w:rPr>
          <w:rFonts w:eastAsia="Times New Roman" w:cs="Times New Roman"/>
          <w:color w:val="000000"/>
          <w:kern w:val="0"/>
          <w:sz w:val="28"/>
          <w:szCs w:val="28"/>
          <w14:ligatures w14:val="none"/>
        </w:rPr>
        <w:fldChar w:fldCharType="begin"/>
      </w:r>
      <w:r w:rsidRPr="00E65CC7">
        <w:rPr>
          <w:rFonts w:cs="Times New Roman"/>
          <w:sz w:val="28"/>
          <w:szCs w:val="28"/>
        </w:rPr>
        <w:instrText xml:space="preserve"> TA \s "Ford Motor Co. v. Hall-Edwards, 997 So. 2d 1148 (Fla. Dist. Ct. App. 2008)" </w:instrText>
      </w:r>
      <w:r w:rsidRPr="00E65CC7">
        <w:rPr>
          <w:rFonts w:eastAsia="Times New Roman" w:cs="Times New Roman"/>
          <w:color w:val="000000"/>
          <w:kern w:val="0"/>
          <w:sz w:val="28"/>
          <w:szCs w:val="28"/>
          <w14:ligatures w14:val="none"/>
        </w:rPr>
        <w:fldChar w:fldCharType="end"/>
      </w:r>
      <w:r w:rsidRPr="00E65CC7">
        <w:rPr>
          <w:rFonts w:eastAsia="Times New Roman" w:cs="Times New Roman"/>
          <w:color w:val="000000"/>
          <w:kern w:val="0"/>
          <w:sz w:val="28"/>
          <w:szCs w:val="28"/>
          <w14:ligatures w14:val="none"/>
        </w:rPr>
        <w:t xml:space="preserve"> granting a petition for cert quashing an order that compelled access to a database containing attorneys' “thoughts, opinions, strategies, mental impressions and advice.” 997 So. 2d 1148, 1153 (Fla. Dist. Ct. App. 2008). There, the Third District found that the compelled materials “[fell] within the absolute immunity protecting opinion work-product.” </w:t>
      </w:r>
      <w:r w:rsidRPr="00E65CC7">
        <w:rPr>
          <w:rFonts w:eastAsia="Times New Roman" w:cs="Times New Roman"/>
          <w:i/>
          <w:iCs/>
          <w:color w:val="000000"/>
          <w:kern w:val="0"/>
          <w:sz w:val="28"/>
          <w:szCs w:val="28"/>
          <w14:ligatures w14:val="none"/>
        </w:rPr>
        <w:t>Id</w:t>
      </w:r>
      <w:r w:rsidRPr="00E65CC7">
        <w:rPr>
          <w:rFonts w:eastAsia="Times New Roman" w:cs="Times New Roman"/>
          <w:i/>
          <w:iCs/>
          <w:color w:val="000000"/>
          <w:kern w:val="0"/>
          <w:sz w:val="28"/>
          <w:szCs w:val="28"/>
          <w14:ligatures w14:val="none"/>
        </w:rPr>
        <w:fldChar w:fldCharType="begin"/>
      </w:r>
      <w:r w:rsidRPr="00E65CC7">
        <w:rPr>
          <w:rFonts w:cs="Times New Roman"/>
          <w:sz w:val="28"/>
          <w:szCs w:val="28"/>
        </w:rPr>
        <w:instrText xml:space="preserve"> TA \s "Ford Motor Co. v. Hall-Edwards, 997 So. 2d 1148 (Fla. Dist. Ct. App. 2008)" </w:instrText>
      </w:r>
      <w:r w:rsidRPr="00E65CC7">
        <w:rPr>
          <w:rFonts w:eastAsia="Times New Roman" w:cs="Times New Roman"/>
          <w:i/>
          <w:iCs/>
          <w:color w:val="000000"/>
          <w:kern w:val="0"/>
          <w:sz w:val="28"/>
          <w:szCs w:val="28"/>
          <w14:ligatures w14:val="none"/>
        </w:rPr>
        <w:fldChar w:fldCharType="end"/>
      </w:r>
      <w:r w:rsidRPr="00E65CC7">
        <w:rPr>
          <w:rFonts w:eastAsia="Times New Roman" w:cs="Times New Roman"/>
          <w:i/>
          <w:iCs/>
          <w:color w:val="000000"/>
          <w:kern w:val="0"/>
          <w:sz w:val="28"/>
          <w:szCs w:val="28"/>
          <w14:ligatures w14:val="none"/>
        </w:rPr>
        <w:t>.</w:t>
      </w:r>
      <w:r w:rsidRPr="00E65CC7">
        <w:rPr>
          <w:rFonts w:eastAsia="Times New Roman" w:cs="Times New Roman"/>
          <w:color w:val="000000"/>
          <w:kern w:val="0"/>
          <w:sz w:val="28"/>
          <w:szCs w:val="28"/>
          <w14:ligatures w14:val="none"/>
        </w:rPr>
        <w:t xml:space="preserve"> at 1154. Moreover, in </w:t>
      </w:r>
      <w:r w:rsidRPr="00E65CC7">
        <w:rPr>
          <w:rFonts w:eastAsia="Times New Roman" w:cs="Times New Roman"/>
          <w:i/>
          <w:iCs/>
          <w:color w:val="000000"/>
          <w:kern w:val="0"/>
          <w:sz w:val="28"/>
          <w:szCs w:val="28"/>
          <w14:ligatures w14:val="none"/>
        </w:rPr>
        <w:t>State v. Rabin</w:t>
      </w:r>
      <w:r w:rsidRPr="00E65CC7">
        <w:rPr>
          <w:rFonts w:eastAsia="Times New Roman" w:cs="Times New Roman"/>
          <w:i/>
          <w:iCs/>
          <w:color w:val="000000"/>
          <w:kern w:val="0"/>
          <w:sz w:val="28"/>
          <w:szCs w:val="28"/>
          <w14:ligatures w14:val="none"/>
        </w:rPr>
        <w:fldChar w:fldCharType="begin"/>
      </w:r>
      <w:r w:rsidRPr="00E65CC7">
        <w:rPr>
          <w:rFonts w:cs="Times New Roman"/>
          <w:sz w:val="28"/>
          <w:szCs w:val="28"/>
        </w:rPr>
        <w:instrText xml:space="preserve"> TA \s "State v. Rabin, 495 So. 2d 257 (Fla. Dist. Ct. App. 1986)" </w:instrText>
      </w:r>
      <w:r w:rsidRPr="00E65CC7">
        <w:rPr>
          <w:rFonts w:eastAsia="Times New Roman" w:cs="Times New Roman"/>
          <w:i/>
          <w:iCs/>
          <w:color w:val="000000"/>
          <w:kern w:val="0"/>
          <w:sz w:val="28"/>
          <w:szCs w:val="28"/>
          <w14:ligatures w14:val="none"/>
        </w:rPr>
        <w:fldChar w:fldCharType="end"/>
      </w:r>
      <w:r w:rsidRPr="00E65CC7">
        <w:rPr>
          <w:rFonts w:eastAsia="Times New Roman" w:cs="Times New Roman"/>
          <w:color w:val="000000"/>
          <w:kern w:val="0"/>
          <w:sz w:val="28"/>
          <w:szCs w:val="28"/>
          <w14:ligatures w14:val="none"/>
        </w:rPr>
        <w:t xml:space="preserve">, the Third </w:t>
      </w:r>
      <w:r w:rsidRPr="00E65CC7">
        <w:rPr>
          <w:rFonts w:eastAsia="Times New Roman" w:cs="Times New Roman"/>
          <w:color w:val="000000"/>
          <w:kern w:val="0"/>
          <w:sz w:val="28"/>
          <w:szCs w:val="28"/>
          <w14:ligatures w14:val="none"/>
        </w:rPr>
        <w:lastRenderedPageBreak/>
        <w:t xml:space="preserve">District found that an attorney’s notes from a conversation with a witness “are so much product of [a] lawyer’s thinking and so little probative of the witness’s actual words,” supporting the denial of state access to the requested notes. 495 So. 2d at 264 (internal citation omitted). The Supreme Court of Florida supports this notion, holding personal notes and records as to witnesses, not intended to be issued as evidence, are protected within the general category of work-product. </w:t>
      </w:r>
      <w:r w:rsidRPr="00E65CC7">
        <w:rPr>
          <w:rFonts w:eastAsia="Times New Roman" w:cs="Times New Roman"/>
          <w:i/>
          <w:iCs/>
          <w:color w:val="000000"/>
          <w:kern w:val="0"/>
          <w:sz w:val="28"/>
          <w:szCs w:val="28"/>
          <w14:ligatures w14:val="none"/>
        </w:rPr>
        <w:t>See</w:t>
      </w:r>
      <w:r w:rsidRPr="00E65CC7">
        <w:rPr>
          <w:rFonts w:eastAsia="Times New Roman" w:cs="Times New Roman"/>
          <w:color w:val="000000"/>
          <w:kern w:val="0"/>
          <w:sz w:val="28"/>
          <w:szCs w:val="28"/>
          <w14:ligatures w14:val="none"/>
        </w:rPr>
        <w:t xml:space="preserve"> </w:t>
      </w:r>
      <w:r w:rsidRPr="00E65CC7">
        <w:rPr>
          <w:rFonts w:eastAsia="Times New Roman" w:cs="Times New Roman"/>
          <w:i/>
          <w:iCs/>
          <w:color w:val="000000"/>
          <w:kern w:val="0"/>
          <w:sz w:val="28"/>
          <w:szCs w:val="28"/>
          <w14:ligatures w14:val="none"/>
        </w:rPr>
        <w:t>Surf Drugs, Inc. v. Vermette</w:t>
      </w:r>
      <w:r w:rsidRPr="00E65CC7">
        <w:rPr>
          <w:rFonts w:eastAsia="Times New Roman" w:cs="Times New Roman"/>
          <w:color w:val="000000"/>
          <w:kern w:val="0"/>
          <w:sz w:val="28"/>
          <w:szCs w:val="28"/>
          <w14:ligatures w14:val="none"/>
        </w:rPr>
        <w:t>, 236 So. 2d 108, 112 (Fla. 1970)</w:t>
      </w:r>
      <w:r w:rsidRPr="00E65CC7">
        <w:rPr>
          <w:rFonts w:eastAsia="Times New Roman" w:cs="Times New Roman"/>
          <w:color w:val="000000"/>
          <w:kern w:val="0"/>
          <w:sz w:val="28"/>
          <w:szCs w:val="28"/>
          <w14:ligatures w14:val="none"/>
        </w:rPr>
        <w:fldChar w:fldCharType="begin"/>
      </w:r>
      <w:r w:rsidRPr="00E65CC7">
        <w:rPr>
          <w:rFonts w:cs="Times New Roman"/>
          <w:sz w:val="28"/>
          <w:szCs w:val="28"/>
        </w:rPr>
        <w:instrText xml:space="preserve"> TA \s "Surf Drugs, Inc. v. Vermette, 236 So. 2d 108, 112 (Fla. 1970)" </w:instrText>
      </w:r>
      <w:r w:rsidRPr="00E65CC7">
        <w:rPr>
          <w:rFonts w:eastAsia="Times New Roman" w:cs="Times New Roman"/>
          <w:color w:val="000000"/>
          <w:kern w:val="0"/>
          <w:sz w:val="28"/>
          <w:szCs w:val="28"/>
          <w14:ligatures w14:val="none"/>
        </w:rPr>
        <w:fldChar w:fldCharType="end"/>
      </w:r>
      <w:r w:rsidRPr="00E65CC7">
        <w:rPr>
          <w:rFonts w:eastAsia="Times New Roman" w:cs="Times New Roman"/>
          <w:color w:val="000000"/>
          <w:kern w:val="0"/>
          <w:sz w:val="28"/>
          <w:szCs w:val="28"/>
          <w14:ligatures w14:val="none"/>
        </w:rPr>
        <w:t>.  </w:t>
      </w:r>
    </w:p>
    <w:p w14:paraId="20BC0C7D" w14:textId="627E18CC" w:rsidR="00492EB0" w:rsidRPr="00E65CC7" w:rsidRDefault="00492EB0" w:rsidP="006134A9">
      <w:pPr>
        <w:jc w:val="both"/>
        <w:rPr>
          <w:rFonts w:eastAsia="Times New Roman" w:cs="Times New Roman"/>
          <w:kern w:val="0"/>
          <w:sz w:val="28"/>
          <w:szCs w:val="28"/>
          <w14:ligatures w14:val="none"/>
        </w:rPr>
      </w:pPr>
      <w:bookmarkStart w:id="13" w:name="_Toc239108818"/>
      <w:r w:rsidRPr="00E65CC7">
        <w:rPr>
          <w:rFonts w:eastAsia="Times New Roman" w:cs="Times New Roman"/>
          <w:color w:val="000000"/>
          <w:kern w:val="0"/>
          <w:sz w:val="28"/>
          <w:szCs w:val="28"/>
          <w14:ligatures w14:val="none"/>
        </w:rPr>
        <w:t xml:space="preserve">Here, like the information sought in </w:t>
      </w:r>
      <w:r w:rsidRPr="00E65CC7">
        <w:rPr>
          <w:rFonts w:eastAsia="Times New Roman" w:cs="Times New Roman"/>
          <w:i/>
          <w:iCs/>
          <w:color w:val="000000"/>
          <w:kern w:val="0"/>
          <w:sz w:val="28"/>
          <w:szCs w:val="28"/>
          <w14:ligatures w14:val="none"/>
        </w:rPr>
        <w:t>Butler</w:t>
      </w:r>
      <w:r w:rsidRPr="00E65CC7">
        <w:rPr>
          <w:rFonts w:eastAsia="Times New Roman" w:cs="Times New Roman"/>
          <w:color w:val="000000"/>
          <w:kern w:val="0"/>
          <w:sz w:val="28"/>
          <w:szCs w:val="28"/>
          <w14:ligatures w14:val="none"/>
        </w:rPr>
        <w:t xml:space="preserve"> and </w:t>
      </w:r>
      <w:r w:rsidRPr="00E65CC7">
        <w:rPr>
          <w:rFonts w:eastAsia="Times New Roman" w:cs="Times New Roman"/>
          <w:i/>
          <w:iCs/>
          <w:color w:val="000000"/>
          <w:kern w:val="0"/>
          <w:sz w:val="28"/>
          <w:szCs w:val="28"/>
          <w14:ligatures w14:val="none"/>
        </w:rPr>
        <w:t>Ford Motor</w:t>
      </w:r>
      <w:r w:rsidRPr="00E65CC7">
        <w:rPr>
          <w:rFonts w:eastAsia="Times New Roman" w:cs="Times New Roman"/>
          <w:i/>
          <w:iCs/>
          <w:color w:val="000000"/>
          <w:kern w:val="0"/>
          <w:sz w:val="28"/>
          <w:szCs w:val="28"/>
          <w14:ligatures w14:val="none"/>
        </w:rPr>
        <w:fldChar w:fldCharType="begin"/>
      </w:r>
      <w:r w:rsidRPr="00E65CC7">
        <w:rPr>
          <w:rFonts w:cs="Times New Roman"/>
          <w:sz w:val="28"/>
          <w:szCs w:val="28"/>
        </w:rPr>
        <w:instrText xml:space="preserve"> TA \s "Ford Motor Co. v. Hall-Edwards, 997 So. 2d 1148 (Fla. Dist. Ct. App. 2008)" </w:instrText>
      </w:r>
      <w:r w:rsidRPr="00E65CC7">
        <w:rPr>
          <w:rFonts w:eastAsia="Times New Roman" w:cs="Times New Roman"/>
          <w:i/>
          <w:iCs/>
          <w:color w:val="000000"/>
          <w:kern w:val="0"/>
          <w:sz w:val="28"/>
          <w:szCs w:val="28"/>
          <w14:ligatures w14:val="none"/>
        </w:rPr>
        <w:fldChar w:fldCharType="end"/>
      </w:r>
      <w:r w:rsidRPr="00E65CC7">
        <w:rPr>
          <w:rFonts w:eastAsia="Times New Roman" w:cs="Times New Roman"/>
          <w:color w:val="000000"/>
          <w:kern w:val="0"/>
          <w:sz w:val="28"/>
          <w:szCs w:val="28"/>
          <w14:ligatures w14:val="none"/>
        </w:rPr>
        <w:t>, Armana’s notes are opinion work-product, which are afforded absolute protection. 152</w:t>
      </w:r>
      <w:r w:rsidRPr="00E65CC7">
        <w:rPr>
          <w:rFonts w:eastAsia="Times New Roman" w:cs="Times New Roman"/>
          <w:color w:val="000000"/>
          <w:kern w:val="0"/>
          <w:sz w:val="28"/>
          <w:szCs w:val="28"/>
          <w14:ligatures w14:val="none"/>
        </w:rPr>
        <w:fldChar w:fldCharType="begin"/>
      </w:r>
      <w:r w:rsidRPr="00E65CC7">
        <w:rPr>
          <w:rFonts w:cs="Times New Roman"/>
          <w:sz w:val="28"/>
          <w:szCs w:val="28"/>
        </w:rPr>
        <w:instrText xml:space="preserve"> TA \s "Butler v. Harter, 152 So. 3d 705 (Fla. Dist. Ct. App. 2014)" </w:instrText>
      </w:r>
      <w:r w:rsidRPr="00E65CC7">
        <w:rPr>
          <w:rFonts w:eastAsia="Times New Roman" w:cs="Times New Roman"/>
          <w:color w:val="000000"/>
          <w:kern w:val="0"/>
          <w:sz w:val="28"/>
          <w:szCs w:val="28"/>
          <w14:ligatures w14:val="none"/>
        </w:rPr>
        <w:fldChar w:fldCharType="end"/>
      </w:r>
      <w:r w:rsidRPr="00E65CC7">
        <w:rPr>
          <w:rFonts w:eastAsia="Times New Roman" w:cs="Times New Roman"/>
          <w:color w:val="000000"/>
          <w:kern w:val="0"/>
          <w:sz w:val="28"/>
          <w:szCs w:val="28"/>
          <w14:ligatures w14:val="none"/>
        </w:rPr>
        <w:t xml:space="preserve"> So. 3d at 712; 997 So. 2d at 1153; Armana Dep. 46:143–47. There would exist a drastic departure from the essential requirements of law were these protected materials found discoverable. </w:t>
      </w:r>
      <w:r w:rsidRPr="00E65CC7">
        <w:rPr>
          <w:rFonts w:eastAsia="Times New Roman" w:cs="Times New Roman"/>
          <w:i/>
          <w:iCs/>
          <w:color w:val="000000"/>
          <w:kern w:val="0"/>
          <w:sz w:val="28"/>
          <w:szCs w:val="28"/>
          <w14:ligatures w14:val="none"/>
        </w:rPr>
        <w:t>See</w:t>
      </w:r>
      <w:r w:rsidRPr="00E65CC7">
        <w:rPr>
          <w:rFonts w:eastAsia="Times New Roman" w:cs="Times New Roman"/>
          <w:color w:val="000000"/>
          <w:kern w:val="0"/>
          <w:sz w:val="28"/>
          <w:szCs w:val="28"/>
          <w14:ligatures w14:val="none"/>
        </w:rPr>
        <w:t xml:space="preserve"> </w:t>
      </w:r>
      <w:r w:rsidRPr="00E65CC7">
        <w:rPr>
          <w:rFonts w:eastAsia="Times New Roman" w:cs="Times New Roman"/>
          <w:i/>
          <w:iCs/>
          <w:color w:val="000000"/>
          <w:kern w:val="0"/>
          <w:sz w:val="28"/>
          <w:szCs w:val="28"/>
          <w14:ligatures w14:val="none"/>
        </w:rPr>
        <w:t>Butler</w:t>
      </w:r>
      <w:r w:rsidRPr="00E65CC7">
        <w:rPr>
          <w:rFonts w:eastAsia="Times New Roman" w:cs="Times New Roman"/>
          <w:i/>
          <w:iCs/>
          <w:color w:val="000000"/>
          <w:kern w:val="0"/>
          <w:sz w:val="28"/>
          <w:szCs w:val="28"/>
          <w14:ligatures w14:val="none"/>
        </w:rPr>
        <w:fldChar w:fldCharType="begin"/>
      </w:r>
      <w:r w:rsidRPr="00E65CC7">
        <w:rPr>
          <w:rFonts w:cs="Times New Roman"/>
          <w:sz w:val="28"/>
          <w:szCs w:val="28"/>
        </w:rPr>
        <w:instrText xml:space="preserve"> TA \s "Butler v. Harter, 152 So. 3d 705 (Fla. Dist. Ct. App. 2014)" </w:instrText>
      </w:r>
      <w:r w:rsidRPr="00E65CC7">
        <w:rPr>
          <w:rFonts w:eastAsia="Times New Roman" w:cs="Times New Roman"/>
          <w:i/>
          <w:iCs/>
          <w:color w:val="000000"/>
          <w:kern w:val="0"/>
          <w:sz w:val="28"/>
          <w:szCs w:val="28"/>
          <w14:ligatures w14:val="none"/>
        </w:rPr>
        <w:fldChar w:fldCharType="end"/>
      </w:r>
      <w:r w:rsidRPr="00E65CC7">
        <w:rPr>
          <w:rFonts w:eastAsia="Times New Roman" w:cs="Times New Roman"/>
          <w:color w:val="000000"/>
          <w:kern w:val="0"/>
          <w:sz w:val="28"/>
          <w:szCs w:val="28"/>
          <w14:ligatures w14:val="none"/>
        </w:rPr>
        <w:t xml:space="preserve">, 152 So. 3d at 714. Armana’s records are considered opinion work-product because they are personal notes, not a verbatim transcript. </w:t>
      </w:r>
      <w:r w:rsidRPr="00E65CC7">
        <w:rPr>
          <w:rFonts w:eastAsia="Times New Roman" w:cs="Times New Roman"/>
          <w:i/>
          <w:iCs/>
          <w:color w:val="000000"/>
          <w:kern w:val="0"/>
          <w:sz w:val="28"/>
          <w:szCs w:val="28"/>
          <w14:ligatures w14:val="none"/>
        </w:rPr>
        <w:t>See Rabin</w:t>
      </w:r>
      <w:r w:rsidRPr="00E65CC7">
        <w:rPr>
          <w:rFonts w:eastAsia="Times New Roman" w:cs="Times New Roman"/>
          <w:i/>
          <w:iCs/>
          <w:color w:val="000000"/>
          <w:kern w:val="0"/>
          <w:sz w:val="28"/>
          <w:szCs w:val="28"/>
          <w14:ligatures w14:val="none"/>
        </w:rPr>
        <w:fldChar w:fldCharType="begin"/>
      </w:r>
      <w:r w:rsidRPr="00E65CC7">
        <w:rPr>
          <w:rFonts w:cs="Times New Roman"/>
          <w:sz w:val="28"/>
          <w:szCs w:val="28"/>
        </w:rPr>
        <w:instrText xml:space="preserve"> TA \s "State v. Rabin, 495 So. 2d 257 (Fla. Dist. Ct. App. 1986)" </w:instrText>
      </w:r>
      <w:r w:rsidRPr="00E65CC7">
        <w:rPr>
          <w:rFonts w:eastAsia="Times New Roman" w:cs="Times New Roman"/>
          <w:i/>
          <w:iCs/>
          <w:color w:val="000000"/>
          <w:kern w:val="0"/>
          <w:sz w:val="28"/>
          <w:szCs w:val="28"/>
          <w14:ligatures w14:val="none"/>
        </w:rPr>
        <w:fldChar w:fldCharType="end"/>
      </w:r>
      <w:r w:rsidRPr="00E65CC7">
        <w:rPr>
          <w:rFonts w:eastAsia="Times New Roman" w:cs="Times New Roman"/>
          <w:color w:val="000000"/>
          <w:kern w:val="0"/>
          <w:sz w:val="28"/>
          <w:szCs w:val="28"/>
          <w14:ligatures w14:val="none"/>
        </w:rPr>
        <w:t xml:space="preserve">, 495 So. 2d at 264; </w:t>
      </w:r>
      <w:r w:rsidRPr="00E65CC7">
        <w:rPr>
          <w:rFonts w:eastAsia="Times New Roman" w:cs="Times New Roman"/>
          <w:i/>
          <w:iCs/>
          <w:color w:val="000000"/>
          <w:kern w:val="0"/>
          <w:sz w:val="28"/>
          <w:szCs w:val="28"/>
          <w14:ligatures w14:val="none"/>
        </w:rPr>
        <w:t>Surf Drugs</w:t>
      </w:r>
      <w:r w:rsidRPr="00E65CC7">
        <w:rPr>
          <w:rFonts w:eastAsia="Times New Roman" w:cs="Times New Roman"/>
          <w:i/>
          <w:iCs/>
          <w:color w:val="000000"/>
          <w:kern w:val="0"/>
          <w:sz w:val="28"/>
          <w:szCs w:val="28"/>
          <w14:ligatures w14:val="none"/>
        </w:rPr>
        <w:fldChar w:fldCharType="begin"/>
      </w:r>
      <w:r w:rsidRPr="00E65CC7">
        <w:rPr>
          <w:rFonts w:cs="Times New Roman"/>
          <w:sz w:val="28"/>
          <w:szCs w:val="28"/>
        </w:rPr>
        <w:instrText xml:space="preserve"> TA \s "Surf Drugs, Inc. v. Vermette, 236 So. 2d 108, 112 (Fla. 1970)" </w:instrText>
      </w:r>
      <w:r w:rsidRPr="00E65CC7">
        <w:rPr>
          <w:rFonts w:eastAsia="Times New Roman" w:cs="Times New Roman"/>
          <w:i/>
          <w:iCs/>
          <w:color w:val="000000"/>
          <w:kern w:val="0"/>
          <w:sz w:val="28"/>
          <w:szCs w:val="28"/>
          <w14:ligatures w14:val="none"/>
        </w:rPr>
        <w:fldChar w:fldCharType="end"/>
      </w:r>
      <w:r w:rsidRPr="00E65CC7">
        <w:rPr>
          <w:rFonts w:eastAsia="Times New Roman" w:cs="Times New Roman"/>
          <w:color w:val="000000"/>
          <w:kern w:val="0"/>
          <w:sz w:val="28"/>
          <w:szCs w:val="28"/>
          <w14:ligatures w14:val="none"/>
        </w:rPr>
        <w:t xml:space="preserve">, 236 So. 2d at 112; </w:t>
      </w:r>
      <w:r w:rsidRPr="00E65CC7">
        <w:rPr>
          <w:rFonts w:eastAsia="Times New Roman" w:cs="Times New Roman"/>
          <w:i/>
          <w:iCs/>
          <w:color w:val="000000"/>
          <w:kern w:val="0"/>
          <w:sz w:val="28"/>
          <w:szCs w:val="28"/>
          <w14:ligatures w14:val="none"/>
        </w:rPr>
        <w:t>Baker</w:t>
      </w:r>
      <w:r w:rsidRPr="00E65CC7">
        <w:rPr>
          <w:rFonts w:eastAsia="Times New Roman" w:cs="Times New Roman"/>
          <w:i/>
          <w:iCs/>
          <w:color w:val="000000"/>
          <w:kern w:val="0"/>
          <w:sz w:val="28"/>
          <w:szCs w:val="28"/>
          <w14:ligatures w14:val="none"/>
        </w:rPr>
        <w:fldChar w:fldCharType="begin"/>
      </w:r>
      <w:r w:rsidRPr="00E65CC7">
        <w:rPr>
          <w:rFonts w:cs="Times New Roman"/>
          <w:sz w:val="28"/>
          <w:szCs w:val="28"/>
        </w:rPr>
        <w:instrText xml:space="preserve"> TA \s "Baker v. General Motors Corp., 209 F.3d 1051, 1054 (8th Cir. 2000);" </w:instrText>
      </w:r>
      <w:r w:rsidRPr="00E65CC7">
        <w:rPr>
          <w:rFonts w:eastAsia="Times New Roman" w:cs="Times New Roman"/>
          <w:i/>
          <w:iCs/>
          <w:color w:val="000000"/>
          <w:kern w:val="0"/>
          <w:sz w:val="28"/>
          <w:szCs w:val="28"/>
          <w14:ligatures w14:val="none"/>
        </w:rPr>
        <w:fldChar w:fldCharType="end"/>
      </w:r>
      <w:r w:rsidRPr="00E65CC7">
        <w:rPr>
          <w:rFonts w:eastAsia="Times New Roman" w:cs="Times New Roman"/>
          <w:color w:val="000000"/>
          <w:kern w:val="0"/>
          <w:sz w:val="28"/>
          <w:szCs w:val="28"/>
          <w14:ligatures w14:val="none"/>
        </w:rPr>
        <w:t xml:space="preserve">, 209 F.3d at 1054; Armana Dep. 45:111–13. Armana chose what details to record or omit, in addition to writing their “own thoughts, follow-ups, questions, and theories” in red. Armana Dep. 46:147–143. As the Supreme Court explained in </w:t>
      </w:r>
      <w:r w:rsidRPr="00E65CC7">
        <w:rPr>
          <w:rFonts w:eastAsia="Times New Roman" w:cs="Times New Roman"/>
          <w:i/>
          <w:iCs/>
          <w:color w:val="000000"/>
          <w:kern w:val="0"/>
          <w:sz w:val="28"/>
          <w:szCs w:val="28"/>
          <w14:ligatures w14:val="none"/>
        </w:rPr>
        <w:t>Hickman</w:t>
      </w:r>
      <w:r w:rsidRPr="00E65CC7">
        <w:rPr>
          <w:rFonts w:eastAsia="Times New Roman" w:cs="Times New Roman"/>
          <w:i/>
          <w:iCs/>
          <w:color w:val="000000"/>
          <w:kern w:val="0"/>
          <w:sz w:val="28"/>
          <w:szCs w:val="28"/>
          <w14:ligatures w14:val="none"/>
        </w:rPr>
        <w:fldChar w:fldCharType="begin"/>
      </w:r>
      <w:r w:rsidRPr="00E65CC7">
        <w:rPr>
          <w:rFonts w:cs="Times New Roman"/>
          <w:sz w:val="28"/>
          <w:szCs w:val="28"/>
        </w:rPr>
        <w:instrText xml:space="preserve"> TA \s "Hickman v. Taylor, 329 U.S. 495, 510 (1947)" </w:instrText>
      </w:r>
      <w:r w:rsidRPr="00E65CC7">
        <w:rPr>
          <w:rFonts w:eastAsia="Times New Roman" w:cs="Times New Roman"/>
          <w:i/>
          <w:iCs/>
          <w:color w:val="000000"/>
          <w:kern w:val="0"/>
          <w:sz w:val="28"/>
          <w:szCs w:val="28"/>
          <w14:ligatures w14:val="none"/>
        </w:rPr>
        <w:fldChar w:fldCharType="end"/>
      </w:r>
      <w:r w:rsidRPr="00E65CC7">
        <w:rPr>
          <w:rFonts w:eastAsia="Times New Roman" w:cs="Times New Roman"/>
          <w:color w:val="000000"/>
          <w:kern w:val="0"/>
          <w:sz w:val="28"/>
          <w:szCs w:val="28"/>
          <w14:ligatures w14:val="none"/>
        </w:rPr>
        <w:t>, there is no showing of necessity that can be made to justify the production of oral statements made by witnesses (whether in memorandum or as mental impressions). 329 U.S. at 511. As such, the documents must be protected as opinion work-product.</w:t>
      </w:r>
    </w:p>
    <w:p w14:paraId="37386820" w14:textId="1F25BD05" w:rsidR="00CE6C98" w:rsidRPr="00E65CC7" w:rsidRDefault="00CE6C98" w:rsidP="00CE6C98">
      <w:pPr>
        <w:pStyle w:val="Heading1"/>
        <w:rPr>
          <w:rFonts w:cs="Times New Roman"/>
        </w:rPr>
      </w:pPr>
      <w:r w:rsidRPr="00E65CC7">
        <w:rPr>
          <w:rFonts w:cs="Times New Roman"/>
        </w:rPr>
        <w:lastRenderedPageBreak/>
        <w:t>CONCLUSION</w:t>
      </w:r>
      <w:bookmarkEnd w:id="13"/>
    </w:p>
    <w:p w14:paraId="575F3932" w14:textId="4CA102DC" w:rsidR="00E57BCB" w:rsidRPr="00E65CC7" w:rsidRDefault="00E57BCB" w:rsidP="00E57BCB">
      <w:pPr>
        <w:jc w:val="both"/>
        <w:rPr>
          <w:rFonts w:eastAsia="Times New Roman" w:cs="Times New Roman"/>
          <w:color w:val="000000"/>
          <w:kern w:val="0"/>
          <w:sz w:val="28"/>
          <w:szCs w:val="28"/>
          <w14:ligatures w14:val="none"/>
        </w:rPr>
      </w:pPr>
      <w:r w:rsidRPr="00E65CC7">
        <w:rPr>
          <w:rFonts w:eastAsia="Times New Roman" w:cs="Times New Roman"/>
          <w:color w:val="000000"/>
          <w:kern w:val="0"/>
          <w:sz w:val="28"/>
          <w:szCs w:val="28"/>
          <w14:ligatures w14:val="none"/>
        </w:rPr>
        <w:t xml:space="preserve">The motion to suppress must be granted because the </w:t>
      </w:r>
      <w:r w:rsidR="00F647B5">
        <w:rPr>
          <w:rFonts w:eastAsia="Times New Roman" w:cs="Times New Roman"/>
          <w:color w:val="000000"/>
          <w:kern w:val="0"/>
          <w:sz w:val="28"/>
          <w:szCs w:val="28"/>
          <w14:ligatures w14:val="none"/>
        </w:rPr>
        <w:t>G</w:t>
      </w:r>
      <w:r w:rsidRPr="00E65CC7">
        <w:rPr>
          <w:rFonts w:eastAsia="Times New Roman" w:cs="Times New Roman"/>
          <w:color w:val="000000"/>
          <w:kern w:val="0"/>
          <w:sz w:val="28"/>
          <w:szCs w:val="28"/>
          <w14:ligatures w14:val="none"/>
        </w:rPr>
        <w:t xml:space="preserve">overnment has failed to meet its burden and demonstrate that Exhibit 19 and Parker’s testimony stand on an independent basis other than Emily Calloway’s immunized testimony. Defendant’s subpoena duces tecum to their opposing counsel should be granted. There is no evidence to support bald assertions of undue hardship or substantial need. Should the order be granted, there would </w:t>
      </w:r>
      <w:proofErr w:type="gramStart"/>
      <w:r w:rsidRPr="00E65CC7">
        <w:rPr>
          <w:rFonts w:eastAsia="Times New Roman" w:cs="Times New Roman"/>
          <w:color w:val="000000"/>
          <w:kern w:val="0"/>
          <w:sz w:val="28"/>
          <w:szCs w:val="28"/>
          <w14:ligatures w14:val="none"/>
        </w:rPr>
        <w:t>exist</w:t>
      </w:r>
      <w:proofErr w:type="gramEnd"/>
      <w:r w:rsidRPr="00E65CC7">
        <w:rPr>
          <w:rFonts w:eastAsia="Times New Roman" w:cs="Times New Roman"/>
          <w:color w:val="000000"/>
          <w:kern w:val="0"/>
          <w:sz w:val="28"/>
          <w:szCs w:val="28"/>
          <w14:ligatures w14:val="none"/>
        </w:rPr>
        <w:t xml:space="preserve"> an inappropriate bypass of the complete privilege granted to opinion work-product. This motion to quash should be granted.</w:t>
      </w:r>
    </w:p>
    <w:p w14:paraId="6C8D2247" w14:textId="77777777" w:rsidR="00E65CC7" w:rsidRPr="00E65CC7" w:rsidRDefault="00E65CC7" w:rsidP="00E57BCB">
      <w:pPr>
        <w:jc w:val="both"/>
        <w:rPr>
          <w:rFonts w:eastAsia="Times New Roman" w:cs="Times New Roman"/>
          <w:color w:val="000000"/>
          <w:kern w:val="0"/>
          <w:sz w:val="28"/>
          <w:szCs w:val="28"/>
          <w14:ligatures w14:val="none"/>
        </w:rPr>
      </w:pPr>
    </w:p>
    <w:p w14:paraId="6285C277" w14:textId="77777777" w:rsidR="00E65CC7" w:rsidRPr="00E65CC7" w:rsidRDefault="00E65CC7" w:rsidP="00E65CC7">
      <w:pPr>
        <w:spacing w:line="240" w:lineRule="auto"/>
        <w:jc w:val="right"/>
        <w:rPr>
          <w:rFonts w:cs="Times New Roman"/>
          <w:sz w:val="28"/>
          <w:szCs w:val="28"/>
        </w:rPr>
      </w:pPr>
      <w:r w:rsidRPr="00E65CC7">
        <w:rPr>
          <w:rFonts w:cs="Times New Roman"/>
          <w:sz w:val="28"/>
          <w:szCs w:val="28"/>
        </w:rPr>
        <w:t>Respectfully submitted,</w:t>
      </w:r>
    </w:p>
    <w:p w14:paraId="40823655" w14:textId="77777777" w:rsidR="00E65CC7" w:rsidRPr="00E65CC7" w:rsidRDefault="00E65CC7" w:rsidP="00E65CC7">
      <w:pPr>
        <w:spacing w:line="240" w:lineRule="auto"/>
        <w:jc w:val="right"/>
        <w:rPr>
          <w:rFonts w:cs="Times New Roman"/>
          <w:sz w:val="28"/>
          <w:szCs w:val="28"/>
        </w:rPr>
      </w:pPr>
    </w:p>
    <w:p w14:paraId="7BEED892" w14:textId="77777777" w:rsidR="00E65CC7" w:rsidRPr="00E65CC7" w:rsidRDefault="00E65CC7" w:rsidP="00E65CC7">
      <w:pPr>
        <w:spacing w:line="240" w:lineRule="auto"/>
        <w:ind w:firstLine="0"/>
        <w:jc w:val="right"/>
        <w:rPr>
          <w:rFonts w:eastAsia="Times New Roman" w:cs="Times New Roman"/>
          <w:kern w:val="0"/>
          <w:sz w:val="28"/>
          <w:szCs w:val="28"/>
          <w14:ligatures w14:val="none"/>
        </w:rPr>
      </w:pPr>
      <w:r w:rsidRPr="00E65CC7">
        <w:rPr>
          <w:rFonts w:eastAsia="Times New Roman" w:cs="Times New Roman"/>
          <w:b/>
          <w:bCs/>
          <w:color w:val="000000"/>
          <w:kern w:val="0"/>
          <w:sz w:val="28"/>
          <w:szCs w:val="28"/>
          <w:u w:val="single"/>
          <w14:ligatures w14:val="none"/>
        </w:rPr>
        <w:t>/s/                         Team   303</w:t>
      </w:r>
    </w:p>
    <w:p w14:paraId="51764CA7" w14:textId="6B7ABD2C" w:rsidR="00E65CC7" w:rsidRPr="00E65CC7" w:rsidRDefault="00E65CC7" w:rsidP="00E65CC7">
      <w:pPr>
        <w:spacing w:line="240" w:lineRule="auto"/>
        <w:jc w:val="right"/>
        <w:rPr>
          <w:rFonts w:cs="Times New Roman"/>
          <w:b/>
          <w:bCs/>
          <w:i/>
          <w:iCs/>
          <w:sz w:val="28"/>
          <w:szCs w:val="28"/>
        </w:rPr>
      </w:pPr>
      <w:r w:rsidRPr="00E65CC7">
        <w:rPr>
          <w:rFonts w:cs="Times New Roman"/>
          <w:b/>
          <w:bCs/>
          <w:i/>
          <w:iCs/>
          <w:sz w:val="28"/>
          <w:szCs w:val="28"/>
        </w:rPr>
        <w:t>Attorneys for the Movant</w:t>
      </w:r>
    </w:p>
    <w:p w14:paraId="668B26DB" w14:textId="77777777" w:rsidR="00E65CC7" w:rsidRPr="00E65CC7" w:rsidRDefault="00E65CC7" w:rsidP="00E57BCB">
      <w:pPr>
        <w:jc w:val="both"/>
        <w:rPr>
          <w:rFonts w:eastAsia="Times New Roman" w:cs="Times New Roman"/>
          <w:kern w:val="0"/>
          <w:sz w:val="28"/>
          <w:szCs w:val="28"/>
          <w14:ligatures w14:val="none"/>
        </w:rPr>
      </w:pPr>
    </w:p>
    <w:p w14:paraId="7B221FCF" w14:textId="77777777" w:rsidR="00E57BCB" w:rsidRPr="00E65CC7" w:rsidRDefault="00E57BCB" w:rsidP="00E57BCB">
      <w:pPr>
        <w:spacing w:line="240" w:lineRule="auto"/>
        <w:ind w:firstLine="0"/>
        <w:rPr>
          <w:rFonts w:eastAsia="Times New Roman" w:cs="Times New Roman"/>
          <w:kern w:val="0"/>
          <w:sz w:val="28"/>
          <w:szCs w:val="28"/>
          <w14:ligatures w14:val="none"/>
        </w:rPr>
      </w:pPr>
    </w:p>
    <w:p w14:paraId="0C8ECECA" w14:textId="77777777" w:rsidR="00F046C7" w:rsidRPr="00E65CC7" w:rsidRDefault="00F046C7" w:rsidP="00F046C7">
      <w:pPr>
        <w:spacing w:line="240" w:lineRule="auto"/>
        <w:ind w:firstLine="0"/>
        <w:rPr>
          <w:rFonts w:eastAsia="Times New Roman" w:cs="Times New Roman"/>
          <w:kern w:val="0"/>
          <w:sz w:val="28"/>
          <w:szCs w:val="28"/>
          <w14:ligatures w14:val="none"/>
        </w:rPr>
      </w:pPr>
    </w:p>
    <w:p w14:paraId="205F22B5" w14:textId="77777777" w:rsidR="00F046C7" w:rsidRPr="00E65CC7" w:rsidRDefault="00F046C7" w:rsidP="00F046C7">
      <w:pPr>
        <w:ind w:firstLine="0"/>
        <w:rPr>
          <w:rFonts w:cs="Times New Roman"/>
          <w:sz w:val="28"/>
          <w:szCs w:val="28"/>
        </w:rPr>
      </w:pPr>
    </w:p>
    <w:p w14:paraId="2672E6ED" w14:textId="77777777" w:rsidR="00F046C7" w:rsidRPr="00E65CC7" w:rsidRDefault="00F046C7" w:rsidP="00F046C7">
      <w:pPr>
        <w:rPr>
          <w:rFonts w:cs="Times New Roman"/>
          <w:sz w:val="28"/>
          <w:szCs w:val="28"/>
        </w:rPr>
      </w:pPr>
    </w:p>
    <w:p w14:paraId="18B9A606" w14:textId="77777777" w:rsidR="00CE6C98" w:rsidRPr="00E65CC7" w:rsidRDefault="00CE6C98" w:rsidP="00CE6C98">
      <w:pPr>
        <w:ind w:firstLine="0"/>
        <w:jc w:val="center"/>
        <w:rPr>
          <w:rFonts w:cs="Times New Roman"/>
          <w:b/>
          <w:bCs/>
          <w:sz w:val="28"/>
          <w:szCs w:val="28"/>
          <w:u w:val="single"/>
        </w:rPr>
      </w:pPr>
    </w:p>
    <w:sectPr w:rsidR="00CE6C98" w:rsidRPr="00E65CC7" w:rsidSect="00E57BCB">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28568" w14:textId="77777777" w:rsidR="00FA4CA3" w:rsidRDefault="00FA4CA3" w:rsidP="00DF3DFA">
      <w:pPr>
        <w:spacing w:line="240" w:lineRule="auto"/>
      </w:pPr>
      <w:r>
        <w:separator/>
      </w:r>
    </w:p>
  </w:endnote>
  <w:endnote w:type="continuationSeparator" w:id="0">
    <w:p w14:paraId="46F88055" w14:textId="77777777" w:rsidR="00FA4CA3" w:rsidRDefault="00FA4CA3" w:rsidP="00DF3D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43919836"/>
      <w:docPartObj>
        <w:docPartGallery w:val="Page Numbers (Bottom of Page)"/>
        <w:docPartUnique/>
      </w:docPartObj>
    </w:sdtPr>
    <w:sdtEndPr>
      <w:rPr>
        <w:rStyle w:val="PageNumber"/>
      </w:rPr>
    </w:sdtEndPr>
    <w:sdtContent>
      <w:p w14:paraId="44C95460" w14:textId="4D76DBE6" w:rsidR="00E57BCB" w:rsidRDefault="00E57BCB" w:rsidP="00FF0BC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0D94DCC" w14:textId="77777777" w:rsidR="00E57BCB" w:rsidRDefault="00E57B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31536481"/>
      <w:docPartObj>
        <w:docPartGallery w:val="Page Numbers (Bottom of Page)"/>
        <w:docPartUnique/>
      </w:docPartObj>
    </w:sdtPr>
    <w:sdtEndPr>
      <w:rPr>
        <w:rStyle w:val="PageNumber"/>
      </w:rPr>
    </w:sdtEndPr>
    <w:sdtContent>
      <w:p w14:paraId="7CEFC63A" w14:textId="7E579F42" w:rsidR="00E57BCB" w:rsidRDefault="00E57BCB" w:rsidP="00E57BCB">
        <w:pPr>
          <w:pStyle w:val="Footer"/>
          <w:framePr w:wrap="none" w:vAnchor="text" w:hAnchor="margin" w:xAlign="center" w:y="1"/>
          <w:ind w:firstLine="0"/>
          <w:rPr>
            <w:rStyle w:val="PageNumber"/>
          </w:rPr>
        </w:pPr>
        <w:r w:rsidRPr="00E57BCB">
          <w:rPr>
            <w:rStyle w:val="PageNumber"/>
            <w:sz w:val="28"/>
            <w:szCs w:val="28"/>
          </w:rPr>
          <w:fldChar w:fldCharType="begin"/>
        </w:r>
        <w:r w:rsidRPr="00E57BCB">
          <w:rPr>
            <w:rStyle w:val="PageNumber"/>
            <w:sz w:val="28"/>
            <w:szCs w:val="28"/>
          </w:rPr>
          <w:instrText xml:space="preserve"> PAGE </w:instrText>
        </w:r>
        <w:r w:rsidRPr="00E57BCB">
          <w:rPr>
            <w:rStyle w:val="PageNumber"/>
            <w:sz w:val="28"/>
            <w:szCs w:val="28"/>
          </w:rPr>
          <w:fldChar w:fldCharType="separate"/>
        </w:r>
        <w:r w:rsidRPr="00E57BCB">
          <w:rPr>
            <w:rStyle w:val="PageNumber"/>
            <w:noProof/>
            <w:sz w:val="28"/>
            <w:szCs w:val="28"/>
          </w:rPr>
          <w:t>i</w:t>
        </w:r>
        <w:r w:rsidRPr="00E57BCB">
          <w:rPr>
            <w:rStyle w:val="PageNumber"/>
            <w:sz w:val="28"/>
            <w:szCs w:val="28"/>
          </w:rPr>
          <w:fldChar w:fldCharType="end"/>
        </w:r>
      </w:p>
    </w:sdtContent>
  </w:sdt>
  <w:p w14:paraId="4621BD87" w14:textId="77777777" w:rsidR="00E57BCB" w:rsidRDefault="00E57B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B177F" w14:textId="77777777" w:rsidR="00FA4CA3" w:rsidRDefault="00FA4CA3" w:rsidP="00DF3DFA">
      <w:pPr>
        <w:spacing w:line="240" w:lineRule="auto"/>
      </w:pPr>
      <w:r>
        <w:separator/>
      </w:r>
    </w:p>
  </w:footnote>
  <w:footnote w:type="continuationSeparator" w:id="0">
    <w:p w14:paraId="063B8ECE" w14:textId="77777777" w:rsidR="00FA4CA3" w:rsidRDefault="00FA4CA3" w:rsidP="00DF3DF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50A4E"/>
    <w:multiLevelType w:val="multilevel"/>
    <w:tmpl w:val="104CB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28591F"/>
    <w:multiLevelType w:val="hybridMultilevel"/>
    <w:tmpl w:val="6930C050"/>
    <w:lvl w:ilvl="0" w:tplc="6AF82514">
      <w:start w:val="1"/>
      <w:numFmt w:val="upperRoman"/>
      <w:pStyle w:val="Heading2"/>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263490"/>
    <w:multiLevelType w:val="multilevel"/>
    <w:tmpl w:val="834A1CFA"/>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0E66DB"/>
    <w:multiLevelType w:val="hybridMultilevel"/>
    <w:tmpl w:val="EF02CBB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2D539F"/>
    <w:multiLevelType w:val="hybridMultilevel"/>
    <w:tmpl w:val="BEDCB9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BF1F5B"/>
    <w:multiLevelType w:val="hybridMultilevel"/>
    <w:tmpl w:val="3176CC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7338DA"/>
    <w:multiLevelType w:val="multilevel"/>
    <w:tmpl w:val="3A5A1850"/>
    <w:lvl w:ilvl="0">
      <w:start w:val="1"/>
      <w:numFmt w:val="decimal"/>
      <w:pStyle w:val="Heading5"/>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6F23396"/>
    <w:multiLevelType w:val="hybridMultilevel"/>
    <w:tmpl w:val="6F441410"/>
    <w:lvl w:ilvl="0" w:tplc="F74CDDDE">
      <w:start w:val="2"/>
      <w:numFmt w:val="upperLetter"/>
      <w:lvlText w:val="%1."/>
      <w:lvlJc w:val="left"/>
      <w:pPr>
        <w:tabs>
          <w:tab w:val="num" w:pos="720"/>
        </w:tabs>
        <w:ind w:left="720" w:hanging="360"/>
      </w:pPr>
    </w:lvl>
    <w:lvl w:ilvl="1" w:tplc="06C295C6" w:tentative="1">
      <w:start w:val="1"/>
      <w:numFmt w:val="decimal"/>
      <w:lvlText w:val="%2."/>
      <w:lvlJc w:val="left"/>
      <w:pPr>
        <w:tabs>
          <w:tab w:val="num" w:pos="1440"/>
        </w:tabs>
        <w:ind w:left="1440" w:hanging="360"/>
      </w:pPr>
    </w:lvl>
    <w:lvl w:ilvl="2" w:tplc="538C76D2" w:tentative="1">
      <w:start w:val="1"/>
      <w:numFmt w:val="decimal"/>
      <w:lvlText w:val="%3."/>
      <w:lvlJc w:val="left"/>
      <w:pPr>
        <w:tabs>
          <w:tab w:val="num" w:pos="2160"/>
        </w:tabs>
        <w:ind w:left="2160" w:hanging="360"/>
      </w:pPr>
    </w:lvl>
    <w:lvl w:ilvl="3" w:tplc="D42E96FA" w:tentative="1">
      <w:start w:val="1"/>
      <w:numFmt w:val="decimal"/>
      <w:lvlText w:val="%4."/>
      <w:lvlJc w:val="left"/>
      <w:pPr>
        <w:tabs>
          <w:tab w:val="num" w:pos="2880"/>
        </w:tabs>
        <w:ind w:left="2880" w:hanging="360"/>
      </w:pPr>
    </w:lvl>
    <w:lvl w:ilvl="4" w:tplc="5A003656" w:tentative="1">
      <w:start w:val="1"/>
      <w:numFmt w:val="decimal"/>
      <w:lvlText w:val="%5."/>
      <w:lvlJc w:val="left"/>
      <w:pPr>
        <w:tabs>
          <w:tab w:val="num" w:pos="3600"/>
        </w:tabs>
        <w:ind w:left="3600" w:hanging="360"/>
      </w:pPr>
    </w:lvl>
    <w:lvl w:ilvl="5" w:tplc="E7AE8D2C" w:tentative="1">
      <w:start w:val="1"/>
      <w:numFmt w:val="decimal"/>
      <w:lvlText w:val="%6."/>
      <w:lvlJc w:val="left"/>
      <w:pPr>
        <w:tabs>
          <w:tab w:val="num" w:pos="4320"/>
        </w:tabs>
        <w:ind w:left="4320" w:hanging="360"/>
      </w:pPr>
    </w:lvl>
    <w:lvl w:ilvl="6" w:tplc="676E4182" w:tentative="1">
      <w:start w:val="1"/>
      <w:numFmt w:val="decimal"/>
      <w:lvlText w:val="%7."/>
      <w:lvlJc w:val="left"/>
      <w:pPr>
        <w:tabs>
          <w:tab w:val="num" w:pos="5040"/>
        </w:tabs>
        <w:ind w:left="5040" w:hanging="360"/>
      </w:pPr>
    </w:lvl>
    <w:lvl w:ilvl="7" w:tplc="8D22D886" w:tentative="1">
      <w:start w:val="1"/>
      <w:numFmt w:val="decimal"/>
      <w:lvlText w:val="%8."/>
      <w:lvlJc w:val="left"/>
      <w:pPr>
        <w:tabs>
          <w:tab w:val="num" w:pos="5760"/>
        </w:tabs>
        <w:ind w:left="5760" w:hanging="360"/>
      </w:pPr>
    </w:lvl>
    <w:lvl w:ilvl="8" w:tplc="23A8260A" w:tentative="1">
      <w:start w:val="1"/>
      <w:numFmt w:val="decimal"/>
      <w:lvlText w:val="%9."/>
      <w:lvlJc w:val="left"/>
      <w:pPr>
        <w:tabs>
          <w:tab w:val="num" w:pos="6480"/>
        </w:tabs>
        <w:ind w:left="6480" w:hanging="360"/>
      </w:pPr>
    </w:lvl>
  </w:abstractNum>
  <w:abstractNum w:abstractNumId="8" w15:restartNumberingAfterBreak="0">
    <w:nsid w:val="3C2A586F"/>
    <w:multiLevelType w:val="hybridMultilevel"/>
    <w:tmpl w:val="13D086C6"/>
    <w:lvl w:ilvl="0" w:tplc="CC6E21CA">
      <w:start w:val="1"/>
      <w:numFmt w:val="upperLetter"/>
      <w:pStyle w:val="Heading3"/>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202473"/>
    <w:multiLevelType w:val="multilevel"/>
    <w:tmpl w:val="F30A47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66439E6"/>
    <w:multiLevelType w:val="hybridMultilevel"/>
    <w:tmpl w:val="D550ECAC"/>
    <w:lvl w:ilvl="0" w:tplc="2CDEC8EA">
      <w:start w:val="3"/>
      <w:numFmt w:val="upperLetter"/>
      <w:lvlText w:val="%1."/>
      <w:lvlJc w:val="left"/>
      <w:pPr>
        <w:tabs>
          <w:tab w:val="num" w:pos="720"/>
        </w:tabs>
        <w:ind w:left="720" w:hanging="360"/>
      </w:pPr>
    </w:lvl>
    <w:lvl w:ilvl="1" w:tplc="3FB2130A" w:tentative="1">
      <w:start w:val="1"/>
      <w:numFmt w:val="decimal"/>
      <w:lvlText w:val="%2."/>
      <w:lvlJc w:val="left"/>
      <w:pPr>
        <w:tabs>
          <w:tab w:val="num" w:pos="1440"/>
        </w:tabs>
        <w:ind w:left="1440" w:hanging="360"/>
      </w:pPr>
    </w:lvl>
    <w:lvl w:ilvl="2" w:tplc="B82E6030" w:tentative="1">
      <w:start w:val="1"/>
      <w:numFmt w:val="decimal"/>
      <w:lvlText w:val="%3."/>
      <w:lvlJc w:val="left"/>
      <w:pPr>
        <w:tabs>
          <w:tab w:val="num" w:pos="2160"/>
        </w:tabs>
        <w:ind w:left="2160" w:hanging="360"/>
      </w:pPr>
    </w:lvl>
    <w:lvl w:ilvl="3" w:tplc="7604DE1A" w:tentative="1">
      <w:start w:val="1"/>
      <w:numFmt w:val="decimal"/>
      <w:lvlText w:val="%4."/>
      <w:lvlJc w:val="left"/>
      <w:pPr>
        <w:tabs>
          <w:tab w:val="num" w:pos="2880"/>
        </w:tabs>
        <w:ind w:left="2880" w:hanging="360"/>
      </w:pPr>
    </w:lvl>
    <w:lvl w:ilvl="4" w:tplc="1D92E99C" w:tentative="1">
      <w:start w:val="1"/>
      <w:numFmt w:val="decimal"/>
      <w:lvlText w:val="%5."/>
      <w:lvlJc w:val="left"/>
      <w:pPr>
        <w:tabs>
          <w:tab w:val="num" w:pos="3600"/>
        </w:tabs>
        <w:ind w:left="3600" w:hanging="360"/>
      </w:pPr>
    </w:lvl>
    <w:lvl w:ilvl="5" w:tplc="C8A2A626" w:tentative="1">
      <w:start w:val="1"/>
      <w:numFmt w:val="decimal"/>
      <w:lvlText w:val="%6."/>
      <w:lvlJc w:val="left"/>
      <w:pPr>
        <w:tabs>
          <w:tab w:val="num" w:pos="4320"/>
        </w:tabs>
        <w:ind w:left="4320" w:hanging="360"/>
      </w:pPr>
    </w:lvl>
    <w:lvl w:ilvl="6" w:tplc="8D0C913A" w:tentative="1">
      <w:start w:val="1"/>
      <w:numFmt w:val="decimal"/>
      <w:lvlText w:val="%7."/>
      <w:lvlJc w:val="left"/>
      <w:pPr>
        <w:tabs>
          <w:tab w:val="num" w:pos="5040"/>
        </w:tabs>
        <w:ind w:left="5040" w:hanging="360"/>
      </w:pPr>
    </w:lvl>
    <w:lvl w:ilvl="7" w:tplc="D20EF8A0" w:tentative="1">
      <w:start w:val="1"/>
      <w:numFmt w:val="decimal"/>
      <w:lvlText w:val="%8."/>
      <w:lvlJc w:val="left"/>
      <w:pPr>
        <w:tabs>
          <w:tab w:val="num" w:pos="5760"/>
        </w:tabs>
        <w:ind w:left="5760" w:hanging="360"/>
      </w:pPr>
    </w:lvl>
    <w:lvl w:ilvl="8" w:tplc="B9EACC64" w:tentative="1">
      <w:start w:val="1"/>
      <w:numFmt w:val="decimal"/>
      <w:lvlText w:val="%9."/>
      <w:lvlJc w:val="left"/>
      <w:pPr>
        <w:tabs>
          <w:tab w:val="num" w:pos="6480"/>
        </w:tabs>
        <w:ind w:left="6480" w:hanging="360"/>
      </w:pPr>
    </w:lvl>
  </w:abstractNum>
  <w:abstractNum w:abstractNumId="11" w15:restartNumberingAfterBreak="0">
    <w:nsid w:val="46781DB5"/>
    <w:multiLevelType w:val="hybridMultilevel"/>
    <w:tmpl w:val="E0B639EE"/>
    <w:lvl w:ilvl="0" w:tplc="15AE1130">
      <w:start w:val="1"/>
      <w:numFmt w:val="upperLetter"/>
      <w:lvlText w:val="%1."/>
      <w:lvlJc w:val="left"/>
      <w:pPr>
        <w:ind w:left="720" w:hanging="360"/>
      </w:pPr>
      <w:rPr>
        <w:rFonts w:hint="default"/>
        <w:color w:val="000000"/>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4AB7CF1"/>
    <w:multiLevelType w:val="multilevel"/>
    <w:tmpl w:val="FFE23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9D75D25"/>
    <w:multiLevelType w:val="multilevel"/>
    <w:tmpl w:val="284C75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3AF6E4E"/>
    <w:multiLevelType w:val="multilevel"/>
    <w:tmpl w:val="02082B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5693E15"/>
    <w:multiLevelType w:val="multilevel"/>
    <w:tmpl w:val="D9CABC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9E24038"/>
    <w:multiLevelType w:val="hybridMultilevel"/>
    <w:tmpl w:val="AE22FF7E"/>
    <w:lvl w:ilvl="0" w:tplc="49DA7EF0">
      <w:start w:val="1"/>
      <w:numFmt w:val="upperLetter"/>
      <w:pStyle w:val="Heading4"/>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250C92"/>
    <w:multiLevelType w:val="multilevel"/>
    <w:tmpl w:val="BE7897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D0C228E"/>
    <w:multiLevelType w:val="multilevel"/>
    <w:tmpl w:val="D6EE17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23446526">
    <w:abstractNumId w:val="13"/>
    <w:lvlOverride w:ilvl="0">
      <w:lvl w:ilvl="0">
        <w:numFmt w:val="upperRoman"/>
        <w:lvlText w:val="%1."/>
        <w:lvlJc w:val="right"/>
      </w:lvl>
    </w:lvlOverride>
  </w:num>
  <w:num w:numId="2" w16cid:durableId="1939174397">
    <w:abstractNumId w:val="18"/>
    <w:lvlOverride w:ilvl="0">
      <w:lvl w:ilvl="0">
        <w:numFmt w:val="upperLetter"/>
        <w:lvlText w:val="%1."/>
        <w:lvlJc w:val="left"/>
      </w:lvl>
    </w:lvlOverride>
  </w:num>
  <w:num w:numId="3" w16cid:durableId="1428965107">
    <w:abstractNumId w:val="7"/>
  </w:num>
  <w:num w:numId="4" w16cid:durableId="1621913487">
    <w:abstractNumId w:val="10"/>
  </w:num>
  <w:num w:numId="5" w16cid:durableId="1343432158">
    <w:abstractNumId w:val="1"/>
  </w:num>
  <w:num w:numId="6" w16cid:durableId="1882862187">
    <w:abstractNumId w:val="4"/>
  </w:num>
  <w:num w:numId="7" w16cid:durableId="429544974">
    <w:abstractNumId w:val="5"/>
  </w:num>
  <w:num w:numId="8" w16cid:durableId="1169953008">
    <w:abstractNumId w:val="3"/>
  </w:num>
  <w:num w:numId="9" w16cid:durableId="1394691624">
    <w:abstractNumId w:val="11"/>
  </w:num>
  <w:num w:numId="10" w16cid:durableId="980423510">
    <w:abstractNumId w:val="12"/>
    <w:lvlOverride w:ilvl="0">
      <w:lvl w:ilvl="0">
        <w:numFmt w:val="upperRoman"/>
        <w:lvlText w:val="%1."/>
        <w:lvlJc w:val="right"/>
      </w:lvl>
    </w:lvlOverride>
  </w:num>
  <w:num w:numId="11" w16cid:durableId="1514104939">
    <w:abstractNumId w:val="2"/>
    <w:lvlOverride w:ilvl="0">
      <w:lvl w:ilvl="0">
        <w:numFmt w:val="upperLetter"/>
        <w:lvlText w:val="%1."/>
        <w:lvlJc w:val="left"/>
      </w:lvl>
    </w:lvlOverride>
  </w:num>
  <w:num w:numId="12" w16cid:durableId="27024951">
    <w:abstractNumId w:val="6"/>
  </w:num>
  <w:num w:numId="13" w16cid:durableId="794445545">
    <w:abstractNumId w:val="9"/>
    <w:lvlOverride w:ilvl="0">
      <w:lvl w:ilvl="0">
        <w:numFmt w:val="upperLetter"/>
        <w:lvlText w:val="%1."/>
        <w:lvlJc w:val="left"/>
      </w:lvl>
    </w:lvlOverride>
  </w:num>
  <w:num w:numId="14" w16cid:durableId="1746994036">
    <w:abstractNumId w:val="17"/>
    <w:lvlOverride w:ilvl="0">
      <w:lvl w:ilvl="0">
        <w:numFmt w:val="upperLetter"/>
        <w:lvlText w:val="%1."/>
        <w:lvlJc w:val="left"/>
      </w:lvl>
    </w:lvlOverride>
  </w:num>
  <w:num w:numId="15" w16cid:durableId="190147104">
    <w:abstractNumId w:val="0"/>
    <w:lvlOverride w:ilvl="0">
      <w:lvl w:ilvl="0">
        <w:numFmt w:val="upperRoman"/>
        <w:lvlText w:val="%1."/>
        <w:lvlJc w:val="right"/>
      </w:lvl>
    </w:lvlOverride>
  </w:num>
  <w:num w:numId="16" w16cid:durableId="26684800">
    <w:abstractNumId w:val="14"/>
    <w:lvlOverride w:ilvl="0">
      <w:lvl w:ilvl="0">
        <w:numFmt w:val="upperLetter"/>
        <w:lvlText w:val="%1."/>
        <w:lvlJc w:val="left"/>
      </w:lvl>
    </w:lvlOverride>
  </w:num>
  <w:num w:numId="17" w16cid:durableId="1047879293">
    <w:abstractNumId w:val="15"/>
    <w:lvlOverride w:ilvl="0">
      <w:lvl w:ilvl="0">
        <w:numFmt w:val="upperLetter"/>
        <w:lvlText w:val="%1."/>
        <w:lvlJc w:val="left"/>
      </w:lvl>
    </w:lvlOverride>
  </w:num>
  <w:num w:numId="18" w16cid:durableId="1972704579">
    <w:abstractNumId w:val="1"/>
    <w:lvlOverride w:ilvl="0">
      <w:startOverride w:val="1"/>
    </w:lvlOverride>
  </w:num>
  <w:num w:numId="19" w16cid:durableId="1862359459">
    <w:abstractNumId w:val="1"/>
    <w:lvlOverride w:ilvl="0">
      <w:startOverride w:val="1"/>
    </w:lvlOverride>
  </w:num>
  <w:num w:numId="20" w16cid:durableId="429470832">
    <w:abstractNumId w:val="1"/>
    <w:lvlOverride w:ilvl="0">
      <w:startOverride w:val="1"/>
    </w:lvlOverride>
  </w:num>
  <w:num w:numId="21" w16cid:durableId="475142790">
    <w:abstractNumId w:val="8"/>
  </w:num>
  <w:num w:numId="22" w16cid:durableId="87047644">
    <w:abstractNumId w:val="1"/>
    <w:lvlOverride w:ilvl="0">
      <w:startOverride w:val="1"/>
    </w:lvlOverride>
  </w:num>
  <w:num w:numId="23" w16cid:durableId="11537006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C98"/>
    <w:rsid w:val="00053115"/>
    <w:rsid w:val="00061044"/>
    <w:rsid w:val="00070867"/>
    <w:rsid w:val="000D4F5C"/>
    <w:rsid w:val="001330F7"/>
    <w:rsid w:val="00137C6A"/>
    <w:rsid w:val="00166EF5"/>
    <w:rsid w:val="00194D71"/>
    <w:rsid w:val="00246BD4"/>
    <w:rsid w:val="002B452F"/>
    <w:rsid w:val="0032065C"/>
    <w:rsid w:val="003B2BB0"/>
    <w:rsid w:val="003D253F"/>
    <w:rsid w:val="00413D3E"/>
    <w:rsid w:val="004423CD"/>
    <w:rsid w:val="00492EB0"/>
    <w:rsid w:val="0051362A"/>
    <w:rsid w:val="005A0F38"/>
    <w:rsid w:val="005B3E4B"/>
    <w:rsid w:val="005C2F17"/>
    <w:rsid w:val="006134A9"/>
    <w:rsid w:val="00666409"/>
    <w:rsid w:val="006A3763"/>
    <w:rsid w:val="007141E5"/>
    <w:rsid w:val="00721D2A"/>
    <w:rsid w:val="00770BDA"/>
    <w:rsid w:val="00772411"/>
    <w:rsid w:val="007D7FB7"/>
    <w:rsid w:val="007E2A6B"/>
    <w:rsid w:val="00804BE8"/>
    <w:rsid w:val="008C104D"/>
    <w:rsid w:val="008C49C8"/>
    <w:rsid w:val="008C52F9"/>
    <w:rsid w:val="008F63D1"/>
    <w:rsid w:val="009D6208"/>
    <w:rsid w:val="009F2DEB"/>
    <w:rsid w:val="00AD44EA"/>
    <w:rsid w:val="00B33B06"/>
    <w:rsid w:val="00B574D6"/>
    <w:rsid w:val="00BA0262"/>
    <w:rsid w:val="00BB2234"/>
    <w:rsid w:val="00BB473B"/>
    <w:rsid w:val="00BF130F"/>
    <w:rsid w:val="00BF2729"/>
    <w:rsid w:val="00CB4F6B"/>
    <w:rsid w:val="00CD074E"/>
    <w:rsid w:val="00CE6C98"/>
    <w:rsid w:val="00D02190"/>
    <w:rsid w:val="00D0619F"/>
    <w:rsid w:val="00D43B45"/>
    <w:rsid w:val="00D54A5B"/>
    <w:rsid w:val="00D8732F"/>
    <w:rsid w:val="00DF3DFA"/>
    <w:rsid w:val="00E22546"/>
    <w:rsid w:val="00E44352"/>
    <w:rsid w:val="00E57BCB"/>
    <w:rsid w:val="00E65CC7"/>
    <w:rsid w:val="00E87638"/>
    <w:rsid w:val="00E9371F"/>
    <w:rsid w:val="00EB2899"/>
    <w:rsid w:val="00EC3DA4"/>
    <w:rsid w:val="00F046C7"/>
    <w:rsid w:val="00F22AE5"/>
    <w:rsid w:val="00F35D93"/>
    <w:rsid w:val="00F63D4C"/>
    <w:rsid w:val="00F647B5"/>
    <w:rsid w:val="00F83720"/>
    <w:rsid w:val="00FA4CA3"/>
    <w:rsid w:val="00FB48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3EE5272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7638"/>
    <w:rPr>
      <w:rFonts w:ascii="Times New Roman" w:hAnsi="Times New Roman"/>
    </w:rPr>
  </w:style>
  <w:style w:type="paragraph" w:styleId="Heading1">
    <w:name w:val="heading 1"/>
    <w:basedOn w:val="Normal"/>
    <w:next w:val="Normal"/>
    <w:link w:val="Heading1Char"/>
    <w:uiPriority w:val="9"/>
    <w:qFormat/>
    <w:rsid w:val="00CE6C98"/>
    <w:pPr>
      <w:ind w:firstLine="0"/>
      <w:jc w:val="center"/>
      <w:outlineLvl w:val="0"/>
    </w:pPr>
    <w:rPr>
      <w:b/>
      <w:bCs/>
      <w:sz w:val="28"/>
      <w:szCs w:val="28"/>
      <w:u w:val="single"/>
    </w:rPr>
  </w:style>
  <w:style w:type="paragraph" w:styleId="Heading2">
    <w:name w:val="heading 2"/>
    <w:basedOn w:val="NormalWeb"/>
    <w:next w:val="Normal"/>
    <w:link w:val="Heading2Char"/>
    <w:uiPriority w:val="9"/>
    <w:unhideWhenUsed/>
    <w:qFormat/>
    <w:rsid w:val="005A0F38"/>
    <w:pPr>
      <w:numPr>
        <w:numId w:val="5"/>
      </w:numPr>
      <w:spacing w:before="0" w:beforeAutospacing="0" w:after="200" w:afterAutospacing="0"/>
      <w:jc w:val="both"/>
      <w:textAlignment w:val="baseline"/>
      <w:outlineLvl w:val="1"/>
    </w:pPr>
    <w:rPr>
      <w:b/>
      <w:bCs/>
      <w:color w:val="000000"/>
      <w:sz w:val="28"/>
      <w:szCs w:val="28"/>
    </w:rPr>
  </w:style>
  <w:style w:type="paragraph" w:styleId="Heading3">
    <w:name w:val="heading 3"/>
    <w:basedOn w:val="ListParagraph"/>
    <w:next w:val="Normal"/>
    <w:link w:val="Heading3Char"/>
    <w:uiPriority w:val="9"/>
    <w:unhideWhenUsed/>
    <w:qFormat/>
    <w:rsid w:val="005A0F38"/>
    <w:pPr>
      <w:numPr>
        <w:numId w:val="21"/>
      </w:numPr>
      <w:spacing w:after="240" w:line="240" w:lineRule="auto"/>
      <w:jc w:val="both"/>
      <w:outlineLvl w:val="2"/>
    </w:pPr>
    <w:rPr>
      <w:b/>
      <w:bCs/>
      <w:sz w:val="28"/>
      <w:szCs w:val="28"/>
    </w:rPr>
  </w:style>
  <w:style w:type="paragraph" w:styleId="Heading4">
    <w:name w:val="heading 4"/>
    <w:basedOn w:val="ListParagraph"/>
    <w:next w:val="Normal"/>
    <w:link w:val="Heading4Char"/>
    <w:uiPriority w:val="9"/>
    <w:unhideWhenUsed/>
    <w:qFormat/>
    <w:rsid w:val="005A0F38"/>
    <w:pPr>
      <w:numPr>
        <w:numId w:val="23"/>
      </w:numPr>
      <w:spacing w:after="240" w:line="240" w:lineRule="auto"/>
      <w:outlineLvl w:val="3"/>
    </w:pPr>
    <w:rPr>
      <w:b/>
      <w:bCs/>
      <w:sz w:val="28"/>
      <w:szCs w:val="28"/>
    </w:rPr>
  </w:style>
  <w:style w:type="paragraph" w:styleId="Heading5">
    <w:name w:val="heading 5"/>
    <w:basedOn w:val="NormalWeb"/>
    <w:next w:val="Normal"/>
    <w:link w:val="Heading5Char"/>
    <w:uiPriority w:val="9"/>
    <w:unhideWhenUsed/>
    <w:qFormat/>
    <w:rsid w:val="005A0F38"/>
    <w:pPr>
      <w:numPr>
        <w:numId w:val="12"/>
      </w:numPr>
      <w:spacing w:before="0" w:beforeAutospacing="0" w:after="200" w:afterAutospacing="0"/>
      <w:ind w:left="1440"/>
      <w:jc w:val="both"/>
      <w:textAlignment w:val="baseline"/>
      <w:outlineLvl w:val="4"/>
    </w:pPr>
    <w:rPr>
      <w:b/>
      <w:bCs/>
      <w:color w:val="000000"/>
      <w:sz w:val="28"/>
      <w:szCs w:val="28"/>
    </w:rPr>
  </w:style>
  <w:style w:type="paragraph" w:styleId="Heading6">
    <w:name w:val="heading 6"/>
    <w:basedOn w:val="Normal"/>
    <w:next w:val="Normal"/>
    <w:link w:val="Heading6Char"/>
    <w:uiPriority w:val="9"/>
    <w:semiHidden/>
    <w:unhideWhenUsed/>
    <w:qFormat/>
    <w:rsid w:val="00CE6C9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E6C9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E6C9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E6C9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6C98"/>
    <w:rPr>
      <w:rFonts w:ascii="Times New Roman" w:hAnsi="Times New Roman"/>
      <w:b/>
      <w:bCs/>
      <w:sz w:val="28"/>
      <w:szCs w:val="28"/>
      <w:u w:val="single"/>
    </w:rPr>
  </w:style>
  <w:style w:type="character" w:customStyle="1" w:styleId="Heading2Char">
    <w:name w:val="Heading 2 Char"/>
    <w:basedOn w:val="DefaultParagraphFont"/>
    <w:link w:val="Heading2"/>
    <w:uiPriority w:val="9"/>
    <w:rsid w:val="005A0F38"/>
    <w:rPr>
      <w:rFonts w:ascii="Times New Roman" w:eastAsia="Times New Roman" w:hAnsi="Times New Roman" w:cs="Times New Roman"/>
      <w:b/>
      <w:bCs/>
      <w:color w:val="000000"/>
      <w:kern w:val="0"/>
      <w:sz w:val="28"/>
      <w:szCs w:val="28"/>
      <w14:ligatures w14:val="none"/>
    </w:rPr>
  </w:style>
  <w:style w:type="character" w:customStyle="1" w:styleId="Heading3Char">
    <w:name w:val="Heading 3 Char"/>
    <w:basedOn w:val="DefaultParagraphFont"/>
    <w:link w:val="Heading3"/>
    <w:uiPriority w:val="9"/>
    <w:rsid w:val="005A0F38"/>
    <w:rPr>
      <w:rFonts w:ascii="Times New Roman" w:hAnsi="Times New Roman"/>
      <w:b/>
      <w:bCs/>
      <w:sz w:val="28"/>
      <w:szCs w:val="28"/>
    </w:rPr>
  </w:style>
  <w:style w:type="character" w:customStyle="1" w:styleId="Heading4Char">
    <w:name w:val="Heading 4 Char"/>
    <w:basedOn w:val="DefaultParagraphFont"/>
    <w:link w:val="Heading4"/>
    <w:uiPriority w:val="9"/>
    <w:rsid w:val="005A0F38"/>
    <w:rPr>
      <w:rFonts w:ascii="Times New Roman" w:hAnsi="Times New Roman"/>
      <w:b/>
      <w:bCs/>
      <w:sz w:val="28"/>
      <w:szCs w:val="28"/>
    </w:rPr>
  </w:style>
  <w:style w:type="character" w:customStyle="1" w:styleId="Heading5Char">
    <w:name w:val="Heading 5 Char"/>
    <w:basedOn w:val="DefaultParagraphFont"/>
    <w:link w:val="Heading5"/>
    <w:uiPriority w:val="9"/>
    <w:rsid w:val="005A0F38"/>
    <w:rPr>
      <w:rFonts w:ascii="Times New Roman" w:eastAsia="Times New Roman" w:hAnsi="Times New Roman" w:cs="Times New Roman"/>
      <w:b/>
      <w:bCs/>
      <w:color w:val="000000"/>
      <w:kern w:val="0"/>
      <w:sz w:val="28"/>
      <w:szCs w:val="28"/>
      <w14:ligatures w14:val="none"/>
    </w:rPr>
  </w:style>
  <w:style w:type="character" w:customStyle="1" w:styleId="Heading6Char">
    <w:name w:val="Heading 6 Char"/>
    <w:basedOn w:val="DefaultParagraphFont"/>
    <w:link w:val="Heading6"/>
    <w:uiPriority w:val="9"/>
    <w:semiHidden/>
    <w:rsid w:val="00CE6C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6C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6C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6C98"/>
    <w:rPr>
      <w:rFonts w:eastAsiaTheme="majorEastAsia" w:cstheme="majorBidi"/>
      <w:color w:val="272727" w:themeColor="text1" w:themeTint="D8"/>
    </w:rPr>
  </w:style>
  <w:style w:type="paragraph" w:styleId="Title">
    <w:name w:val="Title"/>
    <w:basedOn w:val="Normal"/>
    <w:next w:val="Normal"/>
    <w:link w:val="TitleChar"/>
    <w:uiPriority w:val="10"/>
    <w:qFormat/>
    <w:rsid w:val="00CE6C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6C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6C98"/>
    <w:pPr>
      <w:numPr>
        <w:ilvl w:val="1"/>
      </w:numPr>
      <w:spacing w:after="160"/>
      <w:ind w:firstLine="72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6C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6C9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E6C98"/>
    <w:rPr>
      <w:rFonts w:ascii="Times New Roman" w:hAnsi="Times New Roman"/>
      <w:i/>
      <w:iCs/>
      <w:color w:val="404040" w:themeColor="text1" w:themeTint="BF"/>
    </w:rPr>
  </w:style>
  <w:style w:type="paragraph" w:styleId="ListParagraph">
    <w:name w:val="List Paragraph"/>
    <w:basedOn w:val="Normal"/>
    <w:uiPriority w:val="34"/>
    <w:qFormat/>
    <w:rsid w:val="00CE6C98"/>
    <w:pPr>
      <w:ind w:left="720"/>
      <w:contextualSpacing/>
    </w:pPr>
  </w:style>
  <w:style w:type="character" w:styleId="IntenseEmphasis">
    <w:name w:val="Intense Emphasis"/>
    <w:basedOn w:val="DefaultParagraphFont"/>
    <w:uiPriority w:val="21"/>
    <w:qFormat/>
    <w:rsid w:val="00CE6C98"/>
    <w:rPr>
      <w:i/>
      <w:iCs/>
      <w:color w:val="0F4761" w:themeColor="accent1" w:themeShade="BF"/>
    </w:rPr>
  </w:style>
  <w:style w:type="paragraph" w:styleId="IntenseQuote">
    <w:name w:val="Intense Quote"/>
    <w:basedOn w:val="Normal"/>
    <w:next w:val="Normal"/>
    <w:link w:val="IntenseQuoteChar"/>
    <w:uiPriority w:val="30"/>
    <w:qFormat/>
    <w:rsid w:val="00CE6C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6C98"/>
    <w:rPr>
      <w:rFonts w:ascii="Times New Roman" w:hAnsi="Times New Roman"/>
      <w:i/>
      <w:iCs/>
      <w:color w:val="0F4761" w:themeColor="accent1" w:themeShade="BF"/>
    </w:rPr>
  </w:style>
  <w:style w:type="character" w:styleId="IntenseReference">
    <w:name w:val="Intense Reference"/>
    <w:basedOn w:val="DefaultParagraphFont"/>
    <w:uiPriority w:val="32"/>
    <w:qFormat/>
    <w:rsid w:val="00CE6C98"/>
    <w:rPr>
      <w:b/>
      <w:bCs/>
      <w:smallCaps/>
      <w:color w:val="0F4761" w:themeColor="accent1" w:themeShade="BF"/>
      <w:spacing w:val="5"/>
    </w:rPr>
  </w:style>
  <w:style w:type="paragraph" w:styleId="NormalWeb">
    <w:name w:val="Normal (Web)"/>
    <w:basedOn w:val="Normal"/>
    <w:uiPriority w:val="99"/>
    <w:unhideWhenUsed/>
    <w:rsid w:val="00CE6C98"/>
    <w:pPr>
      <w:spacing w:before="100" w:beforeAutospacing="1" w:after="100" w:afterAutospacing="1" w:line="240" w:lineRule="auto"/>
      <w:ind w:firstLine="0"/>
    </w:pPr>
    <w:rPr>
      <w:rFonts w:eastAsia="Times New Roman" w:cs="Times New Roman"/>
      <w:kern w:val="0"/>
      <w14:ligatures w14:val="none"/>
    </w:rPr>
  </w:style>
  <w:style w:type="paragraph" w:styleId="NoSpacing">
    <w:name w:val="No Spacing"/>
    <w:uiPriority w:val="1"/>
    <w:qFormat/>
    <w:rsid w:val="00CE6C98"/>
    <w:pPr>
      <w:spacing w:line="240" w:lineRule="auto"/>
    </w:pPr>
    <w:rPr>
      <w:rFonts w:ascii="Times New Roman" w:hAnsi="Times New Roman"/>
    </w:rPr>
  </w:style>
  <w:style w:type="paragraph" w:styleId="TOC1">
    <w:name w:val="toc 1"/>
    <w:basedOn w:val="Normal"/>
    <w:next w:val="Normal"/>
    <w:autoRedefine/>
    <w:uiPriority w:val="39"/>
    <w:unhideWhenUsed/>
    <w:rsid w:val="00BB473B"/>
  </w:style>
  <w:style w:type="character" w:styleId="Hyperlink">
    <w:name w:val="Hyperlink"/>
    <w:basedOn w:val="DefaultParagraphFont"/>
    <w:uiPriority w:val="99"/>
    <w:unhideWhenUsed/>
    <w:rsid w:val="00CE6C98"/>
    <w:rPr>
      <w:color w:val="467886" w:themeColor="hyperlink"/>
      <w:u w:val="single"/>
    </w:rPr>
  </w:style>
  <w:style w:type="paragraph" w:styleId="Header">
    <w:name w:val="header"/>
    <w:basedOn w:val="Normal"/>
    <w:link w:val="HeaderChar"/>
    <w:uiPriority w:val="99"/>
    <w:unhideWhenUsed/>
    <w:rsid w:val="00DF3DFA"/>
    <w:pPr>
      <w:tabs>
        <w:tab w:val="center" w:pos="4680"/>
        <w:tab w:val="right" w:pos="9360"/>
      </w:tabs>
      <w:spacing w:line="240" w:lineRule="auto"/>
    </w:pPr>
  </w:style>
  <w:style w:type="character" w:customStyle="1" w:styleId="HeaderChar">
    <w:name w:val="Header Char"/>
    <w:basedOn w:val="DefaultParagraphFont"/>
    <w:link w:val="Header"/>
    <w:uiPriority w:val="99"/>
    <w:rsid w:val="00DF3DFA"/>
    <w:rPr>
      <w:rFonts w:ascii="Times New Roman" w:hAnsi="Times New Roman"/>
    </w:rPr>
  </w:style>
  <w:style w:type="paragraph" w:styleId="Footer">
    <w:name w:val="footer"/>
    <w:basedOn w:val="Normal"/>
    <w:link w:val="FooterChar"/>
    <w:uiPriority w:val="99"/>
    <w:unhideWhenUsed/>
    <w:rsid w:val="00DF3DFA"/>
    <w:pPr>
      <w:tabs>
        <w:tab w:val="center" w:pos="4680"/>
        <w:tab w:val="right" w:pos="9360"/>
      </w:tabs>
      <w:spacing w:line="240" w:lineRule="auto"/>
    </w:pPr>
  </w:style>
  <w:style w:type="character" w:customStyle="1" w:styleId="FooterChar">
    <w:name w:val="Footer Char"/>
    <w:basedOn w:val="DefaultParagraphFont"/>
    <w:link w:val="Footer"/>
    <w:uiPriority w:val="99"/>
    <w:rsid w:val="00DF3DFA"/>
    <w:rPr>
      <w:rFonts w:ascii="Times New Roman" w:hAnsi="Times New Roman"/>
    </w:rPr>
  </w:style>
  <w:style w:type="character" w:customStyle="1" w:styleId="apple-tab-span">
    <w:name w:val="apple-tab-span"/>
    <w:basedOn w:val="DefaultParagraphFont"/>
    <w:rsid w:val="00DF3DFA"/>
  </w:style>
  <w:style w:type="character" w:styleId="PageNumber">
    <w:name w:val="page number"/>
    <w:basedOn w:val="DefaultParagraphFont"/>
    <w:uiPriority w:val="99"/>
    <w:semiHidden/>
    <w:unhideWhenUsed/>
    <w:rsid w:val="00DF3DFA"/>
  </w:style>
  <w:style w:type="paragraph" w:styleId="TOAHeading">
    <w:name w:val="toa heading"/>
    <w:basedOn w:val="Normal"/>
    <w:next w:val="Normal"/>
    <w:uiPriority w:val="99"/>
    <w:semiHidden/>
    <w:unhideWhenUsed/>
    <w:rsid w:val="00804BE8"/>
    <w:pPr>
      <w:spacing w:before="120"/>
    </w:pPr>
    <w:rPr>
      <w:rFonts w:asciiTheme="majorHAnsi" w:eastAsiaTheme="majorEastAsia" w:hAnsiTheme="majorHAnsi" w:cstheme="majorBidi"/>
      <w:b/>
      <w:bCs/>
    </w:rPr>
  </w:style>
  <w:style w:type="paragraph" w:styleId="TableofAuthorities">
    <w:name w:val="table of authorities"/>
    <w:basedOn w:val="Normal"/>
    <w:next w:val="Normal"/>
    <w:uiPriority w:val="99"/>
    <w:unhideWhenUsed/>
    <w:rsid w:val="00EB2899"/>
    <w:pPr>
      <w:ind w:left="240" w:hanging="240"/>
    </w:pPr>
  </w:style>
  <w:style w:type="character" w:styleId="CommentReference">
    <w:name w:val="annotation reference"/>
    <w:basedOn w:val="DefaultParagraphFont"/>
    <w:uiPriority w:val="99"/>
    <w:semiHidden/>
    <w:unhideWhenUsed/>
    <w:rsid w:val="00F046C7"/>
    <w:rPr>
      <w:sz w:val="16"/>
      <w:szCs w:val="16"/>
    </w:rPr>
  </w:style>
  <w:style w:type="paragraph" w:styleId="CommentText">
    <w:name w:val="annotation text"/>
    <w:basedOn w:val="Normal"/>
    <w:link w:val="CommentTextChar"/>
    <w:uiPriority w:val="99"/>
    <w:semiHidden/>
    <w:unhideWhenUsed/>
    <w:rsid w:val="00F046C7"/>
    <w:pPr>
      <w:spacing w:line="240" w:lineRule="auto"/>
    </w:pPr>
    <w:rPr>
      <w:sz w:val="20"/>
      <w:szCs w:val="20"/>
    </w:rPr>
  </w:style>
  <w:style w:type="character" w:customStyle="1" w:styleId="CommentTextChar">
    <w:name w:val="Comment Text Char"/>
    <w:basedOn w:val="DefaultParagraphFont"/>
    <w:link w:val="CommentText"/>
    <w:uiPriority w:val="99"/>
    <w:semiHidden/>
    <w:rsid w:val="00F046C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F046C7"/>
    <w:rPr>
      <w:b/>
      <w:bCs/>
    </w:rPr>
  </w:style>
  <w:style w:type="character" w:customStyle="1" w:styleId="CommentSubjectChar">
    <w:name w:val="Comment Subject Char"/>
    <w:basedOn w:val="CommentTextChar"/>
    <w:link w:val="CommentSubject"/>
    <w:uiPriority w:val="99"/>
    <w:semiHidden/>
    <w:rsid w:val="00F046C7"/>
    <w:rPr>
      <w:rFonts w:ascii="Times New Roman" w:hAnsi="Times New Roman"/>
      <w:b/>
      <w:bCs/>
      <w:sz w:val="20"/>
      <w:szCs w:val="20"/>
    </w:rPr>
  </w:style>
  <w:style w:type="paragraph" w:styleId="TOC2">
    <w:name w:val="toc 2"/>
    <w:basedOn w:val="Normal"/>
    <w:next w:val="Normal"/>
    <w:autoRedefine/>
    <w:uiPriority w:val="39"/>
    <w:unhideWhenUsed/>
    <w:rsid w:val="006134A9"/>
    <w:pPr>
      <w:tabs>
        <w:tab w:val="left" w:pos="1440"/>
        <w:tab w:val="right" w:leader="dot" w:pos="9350"/>
      </w:tabs>
      <w:spacing w:after="240" w:line="240" w:lineRule="auto"/>
      <w:ind w:left="245" w:firstLine="0"/>
    </w:pPr>
    <w:rPr>
      <w:rFonts w:cs="Times New Roman"/>
      <w:b/>
      <w:bCs/>
      <w:noProof/>
      <w:color w:val="000000" w:themeColor="text1"/>
      <w:sz w:val="28"/>
      <w:szCs w:val="28"/>
    </w:rPr>
  </w:style>
  <w:style w:type="paragraph" w:styleId="TOC3">
    <w:name w:val="toc 3"/>
    <w:basedOn w:val="Normal"/>
    <w:next w:val="Normal"/>
    <w:autoRedefine/>
    <w:uiPriority w:val="39"/>
    <w:unhideWhenUsed/>
    <w:rsid w:val="006134A9"/>
    <w:pPr>
      <w:tabs>
        <w:tab w:val="left" w:pos="1680"/>
        <w:tab w:val="right" w:leader="dot" w:pos="9350"/>
      </w:tabs>
      <w:spacing w:after="240" w:line="240" w:lineRule="auto"/>
      <w:ind w:left="475" w:firstLine="0"/>
    </w:pPr>
    <w:rPr>
      <w:rFonts w:cs="Times New Roman"/>
      <w:noProof/>
      <w:color w:val="000000" w:themeColor="text1"/>
      <w:sz w:val="28"/>
      <w:szCs w:val="28"/>
    </w:rPr>
  </w:style>
  <w:style w:type="paragraph" w:styleId="TOC4">
    <w:name w:val="toc 4"/>
    <w:basedOn w:val="Normal"/>
    <w:next w:val="Normal"/>
    <w:autoRedefine/>
    <w:uiPriority w:val="39"/>
    <w:unhideWhenUsed/>
    <w:rsid w:val="00F63D4C"/>
    <w:pPr>
      <w:tabs>
        <w:tab w:val="left" w:pos="1200"/>
        <w:tab w:val="right" w:leader="dot" w:pos="9350"/>
      </w:tabs>
      <w:spacing w:after="240" w:line="240" w:lineRule="auto"/>
      <w:ind w:left="720" w:firstLine="0"/>
    </w:pPr>
    <w:rPr>
      <w:rFonts w:cs="Times New Roman"/>
      <w:noProof/>
      <w:color w:val="000000" w:themeColor="text1"/>
      <w:sz w:val="28"/>
      <w:szCs w:val="28"/>
    </w:rPr>
  </w:style>
  <w:style w:type="paragraph" w:styleId="TOC5">
    <w:name w:val="toc 5"/>
    <w:basedOn w:val="Normal"/>
    <w:next w:val="Normal"/>
    <w:autoRedefine/>
    <w:uiPriority w:val="39"/>
    <w:unhideWhenUsed/>
    <w:rsid w:val="00BB473B"/>
    <w:pPr>
      <w:tabs>
        <w:tab w:val="left" w:pos="1440"/>
        <w:tab w:val="right" w:leader="dot" w:pos="9350"/>
      </w:tabs>
      <w:spacing w:after="240" w:line="240" w:lineRule="auto"/>
      <w:ind w:left="965"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A01D7EFA89344A8F856027092B5075" ma:contentTypeVersion="21" ma:contentTypeDescription="Create a new document." ma:contentTypeScope="" ma:versionID="751ace066f2da9b693ab3f9a40a5a727">
  <xsd:schema xmlns:xsd="http://www.w3.org/2001/XMLSchema" xmlns:xs="http://www.w3.org/2001/XMLSchema" xmlns:p="http://schemas.microsoft.com/office/2006/metadata/properties" xmlns:ns1="http://schemas.microsoft.com/sharepoint/v3" xmlns:ns2="d33c2442-a497-4bf2-8178-c2e517c6367d" xmlns:ns3="57e9c615-4274-4914-b6df-8689fc6b3121" targetNamespace="http://schemas.microsoft.com/office/2006/metadata/properties" ma:root="true" ma:fieldsID="47964fbeece60e05f996b34e1c17b024" ns1:_="" ns2:_="" ns3:_="">
    <xsd:import namespace="http://schemas.microsoft.com/sharepoint/v3"/>
    <xsd:import namespace="d33c2442-a497-4bf2-8178-c2e517c6367d"/>
    <xsd:import namespace="57e9c615-4274-4914-b6df-8689fc6b312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3:SharedWithUsers" minOccurs="0"/>
                <xsd:element ref="ns3:SharedWithDetails"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3c2442-a497-4bf2-8178-c2e517c63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32881b5-e800-45b5-9690-d88bf9558ae5"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e9c615-4274-4914-b6df-8689fc6b3121"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f14c491-c4d9-41ef-b7d6-cda1cc50d378}" ma:internalName="TaxCatchAll" ma:showField="CatchAllData" ma:web="57e9c615-4274-4914-b6df-8689fc6b3121">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33c2442-a497-4bf2-8178-c2e517c6367d">
      <Terms xmlns="http://schemas.microsoft.com/office/infopath/2007/PartnerControls"/>
    </lcf76f155ced4ddcb4097134ff3c332f>
    <_ip_UnifiedCompliancePolicyProperties xmlns="http://schemas.microsoft.com/sharepoint/v3" xsi:nil="true"/>
    <TaxCatchAll xmlns="57e9c615-4274-4914-b6df-8689fc6b3121" xsi:nil="true"/>
  </documentManagement>
</p:properties>
</file>

<file path=customXml/itemProps1.xml><?xml version="1.0" encoding="utf-8"?>
<ds:datastoreItem xmlns:ds="http://schemas.openxmlformats.org/officeDocument/2006/customXml" ds:itemID="{DC009EAD-A55A-4B39-9161-D4D72E851EE1}"/>
</file>

<file path=customXml/itemProps2.xml><?xml version="1.0" encoding="utf-8"?>
<ds:datastoreItem xmlns:ds="http://schemas.openxmlformats.org/officeDocument/2006/customXml" ds:itemID="{752C4DB5-30B6-4664-B5E1-97FF5B9FF4FD}"/>
</file>

<file path=customXml/itemProps3.xml><?xml version="1.0" encoding="utf-8"?>
<ds:datastoreItem xmlns:ds="http://schemas.openxmlformats.org/officeDocument/2006/customXml" ds:itemID="{41954B05-09B3-4148-8478-6E91B07F8ED2}"/>
</file>

<file path=docProps/app.xml><?xml version="1.0" encoding="utf-8"?>
<Properties xmlns="http://schemas.openxmlformats.org/officeDocument/2006/extended-properties" xmlns:vt="http://schemas.openxmlformats.org/officeDocument/2006/docPropsVTypes">
  <Template>Normal.dotm</Template>
  <TotalTime>0</TotalTime>
  <Pages>24</Pages>
  <Words>6168</Words>
  <Characters>35164</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2026-09-09T00:29:00Z</dcterms:created>
  <dcterms:modified xsi:type="dcterms:W3CDTF">2026-09-09T00:30:00Z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0x010100E5A01D7EFA89344A8F856027092B5075</vt:lpwstr>
  </property>
</Properties>
</file>