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B4713" w:rsidRDefault="003B4713">
      <w:pPr>
        <w:spacing w:line="240" w:lineRule="auto"/>
        <w:rPr>
          <w:rFonts w:ascii="Times New Roman" w:eastAsia="Times New Roman" w:hAnsi="Times New Roman" w:cs="Times New Roman"/>
          <w:sz w:val="26"/>
          <w:szCs w:val="26"/>
        </w:rPr>
      </w:pPr>
    </w:p>
    <w:p w14:paraId="00000002" w14:textId="77777777" w:rsidR="003B4713" w:rsidRDefault="003B4713">
      <w:pPr>
        <w:spacing w:line="240" w:lineRule="auto"/>
        <w:rPr>
          <w:rFonts w:ascii="Times New Roman" w:eastAsia="Times New Roman" w:hAnsi="Times New Roman" w:cs="Times New Roman"/>
          <w:sz w:val="26"/>
          <w:szCs w:val="26"/>
        </w:rPr>
      </w:pPr>
    </w:p>
    <w:p w14:paraId="00000003" w14:textId="77777777" w:rsidR="003B4713" w:rsidRDefault="00300D6C">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TEAM: 302</w:t>
      </w:r>
    </w:p>
    <w:p w14:paraId="00000004" w14:textId="77777777" w:rsidR="003B4713" w:rsidRDefault="00300D6C">
      <w:pPr>
        <w:spacing w:line="240" w:lineRule="auto"/>
        <w:rPr>
          <w:rFonts w:ascii="Times New Roman" w:eastAsia="Times New Roman" w:hAnsi="Times New Roman" w:cs="Times New Roman"/>
          <w:b/>
          <w:bCs/>
          <w:sz w:val="26"/>
          <w:szCs w:val="26"/>
        </w:rPr>
      </w:pPr>
      <w:r>
        <w:pict w14:anchorId="29F4F45D">
          <v:rect id="Horizontal Line 1" o:spid="_x0000_s2053"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000005" w14:textId="77777777" w:rsidR="003B4713" w:rsidRDefault="003B4713">
      <w:pPr>
        <w:spacing w:line="240" w:lineRule="auto"/>
        <w:jc w:val="center"/>
        <w:rPr>
          <w:rFonts w:ascii="Times New Roman" w:eastAsia="Times New Roman" w:hAnsi="Times New Roman" w:cs="Times New Roman"/>
          <w:b/>
          <w:bCs/>
          <w:sz w:val="26"/>
          <w:szCs w:val="26"/>
        </w:rPr>
      </w:pPr>
    </w:p>
    <w:p w14:paraId="00000006" w14:textId="77777777" w:rsidR="003B4713" w:rsidRDefault="00300D6C">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IN THE UNITED STATES DISTRICT COURT</w:t>
      </w:r>
    </w:p>
    <w:p w14:paraId="00000007" w14:textId="77777777" w:rsidR="003B4713" w:rsidRDefault="00300D6C">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THE FOURTEENTH JUDICIAL DISTRICT</w:t>
      </w:r>
    </w:p>
    <w:p w14:paraId="00000008" w14:textId="77777777" w:rsidR="003B4713" w:rsidRDefault="003B4713">
      <w:pPr>
        <w:spacing w:line="240" w:lineRule="auto"/>
        <w:jc w:val="center"/>
        <w:rPr>
          <w:rFonts w:ascii="Times New Roman" w:eastAsia="Times New Roman" w:hAnsi="Times New Roman" w:cs="Times New Roman"/>
          <w:b/>
          <w:bCs/>
          <w:sz w:val="26"/>
          <w:szCs w:val="26"/>
        </w:rPr>
      </w:pPr>
    </w:p>
    <w:p w14:paraId="00000009" w14:textId="77777777" w:rsidR="003B4713" w:rsidRDefault="00300D6C">
      <w:pPr>
        <w:spacing w:line="240" w:lineRule="auto"/>
        <w:rPr>
          <w:rFonts w:ascii="Times New Roman" w:eastAsia="Times New Roman" w:hAnsi="Times New Roman" w:cs="Times New Roman"/>
          <w:sz w:val="26"/>
          <w:szCs w:val="26"/>
        </w:rPr>
      </w:pPr>
      <w:r>
        <w:pict w14:anchorId="1F3204F1">
          <v:rect id="Horizontal Line 2" o:spid="_x0000_s2052"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00000A" w14:textId="77777777" w:rsidR="003B4713" w:rsidRDefault="003B4713">
      <w:pPr>
        <w:spacing w:after="160" w:line="259" w:lineRule="auto"/>
        <w:jc w:val="center"/>
        <w:rPr>
          <w:rFonts w:ascii="Times New Roman" w:eastAsia="Times New Roman" w:hAnsi="Times New Roman" w:cs="Times New Roman"/>
          <w:b/>
          <w:bCs/>
          <w:sz w:val="26"/>
          <w:szCs w:val="26"/>
        </w:rPr>
      </w:pPr>
    </w:p>
    <w:p w14:paraId="0000000B" w14:textId="77777777" w:rsidR="003B4713" w:rsidRDefault="003B4713">
      <w:pPr>
        <w:spacing w:after="160" w:line="259" w:lineRule="auto"/>
        <w:jc w:val="center"/>
        <w:rPr>
          <w:rFonts w:ascii="Times New Roman" w:eastAsia="Times New Roman" w:hAnsi="Times New Roman" w:cs="Times New Roman"/>
          <w:b/>
          <w:bCs/>
          <w:sz w:val="26"/>
          <w:szCs w:val="26"/>
        </w:rPr>
      </w:pPr>
    </w:p>
    <w:p w14:paraId="0000000C" w14:textId="77777777" w:rsidR="003B4713" w:rsidRDefault="00300D6C">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UNITED STATES OF AMERICA,</w:t>
      </w:r>
    </w:p>
    <w:p w14:paraId="0000000D" w14:textId="77777777" w:rsidR="003B4713" w:rsidRDefault="003B4713">
      <w:pPr>
        <w:spacing w:after="160" w:line="259" w:lineRule="auto"/>
        <w:rPr>
          <w:rFonts w:ascii="Times New Roman" w:eastAsia="Times New Roman" w:hAnsi="Times New Roman" w:cs="Times New Roman"/>
          <w:i/>
          <w:iCs/>
          <w:sz w:val="26"/>
          <w:szCs w:val="26"/>
        </w:rPr>
      </w:pPr>
    </w:p>
    <w:p w14:paraId="0000000E" w14:textId="77777777" w:rsidR="003B4713" w:rsidRDefault="00300D6C">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vs.</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Case No. 2005-CF-00416</w:t>
      </w:r>
    </w:p>
    <w:p w14:paraId="0000000F" w14:textId="77777777" w:rsidR="003B4713" w:rsidRDefault="00300D6C">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w:t>
      </w:r>
    </w:p>
    <w:p w14:paraId="00000010" w14:textId="77777777" w:rsidR="003B4713" w:rsidRDefault="00300D6C">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EMILY CALLOWAY</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 xml:space="preserve">          </w:t>
      </w:r>
    </w:p>
    <w:p w14:paraId="00000011" w14:textId="77777777" w:rsidR="003B4713" w:rsidRDefault="003B4713">
      <w:pPr>
        <w:spacing w:after="160" w:line="259" w:lineRule="auto"/>
        <w:rPr>
          <w:rFonts w:ascii="Times New Roman" w:eastAsia="Times New Roman" w:hAnsi="Times New Roman" w:cs="Times New Roman"/>
          <w:b/>
          <w:bCs/>
          <w:sz w:val="26"/>
          <w:szCs w:val="26"/>
        </w:rPr>
      </w:pPr>
    </w:p>
    <w:p w14:paraId="00000012" w14:textId="77777777" w:rsidR="003B4713" w:rsidRDefault="00300D6C">
      <w:pPr>
        <w:spacing w:after="160" w:line="259" w:lineRule="auto"/>
        <w:ind w:left="720" w:firstLine="720"/>
        <w:rPr>
          <w:rFonts w:ascii="Times New Roman" w:eastAsia="Times New Roman" w:hAnsi="Times New Roman" w:cs="Times New Roman"/>
          <w:i/>
          <w:iCs/>
          <w:sz w:val="26"/>
          <w:szCs w:val="26"/>
        </w:rPr>
      </w:pPr>
      <w:r>
        <w:rPr>
          <w:rFonts w:ascii="Times New Roman" w:eastAsia="Times New Roman" w:hAnsi="Times New Roman" w:cs="Times New Roman"/>
          <w:sz w:val="26"/>
          <w:szCs w:val="26"/>
        </w:rPr>
        <w:t>Defendant</w:t>
      </w:r>
      <w:r>
        <w:rPr>
          <w:rFonts w:ascii="Times New Roman" w:eastAsia="Times New Roman" w:hAnsi="Times New Roman" w:cs="Times New Roman"/>
          <w:i/>
          <w:iCs/>
          <w:sz w:val="26"/>
          <w:szCs w:val="26"/>
        </w:rPr>
        <w:t>.</w:t>
      </w:r>
    </w:p>
    <w:p w14:paraId="00000013" w14:textId="77777777" w:rsidR="003B4713" w:rsidRDefault="003B4713">
      <w:pPr>
        <w:spacing w:after="160" w:line="259" w:lineRule="auto"/>
        <w:rPr>
          <w:rFonts w:ascii="Times New Roman" w:eastAsia="Times New Roman" w:hAnsi="Times New Roman" w:cs="Times New Roman"/>
          <w:b/>
          <w:bCs/>
          <w:sz w:val="26"/>
          <w:szCs w:val="26"/>
        </w:rPr>
      </w:pPr>
    </w:p>
    <w:p w14:paraId="00000014" w14:textId="77777777" w:rsidR="003B4713" w:rsidRDefault="00300D6C">
      <w:pPr>
        <w:spacing w:line="259" w:lineRule="auto"/>
        <w:rPr>
          <w:rFonts w:ascii="Times New Roman" w:eastAsia="Times New Roman" w:hAnsi="Times New Roman" w:cs="Times New Roman"/>
          <w:sz w:val="26"/>
          <w:szCs w:val="26"/>
        </w:rPr>
      </w:pPr>
      <w:r>
        <w:pict w14:anchorId="5F0EAA2E">
          <v:rect id="Horizontal Line 3" o:spid="_x0000_s2051"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000015" w14:textId="77777777" w:rsidR="003B4713" w:rsidRDefault="003B4713">
      <w:pPr>
        <w:spacing w:line="240" w:lineRule="auto"/>
        <w:rPr>
          <w:rFonts w:ascii="Times New Roman" w:eastAsia="Times New Roman" w:hAnsi="Times New Roman" w:cs="Times New Roman"/>
          <w:sz w:val="26"/>
          <w:szCs w:val="26"/>
        </w:rPr>
      </w:pPr>
    </w:p>
    <w:p w14:paraId="00000016" w14:textId="77777777" w:rsidR="003B4713" w:rsidRDefault="00300D6C">
      <w:pPr>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THE UNITED STATES’ MEMORDANDUM IN OPPOSITION TO </w:t>
      </w:r>
    </w:p>
    <w:p w14:paraId="00000017" w14:textId="77777777" w:rsidR="003B4713" w:rsidRDefault="00300D6C">
      <w:pPr>
        <w:spacing w:line="240" w:lineRule="auto"/>
        <w:jc w:val="center"/>
        <w:rPr>
          <w:rFonts w:ascii="Times New Roman" w:eastAsia="Times New Roman" w:hAnsi="Times New Roman" w:cs="Times New Roman"/>
          <w:b/>
          <w:bCs/>
          <w:sz w:val="26"/>
          <w:szCs w:val="26"/>
          <w:highlight w:val="yellow"/>
        </w:rPr>
      </w:pPr>
      <w:r>
        <w:rPr>
          <w:rFonts w:ascii="Times New Roman" w:eastAsia="Times New Roman" w:hAnsi="Times New Roman" w:cs="Times New Roman"/>
          <w:b/>
          <w:bCs/>
          <w:sz w:val="26"/>
          <w:szCs w:val="26"/>
        </w:rPr>
        <w:t>THE DEFENSE’S MOTION TO SUPPRESS AND IN OPPOSITION TO THE DEFENSE’S MOTION TO QUASH</w:t>
      </w:r>
      <w:r>
        <w:rPr>
          <w:rFonts w:ascii="Times New Roman" w:eastAsia="Times New Roman" w:hAnsi="Times New Roman" w:cs="Times New Roman"/>
          <w:b/>
          <w:bCs/>
          <w:sz w:val="26"/>
          <w:szCs w:val="26"/>
          <w:highlight w:val="yellow"/>
        </w:rPr>
        <w:t xml:space="preserve"> </w:t>
      </w:r>
    </w:p>
    <w:p w14:paraId="00000018" w14:textId="77777777" w:rsidR="003B4713" w:rsidRDefault="003B4713">
      <w:pPr>
        <w:spacing w:line="240" w:lineRule="auto"/>
        <w:jc w:val="center"/>
        <w:rPr>
          <w:rFonts w:ascii="Times New Roman" w:eastAsia="Times New Roman" w:hAnsi="Times New Roman" w:cs="Times New Roman"/>
          <w:b/>
          <w:bCs/>
          <w:sz w:val="26"/>
          <w:szCs w:val="26"/>
          <w:highlight w:val="yellow"/>
        </w:rPr>
      </w:pPr>
    </w:p>
    <w:p w14:paraId="00000019" w14:textId="77777777" w:rsidR="003B4713" w:rsidRDefault="00300D6C">
      <w:pPr>
        <w:spacing w:line="240" w:lineRule="auto"/>
        <w:rPr>
          <w:rFonts w:ascii="Times New Roman" w:eastAsia="Times New Roman" w:hAnsi="Times New Roman" w:cs="Times New Roman"/>
          <w:sz w:val="26"/>
          <w:szCs w:val="26"/>
        </w:rPr>
      </w:pPr>
      <w:r>
        <w:pict w14:anchorId="66A9F026">
          <v:rect id="Horizontal Line 4" o:spid="_x0000_s2050" style="width:468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000001A" w14:textId="77777777" w:rsidR="003B4713" w:rsidRDefault="003B4713">
      <w:pPr>
        <w:spacing w:line="240" w:lineRule="auto"/>
        <w:rPr>
          <w:rFonts w:ascii="Times New Roman" w:eastAsia="Times New Roman" w:hAnsi="Times New Roman" w:cs="Times New Roman"/>
          <w:sz w:val="26"/>
          <w:szCs w:val="26"/>
        </w:rPr>
      </w:pPr>
    </w:p>
    <w:p w14:paraId="0000001B" w14:textId="77777777" w:rsidR="003B4713" w:rsidRDefault="00300D6C">
      <w:pPr>
        <w:spacing w:line="240" w:lineRule="auto"/>
        <w:jc w:val="right"/>
        <w:rPr>
          <w:rFonts w:ascii="Times New Roman" w:eastAsia="Times New Roman" w:hAnsi="Times New Roman" w:cs="Times New Roman"/>
          <w:i/>
          <w:iCs/>
          <w:sz w:val="26"/>
          <w:szCs w:val="26"/>
          <w:u w:val="single"/>
        </w:rPr>
      </w:pPr>
      <w:r>
        <w:rPr>
          <w:rFonts w:ascii="Times New Roman" w:eastAsia="Times New Roman" w:hAnsi="Times New Roman" w:cs="Times New Roman"/>
          <w:i/>
          <w:iCs/>
          <w:sz w:val="26"/>
          <w:szCs w:val="26"/>
          <w:u w:val="single"/>
        </w:rPr>
        <w:t>/s/ TEAM 302</w:t>
      </w:r>
    </w:p>
    <w:p w14:paraId="0000001C" w14:textId="77777777" w:rsidR="003B4713" w:rsidRDefault="00300D6C">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TEAM 302</w:t>
      </w:r>
    </w:p>
    <w:p w14:paraId="0000001D" w14:textId="77777777" w:rsidR="003B4713" w:rsidRDefault="00300D6C">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p>
    <w:p w14:paraId="0000001E" w14:textId="77777777" w:rsidR="003B4713" w:rsidRDefault="003B4713">
      <w:pPr>
        <w:spacing w:line="240" w:lineRule="auto"/>
        <w:jc w:val="right"/>
        <w:rPr>
          <w:rFonts w:ascii="Times New Roman" w:eastAsia="Times New Roman" w:hAnsi="Times New Roman" w:cs="Times New Roman"/>
          <w:i/>
          <w:iCs/>
          <w:sz w:val="26"/>
          <w:szCs w:val="26"/>
        </w:rPr>
      </w:pPr>
    </w:p>
    <w:p w14:paraId="0000001F" w14:textId="77777777" w:rsidR="003B4713" w:rsidRDefault="00300D6C">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Counsel for the United States</w:t>
      </w:r>
    </w:p>
    <w:p w14:paraId="00000020" w14:textId="77777777" w:rsidR="003B4713" w:rsidRDefault="003B4713">
      <w:pPr>
        <w:spacing w:after="160" w:line="259" w:lineRule="auto"/>
        <w:rPr>
          <w:rFonts w:ascii="Times New Roman" w:eastAsia="Times New Roman" w:hAnsi="Times New Roman" w:cs="Times New Roman"/>
          <w:b/>
          <w:bCs/>
          <w:sz w:val="26"/>
          <w:szCs w:val="26"/>
        </w:rPr>
        <w:sectPr w:rsidR="003B4713">
          <w:footerReference w:type="default" r:id="rId7"/>
          <w:pgSz w:w="12240" w:h="15840"/>
          <w:pgMar w:top="1440" w:right="1440" w:bottom="1440" w:left="1440" w:header="720" w:footer="720" w:gutter="0"/>
          <w:pgNumType w:start="1"/>
          <w:cols w:space="720"/>
          <w:titlePg/>
        </w:sectPr>
      </w:pPr>
    </w:p>
    <w:p w14:paraId="00000021" w14:textId="77777777" w:rsidR="003B4713" w:rsidRDefault="00300D6C">
      <w:pPr>
        <w:spacing w:after="160" w:line="259"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TABLE OF CONTENTS</w:t>
      </w:r>
    </w:p>
    <w:p w14:paraId="00000022" w14:textId="77777777" w:rsidR="003B4713" w:rsidRDefault="003B4713">
      <w:pPr>
        <w:spacing w:after="160" w:line="259" w:lineRule="auto"/>
        <w:rPr>
          <w:rFonts w:ascii="Times New Roman" w:eastAsia="Times New Roman" w:hAnsi="Times New Roman" w:cs="Times New Roman"/>
          <w:b/>
          <w:bCs/>
          <w:sz w:val="26"/>
          <w:szCs w:val="26"/>
        </w:rPr>
      </w:pPr>
    </w:p>
    <w:p w14:paraId="00000023" w14:textId="2DEDA19D" w:rsidR="003B4713" w:rsidRDefault="00300D6C">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TABLE OF AUTHORITIES..................................................................................................................</w:t>
      </w:r>
      <w:r w:rsidR="00DE2FFD">
        <w:rPr>
          <w:rFonts w:ascii="Times New Roman" w:eastAsia="Times New Roman" w:hAnsi="Times New Roman" w:cs="Times New Roman"/>
          <w:sz w:val="26"/>
          <w:szCs w:val="26"/>
        </w:rPr>
        <w:t>iii</w:t>
      </w:r>
    </w:p>
    <w:p w14:paraId="00000024" w14:textId="77777777" w:rsidR="003B4713" w:rsidRDefault="00300D6C">
      <w:p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00000025" w14:textId="77777777" w:rsidR="003B4713" w:rsidRDefault="00300D6C">
      <w:pPr>
        <w:spacing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INTRODUCTION...............................................................................................................1</w:t>
      </w:r>
    </w:p>
    <w:p w14:paraId="00000026" w14:textId="77777777" w:rsidR="003B4713" w:rsidRDefault="003B4713">
      <w:pPr>
        <w:spacing w:line="259" w:lineRule="auto"/>
        <w:rPr>
          <w:rFonts w:ascii="Times New Roman" w:eastAsia="Times New Roman" w:hAnsi="Times New Roman" w:cs="Times New Roman"/>
          <w:sz w:val="26"/>
          <w:szCs w:val="26"/>
        </w:rPr>
      </w:pPr>
    </w:p>
    <w:p w14:paraId="00000027" w14:textId="77777777" w:rsidR="003B4713" w:rsidRDefault="00300D6C">
      <w:pPr>
        <w:spacing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STATEMENT OF THE FACTS.................................................................................................................................2</w:t>
      </w:r>
    </w:p>
    <w:p w14:paraId="00000028" w14:textId="77777777" w:rsidR="003B4713" w:rsidRDefault="003B4713">
      <w:pPr>
        <w:spacing w:line="259" w:lineRule="auto"/>
        <w:rPr>
          <w:rFonts w:ascii="Times New Roman" w:eastAsia="Times New Roman" w:hAnsi="Times New Roman" w:cs="Times New Roman"/>
          <w:sz w:val="26"/>
          <w:szCs w:val="26"/>
        </w:rPr>
      </w:pPr>
    </w:p>
    <w:p w14:paraId="00000029" w14:textId="17F4390F" w:rsidR="003B4713" w:rsidRDefault="00300D6C">
      <w:pPr>
        <w:spacing w:after="160"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ARGUMENT.......................................................................................................................</w:t>
      </w:r>
      <w:r w:rsidR="00DE2FFD">
        <w:rPr>
          <w:rFonts w:ascii="Times New Roman" w:eastAsia="Times New Roman" w:hAnsi="Times New Roman" w:cs="Times New Roman"/>
          <w:sz w:val="26"/>
          <w:szCs w:val="26"/>
        </w:rPr>
        <w:t>6</w:t>
      </w:r>
    </w:p>
    <w:p w14:paraId="0000002A" w14:textId="4D48AAC9" w:rsidR="003B4713" w:rsidRPr="00DE2FFD" w:rsidRDefault="00300D6C" w:rsidP="00DE2FFD">
      <w:pPr>
        <w:pStyle w:val="ListParagraph"/>
        <w:numPr>
          <w:ilvl w:val="0"/>
          <w:numId w:val="9"/>
        </w:numPr>
        <w:tabs>
          <w:tab w:val="left" w:pos="225"/>
        </w:tabs>
        <w:spacing w:line="240" w:lineRule="auto"/>
        <w:rPr>
          <w:rFonts w:ascii="Times New Roman" w:eastAsia="Times New Roman" w:hAnsi="Times New Roman" w:cs="Times New Roman"/>
          <w:sz w:val="26"/>
          <w:szCs w:val="26"/>
        </w:rPr>
      </w:pPr>
      <w:r w:rsidRPr="00DE2FFD">
        <w:rPr>
          <w:rFonts w:ascii="Times New Roman" w:eastAsia="Times New Roman" w:hAnsi="Times New Roman" w:cs="Times New Roman"/>
          <w:sz w:val="26"/>
          <w:szCs w:val="26"/>
        </w:rPr>
        <w:t xml:space="preserve">This Court should deny Defendant’s Motion to Suppress Evidence because the Government derived its evidence through a successful wall-off protocol and from wholly independent, legitimate sources, thereby satisfying its burden under </w:t>
      </w:r>
      <w:r w:rsidRPr="00DE2FFD">
        <w:rPr>
          <w:rFonts w:ascii="Times New Roman" w:eastAsia="Times New Roman" w:hAnsi="Times New Roman" w:cs="Times New Roman"/>
          <w:i/>
          <w:iCs/>
          <w:sz w:val="26"/>
          <w:szCs w:val="26"/>
        </w:rPr>
        <w:t>Kastigar</w:t>
      </w:r>
      <w:r w:rsidRPr="00DE2FFD">
        <w:rPr>
          <w:rFonts w:ascii="Times New Roman" w:eastAsia="Times New Roman" w:hAnsi="Times New Roman" w:cs="Times New Roman"/>
          <w:sz w:val="26"/>
          <w:szCs w:val="26"/>
        </w:rPr>
        <w:t>.………</w:t>
      </w:r>
      <w:proofErr w:type="gramStart"/>
      <w:r w:rsidRPr="00DE2FFD">
        <w:rPr>
          <w:rFonts w:ascii="Times New Roman" w:eastAsia="Times New Roman" w:hAnsi="Times New Roman" w:cs="Times New Roman"/>
          <w:sz w:val="26"/>
          <w:szCs w:val="26"/>
        </w:rPr>
        <w:t>…..</w:t>
      </w:r>
      <w:proofErr w:type="gramEnd"/>
      <w:r w:rsidRPr="00DE2FFD">
        <w:rPr>
          <w:rFonts w:ascii="Times New Roman" w:eastAsia="Times New Roman" w:hAnsi="Times New Roman" w:cs="Times New Roman"/>
          <w:sz w:val="26"/>
          <w:szCs w:val="26"/>
        </w:rPr>
        <w:t>…………………………………………………</w:t>
      </w:r>
      <w:proofErr w:type="gramStart"/>
      <w:r w:rsidRPr="00DE2FFD">
        <w:rPr>
          <w:rFonts w:ascii="Times New Roman" w:eastAsia="Times New Roman" w:hAnsi="Times New Roman" w:cs="Times New Roman"/>
          <w:sz w:val="26"/>
          <w:szCs w:val="26"/>
        </w:rPr>
        <w:t>…..</w:t>
      </w:r>
      <w:proofErr w:type="gramEnd"/>
      <w:r w:rsidR="00DE2FFD">
        <w:rPr>
          <w:rFonts w:ascii="Times New Roman" w:eastAsia="Times New Roman" w:hAnsi="Times New Roman" w:cs="Times New Roman"/>
          <w:sz w:val="26"/>
          <w:szCs w:val="26"/>
        </w:rPr>
        <w:t>6</w:t>
      </w:r>
    </w:p>
    <w:p w14:paraId="0000002B" w14:textId="77777777" w:rsidR="003B4713" w:rsidRDefault="003B4713">
      <w:pPr>
        <w:tabs>
          <w:tab w:val="left" w:pos="225"/>
        </w:tabs>
        <w:spacing w:line="240" w:lineRule="auto"/>
        <w:ind w:left="1080"/>
        <w:rPr>
          <w:rFonts w:ascii="Times New Roman" w:eastAsia="Times New Roman" w:hAnsi="Times New Roman" w:cs="Times New Roman"/>
          <w:sz w:val="26"/>
          <w:szCs w:val="26"/>
        </w:rPr>
      </w:pPr>
    </w:p>
    <w:p w14:paraId="0000002C" w14:textId="77777777" w:rsidR="003B4713" w:rsidRDefault="00300D6C">
      <w:pPr>
        <w:numPr>
          <w:ilvl w:val="0"/>
          <w:numId w:val="1"/>
        </w:numPr>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Because of the Government’s clear “wall of separation,” the disputed evidence did not result from exposure to the immunized testimony</w:t>
      </w:r>
      <w:r>
        <w:rPr>
          <w:rFonts w:ascii="Times New Roman" w:eastAsia="Times New Roman" w:hAnsi="Times New Roman" w:cs="Times New Roman"/>
          <w:sz w:val="26"/>
          <w:szCs w:val="26"/>
        </w:rPr>
        <w:t>……</w:t>
      </w:r>
      <w:proofErr w:type="gramStart"/>
      <w:r>
        <w:rPr>
          <w:rFonts w:ascii="Times New Roman" w:eastAsia="Times New Roman" w:hAnsi="Times New Roman" w:cs="Times New Roman"/>
          <w:sz w:val="26"/>
          <w:szCs w:val="26"/>
        </w:rPr>
        <w:t>…..</w:t>
      </w:r>
      <w:proofErr w:type="gramEnd"/>
      <w:r>
        <w:rPr>
          <w:rFonts w:ascii="Times New Roman" w:eastAsia="Times New Roman" w:hAnsi="Times New Roman" w:cs="Times New Roman"/>
          <w:sz w:val="26"/>
          <w:szCs w:val="26"/>
        </w:rPr>
        <w:t>8</w:t>
      </w:r>
    </w:p>
    <w:p w14:paraId="0000002D" w14:textId="77777777" w:rsidR="003B4713" w:rsidRDefault="003B4713">
      <w:pPr>
        <w:tabs>
          <w:tab w:val="left" w:pos="225"/>
        </w:tabs>
        <w:spacing w:line="240" w:lineRule="auto"/>
        <w:ind w:left="1440"/>
        <w:rPr>
          <w:rFonts w:ascii="Times New Roman" w:eastAsia="Times New Roman" w:hAnsi="Times New Roman" w:cs="Times New Roman"/>
          <w:sz w:val="26"/>
          <w:szCs w:val="26"/>
        </w:rPr>
      </w:pPr>
    </w:p>
    <w:p w14:paraId="0000002E" w14:textId="24C0E584" w:rsidR="003B4713" w:rsidRDefault="00300D6C">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The disputed evidence was still derived from wholly independent, legitimate sources</w:t>
      </w:r>
      <w:r>
        <w:rPr>
          <w:rFonts w:ascii="Times New Roman" w:eastAsia="Times New Roman" w:hAnsi="Times New Roman" w:cs="Times New Roman"/>
          <w:sz w:val="26"/>
          <w:szCs w:val="26"/>
        </w:rPr>
        <w:t>…………………………...……………………………………….</w:t>
      </w:r>
      <w:r w:rsidR="00DE2FFD">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00DE2FFD">
        <w:rPr>
          <w:rFonts w:ascii="Times New Roman" w:eastAsia="Times New Roman" w:hAnsi="Times New Roman" w:cs="Times New Roman"/>
          <w:sz w:val="26"/>
          <w:szCs w:val="26"/>
        </w:rPr>
        <w:t>9</w:t>
      </w:r>
    </w:p>
    <w:p w14:paraId="1646929D" w14:textId="77777777" w:rsidR="00DE2FFD" w:rsidRDefault="00DE2FFD" w:rsidP="00DE2FFD">
      <w:pPr>
        <w:pStyle w:val="ListParagraph"/>
        <w:rPr>
          <w:rFonts w:ascii="Times New Roman" w:eastAsia="Times New Roman" w:hAnsi="Times New Roman" w:cs="Times New Roman"/>
          <w:sz w:val="26"/>
          <w:szCs w:val="26"/>
        </w:rPr>
      </w:pPr>
    </w:p>
    <w:p w14:paraId="39268845" w14:textId="6A0AB243" w:rsidR="00DE2FFD" w:rsidRDefault="00DE2FFD" w:rsidP="00DE2FFD">
      <w:pPr>
        <w:pStyle w:val="ListParagraph"/>
        <w:numPr>
          <w:ilvl w:val="3"/>
          <w:numId w:val="1"/>
        </w:numPr>
        <w:ind w:left="2430"/>
        <w:rPr>
          <w:rFonts w:ascii="Times New Roman" w:eastAsia="Times New Roman" w:hAnsi="Times New Roman" w:cs="Times New Roman"/>
          <w:sz w:val="26"/>
          <w:szCs w:val="26"/>
        </w:rPr>
      </w:pPr>
      <w:r>
        <w:rPr>
          <w:rFonts w:ascii="Times New Roman" w:eastAsia="Times New Roman" w:hAnsi="Times New Roman" w:cs="Times New Roman"/>
          <w:sz w:val="26"/>
          <w:szCs w:val="26"/>
        </w:rPr>
        <w:t>Publicity of Defendant’s compelled testimony did not influence the use of Parker’s testimony as an investigatory lead. ………...10</w:t>
      </w:r>
    </w:p>
    <w:p w14:paraId="5B8231F1" w14:textId="77777777" w:rsidR="00DE2FFD" w:rsidRDefault="00DE2FFD" w:rsidP="00DE2FFD">
      <w:pPr>
        <w:pStyle w:val="ListParagraph"/>
        <w:ind w:left="2430"/>
        <w:rPr>
          <w:rFonts w:ascii="Times New Roman" w:eastAsia="Times New Roman" w:hAnsi="Times New Roman" w:cs="Times New Roman"/>
          <w:sz w:val="26"/>
          <w:szCs w:val="26"/>
        </w:rPr>
      </w:pPr>
    </w:p>
    <w:p w14:paraId="314C445D" w14:textId="6383E093" w:rsidR="00DE2FFD" w:rsidRPr="00DE2FFD" w:rsidRDefault="00DE2FFD" w:rsidP="00DE2FFD">
      <w:pPr>
        <w:pStyle w:val="ListParagraph"/>
        <w:numPr>
          <w:ilvl w:val="3"/>
          <w:numId w:val="1"/>
        </w:numPr>
        <w:ind w:left="2430"/>
        <w:rPr>
          <w:rFonts w:ascii="Times New Roman" w:eastAsia="Times New Roman" w:hAnsi="Times New Roman" w:cs="Times New Roman"/>
          <w:sz w:val="26"/>
          <w:szCs w:val="26"/>
        </w:rPr>
      </w:pPr>
      <w:r>
        <w:rPr>
          <w:rFonts w:ascii="Times New Roman" w:eastAsia="Times New Roman" w:hAnsi="Times New Roman" w:cs="Times New Roman"/>
          <w:sz w:val="26"/>
          <w:szCs w:val="26"/>
        </w:rPr>
        <w:t>Publicity of Defendant’s compelled testimony did not taint the evidence because, absent those statements, the investigation would have yielded the same results………………………...….11</w:t>
      </w:r>
    </w:p>
    <w:p w14:paraId="0000002F" w14:textId="77777777" w:rsidR="003B4713" w:rsidRDefault="003B4713">
      <w:pPr>
        <w:tabs>
          <w:tab w:val="left" w:pos="225"/>
        </w:tabs>
        <w:spacing w:line="240" w:lineRule="auto"/>
        <w:ind w:left="1080"/>
        <w:rPr>
          <w:rFonts w:ascii="Times New Roman" w:eastAsia="Times New Roman" w:hAnsi="Times New Roman" w:cs="Times New Roman"/>
          <w:sz w:val="26"/>
          <w:szCs w:val="26"/>
        </w:rPr>
      </w:pPr>
    </w:p>
    <w:p w14:paraId="00000030" w14:textId="0419418E" w:rsidR="003B4713" w:rsidRPr="00DE2FFD" w:rsidRDefault="00300D6C" w:rsidP="00DE2FFD">
      <w:pPr>
        <w:pStyle w:val="ListParagraph"/>
        <w:numPr>
          <w:ilvl w:val="0"/>
          <w:numId w:val="9"/>
        </w:numPr>
        <w:tabs>
          <w:tab w:val="left" w:pos="225"/>
        </w:tabs>
        <w:spacing w:line="240" w:lineRule="auto"/>
        <w:jc w:val="both"/>
        <w:rPr>
          <w:rFonts w:ascii="Times New Roman" w:eastAsia="Times New Roman" w:hAnsi="Times New Roman" w:cs="Times New Roman"/>
          <w:sz w:val="26"/>
          <w:szCs w:val="26"/>
        </w:rPr>
      </w:pPr>
      <w:r w:rsidRPr="00DE2FFD">
        <w:rPr>
          <w:rFonts w:ascii="Times New Roman" w:eastAsia="Times New Roman" w:hAnsi="Times New Roman" w:cs="Times New Roman"/>
          <w:sz w:val="26"/>
          <w:szCs w:val="26"/>
        </w:rPr>
        <w:t xml:space="preserve">Defendant’s Motion to Quash United States Subpoena Duces Tecum should be denied because the subpoena complies with </w:t>
      </w:r>
      <w:r w:rsidRPr="00DE2FFD">
        <w:rPr>
          <w:rFonts w:ascii="Times New Roman" w:eastAsia="Times New Roman" w:hAnsi="Times New Roman" w:cs="Times New Roman"/>
          <w:i/>
          <w:iCs/>
          <w:sz w:val="26"/>
          <w:szCs w:val="26"/>
        </w:rPr>
        <w:t>Nixon</w:t>
      </w:r>
      <w:r w:rsidRPr="00DE2FFD">
        <w:rPr>
          <w:rFonts w:ascii="Times New Roman" w:eastAsia="Times New Roman" w:hAnsi="Times New Roman" w:cs="Times New Roman"/>
          <w:sz w:val="26"/>
          <w:szCs w:val="26"/>
        </w:rPr>
        <w:t xml:space="preserve"> and is not protected.</w:t>
      </w:r>
      <w:r w:rsidRPr="00DE2FFD">
        <w:rPr>
          <w:rFonts w:ascii="Times New Roman" w:eastAsia="Times New Roman" w:hAnsi="Times New Roman" w:cs="Times New Roman"/>
          <w:b/>
          <w:bCs/>
          <w:sz w:val="26"/>
          <w:szCs w:val="26"/>
        </w:rPr>
        <w:t xml:space="preserve"> </w:t>
      </w:r>
      <w:r w:rsidRPr="00DE2FFD">
        <w:rPr>
          <w:rFonts w:ascii="Times New Roman" w:eastAsia="Times New Roman" w:hAnsi="Times New Roman" w:cs="Times New Roman"/>
          <w:sz w:val="26"/>
          <w:szCs w:val="26"/>
        </w:rPr>
        <w:t>……1</w:t>
      </w:r>
      <w:r w:rsidR="00DE2FFD">
        <w:rPr>
          <w:rFonts w:ascii="Times New Roman" w:eastAsia="Times New Roman" w:hAnsi="Times New Roman" w:cs="Times New Roman"/>
          <w:sz w:val="26"/>
          <w:szCs w:val="26"/>
        </w:rPr>
        <w:t>3</w:t>
      </w:r>
    </w:p>
    <w:p w14:paraId="00000031" w14:textId="77777777" w:rsidR="003B4713" w:rsidRDefault="003B4713">
      <w:pPr>
        <w:spacing w:line="259" w:lineRule="auto"/>
        <w:ind w:left="720"/>
        <w:rPr>
          <w:rFonts w:ascii="Times New Roman" w:eastAsia="Times New Roman" w:hAnsi="Times New Roman" w:cs="Times New Roman"/>
          <w:sz w:val="26"/>
          <w:szCs w:val="26"/>
        </w:rPr>
      </w:pPr>
    </w:p>
    <w:p w14:paraId="00000032" w14:textId="5BB1640C" w:rsidR="003B4713" w:rsidRDefault="00300D6C">
      <w:pPr>
        <w:numPr>
          <w:ilvl w:val="0"/>
          <w:numId w:val="4"/>
        </w:numPr>
        <w:tabs>
          <w:tab w:val="left" w:pos="225"/>
        </w:tabs>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The Government’s subpoena satisfies the Rule 17 burden pursuant to Nixon</w:t>
      </w:r>
      <w:r>
        <w:rPr>
          <w:rFonts w:ascii="Times New Roman" w:eastAsia="Times New Roman" w:hAnsi="Times New Roman" w:cs="Times New Roman"/>
          <w:sz w:val="26"/>
          <w:szCs w:val="26"/>
        </w:rPr>
        <w:t>………………………………………………………………….…...1</w:t>
      </w:r>
      <w:r w:rsidR="00DE2FFD">
        <w:rPr>
          <w:rFonts w:ascii="Times New Roman" w:eastAsia="Times New Roman" w:hAnsi="Times New Roman" w:cs="Times New Roman"/>
          <w:sz w:val="26"/>
          <w:szCs w:val="26"/>
        </w:rPr>
        <w:t>4</w:t>
      </w:r>
    </w:p>
    <w:p w14:paraId="00000033" w14:textId="77777777" w:rsidR="003B4713" w:rsidRDefault="003B4713">
      <w:pPr>
        <w:tabs>
          <w:tab w:val="left" w:pos="225"/>
        </w:tabs>
        <w:spacing w:line="240" w:lineRule="auto"/>
        <w:jc w:val="both"/>
        <w:rPr>
          <w:rFonts w:ascii="Times New Roman" w:eastAsia="Times New Roman" w:hAnsi="Times New Roman" w:cs="Times New Roman"/>
          <w:sz w:val="26"/>
          <w:szCs w:val="26"/>
        </w:rPr>
      </w:pPr>
    </w:p>
    <w:p w14:paraId="00000034" w14:textId="2D8AE3AD" w:rsidR="003B4713" w:rsidRDefault="00300D6C">
      <w:pPr>
        <w:numPr>
          <w:ilvl w:val="0"/>
          <w:numId w:val="4"/>
        </w:numPr>
        <w:tabs>
          <w:tab w:val="left" w:pos="225"/>
        </w:tabs>
        <w:spacing w:line="24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The Defense has not satisfied its burden to establish the interview records as privileged because they were waived or, alternatively, are discoverable due to Seton’s absence.</w:t>
      </w:r>
      <w:r>
        <w:rPr>
          <w:rFonts w:ascii="Times New Roman" w:eastAsia="Times New Roman" w:hAnsi="Times New Roman" w:cs="Times New Roman"/>
          <w:sz w:val="26"/>
          <w:szCs w:val="26"/>
        </w:rPr>
        <w:t>…………………………………………………</w:t>
      </w:r>
      <w:r w:rsidR="00DE2FFD">
        <w:rPr>
          <w:rFonts w:ascii="Times New Roman" w:eastAsia="Times New Roman" w:hAnsi="Times New Roman" w:cs="Times New Roman"/>
          <w:sz w:val="26"/>
          <w:szCs w:val="26"/>
        </w:rPr>
        <w:t>…...</w:t>
      </w:r>
      <w:r>
        <w:rPr>
          <w:rFonts w:ascii="Times New Roman" w:eastAsia="Times New Roman" w:hAnsi="Times New Roman" w:cs="Times New Roman"/>
          <w:sz w:val="26"/>
          <w:szCs w:val="26"/>
        </w:rPr>
        <w:t>…1</w:t>
      </w:r>
      <w:r w:rsidR="00DE2FFD">
        <w:rPr>
          <w:rFonts w:ascii="Times New Roman" w:eastAsia="Times New Roman" w:hAnsi="Times New Roman" w:cs="Times New Roman"/>
          <w:sz w:val="26"/>
          <w:szCs w:val="26"/>
        </w:rPr>
        <w:t>5</w:t>
      </w:r>
    </w:p>
    <w:p w14:paraId="091989C3" w14:textId="77777777" w:rsidR="00DE2FFD" w:rsidRDefault="00DE2FFD" w:rsidP="00DE2FFD">
      <w:pPr>
        <w:pStyle w:val="ListParagraph"/>
        <w:rPr>
          <w:rFonts w:ascii="Times New Roman" w:eastAsia="Times New Roman" w:hAnsi="Times New Roman" w:cs="Times New Roman"/>
          <w:sz w:val="26"/>
          <w:szCs w:val="26"/>
        </w:rPr>
      </w:pPr>
    </w:p>
    <w:p w14:paraId="33C6AB53" w14:textId="05312FF3" w:rsidR="00DE2FFD" w:rsidRDefault="00DE2FFD" w:rsidP="00DE2FFD">
      <w:pPr>
        <w:pStyle w:val="ListParagraph"/>
        <w:numPr>
          <w:ilvl w:val="3"/>
          <w:numId w:val="10"/>
        </w:numPr>
        <w:ind w:left="2430"/>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Defendant waived its work-product protections….......………...16</w:t>
      </w:r>
    </w:p>
    <w:p w14:paraId="05A07064" w14:textId="77777777" w:rsidR="00DE2FFD" w:rsidRDefault="00DE2FFD" w:rsidP="00DE2FFD">
      <w:pPr>
        <w:pStyle w:val="ListParagraph"/>
        <w:ind w:left="2430"/>
        <w:rPr>
          <w:rFonts w:ascii="Times New Roman" w:eastAsia="Times New Roman" w:hAnsi="Times New Roman" w:cs="Times New Roman"/>
          <w:sz w:val="26"/>
          <w:szCs w:val="26"/>
        </w:rPr>
      </w:pPr>
    </w:p>
    <w:p w14:paraId="466A4939" w14:textId="011FBC39" w:rsidR="00DE2FFD" w:rsidRDefault="00DE2FFD" w:rsidP="00DE2FFD">
      <w:pPr>
        <w:pStyle w:val="ListParagraph"/>
        <w:numPr>
          <w:ilvl w:val="3"/>
          <w:numId w:val="10"/>
        </w:numPr>
        <w:ind w:left="2430"/>
        <w:rPr>
          <w:rFonts w:ascii="Times New Roman" w:eastAsia="Times New Roman" w:hAnsi="Times New Roman" w:cs="Times New Roman"/>
          <w:sz w:val="26"/>
          <w:szCs w:val="26"/>
        </w:rPr>
      </w:pPr>
      <w:r>
        <w:rPr>
          <w:rFonts w:ascii="Times New Roman" w:eastAsia="Times New Roman" w:hAnsi="Times New Roman" w:cs="Times New Roman"/>
          <w:sz w:val="26"/>
          <w:szCs w:val="26"/>
        </w:rPr>
        <w:t>Alternatively, the Motion to Quash should be denied because Seton’s disappearance makes the work-product discoverable</w:t>
      </w:r>
      <w:proofErr w:type="gramStart"/>
      <w:r>
        <w:rPr>
          <w:rFonts w:ascii="Times New Roman" w:eastAsia="Times New Roman" w:hAnsi="Times New Roman" w:cs="Times New Roman"/>
          <w:sz w:val="26"/>
          <w:szCs w:val="26"/>
        </w:rPr>
        <w:t>.....</w:t>
      </w:r>
      <w:proofErr w:type="gramEnd"/>
      <w:r>
        <w:rPr>
          <w:rFonts w:ascii="Times New Roman" w:eastAsia="Times New Roman" w:hAnsi="Times New Roman" w:cs="Times New Roman"/>
          <w:sz w:val="26"/>
          <w:szCs w:val="26"/>
        </w:rPr>
        <w:t>17</w:t>
      </w:r>
    </w:p>
    <w:p w14:paraId="48B04FFD" w14:textId="77777777" w:rsidR="00DE2FFD" w:rsidRPr="00DE2FFD" w:rsidRDefault="00DE2FFD" w:rsidP="00DE2FFD">
      <w:pPr>
        <w:pStyle w:val="ListParagraph"/>
        <w:rPr>
          <w:rFonts w:ascii="Times New Roman" w:eastAsia="Times New Roman" w:hAnsi="Times New Roman" w:cs="Times New Roman"/>
          <w:sz w:val="26"/>
          <w:szCs w:val="26"/>
        </w:rPr>
      </w:pPr>
    </w:p>
    <w:p w14:paraId="7D6938AD" w14:textId="146BC7F5" w:rsidR="00DE2FFD" w:rsidRDefault="00DE2FFD" w:rsidP="00DE2FFD">
      <w:pPr>
        <w:pStyle w:val="ListParagraph"/>
        <w:numPr>
          <w:ilvl w:val="3"/>
          <w:numId w:val="10"/>
        </w:numPr>
        <w:ind w:left="2430"/>
        <w:rPr>
          <w:rFonts w:ascii="Times New Roman" w:eastAsia="Times New Roman" w:hAnsi="Times New Roman" w:cs="Times New Roman"/>
          <w:sz w:val="26"/>
          <w:szCs w:val="26"/>
        </w:rPr>
      </w:pPr>
      <w:r>
        <w:rPr>
          <w:rFonts w:ascii="Times New Roman" w:eastAsia="Times New Roman" w:hAnsi="Times New Roman" w:cs="Times New Roman"/>
          <w:sz w:val="26"/>
          <w:szCs w:val="26"/>
        </w:rPr>
        <w:t>To the extent Armana’s memorandum contains both “fact” and “opinion” work-product, portions of the work-product may be made discoverable…………………………….….......………....19</w:t>
      </w:r>
    </w:p>
    <w:p w14:paraId="6D23950A" w14:textId="77777777" w:rsidR="00DE2FFD" w:rsidRDefault="00DE2FFD" w:rsidP="00DE2FFD">
      <w:pPr>
        <w:tabs>
          <w:tab w:val="left" w:pos="225"/>
        </w:tabs>
        <w:spacing w:line="240" w:lineRule="auto"/>
        <w:ind w:left="1440"/>
        <w:jc w:val="both"/>
        <w:rPr>
          <w:rFonts w:ascii="Times New Roman" w:eastAsia="Times New Roman" w:hAnsi="Times New Roman" w:cs="Times New Roman"/>
          <w:sz w:val="26"/>
          <w:szCs w:val="26"/>
        </w:rPr>
      </w:pPr>
    </w:p>
    <w:p w14:paraId="00000035" w14:textId="77777777" w:rsidR="003B4713" w:rsidRDefault="003B4713">
      <w:pPr>
        <w:tabs>
          <w:tab w:val="left" w:pos="225"/>
        </w:tabs>
        <w:spacing w:line="240" w:lineRule="auto"/>
        <w:jc w:val="both"/>
        <w:rPr>
          <w:rFonts w:ascii="Times New Roman" w:eastAsia="Times New Roman" w:hAnsi="Times New Roman" w:cs="Times New Roman"/>
          <w:sz w:val="26"/>
          <w:szCs w:val="26"/>
        </w:rPr>
      </w:pPr>
    </w:p>
    <w:p w14:paraId="00000036" w14:textId="4B74D545" w:rsidR="003B4713" w:rsidRDefault="00300D6C">
      <w:pPr>
        <w:spacing w:line="259"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CONCLUSION..................................................................................................................</w:t>
      </w:r>
      <w:r w:rsidR="00DE2FFD">
        <w:rPr>
          <w:rFonts w:ascii="Times New Roman" w:eastAsia="Times New Roman" w:hAnsi="Times New Roman" w:cs="Times New Roman"/>
          <w:sz w:val="26"/>
          <w:szCs w:val="26"/>
        </w:rPr>
        <w:t>19</w:t>
      </w:r>
    </w:p>
    <w:p w14:paraId="00000037" w14:textId="77777777" w:rsidR="003B4713" w:rsidRDefault="003B4713">
      <w:pPr>
        <w:spacing w:line="259" w:lineRule="auto"/>
        <w:rPr>
          <w:rFonts w:ascii="Times New Roman" w:eastAsia="Times New Roman" w:hAnsi="Times New Roman" w:cs="Times New Roman"/>
          <w:sz w:val="26"/>
          <w:szCs w:val="26"/>
        </w:rPr>
      </w:pPr>
    </w:p>
    <w:p w14:paraId="00000038" w14:textId="4EF1C05E" w:rsidR="003B4713" w:rsidRDefault="00300D6C">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sz w:val="26"/>
          <w:szCs w:val="26"/>
        </w:rPr>
        <w:t>CERTIFICATE OF SERVICE...........................................................................................................................2</w:t>
      </w:r>
      <w:r w:rsidR="00DE2FFD">
        <w:rPr>
          <w:rFonts w:ascii="Times New Roman" w:eastAsia="Times New Roman" w:hAnsi="Times New Roman" w:cs="Times New Roman"/>
          <w:sz w:val="26"/>
          <w:szCs w:val="26"/>
        </w:rPr>
        <w:t>0</w:t>
      </w:r>
    </w:p>
    <w:p w14:paraId="00000039" w14:textId="77777777" w:rsidR="003B4713" w:rsidRDefault="003B4713">
      <w:pPr>
        <w:spacing w:after="160" w:line="259" w:lineRule="auto"/>
        <w:jc w:val="center"/>
        <w:rPr>
          <w:rFonts w:ascii="Times New Roman" w:eastAsia="Times New Roman" w:hAnsi="Times New Roman" w:cs="Times New Roman"/>
          <w:b/>
          <w:bCs/>
          <w:sz w:val="26"/>
          <w:szCs w:val="26"/>
        </w:rPr>
      </w:pPr>
    </w:p>
    <w:p w14:paraId="0000003A" w14:textId="77777777" w:rsidR="003B4713" w:rsidRDefault="003B4713">
      <w:pPr>
        <w:spacing w:after="160" w:line="259" w:lineRule="auto"/>
        <w:jc w:val="center"/>
        <w:rPr>
          <w:rFonts w:ascii="Times New Roman" w:eastAsia="Times New Roman" w:hAnsi="Times New Roman" w:cs="Times New Roman"/>
          <w:b/>
          <w:bCs/>
          <w:sz w:val="26"/>
          <w:szCs w:val="26"/>
        </w:rPr>
      </w:pPr>
    </w:p>
    <w:p w14:paraId="7C68086E" w14:textId="77777777" w:rsidR="00DE2FFD" w:rsidRDefault="00DE2FFD">
      <w:p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br w:type="page"/>
      </w:r>
    </w:p>
    <w:p w14:paraId="0000003B" w14:textId="265094C5" w:rsidR="003B4713" w:rsidRDefault="00300D6C">
      <w:pPr>
        <w:spacing w:after="160" w:line="259"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TABLE OF AUTHORITIES</w:t>
      </w:r>
    </w:p>
    <w:p w14:paraId="0000003C" w14:textId="77777777" w:rsidR="003B4713" w:rsidRDefault="003B4713">
      <w:pPr>
        <w:spacing w:after="160" w:line="259" w:lineRule="auto"/>
        <w:rPr>
          <w:rFonts w:ascii="Times New Roman" w:eastAsia="Times New Roman" w:hAnsi="Times New Roman" w:cs="Times New Roman"/>
          <w:b/>
          <w:bCs/>
          <w:sz w:val="26"/>
          <w:szCs w:val="26"/>
        </w:rPr>
      </w:pPr>
    </w:p>
    <w:p w14:paraId="0000003D" w14:textId="77777777" w:rsidR="003B4713" w:rsidRDefault="00300D6C">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Statutes</w:t>
      </w:r>
    </w:p>
    <w:p w14:paraId="0000003E" w14:textId="77777777" w:rsidR="003B4713" w:rsidRDefault="00300D6C">
      <w:pPr>
        <w:spacing w:after="160"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18 USCA § 6002............................................................................................................1,7,8 </w:t>
      </w:r>
    </w:p>
    <w:p w14:paraId="0000003F" w14:textId="77777777" w:rsidR="003B4713" w:rsidRDefault="00300D6C">
      <w:pPr>
        <w:spacing w:after="160" w:line="259"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18 USCA § 6003..................................................................................................................1</w:t>
      </w:r>
    </w:p>
    <w:p w14:paraId="00000040" w14:textId="77777777" w:rsidR="003B4713" w:rsidRDefault="00300D6C">
      <w:pPr>
        <w:spacing w:after="160" w:line="259" w:lineRule="auto"/>
        <w:rPr>
          <w:rFonts w:ascii="Times New Roman" w:eastAsia="Times New Roman" w:hAnsi="Times New Roman" w:cs="Times New Roman"/>
          <w:sz w:val="26"/>
          <w:szCs w:val="26"/>
        </w:rPr>
      </w:pPr>
      <w:r>
        <w:rPr>
          <w:rFonts w:ascii="Times New Roman" w:eastAsia="Times New Roman" w:hAnsi="Times New Roman" w:cs="Times New Roman"/>
          <w:b/>
          <w:bCs/>
          <w:sz w:val="26"/>
          <w:szCs w:val="26"/>
        </w:rPr>
        <w:t>Rules of Criminal Procedure</w:t>
      </w:r>
    </w:p>
    <w:p w14:paraId="00000041" w14:textId="5A077CB2"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Fed. R. Crim. P. 17(c)(</w:t>
      </w:r>
      <w:proofErr w:type="gramStart"/>
      <w:r>
        <w:rPr>
          <w:rFonts w:ascii="Times New Roman" w:eastAsia="Times New Roman" w:hAnsi="Times New Roman" w:cs="Times New Roman"/>
          <w:sz w:val="26"/>
          <w:szCs w:val="26"/>
        </w:rPr>
        <w:t>2).................................................................................................</w:t>
      </w:r>
      <w:proofErr w:type="gramEnd"/>
      <w:r>
        <w:rPr>
          <w:rFonts w:ascii="Times New Roman" w:eastAsia="Times New Roman" w:hAnsi="Times New Roman" w:cs="Times New Roman"/>
          <w:sz w:val="26"/>
          <w:szCs w:val="26"/>
        </w:rPr>
        <w:t>2,1</w:t>
      </w:r>
      <w:r w:rsidR="00311389">
        <w:rPr>
          <w:rFonts w:ascii="Times New Roman" w:eastAsia="Times New Roman" w:hAnsi="Times New Roman" w:cs="Times New Roman"/>
          <w:sz w:val="26"/>
          <w:szCs w:val="26"/>
        </w:rPr>
        <w:t>4</w:t>
      </w:r>
    </w:p>
    <w:p w14:paraId="00000042" w14:textId="77777777" w:rsidR="003B4713" w:rsidRDefault="00300D6C">
      <w:pPr>
        <w:spacing w:line="48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Rules of Civil Procedure</w:t>
      </w:r>
    </w:p>
    <w:p w14:paraId="00000043" w14:textId="133ED458"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Fed. R. Civ. P. 26(b)(3)(A)(</w:t>
      </w:r>
      <w:proofErr w:type="gramStart"/>
      <w:r>
        <w:rPr>
          <w:rFonts w:ascii="Times New Roman" w:eastAsia="Times New Roman" w:hAnsi="Times New Roman" w:cs="Times New Roman"/>
          <w:sz w:val="26"/>
          <w:szCs w:val="26"/>
        </w:rPr>
        <w:t>ii)............................................................................................</w:t>
      </w:r>
      <w:proofErr w:type="gramEnd"/>
      <w:r>
        <w:rPr>
          <w:rFonts w:ascii="Times New Roman" w:eastAsia="Times New Roman" w:hAnsi="Times New Roman" w:cs="Times New Roman"/>
          <w:sz w:val="26"/>
          <w:szCs w:val="26"/>
        </w:rPr>
        <w:t>1</w:t>
      </w:r>
      <w:r w:rsidR="00311389">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w:t>
      </w:r>
    </w:p>
    <w:p w14:paraId="00000044" w14:textId="38DA7F74"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Fed. R. Civ. P. 26(b)(</w:t>
      </w:r>
      <w:proofErr w:type="gramStart"/>
      <w:r>
        <w:rPr>
          <w:rFonts w:ascii="Times New Roman" w:eastAsia="Times New Roman" w:hAnsi="Times New Roman" w:cs="Times New Roman"/>
          <w:sz w:val="26"/>
          <w:szCs w:val="26"/>
        </w:rPr>
        <w:t>3).................................................................................................</w:t>
      </w:r>
      <w:r w:rsidR="00311389">
        <w:rPr>
          <w:rFonts w:ascii="Times New Roman" w:eastAsia="Times New Roman" w:hAnsi="Times New Roman" w:cs="Times New Roman"/>
          <w:sz w:val="26"/>
          <w:szCs w:val="26"/>
        </w:rPr>
        <w:t>.....</w:t>
      </w:r>
      <w:proofErr w:type="gramEnd"/>
      <w:r w:rsidR="00311389">
        <w:rPr>
          <w:rFonts w:ascii="Times New Roman" w:eastAsia="Times New Roman" w:hAnsi="Times New Roman" w:cs="Times New Roman"/>
          <w:sz w:val="26"/>
          <w:szCs w:val="26"/>
        </w:rPr>
        <w:t>16</w:t>
      </w:r>
    </w:p>
    <w:p w14:paraId="00000045" w14:textId="77777777" w:rsidR="003B4713" w:rsidRDefault="00300D6C">
      <w:pPr>
        <w:spacing w:after="160" w:line="259"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U.S. Supreme Court Cases</w:t>
      </w:r>
    </w:p>
    <w:p w14:paraId="00000046" w14:textId="04B403DC" w:rsidR="003B4713" w:rsidRDefault="00300D6C">
      <w:pPr>
        <w:spacing w:line="24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Kastigar v. U.S.</w:t>
      </w:r>
      <w:r>
        <w:rPr>
          <w:rFonts w:ascii="Times New Roman" w:eastAsia="Times New Roman" w:hAnsi="Times New Roman" w:cs="Times New Roman"/>
          <w:sz w:val="26"/>
          <w:szCs w:val="26"/>
        </w:rPr>
        <w:t>, 406 U.S. 441 (</w:t>
      </w:r>
      <w:proofErr w:type="gramStart"/>
      <w:r>
        <w:rPr>
          <w:rFonts w:ascii="Times New Roman" w:eastAsia="Times New Roman" w:hAnsi="Times New Roman" w:cs="Times New Roman"/>
          <w:sz w:val="26"/>
          <w:szCs w:val="26"/>
        </w:rPr>
        <w:t>1972)......................................................................</w:t>
      </w:r>
      <w:r w:rsidR="00311389">
        <w:rPr>
          <w:rFonts w:ascii="Times New Roman" w:eastAsia="Times New Roman" w:hAnsi="Times New Roman" w:cs="Times New Roman"/>
          <w:sz w:val="26"/>
          <w:szCs w:val="26"/>
        </w:rPr>
        <w:t>...</w:t>
      </w:r>
      <w:proofErr w:type="gramEnd"/>
      <w:r>
        <w:rPr>
          <w:rFonts w:ascii="Times New Roman" w:eastAsia="Times New Roman" w:hAnsi="Times New Roman" w:cs="Times New Roman"/>
          <w:sz w:val="26"/>
          <w:szCs w:val="26"/>
        </w:rPr>
        <w:t>1,7,12</w:t>
      </w:r>
    </w:p>
    <w:p w14:paraId="00000047" w14:textId="77777777" w:rsidR="003B4713" w:rsidRDefault="003B4713">
      <w:pPr>
        <w:spacing w:line="240" w:lineRule="auto"/>
        <w:rPr>
          <w:rFonts w:ascii="Times New Roman" w:eastAsia="Times New Roman" w:hAnsi="Times New Roman" w:cs="Times New Roman"/>
          <w:sz w:val="26"/>
          <w:szCs w:val="26"/>
        </w:rPr>
      </w:pPr>
    </w:p>
    <w:p w14:paraId="00000048" w14:textId="77777777" w:rsidR="003B4713" w:rsidRDefault="00300D6C">
      <w:pPr>
        <w:spacing w:line="240" w:lineRule="auto"/>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Nixon</w:t>
      </w:r>
      <w:r>
        <w:rPr>
          <w:rFonts w:ascii="Times New Roman" w:eastAsia="Times New Roman" w:hAnsi="Times New Roman" w:cs="Times New Roman"/>
          <w:sz w:val="26"/>
          <w:szCs w:val="26"/>
        </w:rPr>
        <w:t>, 418 U.S. 683 (</w:t>
      </w:r>
      <w:proofErr w:type="gramStart"/>
      <w:r>
        <w:rPr>
          <w:rFonts w:ascii="Times New Roman" w:eastAsia="Times New Roman" w:hAnsi="Times New Roman" w:cs="Times New Roman"/>
          <w:sz w:val="26"/>
          <w:szCs w:val="26"/>
        </w:rPr>
        <w:t>1974)....................................................................................</w:t>
      </w:r>
      <w:proofErr w:type="gramEnd"/>
      <w:r>
        <w:rPr>
          <w:rFonts w:ascii="Times New Roman" w:eastAsia="Times New Roman" w:hAnsi="Times New Roman" w:cs="Times New Roman"/>
          <w:sz w:val="26"/>
          <w:szCs w:val="26"/>
        </w:rPr>
        <w:t>15</w:t>
      </w:r>
    </w:p>
    <w:p w14:paraId="00000049" w14:textId="77777777" w:rsidR="003B4713" w:rsidRDefault="003B4713">
      <w:pPr>
        <w:spacing w:line="259" w:lineRule="auto"/>
        <w:rPr>
          <w:rFonts w:ascii="Times New Roman" w:eastAsia="Times New Roman" w:hAnsi="Times New Roman" w:cs="Times New Roman"/>
          <w:sz w:val="26"/>
          <w:szCs w:val="26"/>
        </w:rPr>
      </w:pPr>
    </w:p>
    <w:p w14:paraId="0000004A"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Nobles</w:t>
      </w:r>
      <w:r>
        <w:rPr>
          <w:rFonts w:ascii="Times New Roman" w:eastAsia="Times New Roman" w:hAnsi="Times New Roman" w:cs="Times New Roman"/>
          <w:sz w:val="26"/>
          <w:szCs w:val="26"/>
        </w:rPr>
        <w:t>, 422 U.S. 225 (</w:t>
      </w:r>
      <w:proofErr w:type="gramStart"/>
      <w:r>
        <w:rPr>
          <w:rFonts w:ascii="Times New Roman" w:eastAsia="Times New Roman" w:hAnsi="Times New Roman" w:cs="Times New Roman"/>
          <w:sz w:val="26"/>
          <w:szCs w:val="26"/>
        </w:rPr>
        <w:t>1975).....................................................................</w:t>
      </w:r>
      <w:proofErr w:type="gramEnd"/>
      <w:r>
        <w:rPr>
          <w:rFonts w:ascii="Times New Roman" w:eastAsia="Times New Roman" w:hAnsi="Times New Roman" w:cs="Times New Roman"/>
          <w:sz w:val="26"/>
          <w:szCs w:val="26"/>
        </w:rPr>
        <w:t>2,15,17,18</w:t>
      </w:r>
    </w:p>
    <w:p w14:paraId="0000004B" w14:textId="77777777" w:rsidR="003B4713" w:rsidRDefault="00300D6C">
      <w:pPr>
        <w:spacing w:line="48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U.S. Court of Appeals Cases</w:t>
      </w:r>
    </w:p>
    <w:p w14:paraId="0000004C"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Crowson</w:t>
      </w:r>
      <w:r>
        <w:rPr>
          <w:rFonts w:ascii="Times New Roman" w:eastAsia="Times New Roman" w:hAnsi="Times New Roman" w:cs="Times New Roman"/>
          <w:sz w:val="26"/>
          <w:szCs w:val="26"/>
        </w:rPr>
        <w:t xml:space="preserve">, 828 F.2d 1427 (9th Cir. </w:t>
      </w:r>
      <w:proofErr w:type="gramStart"/>
      <w:r>
        <w:rPr>
          <w:rFonts w:ascii="Times New Roman" w:eastAsia="Times New Roman" w:hAnsi="Times New Roman" w:cs="Times New Roman"/>
          <w:sz w:val="26"/>
          <w:szCs w:val="26"/>
        </w:rPr>
        <w:t>1987).............................................................</w:t>
      </w:r>
      <w:proofErr w:type="gramEnd"/>
      <w:r>
        <w:rPr>
          <w:rFonts w:ascii="Times New Roman" w:eastAsia="Times New Roman" w:hAnsi="Times New Roman" w:cs="Times New Roman"/>
          <w:sz w:val="26"/>
          <w:szCs w:val="26"/>
        </w:rPr>
        <w:t>8,11</w:t>
      </w:r>
    </w:p>
    <w:p w14:paraId="0000004D"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Slough</w:t>
      </w:r>
      <w:r>
        <w:rPr>
          <w:rFonts w:ascii="Times New Roman" w:eastAsia="Times New Roman" w:hAnsi="Times New Roman" w:cs="Times New Roman"/>
          <w:sz w:val="26"/>
          <w:szCs w:val="26"/>
        </w:rPr>
        <w:t xml:space="preserve">, 641 F.3d 544 (D.C. Cir. </w:t>
      </w:r>
      <w:proofErr w:type="gramStart"/>
      <w:r>
        <w:rPr>
          <w:rFonts w:ascii="Times New Roman" w:eastAsia="Times New Roman" w:hAnsi="Times New Roman" w:cs="Times New Roman"/>
          <w:sz w:val="26"/>
          <w:szCs w:val="26"/>
        </w:rPr>
        <w:t>2011)..............................................................</w:t>
      </w:r>
      <w:proofErr w:type="gramEnd"/>
      <w:r>
        <w:rPr>
          <w:rFonts w:ascii="Times New Roman" w:eastAsia="Times New Roman" w:hAnsi="Times New Roman" w:cs="Times New Roman"/>
          <w:sz w:val="26"/>
          <w:szCs w:val="26"/>
        </w:rPr>
        <w:t>10,13</w:t>
      </w:r>
    </w:p>
    <w:p w14:paraId="0000004E" w14:textId="77777777" w:rsidR="003B4713" w:rsidRDefault="00300D6C">
      <w:pPr>
        <w:shd w:val="clear" w:color="auto" w:fill="FFFFFF"/>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U.S. v. </w:t>
      </w:r>
      <w:proofErr w:type="spellStart"/>
      <w:r>
        <w:rPr>
          <w:rFonts w:ascii="Times New Roman" w:eastAsia="Times New Roman" w:hAnsi="Times New Roman" w:cs="Times New Roman"/>
          <w:i/>
          <w:iCs/>
          <w:sz w:val="26"/>
          <w:szCs w:val="26"/>
        </w:rPr>
        <w:t>Semkiw</w:t>
      </w:r>
      <w:proofErr w:type="spellEnd"/>
      <w:r>
        <w:rPr>
          <w:rFonts w:ascii="Times New Roman" w:eastAsia="Times New Roman" w:hAnsi="Times New Roman" w:cs="Times New Roman"/>
          <w:sz w:val="26"/>
          <w:szCs w:val="26"/>
        </w:rPr>
        <w:t xml:space="preserve">, 712 F.2d 891 (3d Cir. </w:t>
      </w:r>
      <w:proofErr w:type="gramStart"/>
      <w:r>
        <w:rPr>
          <w:rFonts w:ascii="Times New Roman" w:eastAsia="Times New Roman" w:hAnsi="Times New Roman" w:cs="Times New Roman"/>
          <w:sz w:val="26"/>
          <w:szCs w:val="26"/>
        </w:rPr>
        <w:t>1983).....................................................................</w:t>
      </w:r>
      <w:proofErr w:type="gramEnd"/>
      <w:r>
        <w:rPr>
          <w:rFonts w:ascii="Times New Roman" w:eastAsia="Times New Roman" w:hAnsi="Times New Roman" w:cs="Times New Roman"/>
          <w:sz w:val="26"/>
          <w:szCs w:val="26"/>
        </w:rPr>
        <w:t>10</w:t>
      </w:r>
    </w:p>
    <w:p w14:paraId="0000004F"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North</w:t>
      </w:r>
      <w:r>
        <w:rPr>
          <w:rFonts w:ascii="Times New Roman" w:eastAsia="Times New Roman" w:hAnsi="Times New Roman" w:cs="Times New Roman"/>
          <w:sz w:val="26"/>
          <w:szCs w:val="26"/>
        </w:rPr>
        <w:t xml:space="preserve">, 920 F.2d 940 (D.C. Cir. </w:t>
      </w:r>
      <w:proofErr w:type="gramStart"/>
      <w:r>
        <w:rPr>
          <w:rFonts w:ascii="Times New Roman" w:eastAsia="Times New Roman" w:hAnsi="Times New Roman" w:cs="Times New Roman"/>
          <w:sz w:val="26"/>
          <w:szCs w:val="26"/>
        </w:rPr>
        <w:t>1990).....................................................................</w:t>
      </w:r>
      <w:proofErr w:type="gramEnd"/>
      <w:r>
        <w:rPr>
          <w:rFonts w:ascii="Times New Roman" w:eastAsia="Times New Roman" w:hAnsi="Times New Roman" w:cs="Times New Roman"/>
          <w:sz w:val="26"/>
          <w:szCs w:val="26"/>
        </w:rPr>
        <w:t>11</w:t>
      </w:r>
    </w:p>
    <w:p w14:paraId="00000050"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Rinaldi</w:t>
      </w:r>
      <w:r>
        <w:rPr>
          <w:rFonts w:ascii="Times New Roman" w:eastAsia="Times New Roman" w:hAnsi="Times New Roman" w:cs="Times New Roman"/>
          <w:sz w:val="26"/>
          <w:szCs w:val="26"/>
        </w:rPr>
        <w:t xml:space="preserve">, 808 F.2d 1579 (D.C. Cir. </w:t>
      </w:r>
      <w:proofErr w:type="gramStart"/>
      <w:r>
        <w:rPr>
          <w:rFonts w:ascii="Times New Roman" w:eastAsia="Times New Roman" w:hAnsi="Times New Roman" w:cs="Times New Roman"/>
          <w:sz w:val="26"/>
          <w:szCs w:val="26"/>
        </w:rPr>
        <w:t>1987).................................................................</w:t>
      </w:r>
      <w:proofErr w:type="gramEnd"/>
      <w:r>
        <w:rPr>
          <w:rFonts w:ascii="Times New Roman" w:eastAsia="Times New Roman" w:hAnsi="Times New Roman" w:cs="Times New Roman"/>
          <w:sz w:val="26"/>
          <w:szCs w:val="26"/>
        </w:rPr>
        <w:t>11</w:t>
      </w:r>
    </w:p>
    <w:p w14:paraId="00000051"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Martin Marietta Corp.</w:t>
      </w:r>
      <w:r>
        <w:rPr>
          <w:rFonts w:ascii="Times New Roman" w:eastAsia="Times New Roman" w:hAnsi="Times New Roman" w:cs="Times New Roman"/>
          <w:sz w:val="26"/>
          <w:szCs w:val="26"/>
        </w:rPr>
        <w:t xml:space="preserve">, 856 F.2d 619 (4th Cir. </w:t>
      </w:r>
      <w:proofErr w:type="gramStart"/>
      <w:r>
        <w:rPr>
          <w:rFonts w:ascii="Times New Roman" w:eastAsia="Times New Roman" w:hAnsi="Times New Roman" w:cs="Times New Roman"/>
          <w:sz w:val="26"/>
          <w:szCs w:val="26"/>
        </w:rPr>
        <w:t>1988)..........................................</w:t>
      </w:r>
      <w:proofErr w:type="gramEnd"/>
      <w:r>
        <w:rPr>
          <w:rFonts w:ascii="Times New Roman" w:eastAsia="Times New Roman" w:hAnsi="Times New Roman" w:cs="Times New Roman"/>
          <w:sz w:val="26"/>
          <w:szCs w:val="26"/>
        </w:rPr>
        <w:t>15,18</w:t>
      </w:r>
    </w:p>
    <w:p w14:paraId="00000052"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In re Murphy</w:t>
      </w:r>
      <w:r>
        <w:rPr>
          <w:rFonts w:ascii="Times New Roman" w:eastAsia="Times New Roman" w:hAnsi="Times New Roman" w:cs="Times New Roman"/>
          <w:sz w:val="26"/>
          <w:szCs w:val="26"/>
        </w:rPr>
        <w:t xml:space="preserve">, 560 F.2d 326 (8th Cir. </w:t>
      </w:r>
      <w:proofErr w:type="gramStart"/>
      <w:r>
        <w:rPr>
          <w:rFonts w:ascii="Times New Roman" w:eastAsia="Times New Roman" w:hAnsi="Times New Roman" w:cs="Times New Roman"/>
          <w:sz w:val="26"/>
          <w:szCs w:val="26"/>
        </w:rPr>
        <w:t>1977).......................................................................</w:t>
      </w:r>
      <w:proofErr w:type="gramEnd"/>
      <w:r>
        <w:rPr>
          <w:rFonts w:ascii="Times New Roman" w:eastAsia="Times New Roman" w:hAnsi="Times New Roman" w:cs="Times New Roman"/>
          <w:sz w:val="26"/>
          <w:szCs w:val="26"/>
        </w:rPr>
        <w:t>15</w:t>
      </w:r>
    </w:p>
    <w:p w14:paraId="00000053"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F.T.C. v. Boehringer Ingelheim Pharms., Inc.</w:t>
      </w:r>
      <w:r>
        <w:rPr>
          <w:rFonts w:ascii="Times New Roman" w:eastAsia="Times New Roman" w:hAnsi="Times New Roman" w:cs="Times New Roman"/>
          <w:sz w:val="26"/>
          <w:szCs w:val="26"/>
        </w:rPr>
        <w:t xml:space="preserve">, 778 F.3d 142 (D.C. Cir. </w:t>
      </w:r>
      <w:proofErr w:type="gramStart"/>
      <w:r>
        <w:rPr>
          <w:rFonts w:ascii="Times New Roman" w:eastAsia="Times New Roman" w:hAnsi="Times New Roman" w:cs="Times New Roman"/>
          <w:sz w:val="26"/>
          <w:szCs w:val="26"/>
        </w:rPr>
        <w:t>2015)..................</w:t>
      </w:r>
      <w:proofErr w:type="gramEnd"/>
      <w:r>
        <w:rPr>
          <w:rFonts w:ascii="Times New Roman" w:eastAsia="Times New Roman" w:hAnsi="Times New Roman" w:cs="Times New Roman"/>
          <w:sz w:val="26"/>
          <w:szCs w:val="26"/>
        </w:rPr>
        <w:t>19</w:t>
      </w:r>
    </w:p>
    <w:p w14:paraId="00000054"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lastRenderedPageBreak/>
        <w:t>In re Grand Jury Investigation</w:t>
      </w:r>
      <w:r>
        <w:rPr>
          <w:rFonts w:ascii="Times New Roman" w:eastAsia="Times New Roman" w:hAnsi="Times New Roman" w:cs="Times New Roman"/>
          <w:sz w:val="26"/>
          <w:szCs w:val="26"/>
        </w:rPr>
        <w:t xml:space="preserve"> 599 F.2d 1224 (3d Cir. </w:t>
      </w:r>
      <w:proofErr w:type="gramStart"/>
      <w:r>
        <w:rPr>
          <w:rFonts w:ascii="Times New Roman" w:eastAsia="Times New Roman" w:hAnsi="Times New Roman" w:cs="Times New Roman"/>
          <w:sz w:val="26"/>
          <w:szCs w:val="26"/>
        </w:rPr>
        <w:t>1979)...........................................</w:t>
      </w:r>
      <w:proofErr w:type="gramEnd"/>
      <w:r>
        <w:rPr>
          <w:rFonts w:ascii="Times New Roman" w:eastAsia="Times New Roman" w:hAnsi="Times New Roman" w:cs="Times New Roman"/>
          <w:sz w:val="26"/>
          <w:szCs w:val="26"/>
        </w:rPr>
        <w:t>19</w:t>
      </w:r>
    </w:p>
    <w:p w14:paraId="00000055" w14:textId="77777777" w:rsidR="003B4713" w:rsidRDefault="00300D6C">
      <w:pPr>
        <w:spacing w:line="48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District Court Cases</w:t>
      </w:r>
    </w:p>
    <w:p w14:paraId="00000056"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Smith</w:t>
      </w:r>
      <w:r>
        <w:rPr>
          <w:rFonts w:ascii="Times New Roman" w:eastAsia="Times New Roman" w:hAnsi="Times New Roman" w:cs="Times New Roman"/>
          <w:sz w:val="26"/>
          <w:szCs w:val="26"/>
        </w:rPr>
        <w:t xml:space="preserve">, 580 F. Supp. 1418 (D.N.J. </w:t>
      </w:r>
      <w:proofErr w:type="gramStart"/>
      <w:r>
        <w:rPr>
          <w:rFonts w:ascii="Times New Roman" w:eastAsia="Times New Roman" w:hAnsi="Times New Roman" w:cs="Times New Roman"/>
          <w:sz w:val="26"/>
          <w:szCs w:val="26"/>
        </w:rPr>
        <w:t>1984)...........................................................</w:t>
      </w:r>
      <w:proofErr w:type="gramEnd"/>
      <w:r>
        <w:rPr>
          <w:rFonts w:ascii="Times New Roman" w:eastAsia="Times New Roman" w:hAnsi="Times New Roman" w:cs="Times New Roman"/>
          <w:sz w:val="26"/>
          <w:szCs w:val="26"/>
        </w:rPr>
        <w:t>7,9,11</w:t>
      </w:r>
    </w:p>
    <w:p w14:paraId="00000057"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Mauro</w:t>
      </w:r>
      <w:r>
        <w:rPr>
          <w:rFonts w:ascii="Times New Roman" w:eastAsia="Times New Roman" w:hAnsi="Times New Roman" w:cs="Times New Roman"/>
          <w:sz w:val="26"/>
          <w:szCs w:val="26"/>
        </w:rPr>
        <w:t xml:space="preserve">, 846 F. Supp. 245 (W.D.N.Y. </w:t>
      </w:r>
      <w:proofErr w:type="gramStart"/>
      <w:r>
        <w:rPr>
          <w:rFonts w:ascii="Times New Roman" w:eastAsia="Times New Roman" w:hAnsi="Times New Roman" w:cs="Times New Roman"/>
          <w:sz w:val="26"/>
          <w:szCs w:val="26"/>
        </w:rPr>
        <w:t>1994)............................................................</w:t>
      </w:r>
      <w:proofErr w:type="gramEnd"/>
      <w:r>
        <w:rPr>
          <w:rFonts w:ascii="Times New Roman" w:eastAsia="Times New Roman" w:hAnsi="Times New Roman" w:cs="Times New Roman"/>
          <w:sz w:val="26"/>
          <w:szCs w:val="26"/>
        </w:rPr>
        <w:t>14</w:t>
      </w:r>
    </w:p>
    <w:p w14:paraId="00000058"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Reyes</w:t>
      </w:r>
      <w:r>
        <w:rPr>
          <w:rFonts w:ascii="Times New Roman" w:eastAsia="Times New Roman" w:hAnsi="Times New Roman" w:cs="Times New Roman"/>
          <w:sz w:val="26"/>
          <w:szCs w:val="26"/>
        </w:rPr>
        <w:t xml:space="preserve">, 239 F.R.D. 591, 599 (N.D. Ca. </w:t>
      </w:r>
      <w:proofErr w:type="gramStart"/>
      <w:r>
        <w:rPr>
          <w:rFonts w:ascii="Times New Roman" w:eastAsia="Times New Roman" w:hAnsi="Times New Roman" w:cs="Times New Roman"/>
          <w:sz w:val="26"/>
          <w:szCs w:val="26"/>
        </w:rPr>
        <w:t>2006).........................................................</w:t>
      </w:r>
      <w:proofErr w:type="gramEnd"/>
      <w:r>
        <w:rPr>
          <w:rFonts w:ascii="Times New Roman" w:eastAsia="Times New Roman" w:hAnsi="Times New Roman" w:cs="Times New Roman"/>
          <w:sz w:val="26"/>
          <w:szCs w:val="26"/>
        </w:rPr>
        <w:t>16</w:t>
      </w:r>
    </w:p>
    <w:p w14:paraId="00000059"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E.I. Dupont de Nemours &amp; Co. v. Kolon Indus., Inc.</w:t>
      </w:r>
      <w:r>
        <w:rPr>
          <w:rFonts w:ascii="Times New Roman" w:eastAsia="Times New Roman" w:hAnsi="Times New Roman" w:cs="Times New Roman"/>
          <w:sz w:val="26"/>
          <w:szCs w:val="26"/>
        </w:rPr>
        <w:t>, 269 F.R.D. 600, 606 (E.D. Va. 2010)</w:t>
      </w:r>
    </w:p>
    <w:p w14:paraId="0000005A"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Equal Emp. Opportunity Comm’n v. George Washington Univ.</w:t>
      </w:r>
      <w:r>
        <w:rPr>
          <w:rFonts w:ascii="Times New Roman" w:eastAsia="Times New Roman" w:hAnsi="Times New Roman" w:cs="Times New Roman"/>
          <w:sz w:val="26"/>
          <w:szCs w:val="26"/>
        </w:rPr>
        <w:t xml:space="preserve">, 342 F.R.D. 161 (D.D.C. </w:t>
      </w:r>
      <w:proofErr w:type="gramStart"/>
      <w:r>
        <w:rPr>
          <w:rFonts w:ascii="Times New Roman" w:eastAsia="Times New Roman" w:hAnsi="Times New Roman" w:cs="Times New Roman"/>
          <w:sz w:val="26"/>
          <w:szCs w:val="26"/>
        </w:rPr>
        <w:t>2022)...............................................................................................................</w:t>
      </w:r>
      <w:proofErr w:type="gramEnd"/>
      <w:r>
        <w:rPr>
          <w:rFonts w:ascii="Times New Roman" w:eastAsia="Times New Roman" w:hAnsi="Times New Roman" w:cs="Times New Roman"/>
          <w:sz w:val="26"/>
          <w:szCs w:val="26"/>
        </w:rPr>
        <w:t>17,20</w:t>
      </w:r>
    </w:p>
    <w:p w14:paraId="0000005B"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Davis</w:t>
      </w:r>
      <w:r>
        <w:rPr>
          <w:rFonts w:ascii="Times New Roman" w:eastAsia="Times New Roman" w:hAnsi="Times New Roman" w:cs="Times New Roman"/>
          <w:sz w:val="26"/>
          <w:szCs w:val="26"/>
        </w:rPr>
        <w:t xml:space="preserve">, 131 F.R.D. 391 (S.D.N.Y. </w:t>
      </w:r>
      <w:proofErr w:type="gramStart"/>
      <w:r>
        <w:rPr>
          <w:rFonts w:ascii="Times New Roman" w:eastAsia="Times New Roman" w:hAnsi="Times New Roman" w:cs="Times New Roman"/>
          <w:sz w:val="26"/>
          <w:szCs w:val="26"/>
        </w:rPr>
        <w:t>1991)................................................................</w:t>
      </w:r>
      <w:proofErr w:type="gramEnd"/>
      <w:r>
        <w:rPr>
          <w:rFonts w:ascii="Times New Roman" w:eastAsia="Times New Roman" w:hAnsi="Times New Roman" w:cs="Times New Roman"/>
          <w:sz w:val="26"/>
          <w:szCs w:val="26"/>
        </w:rPr>
        <w:t>19</w:t>
      </w:r>
    </w:p>
    <w:p w14:paraId="0000005C"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Dempsey v. Bucknell Univ.</w:t>
      </w:r>
      <w:r>
        <w:rPr>
          <w:rFonts w:ascii="Times New Roman" w:eastAsia="Times New Roman" w:hAnsi="Times New Roman" w:cs="Times New Roman"/>
          <w:sz w:val="26"/>
          <w:szCs w:val="26"/>
        </w:rPr>
        <w:t xml:space="preserve">, 296 F.R.D. 323 (M.D. Pa. </w:t>
      </w:r>
      <w:proofErr w:type="gramStart"/>
      <w:r>
        <w:rPr>
          <w:rFonts w:ascii="Times New Roman" w:eastAsia="Times New Roman" w:hAnsi="Times New Roman" w:cs="Times New Roman"/>
          <w:sz w:val="26"/>
          <w:szCs w:val="26"/>
        </w:rPr>
        <w:t>2013)...........................................</w:t>
      </w:r>
      <w:proofErr w:type="gramEnd"/>
      <w:r>
        <w:rPr>
          <w:rFonts w:ascii="Times New Roman" w:eastAsia="Times New Roman" w:hAnsi="Times New Roman" w:cs="Times New Roman"/>
          <w:sz w:val="26"/>
          <w:szCs w:val="26"/>
        </w:rPr>
        <w:t>20</w:t>
      </w:r>
    </w:p>
    <w:p w14:paraId="0000005D"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U.S. v. ISS Marine Servs., Inc.</w:t>
      </w:r>
      <w:r>
        <w:rPr>
          <w:rFonts w:ascii="Times New Roman" w:eastAsia="Times New Roman" w:hAnsi="Times New Roman" w:cs="Times New Roman"/>
          <w:sz w:val="26"/>
          <w:szCs w:val="26"/>
        </w:rPr>
        <w:t xml:space="preserve">, 905 F.Supp.2d 121, 138-39 (D.D.C. </w:t>
      </w:r>
      <w:proofErr w:type="gramStart"/>
      <w:r>
        <w:rPr>
          <w:rFonts w:ascii="Times New Roman" w:eastAsia="Times New Roman" w:hAnsi="Times New Roman" w:cs="Times New Roman"/>
          <w:sz w:val="26"/>
          <w:szCs w:val="26"/>
        </w:rPr>
        <w:t>2012)......................</w:t>
      </w:r>
      <w:proofErr w:type="gramEnd"/>
      <w:r>
        <w:rPr>
          <w:rFonts w:ascii="Times New Roman" w:eastAsia="Times New Roman" w:hAnsi="Times New Roman" w:cs="Times New Roman"/>
          <w:sz w:val="26"/>
          <w:szCs w:val="26"/>
        </w:rPr>
        <w:t>19</w:t>
      </w:r>
    </w:p>
    <w:p w14:paraId="0000005E" w14:textId="77777777" w:rsidR="003B4713" w:rsidRDefault="003B4713">
      <w:pPr>
        <w:spacing w:line="259" w:lineRule="auto"/>
        <w:jc w:val="both"/>
        <w:rPr>
          <w:rFonts w:ascii="Times New Roman" w:eastAsia="Times New Roman" w:hAnsi="Times New Roman" w:cs="Times New Roman"/>
          <w:sz w:val="26"/>
          <w:szCs w:val="26"/>
        </w:rPr>
        <w:sectPr w:rsidR="003B4713">
          <w:pgSz w:w="12240" w:h="15840"/>
          <w:pgMar w:top="1440" w:right="1440" w:bottom="1440" w:left="1440" w:header="720" w:footer="720" w:gutter="0"/>
          <w:pgNumType w:start="1"/>
          <w:cols w:space="720"/>
        </w:sectPr>
      </w:pPr>
    </w:p>
    <w:p w14:paraId="0000005F" w14:textId="77777777" w:rsidR="003B4713" w:rsidRDefault="00300D6C">
      <w:pPr>
        <w:spacing w:after="160"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INTRODUCTION</w:t>
      </w:r>
    </w:p>
    <w:p w14:paraId="00000060" w14:textId="77777777" w:rsidR="003B4713" w:rsidRDefault="00300D6C">
      <w:pPr>
        <w:spacing w:line="480" w:lineRule="auto"/>
        <w:ind w:firstLine="720"/>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rPr>
        <w:t>This Court should deny Defendant’s Motion to Suppress and Motion to Quash because the Government did not violate her Court-ordered immunity and her defense strategy is discoverable.</w:t>
      </w:r>
      <w:r>
        <w:rPr>
          <w:rFonts w:ascii="Times New Roman" w:eastAsia="Times New Roman" w:hAnsi="Times New Roman" w:cs="Times New Roman"/>
          <w:sz w:val="26"/>
          <w:szCs w:val="26"/>
          <w:highlight w:val="yellow"/>
        </w:rPr>
        <w:t xml:space="preserve"> </w:t>
      </w:r>
    </w:p>
    <w:p w14:paraId="00000061"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Emily Calloway (“Defendant”) was charged with Killing of a Witness and Money Laundering Conspiracy, in a money laundering scheme involving her company, the Resort (“the Resort”). Due to the scheme’s unique nature, Defendant was compelled to testify against her suspected co-conspirator. Defendant now relies on that compelled testimony to circumvent her own prosecution, moving to suppress certain evidence, pursuant to 18 U.S.C.A. § 6002 and § 6003. Additionally, the Defendant seeks to quash a subpoena contain</w:t>
      </w:r>
      <w:r>
        <w:rPr>
          <w:rFonts w:ascii="Times New Roman" w:eastAsia="Times New Roman" w:hAnsi="Times New Roman" w:cs="Times New Roman"/>
          <w:sz w:val="26"/>
          <w:szCs w:val="26"/>
        </w:rPr>
        <w:t xml:space="preserve">ing critical evidence of the scheme as protected work-product.  </w:t>
      </w:r>
    </w:p>
    <w:p w14:paraId="00000062"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As to the Motion to Suppress, the Court asks whether the Government obtained evidence in violation of court ordered immunity. Under </w:t>
      </w:r>
      <w:r>
        <w:rPr>
          <w:rFonts w:ascii="Times New Roman" w:eastAsia="Times New Roman" w:hAnsi="Times New Roman" w:cs="Times New Roman"/>
          <w:i/>
          <w:iCs/>
          <w:sz w:val="26"/>
          <w:szCs w:val="26"/>
        </w:rPr>
        <w:t>Kastigar v. U.S.</w:t>
      </w:r>
      <w:r>
        <w:rPr>
          <w:rFonts w:ascii="Times New Roman" w:eastAsia="Times New Roman" w:hAnsi="Times New Roman" w:cs="Times New Roman"/>
          <w:sz w:val="26"/>
          <w:szCs w:val="26"/>
        </w:rPr>
        <w:t xml:space="preserve">, 406 U.S. 441, 447 (1972), the Government does not violate use or derivative-use immunity when it properly implements an insulation protocol between investigations and acquires its evidence from legitimate, independent sources. Here, the Government has demonstrated the investigation of the Defendant and her co-conspirator were entirely walled off once she was compelled to testify. </w:t>
      </w:r>
    </w:p>
    <w:p w14:paraId="00000063"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As to the Motion to Quash, the Court asks whether the interview records of Sierra Seton (“Seton”) are protected under the work-product privilege. Under </w:t>
      </w:r>
      <w:r>
        <w:rPr>
          <w:rFonts w:ascii="Times New Roman" w:eastAsia="Times New Roman" w:hAnsi="Times New Roman" w:cs="Times New Roman"/>
          <w:i/>
          <w:iCs/>
          <w:sz w:val="26"/>
          <w:szCs w:val="26"/>
        </w:rPr>
        <w:t>U.S. v. Nobles</w:t>
      </w:r>
      <w:r>
        <w:rPr>
          <w:rFonts w:ascii="Times New Roman" w:eastAsia="Times New Roman" w:hAnsi="Times New Roman" w:cs="Times New Roman"/>
          <w:sz w:val="26"/>
          <w:szCs w:val="26"/>
        </w:rPr>
        <w:t xml:space="preserve">, 422 U.S. 225, 237-39 (1975), once the requesting party demonstrates a subpoena is not </w:t>
      </w:r>
      <w:r>
        <w:rPr>
          <w:rFonts w:ascii="Times New Roman" w:eastAsia="Times New Roman" w:hAnsi="Times New Roman" w:cs="Times New Roman"/>
          <w:sz w:val="26"/>
          <w:szCs w:val="26"/>
        </w:rPr>
        <w:lastRenderedPageBreak/>
        <w:t xml:space="preserve">unreasonable or oppressive under Fed. R. Crim. Pro. 17(c)(2), the party asserting privilege has the burden to demonstrate that privilege exists. </w:t>
      </w:r>
      <w:proofErr w:type="gramStart"/>
      <w:r>
        <w:rPr>
          <w:rFonts w:ascii="Times New Roman" w:eastAsia="Times New Roman" w:hAnsi="Times New Roman" w:cs="Times New Roman"/>
          <w:sz w:val="26"/>
          <w:szCs w:val="26"/>
        </w:rPr>
        <w:t>But,</w:t>
      </w:r>
      <w:proofErr w:type="gramEnd"/>
      <w:r>
        <w:rPr>
          <w:rFonts w:ascii="Times New Roman" w:eastAsia="Times New Roman" w:hAnsi="Times New Roman" w:cs="Times New Roman"/>
          <w:sz w:val="26"/>
          <w:szCs w:val="26"/>
        </w:rPr>
        <w:t xml:space="preserve"> that privilege can be pierced, if it was not waived altogether. Here, the Government’s subpoena reasonably and </w:t>
      </w:r>
      <w:proofErr w:type="spellStart"/>
      <w:r>
        <w:rPr>
          <w:rFonts w:ascii="Times New Roman" w:eastAsia="Times New Roman" w:hAnsi="Times New Roman" w:cs="Times New Roman"/>
          <w:sz w:val="26"/>
          <w:szCs w:val="26"/>
        </w:rPr>
        <w:t>unoppressively</w:t>
      </w:r>
      <w:proofErr w:type="spellEnd"/>
      <w:r>
        <w:rPr>
          <w:rFonts w:ascii="Times New Roman" w:eastAsia="Times New Roman" w:hAnsi="Times New Roman" w:cs="Times New Roman"/>
          <w:sz w:val="26"/>
          <w:szCs w:val="26"/>
        </w:rPr>
        <w:t xml:space="preserve"> requests the records of a pivotal yet unavailable witness. Thus, even if Armana’s memorandum contains “fact” work-product, the Government can demonstrate a substantial need and undue hardship necessary to overcome such privilege. Likewi</w:t>
      </w:r>
      <w:r>
        <w:rPr>
          <w:rFonts w:ascii="Times New Roman" w:eastAsia="Times New Roman" w:hAnsi="Times New Roman" w:cs="Times New Roman"/>
          <w:sz w:val="26"/>
          <w:szCs w:val="26"/>
        </w:rPr>
        <w:t xml:space="preserve">se, even if the memorandum contains “opinion” work-product, this Court can allow discovery of the “fact” work product. </w:t>
      </w:r>
    </w:p>
    <w:p w14:paraId="00000064" w14:textId="77777777" w:rsidR="003B4713" w:rsidRDefault="00300D6C">
      <w:pPr>
        <w:spacing w:after="200"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Because the circumstances clearly establish that Kennedy Parker’s testimony was not obtained in violation of the Defendant’s immunity and the interview records of Sierra Seton are not entitled to work-product privilege, the Government respectfully requests this Court deny the Motion to Suppress and the Motion to Quash. </w:t>
      </w:r>
    </w:p>
    <w:p w14:paraId="00000065" w14:textId="77777777" w:rsidR="003B4713" w:rsidRDefault="00300D6C">
      <w:pPr>
        <w:spacing w:after="200" w:line="480" w:lineRule="auto"/>
        <w:ind w:firstLine="72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STATEMENT OF THE FACTS </w:t>
      </w:r>
    </w:p>
    <w:p w14:paraId="00000066" w14:textId="77777777" w:rsidR="003B4713" w:rsidRDefault="00300D6C">
      <w:pPr>
        <w:spacing w:after="160"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On September 23, 2025, Defendant was indicted by a grand jury for homicide and money laundering. Nolan Dep. 33:377-79. These charges were brought in relation to the fraud scheme operating through Defendant’s Resort, and the murder of Daniel Blake.</w:t>
      </w:r>
    </w:p>
    <w:p w14:paraId="00000067" w14:textId="77777777" w:rsidR="003B4713" w:rsidRDefault="00300D6C">
      <w:pPr>
        <w:spacing w:after="160" w:line="48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i/>
          <w:iCs/>
          <w:sz w:val="26"/>
          <w:szCs w:val="26"/>
        </w:rPr>
        <w:t>The Financial Fraud</w:t>
      </w:r>
    </w:p>
    <w:p w14:paraId="00000068" w14:textId="77777777" w:rsidR="003B4713" w:rsidRDefault="00300D6C">
      <w:pPr>
        <w:spacing w:after="160"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For nearly half a century, the </w:t>
      </w:r>
      <w:proofErr w:type="spellStart"/>
      <w:r>
        <w:rPr>
          <w:rFonts w:ascii="Times New Roman" w:eastAsia="Times New Roman" w:hAnsi="Times New Roman" w:cs="Times New Roman"/>
          <w:sz w:val="26"/>
          <w:szCs w:val="26"/>
        </w:rPr>
        <w:t>Calloways</w:t>
      </w:r>
      <w:proofErr w:type="spellEnd"/>
      <w:r>
        <w:rPr>
          <w:rFonts w:ascii="Times New Roman" w:eastAsia="Times New Roman" w:hAnsi="Times New Roman" w:cs="Times New Roman"/>
          <w:sz w:val="26"/>
          <w:szCs w:val="26"/>
        </w:rPr>
        <w:t xml:space="preserve"> ran the Resort. Sinclair Dep. 8:38-40. In 2013, Defendant inherited </w:t>
      </w:r>
      <w:proofErr w:type="gramStart"/>
      <w:r>
        <w:rPr>
          <w:rFonts w:ascii="Times New Roman" w:eastAsia="Times New Roman" w:hAnsi="Times New Roman" w:cs="Times New Roman"/>
          <w:sz w:val="26"/>
          <w:szCs w:val="26"/>
        </w:rPr>
        <w:t>the Resort</w:t>
      </w:r>
      <w:proofErr w:type="gramEnd"/>
      <w:r>
        <w:rPr>
          <w:rFonts w:ascii="Times New Roman" w:eastAsia="Times New Roman" w:hAnsi="Times New Roman" w:cs="Times New Roman"/>
          <w:sz w:val="26"/>
          <w:szCs w:val="26"/>
        </w:rPr>
        <w:t xml:space="preserve"> from her parents and struggles ensued. Sinclair Dep. 9:53-54; 9:56-60. After Defendant brought in Saint Donovan (“Donovan”) as a fifty-fifty </w:t>
      </w:r>
      <w:r>
        <w:rPr>
          <w:rFonts w:ascii="Times New Roman" w:eastAsia="Times New Roman" w:hAnsi="Times New Roman" w:cs="Times New Roman"/>
          <w:sz w:val="26"/>
          <w:szCs w:val="26"/>
        </w:rPr>
        <w:lastRenderedPageBreak/>
        <w:t xml:space="preserve">partner, they turned the Resort around through a multi-million dollar laundering scheme. Donovan handled the finances, while Defendant handled operations. Sinclair Dep. 10:86-90. Through this arrangement, the Resort funneled money through vendors to </w:t>
      </w:r>
      <w:proofErr w:type="gramStart"/>
      <w:r>
        <w:rPr>
          <w:rFonts w:ascii="Times New Roman" w:eastAsia="Times New Roman" w:hAnsi="Times New Roman" w:cs="Times New Roman"/>
          <w:sz w:val="26"/>
          <w:szCs w:val="26"/>
        </w:rPr>
        <w:t>off-shore</w:t>
      </w:r>
      <w:proofErr w:type="gramEnd"/>
      <w:r>
        <w:rPr>
          <w:rFonts w:ascii="Times New Roman" w:eastAsia="Times New Roman" w:hAnsi="Times New Roman" w:cs="Times New Roman"/>
          <w:sz w:val="26"/>
          <w:szCs w:val="26"/>
        </w:rPr>
        <w:t xml:space="preserve"> accounts. </w:t>
      </w:r>
    </w:p>
    <w:p w14:paraId="00000069" w14:textId="77777777" w:rsidR="003B4713" w:rsidRDefault="00300D6C">
      <w:pPr>
        <w:spacing w:after="160"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Emerald Coast Consulting (“Emerald”) was a fraudulent vendor, controlled by Donovan and invoicing for large monthly payments despite minimal performance. Sinclair Dep. 10:103-11. Emerald paid Coastal over seven million dollars between 2019 and 2023 for alleged event and staffing </w:t>
      </w:r>
      <w:proofErr w:type="gramStart"/>
      <w:r>
        <w:rPr>
          <w:rFonts w:ascii="Times New Roman" w:eastAsia="Times New Roman" w:hAnsi="Times New Roman" w:cs="Times New Roman"/>
          <w:sz w:val="26"/>
          <w:szCs w:val="26"/>
        </w:rPr>
        <w:t>support—</w:t>
      </w:r>
      <w:proofErr w:type="gramEnd"/>
      <w:r>
        <w:rPr>
          <w:rFonts w:ascii="Times New Roman" w:eastAsia="Times New Roman" w:hAnsi="Times New Roman" w:cs="Times New Roman"/>
          <w:sz w:val="26"/>
          <w:szCs w:val="26"/>
        </w:rPr>
        <w:t xml:space="preserve">the largest vendor payments in the entire network. Ex. 9. </w:t>
      </w:r>
    </w:p>
    <w:p w14:paraId="0000006A" w14:textId="77777777" w:rsidR="003B4713" w:rsidRDefault="00300D6C">
      <w:pPr>
        <w:spacing w:after="160" w:line="480" w:lineRule="auto"/>
        <w:ind w:firstLine="720"/>
        <w:jc w:val="both"/>
        <w:rPr>
          <w:rFonts w:ascii="Times New Roman" w:eastAsia="Times New Roman" w:hAnsi="Times New Roman" w:cs="Times New Roman"/>
          <w:i/>
          <w:iCs/>
          <w:sz w:val="26"/>
          <w:szCs w:val="26"/>
        </w:rPr>
      </w:pPr>
      <w:proofErr w:type="gramStart"/>
      <w:r>
        <w:rPr>
          <w:rFonts w:ascii="Times New Roman" w:eastAsia="Times New Roman" w:hAnsi="Times New Roman" w:cs="Times New Roman"/>
          <w:sz w:val="26"/>
          <w:szCs w:val="26"/>
        </w:rPr>
        <w:t>In reality, Coastal</w:t>
      </w:r>
      <w:proofErr w:type="gramEnd"/>
      <w:r>
        <w:rPr>
          <w:rFonts w:ascii="Times New Roman" w:eastAsia="Times New Roman" w:hAnsi="Times New Roman" w:cs="Times New Roman"/>
          <w:sz w:val="26"/>
          <w:szCs w:val="26"/>
        </w:rPr>
        <w:t xml:space="preserve"> “operated” out of an empty closet and provided services that did not align with its revenues. Sinclair Dep. 12:168-71. Emerald’s books listed substantial payments to Coastal for services like “special event support” at events fully staffed and overseen by the Defendant. Sinclair Dep. 11:138-47; Ex. 1.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owner wired those payments to an account based in the Cayman Islands and held by Marsh Holdings. Sinclair Dep. 17:347-51.</w:t>
      </w:r>
    </w:p>
    <w:p w14:paraId="0000006B" w14:textId="77777777" w:rsidR="003B4713" w:rsidRDefault="00300D6C">
      <w:pPr>
        <w:spacing w:after="160" w:line="480" w:lineRule="auto"/>
        <w:jc w:val="both"/>
        <w:rPr>
          <w:rFonts w:ascii="Times New Roman" w:eastAsia="Times New Roman" w:hAnsi="Times New Roman" w:cs="Times New Roman"/>
          <w:sz w:val="26"/>
          <w:szCs w:val="26"/>
        </w:rPr>
      </w:pPr>
      <w:r>
        <w:rPr>
          <w:rFonts w:ascii="Times New Roman" w:eastAsia="Times New Roman" w:hAnsi="Times New Roman" w:cs="Times New Roman"/>
          <w:b/>
          <w:bCs/>
          <w:i/>
          <w:iCs/>
          <w:sz w:val="26"/>
          <w:szCs w:val="26"/>
        </w:rPr>
        <w:t>Daniel Blake’s Murder</w:t>
      </w:r>
    </w:p>
    <w:p w14:paraId="0000006C" w14:textId="77777777" w:rsidR="003B4713" w:rsidRDefault="00300D6C">
      <w:pPr>
        <w:tabs>
          <w:tab w:val="left" w:pos="225"/>
        </w:tabs>
        <w:spacing w:after="160"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In January 2023, the Resort hired Daniel Blake (“Blake”) as an accountant. Sinclair Dep. 10:95. By April, Blake discovered massive financial irregularities in vendor billing pertaining to Coastal. Sinclair Dep. 11:128-33. The two times Blake confronted Defendant, Defendant ordered him to approve whatever Emerald charged and yelled, “back off and leave it alone.” Sinclair Dep. 12:190-94. Blake continued investigating and </w:t>
      </w:r>
      <w:proofErr w:type="gramStart"/>
      <w:r>
        <w:rPr>
          <w:rFonts w:ascii="Times New Roman" w:eastAsia="Times New Roman" w:hAnsi="Times New Roman" w:cs="Times New Roman"/>
          <w:sz w:val="26"/>
          <w:szCs w:val="26"/>
        </w:rPr>
        <w:t>made</w:t>
      </w:r>
      <w:proofErr w:type="gramEnd"/>
      <w:r>
        <w:rPr>
          <w:rFonts w:ascii="Times New Roman" w:eastAsia="Times New Roman" w:hAnsi="Times New Roman" w:cs="Times New Roman"/>
          <w:sz w:val="26"/>
          <w:szCs w:val="26"/>
        </w:rPr>
        <w:t xml:space="preserve"> a report </w:t>
      </w:r>
      <w:r>
        <w:rPr>
          <w:rFonts w:ascii="Times New Roman" w:eastAsia="Times New Roman" w:hAnsi="Times New Roman" w:cs="Times New Roman"/>
          <w:sz w:val="26"/>
          <w:szCs w:val="26"/>
        </w:rPr>
        <w:lastRenderedPageBreak/>
        <w:t xml:space="preserve">to local law enforcement about the potential fraud. Sinclair Dep. 10:95-101. Upon referral, Assistant United States Attorney Tatum Sinclair (“Sinclair”) met with Blake on October 9. Sinclair Dep. 10:103-06.  </w:t>
      </w:r>
    </w:p>
    <w:p w14:paraId="0000006D" w14:textId="77777777" w:rsidR="003B4713" w:rsidRDefault="00300D6C">
      <w:pPr>
        <w:spacing w:after="160"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On December 9, Blake contacted Sinclair to say he found the connection to the owner of the Coastal account but withheld specifics. Sinclair Dep. 13:200-06; 208-12. The next evening at the staff Christmas party, Kennedy Parker (“Parker”) saw Blake and Defendant arguing. Sinclair Dep. 15:299-301. Blake said, “you know there is a problem with the payments; I am giving you one last chance to do the right thing.” Parker Dep. 38:187-89. Defendant warned Blake: “you are making a mistake, back off.”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Minutes after, Defendant called Donovan before texting him, “handle it.” Ex. 7. Three days later, Blake was shot and killed. Sinclair Dep. 13:216-17. </w:t>
      </w:r>
    </w:p>
    <w:p w14:paraId="0000006E" w14:textId="77777777" w:rsidR="003B4713" w:rsidRDefault="00300D6C">
      <w:pPr>
        <w:spacing w:after="160" w:line="48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The Murder Investigation</w:t>
      </w:r>
    </w:p>
    <w:p w14:paraId="0000006F" w14:textId="77777777" w:rsidR="003B4713" w:rsidRDefault="00300D6C">
      <w:pPr>
        <w:spacing w:after="160" w:line="480" w:lineRule="auto"/>
        <w:ind w:firstLine="720"/>
        <w:jc w:val="both"/>
        <w:rPr>
          <w:rFonts w:ascii="Times New Roman" w:eastAsia="Times New Roman" w:hAnsi="Times New Roman" w:cs="Times New Roman"/>
          <w:i/>
          <w:iCs/>
          <w:sz w:val="26"/>
          <w:szCs w:val="26"/>
        </w:rPr>
      </w:pPr>
      <w:r>
        <w:rPr>
          <w:rFonts w:ascii="Times New Roman" w:eastAsia="Times New Roman" w:hAnsi="Times New Roman" w:cs="Times New Roman"/>
          <w:sz w:val="26"/>
          <w:szCs w:val="26"/>
        </w:rPr>
        <w:t>Upon investigation, law enforcement uncovered that Defendant asked Parker to take a box labeled “Coastal” containing phone numbers and bank papers to an offsite storage unit. Parker Dep. 40:255-67. Those documents identified Defendant as the owner of the Marsh Holdings Cayman Islands account. Nolan Dep. 33:356-60. Emerald surveillance footage identified the murder suspect, who confessed that Donovan had hired him to kill Blake. Sinclair Dep. 14:258-61; 15:275-83. Donovan was arrested January 26, 2024, and h</w:t>
      </w:r>
      <w:r>
        <w:rPr>
          <w:rFonts w:ascii="Times New Roman" w:eastAsia="Times New Roman" w:hAnsi="Times New Roman" w:cs="Times New Roman"/>
          <w:sz w:val="26"/>
          <w:szCs w:val="26"/>
        </w:rPr>
        <w:t xml:space="preserve">as refused to answer any questions. </w:t>
      </w:r>
      <w:r>
        <w:rPr>
          <w:rFonts w:ascii="Times New Roman" w:eastAsia="Times New Roman" w:hAnsi="Times New Roman" w:cs="Times New Roman"/>
          <w:i/>
          <w:iCs/>
          <w:sz w:val="26"/>
          <w:szCs w:val="26"/>
        </w:rPr>
        <w:t>Id.</w:t>
      </w:r>
    </w:p>
    <w:p w14:paraId="00000070" w14:textId="77777777" w:rsidR="003B4713" w:rsidRDefault="00300D6C">
      <w:pPr>
        <w:tabs>
          <w:tab w:val="left" w:pos="225"/>
        </w:tabs>
        <w:spacing w:after="160" w:line="48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The Defense’s Independent Investigation</w:t>
      </w:r>
    </w:p>
    <w:p w14:paraId="00000071" w14:textId="77777777" w:rsidR="003B4713" w:rsidRDefault="00300D6C">
      <w:pPr>
        <w:tabs>
          <w:tab w:val="left" w:pos="225"/>
        </w:tabs>
        <w:spacing w:after="160"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After Donovan’s arrest, Defendant retained private investigator Maddox Armana (“Armana”). Armana Dep. 43:35-38. Armana’s investigative efforts identified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former operations manager, Sierra Seton (“Seton”), whom he later interviewed. Armana Dep. 44:51-58; 45:80-83. Armana took notes of Seton’s factual account and his own thoughts. Armana Dep. 46:140-143. Seton gave specific, </w:t>
      </w:r>
      <w:proofErr w:type="gramStart"/>
      <w:r>
        <w:rPr>
          <w:rFonts w:ascii="Times New Roman" w:eastAsia="Times New Roman" w:hAnsi="Times New Roman" w:cs="Times New Roman"/>
          <w:sz w:val="26"/>
          <w:szCs w:val="26"/>
        </w:rPr>
        <w:t>factual information</w:t>
      </w:r>
      <w:proofErr w:type="gramEnd"/>
      <w:r>
        <w:rPr>
          <w:rFonts w:ascii="Times New Roman" w:eastAsia="Times New Roman" w:hAnsi="Times New Roman" w:cs="Times New Roman"/>
          <w:sz w:val="26"/>
          <w:szCs w:val="26"/>
        </w:rPr>
        <w:t xml:space="preserve"> about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operations, people connected to the company, and how the money moved. Armana Dep. 46:127-2</w:t>
      </w:r>
      <w:r>
        <w:rPr>
          <w:rFonts w:ascii="Times New Roman" w:eastAsia="Times New Roman" w:hAnsi="Times New Roman" w:cs="Times New Roman"/>
          <w:sz w:val="26"/>
          <w:szCs w:val="26"/>
        </w:rPr>
        <w:t xml:space="preserve">8. Soon after, Seton left the </w:t>
      </w:r>
      <w:proofErr w:type="gramStart"/>
      <w:r>
        <w:rPr>
          <w:rFonts w:ascii="Times New Roman" w:eastAsia="Times New Roman" w:hAnsi="Times New Roman" w:cs="Times New Roman"/>
          <w:sz w:val="26"/>
          <w:szCs w:val="26"/>
        </w:rPr>
        <w:t>country, and</w:t>
      </w:r>
      <w:proofErr w:type="gramEnd"/>
      <w:r>
        <w:rPr>
          <w:rFonts w:ascii="Times New Roman" w:eastAsia="Times New Roman" w:hAnsi="Times New Roman" w:cs="Times New Roman"/>
          <w:sz w:val="26"/>
          <w:szCs w:val="26"/>
        </w:rPr>
        <w:t xml:space="preserve"> was last seen in February 2024. Armana Dep. 46:146-49.</w:t>
      </w:r>
    </w:p>
    <w:p w14:paraId="00000072" w14:textId="77777777" w:rsidR="003B4713" w:rsidRDefault="00300D6C">
      <w:pPr>
        <w:tabs>
          <w:tab w:val="left" w:pos="225"/>
        </w:tabs>
        <w:spacing w:after="160" w:line="48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The Wall-Off Protocol</w:t>
      </w:r>
    </w:p>
    <w:p w14:paraId="00000073" w14:textId="77777777" w:rsidR="003B4713" w:rsidRDefault="00300D6C">
      <w:pPr>
        <w:tabs>
          <w:tab w:val="left" w:pos="225"/>
        </w:tabs>
        <w:spacing w:after="160"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 xml:space="preserve">The investigation, led by Sinclair and his lifelong friend, FBI Special Agent Bryce Nolan (“Nolan”), came to a halt due to evidentiary gaps. Nolan Dep. 27:154-60. To secure a witness who could explain the corporations’ financial structure, the government sought an order compelling Defendant’s testimony. Nolan Dep. 28:168-75. On August 23, 2024, the District Court entered that </w:t>
      </w:r>
      <w:proofErr w:type="gramStart"/>
      <w:r>
        <w:rPr>
          <w:rFonts w:ascii="Times New Roman" w:eastAsia="Times New Roman" w:hAnsi="Times New Roman" w:cs="Times New Roman"/>
          <w:sz w:val="26"/>
          <w:szCs w:val="26"/>
        </w:rPr>
        <w:t>order, and</w:t>
      </w:r>
      <w:proofErr w:type="gramEnd"/>
      <w:r>
        <w:rPr>
          <w:rFonts w:ascii="Times New Roman" w:eastAsia="Times New Roman" w:hAnsi="Times New Roman" w:cs="Times New Roman"/>
          <w:sz w:val="26"/>
          <w:szCs w:val="26"/>
        </w:rPr>
        <w:t xml:space="preserve"> granted Defendant immunity.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Ex. 12. Immediately after, Sinclair and Nolan divided the case between "Team Donovan" and "Team Calloway," respectively. Nolan Dep. 29: 203-213. Every piece of new evidence would be labeled by team, and “Team Calloway” remained separated from Defendant’s compelled testimony. Ex. 15. While Sinclair and Nolan had a personal friendship, their professional investigations remained strictly separated. Sinclair Dep. 22:583-586.</w:t>
      </w:r>
    </w:p>
    <w:p w14:paraId="00000074" w14:textId="77777777" w:rsidR="003B4713" w:rsidRDefault="00300D6C">
      <w:pPr>
        <w:tabs>
          <w:tab w:val="left" w:pos="225"/>
        </w:tabs>
        <w:spacing w:after="160" w:line="480" w:lineRule="auto"/>
        <w:jc w:val="both"/>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Defendant’s Ownership of Cayman Accounts</w:t>
      </w:r>
    </w:p>
    <w:p w14:paraId="00000075" w14:textId="77777777" w:rsidR="003B4713" w:rsidRDefault="00300D6C">
      <w:pPr>
        <w:tabs>
          <w:tab w:val="left" w:pos="225"/>
        </w:tabs>
        <w:spacing w:after="160"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Prior to Defendant’s compelled testimony, Nolan memorialized an investigative plan. Nolan Dep. 30:269-71. The plan outlined the next steps in the Calloway investigation and included a roster of Resort employees. Ex. 16. The employee list was specific to the Calloway investigation, including individuals unnecessary to the Donovan case, like Parker. Nolan Dep. 31:299-302; Ex. 16. Although Defendant gave her testimony in open court and received heavy press coverage, Nolan did not view or follow any media outle</w:t>
      </w:r>
      <w:r>
        <w:rPr>
          <w:rFonts w:ascii="Times New Roman" w:eastAsia="Times New Roman" w:hAnsi="Times New Roman" w:cs="Times New Roman"/>
          <w:sz w:val="26"/>
          <w:szCs w:val="26"/>
        </w:rPr>
        <w:t xml:space="preserve">ts regarding the testimony. Sinclair Dep. 23: 592-599; Nolan Dep. 32:324. </w:t>
      </w:r>
    </w:p>
    <w:p w14:paraId="00000078" w14:textId="105DD363" w:rsidR="003B4713" w:rsidRDefault="00300D6C">
      <w:pPr>
        <w:tabs>
          <w:tab w:val="left" w:pos="225"/>
        </w:tabs>
        <w:spacing w:after="160"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 xml:space="preserve">On October 31, 2024, Nolan interviewed Parker, who described the Christmas party confrontation. Nolan Dep. 32:335-42. She recalled that Defendant instructed her to move a banker’s box labeled “Coastal” into an off-site storage unit.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Nolan then confirmed the storage unit’s existence and renter, “Carlos Calloway” and executed a search warrant. Nolan Dep. 33:352-60. The warrant recovered hidden financial records, including an offshore banking history that identified Defendant by name as the owner of the account that received over seven million dollars in laundered proceeds.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This evidence, combined with other evidence collected, was presented to the grand jury and Defendant was indicted on September 23, </w:t>
      </w:r>
      <w:proofErr w:type="gramStart"/>
      <w:r>
        <w:rPr>
          <w:rFonts w:ascii="Times New Roman" w:eastAsia="Times New Roman" w:hAnsi="Times New Roman" w:cs="Times New Roman"/>
          <w:sz w:val="26"/>
          <w:szCs w:val="26"/>
        </w:rPr>
        <w:t>2025</w:t>
      </w:r>
      <w:proofErr w:type="gramEnd"/>
      <w:r>
        <w:rPr>
          <w:rFonts w:ascii="Times New Roman" w:eastAsia="Times New Roman" w:hAnsi="Times New Roman" w:cs="Times New Roman"/>
          <w:sz w:val="26"/>
          <w:szCs w:val="26"/>
        </w:rPr>
        <w:t xml:space="preserve"> for homicide and money laundering. Nolan Dep. 33:377-79.</w:t>
      </w:r>
    </w:p>
    <w:p w14:paraId="00000079" w14:textId="77777777" w:rsidR="003B4713" w:rsidRDefault="00300D6C">
      <w:pPr>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ARGUMENT</w:t>
      </w:r>
      <w:r>
        <w:rPr>
          <w:rFonts w:ascii="Times New Roman" w:eastAsia="Times New Roman" w:hAnsi="Times New Roman" w:cs="Times New Roman"/>
          <w:sz w:val="26"/>
          <w:szCs w:val="26"/>
        </w:rPr>
        <w:t xml:space="preserve"> </w:t>
      </w:r>
    </w:p>
    <w:p w14:paraId="0000007A" w14:textId="77777777" w:rsidR="003B4713" w:rsidRDefault="003B4713">
      <w:pPr>
        <w:jc w:val="both"/>
        <w:rPr>
          <w:rFonts w:ascii="Times New Roman" w:eastAsia="Times New Roman" w:hAnsi="Times New Roman" w:cs="Times New Roman"/>
          <w:sz w:val="26"/>
          <w:szCs w:val="26"/>
        </w:rPr>
      </w:pPr>
    </w:p>
    <w:p w14:paraId="0000007B" w14:textId="77777777" w:rsidR="003B4713" w:rsidRDefault="00300D6C">
      <w:pPr>
        <w:numPr>
          <w:ilvl w:val="0"/>
          <w:numId w:val="2"/>
        </w:num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This Court should deny Defendant’s Motion to Suppress because the Government derived its evidence through a successful wall-off protocol and from wholly independent, legitimate sources, thereby satisfying its burden under </w:t>
      </w:r>
      <w:r>
        <w:rPr>
          <w:rFonts w:ascii="Times New Roman" w:eastAsia="Times New Roman" w:hAnsi="Times New Roman" w:cs="Times New Roman"/>
          <w:b/>
          <w:bCs/>
          <w:i/>
          <w:iCs/>
          <w:sz w:val="26"/>
          <w:szCs w:val="26"/>
        </w:rPr>
        <w:t>Kastigar</w:t>
      </w:r>
      <w:r>
        <w:rPr>
          <w:rFonts w:ascii="Times New Roman" w:eastAsia="Times New Roman" w:hAnsi="Times New Roman" w:cs="Times New Roman"/>
          <w:b/>
          <w:bCs/>
          <w:sz w:val="26"/>
          <w:szCs w:val="26"/>
        </w:rPr>
        <w:t xml:space="preserve">. </w:t>
      </w:r>
    </w:p>
    <w:p w14:paraId="0000007C" w14:textId="77777777" w:rsidR="003B4713" w:rsidRDefault="003B4713">
      <w:pPr>
        <w:ind w:firstLine="720"/>
        <w:jc w:val="both"/>
        <w:rPr>
          <w:rFonts w:ascii="Times New Roman" w:eastAsia="Times New Roman" w:hAnsi="Times New Roman" w:cs="Times New Roman"/>
          <w:sz w:val="26"/>
          <w:szCs w:val="26"/>
        </w:rPr>
      </w:pPr>
    </w:p>
    <w:p w14:paraId="0000007D"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Because the Government implemented proper wall-off protocols and independent sourcing of evidence, Defendant’s Motion to Suppress should be denied. When a court compels a witness to testify, such testimony may not be used against the witness “in any criminal case.” 18 U.S.C.A. § 6002. But the privilege only provides immunity from compelled testimony and the use of evidence derived from that testimony.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453. The Supreme Court defines this as a limited immunity that “has never been construed to mean” that the individual invoking it cannot be subsequently prosecuted.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0000007E"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Specifically, a defendant may still face prosecution if authorities “do not use the immunized testimony in any way” and the defendant “is left in substantially the same position” as if he had not testified under immunity. </w:t>
      </w:r>
      <w:r>
        <w:rPr>
          <w:rFonts w:ascii="Times New Roman" w:eastAsia="Times New Roman" w:hAnsi="Times New Roman" w:cs="Times New Roman"/>
          <w:i/>
          <w:iCs/>
          <w:sz w:val="26"/>
          <w:szCs w:val="26"/>
        </w:rPr>
        <w:t>U.S. v. Smith</w:t>
      </w:r>
      <w:r>
        <w:rPr>
          <w:rFonts w:ascii="Times New Roman" w:eastAsia="Times New Roman" w:hAnsi="Times New Roman" w:cs="Times New Roman"/>
          <w:sz w:val="26"/>
          <w:szCs w:val="26"/>
        </w:rPr>
        <w:t xml:space="preserve">, 580 F. Supp. 1418, 1433 (D.N.J. 1984). Ultimately, the Government has the burden to prove their evidence derives from a wholly independent source.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453. </w:t>
      </w:r>
    </w:p>
    <w:p w14:paraId="0000007F"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Here, the Government implemented a wall-off protocol to protect Defendant’s immunized testimony in Donovan’s trial. The protocol’s two teams investigated Donovan and Defendant separately. Each team had to maintain clear, labeled records of its findings along with any evidence gathered before the immunization order began. Parker’s interview with Nolan and subsequent findings resulted not from improper use but from expected steps in the Calloway investigation that would have occurred regardless of Defendant’s</w:t>
      </w:r>
      <w:r>
        <w:rPr>
          <w:rFonts w:ascii="Times New Roman" w:eastAsia="Times New Roman" w:hAnsi="Times New Roman" w:cs="Times New Roman"/>
          <w:sz w:val="26"/>
          <w:szCs w:val="26"/>
        </w:rPr>
        <w:t xml:space="preserve"> compelled testimony. All presented records of </w:t>
      </w:r>
      <w:proofErr w:type="gramStart"/>
      <w:r>
        <w:rPr>
          <w:rFonts w:ascii="Times New Roman" w:eastAsia="Times New Roman" w:hAnsi="Times New Roman" w:cs="Times New Roman"/>
          <w:sz w:val="26"/>
          <w:szCs w:val="26"/>
        </w:rPr>
        <w:t>independently-sourced</w:t>
      </w:r>
      <w:proofErr w:type="gramEnd"/>
      <w:r>
        <w:rPr>
          <w:rFonts w:ascii="Times New Roman" w:eastAsia="Times New Roman" w:hAnsi="Times New Roman" w:cs="Times New Roman"/>
          <w:sz w:val="26"/>
          <w:szCs w:val="26"/>
        </w:rPr>
        <w:t xml:space="preserve">, untainted evidence demonstrate that the Government has satisfied the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and the Motion to Suppress should be denied. </w:t>
      </w:r>
    </w:p>
    <w:p w14:paraId="00000080" w14:textId="77777777" w:rsidR="003B4713" w:rsidRDefault="00300D6C">
      <w:pPr>
        <w:numPr>
          <w:ilvl w:val="0"/>
          <w:numId w:val="6"/>
        </w:num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 xml:space="preserve">Because of the Government’s clear “wall of separation,” the disputed evidence did not result from exposure to the immunized testimony. </w:t>
      </w:r>
    </w:p>
    <w:p w14:paraId="00000081" w14:textId="77777777" w:rsidR="003B4713" w:rsidRDefault="003B4713">
      <w:pPr>
        <w:jc w:val="both"/>
        <w:rPr>
          <w:rFonts w:ascii="Times New Roman" w:eastAsia="Times New Roman" w:hAnsi="Times New Roman" w:cs="Times New Roman"/>
          <w:sz w:val="26"/>
          <w:szCs w:val="26"/>
        </w:rPr>
      </w:pPr>
    </w:p>
    <w:p w14:paraId="00000082" w14:textId="77777777" w:rsidR="003B4713" w:rsidRDefault="00300D6C">
      <w:pPr>
        <w:spacing w:line="480" w:lineRule="auto"/>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ab/>
        <w:t xml:space="preserve">Because the Government successfully implemented a “wall-off” protocol, the Government prevented evidentiary use of immunized statements under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When deciding motions to suppress, courts have distinguished that immunity under 18 U.S.C. §</w:t>
      </w:r>
      <w:r>
        <w:rPr>
          <w:sz w:val="26"/>
          <w:szCs w:val="26"/>
        </w:rPr>
        <w:t xml:space="preserve"> </w:t>
      </w:r>
      <w:r>
        <w:rPr>
          <w:rFonts w:ascii="Times New Roman" w:eastAsia="Times New Roman" w:hAnsi="Times New Roman" w:cs="Times New Roman"/>
          <w:sz w:val="26"/>
          <w:szCs w:val="26"/>
        </w:rPr>
        <w:t xml:space="preserve">6002 does not protect the substance of the testimony but its compulsory use for evidentiary purposes. </w:t>
      </w:r>
      <w:r>
        <w:rPr>
          <w:rFonts w:ascii="Times New Roman" w:eastAsia="Times New Roman" w:hAnsi="Times New Roman" w:cs="Times New Roman"/>
          <w:i/>
          <w:iCs/>
          <w:sz w:val="26"/>
          <w:szCs w:val="26"/>
        </w:rPr>
        <w:t>U.S. v. Crowson</w:t>
      </w:r>
      <w:r>
        <w:rPr>
          <w:rFonts w:ascii="Times New Roman" w:eastAsia="Times New Roman" w:hAnsi="Times New Roman" w:cs="Times New Roman"/>
          <w:sz w:val="26"/>
          <w:szCs w:val="26"/>
        </w:rPr>
        <w:t xml:space="preserve">, 828 F.2d 1427, 1428 (9th Cir. 1987). Notably, courts have accepted affidavits by involved agents and investigative records as sufficient to prove independent sources of evidence.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1429. </w:t>
      </w:r>
      <w:r>
        <w:rPr>
          <w:rFonts w:ascii="Times New Roman" w:eastAsia="Times New Roman" w:hAnsi="Times New Roman" w:cs="Times New Roman"/>
          <w:b/>
          <w:bCs/>
          <w:sz w:val="26"/>
          <w:szCs w:val="26"/>
        </w:rPr>
        <w:t xml:space="preserve"> </w:t>
      </w:r>
    </w:p>
    <w:p w14:paraId="00000083" w14:textId="77777777" w:rsidR="003B4713" w:rsidRDefault="00300D6C">
      <w:pPr>
        <w:spacing w:line="48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t xml:space="preserve">Although the government bears a substantial burden under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the burden should not present an “insurmountable obstacle.” </w:t>
      </w:r>
      <w:r>
        <w:rPr>
          <w:rFonts w:ascii="Times New Roman" w:eastAsia="Times New Roman" w:hAnsi="Times New Roman" w:cs="Times New Roman"/>
          <w:i/>
          <w:iCs/>
          <w:sz w:val="26"/>
          <w:szCs w:val="26"/>
        </w:rPr>
        <w:t>Smith</w:t>
      </w:r>
      <w:r>
        <w:rPr>
          <w:rFonts w:ascii="Times New Roman" w:eastAsia="Times New Roman" w:hAnsi="Times New Roman" w:cs="Times New Roman"/>
          <w:sz w:val="26"/>
          <w:szCs w:val="26"/>
        </w:rPr>
        <w:t xml:space="preserve">, 580 F. Supp. at 1433.  In </w:t>
      </w:r>
      <w:r>
        <w:rPr>
          <w:rFonts w:ascii="Times New Roman" w:eastAsia="Times New Roman" w:hAnsi="Times New Roman" w:cs="Times New Roman"/>
          <w:i/>
          <w:iCs/>
          <w:sz w:val="26"/>
          <w:szCs w:val="26"/>
        </w:rPr>
        <w:t>Smith</w:t>
      </w:r>
      <w:r>
        <w:rPr>
          <w:rFonts w:ascii="Times New Roman" w:eastAsia="Times New Roman" w:hAnsi="Times New Roman" w:cs="Times New Roman"/>
          <w:sz w:val="26"/>
          <w:szCs w:val="26"/>
        </w:rPr>
        <w:t>, defendant C.E.O testified under a grant of immunity before the New Jersey State Commission (“SCI team</w:t>
      </w:r>
      <w:proofErr w:type="gramStart"/>
      <w:r>
        <w:rPr>
          <w:rFonts w:ascii="Times New Roman" w:eastAsia="Times New Roman" w:hAnsi="Times New Roman" w:cs="Times New Roman"/>
          <w:sz w:val="26"/>
          <w:szCs w:val="26"/>
        </w:rPr>
        <w:t>”)  regarding</w:t>
      </w:r>
      <w:proofErr w:type="gramEnd"/>
      <w:r>
        <w:rPr>
          <w:rFonts w:ascii="Times New Roman" w:eastAsia="Times New Roman" w:hAnsi="Times New Roman" w:cs="Times New Roman"/>
          <w:sz w:val="26"/>
          <w:szCs w:val="26"/>
        </w:rPr>
        <w:t xml:space="preserve"> a corporate fraud scheme.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1421. Following a second federal investigation (“federal team”), a grand jury indicted the defendant.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1420. Although the SCI team targeted state health care laws, the federal team noted an overlap between them and SCI in its pretrial submissions.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This overlap in subject matter triggered Smith’s prima facie case for immunity violation, which then shifted the burden of proof to the government under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00000084"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To prove implementation of a “wall,” the government introduced federal officials and the prosecuting attorney, whose testimony included: (1) the evidence and sources he planned to use for trial; (2) the time at which he determined such evidence would be of use at trial; (3) the reasoning for his decision to view the evidence as useful; (4) the names and </w:t>
      </w:r>
      <w:r>
        <w:rPr>
          <w:rFonts w:ascii="Times New Roman" w:eastAsia="Times New Roman" w:hAnsi="Times New Roman" w:cs="Times New Roman"/>
          <w:sz w:val="26"/>
          <w:szCs w:val="26"/>
        </w:rPr>
        <w:lastRenderedPageBreak/>
        <w:t xml:space="preserve">testimonies of each witness and their usefulness for trial, and (5) what contact the witnesses had with Smith’s immunized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1425-26. At the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hearing, the court found the federal team’s witnesses sufficiently credible to meet the government’s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The court denied the motion to suppress, concluding that the insulating “wall” began once the SCI granted immunity to Smith.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1433. </w:t>
      </w:r>
    </w:p>
    <w:p w14:paraId="00000085"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Like </w:t>
      </w:r>
      <w:r>
        <w:rPr>
          <w:rFonts w:ascii="Times New Roman" w:eastAsia="Times New Roman" w:hAnsi="Times New Roman" w:cs="Times New Roman"/>
          <w:i/>
          <w:iCs/>
          <w:sz w:val="26"/>
          <w:szCs w:val="26"/>
        </w:rPr>
        <w:t>Smith</w:t>
      </w:r>
      <w:r>
        <w:rPr>
          <w:rFonts w:ascii="Times New Roman" w:eastAsia="Times New Roman" w:hAnsi="Times New Roman" w:cs="Times New Roman"/>
          <w:sz w:val="26"/>
          <w:szCs w:val="26"/>
        </w:rPr>
        <w:t xml:space="preserve">, where a wall between the “federal” and the “SCI” teams sufficed to prevent exposure, the wall between teams Donovan and Calloway also sufficed. Just as in </w:t>
      </w:r>
      <w:r>
        <w:rPr>
          <w:rFonts w:ascii="Times New Roman" w:eastAsia="Times New Roman" w:hAnsi="Times New Roman" w:cs="Times New Roman"/>
          <w:i/>
          <w:iCs/>
          <w:sz w:val="26"/>
          <w:szCs w:val="26"/>
        </w:rPr>
        <w:t>Smith</w:t>
      </w:r>
      <w:r>
        <w:rPr>
          <w:rFonts w:ascii="Times New Roman" w:eastAsia="Times New Roman" w:hAnsi="Times New Roman" w:cs="Times New Roman"/>
          <w:sz w:val="26"/>
          <w:szCs w:val="26"/>
        </w:rPr>
        <w:t xml:space="preserve">, where the federal team investigated corporate fraud while SCI focused on state laws, Sinclair focused on Donovan, while Nolan continued investigating Defendant.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1427. To prove implementation of the </w:t>
      </w:r>
      <w:proofErr w:type="gramStart"/>
      <w:r>
        <w:rPr>
          <w:rFonts w:ascii="Times New Roman" w:eastAsia="Times New Roman" w:hAnsi="Times New Roman" w:cs="Times New Roman"/>
          <w:sz w:val="26"/>
          <w:szCs w:val="26"/>
        </w:rPr>
        <w:t>wall,  Nolan</w:t>
      </w:r>
      <w:proofErr w:type="gramEnd"/>
      <w:r>
        <w:rPr>
          <w:rFonts w:ascii="Times New Roman" w:eastAsia="Times New Roman" w:hAnsi="Times New Roman" w:cs="Times New Roman"/>
          <w:sz w:val="26"/>
          <w:szCs w:val="26"/>
        </w:rPr>
        <w:t xml:space="preserve"> clarified that 1) his “working list” exists because 2) he knew how his investigation of Defendant would be scrutinized </w:t>
      </w:r>
      <w:r>
        <w:rPr>
          <w:rFonts w:ascii="Times New Roman" w:eastAsia="Times New Roman" w:hAnsi="Times New Roman" w:cs="Times New Roman"/>
          <w:i/>
          <w:iCs/>
          <w:sz w:val="26"/>
          <w:szCs w:val="26"/>
        </w:rPr>
        <w:t xml:space="preserve">after </w:t>
      </w:r>
      <w:r>
        <w:rPr>
          <w:rFonts w:ascii="Times New Roman" w:eastAsia="Times New Roman" w:hAnsi="Times New Roman" w:cs="Times New Roman"/>
          <w:sz w:val="26"/>
          <w:szCs w:val="26"/>
        </w:rPr>
        <w:t xml:space="preserve">her immunized testimony. Nolan also explained 3) judicial resources, delays, and choice of relevance as reasons for not interviewing Parker during Donovan’s investigation and 4) how he knew what witnesses he should speak to, ranking them by frequency of work. Both Parker and Nolan stated 5) they had no contact or exposure to the immunized testimony. </w:t>
      </w:r>
    </w:p>
    <w:p w14:paraId="00000086"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Because the Government properly implemented a wall-off protocol before Defendant testified at Donovan’s trial under immunity, it successfully prevented either team from cross-contaminating the investigation. Nolan’s investigation records, which showed separation after August 24, delineate how the Government walled off potential influence from immunized testimony in compliance with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w:t>
      </w:r>
    </w:p>
    <w:p w14:paraId="00000087" w14:textId="77777777" w:rsidR="003B4713" w:rsidRDefault="00300D6C">
      <w:pPr>
        <w:numPr>
          <w:ilvl w:val="0"/>
          <w:numId w:val="6"/>
        </w:num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The disputed evidence derives from wholly independent, legitimate sources.</w:t>
      </w:r>
    </w:p>
    <w:p w14:paraId="00000088" w14:textId="77777777" w:rsidR="003B4713" w:rsidRDefault="003B4713">
      <w:pPr>
        <w:jc w:val="both"/>
        <w:rPr>
          <w:rFonts w:ascii="Times New Roman" w:eastAsia="Times New Roman" w:hAnsi="Times New Roman" w:cs="Times New Roman"/>
          <w:sz w:val="26"/>
          <w:szCs w:val="26"/>
        </w:rPr>
      </w:pPr>
    </w:p>
    <w:p w14:paraId="00000089" w14:textId="77777777" w:rsidR="003B4713" w:rsidRDefault="00300D6C">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Because the Government’s investigative history meets the </w:t>
      </w:r>
      <w:r>
        <w:rPr>
          <w:rFonts w:ascii="Times New Roman" w:eastAsia="Times New Roman" w:hAnsi="Times New Roman" w:cs="Times New Roman"/>
          <w:i/>
          <w:iCs/>
          <w:sz w:val="26"/>
          <w:szCs w:val="26"/>
        </w:rPr>
        <w:t xml:space="preserve">Kastigar </w:t>
      </w:r>
      <w:r>
        <w:rPr>
          <w:rFonts w:ascii="Times New Roman" w:eastAsia="Times New Roman" w:hAnsi="Times New Roman" w:cs="Times New Roman"/>
          <w:sz w:val="26"/>
          <w:szCs w:val="26"/>
        </w:rPr>
        <w:t xml:space="preserve">burden to affirmatively prove independent sources, the Motion to Suppress should be denied.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’s framework does not require the Government to prove absence of exposure or that it “memorialized” the immunized statements before exposure. </w:t>
      </w:r>
      <w:r>
        <w:rPr>
          <w:rFonts w:ascii="Times New Roman" w:eastAsia="Times New Roman" w:hAnsi="Times New Roman" w:cs="Times New Roman"/>
          <w:i/>
          <w:iCs/>
          <w:sz w:val="26"/>
          <w:szCs w:val="26"/>
        </w:rPr>
        <w:t>U.S. v. Slough</w:t>
      </w:r>
      <w:r>
        <w:rPr>
          <w:rFonts w:ascii="Times New Roman" w:eastAsia="Times New Roman" w:hAnsi="Times New Roman" w:cs="Times New Roman"/>
          <w:sz w:val="26"/>
          <w:szCs w:val="26"/>
        </w:rPr>
        <w:t xml:space="preserve">, 641 F.3d 544, 550 (D.C. Cir. 2011). Courts may “parse” through testimony “line by line” to determine actual taint.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Courts also examine whether the government assigned the case to unexposed attorneys. </w:t>
      </w:r>
      <w:r>
        <w:rPr>
          <w:rFonts w:ascii="Times New Roman" w:eastAsia="Times New Roman" w:hAnsi="Times New Roman" w:cs="Times New Roman"/>
          <w:i/>
          <w:iCs/>
          <w:sz w:val="26"/>
          <w:szCs w:val="26"/>
        </w:rPr>
        <w:t xml:space="preserve">See U.S. v. </w:t>
      </w:r>
      <w:proofErr w:type="spellStart"/>
      <w:r>
        <w:rPr>
          <w:rFonts w:ascii="Times New Roman" w:eastAsia="Times New Roman" w:hAnsi="Times New Roman" w:cs="Times New Roman"/>
          <w:i/>
          <w:iCs/>
          <w:sz w:val="26"/>
          <w:szCs w:val="26"/>
        </w:rPr>
        <w:t>Semkiw</w:t>
      </w:r>
      <w:proofErr w:type="spellEnd"/>
      <w:r>
        <w:rPr>
          <w:rFonts w:ascii="Times New Roman" w:eastAsia="Times New Roman" w:hAnsi="Times New Roman" w:cs="Times New Roman"/>
          <w:i/>
          <w:iCs/>
          <w:sz w:val="26"/>
          <w:szCs w:val="26"/>
        </w:rPr>
        <w:t>,</w:t>
      </w:r>
      <w:r>
        <w:rPr>
          <w:rFonts w:ascii="Times New Roman" w:eastAsia="Times New Roman" w:hAnsi="Times New Roman" w:cs="Times New Roman"/>
          <w:sz w:val="26"/>
          <w:szCs w:val="26"/>
        </w:rPr>
        <w:t xml:space="preserve"> 712 F.2d 891, 895 (3d Cir. 1983). Importantly, “there is no </w:t>
      </w:r>
      <w:r>
        <w:rPr>
          <w:rFonts w:ascii="Times New Roman" w:eastAsia="Times New Roman" w:hAnsi="Times New Roman" w:cs="Times New Roman"/>
          <w:i/>
          <w:iCs/>
          <w:sz w:val="26"/>
          <w:szCs w:val="26"/>
        </w:rPr>
        <w:t>per se</w:t>
      </w:r>
      <w:r>
        <w:rPr>
          <w:rFonts w:ascii="Times New Roman" w:eastAsia="Times New Roman" w:hAnsi="Times New Roman" w:cs="Times New Roman"/>
          <w:sz w:val="26"/>
          <w:szCs w:val="26"/>
        </w:rPr>
        <w:t xml:space="preserve"> rule requiring the withdrawal of a prosecutor” in case of exposure. </w:t>
      </w:r>
      <w:r>
        <w:rPr>
          <w:rFonts w:ascii="Times New Roman" w:eastAsia="Times New Roman" w:hAnsi="Times New Roman" w:cs="Times New Roman"/>
          <w:i/>
          <w:iCs/>
          <w:sz w:val="26"/>
          <w:szCs w:val="26"/>
        </w:rPr>
        <w:t>Crowson</w:t>
      </w:r>
      <w:r>
        <w:rPr>
          <w:rFonts w:ascii="Times New Roman" w:eastAsia="Times New Roman" w:hAnsi="Times New Roman" w:cs="Times New Roman"/>
          <w:sz w:val="26"/>
          <w:szCs w:val="26"/>
        </w:rPr>
        <w:t xml:space="preserve">, 828 F.2d at 1430. Mere access to testimony does not equate to improper use.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0000008A" w14:textId="77777777" w:rsidR="003B4713" w:rsidRDefault="00300D6C">
      <w:pPr>
        <w:numPr>
          <w:ilvl w:val="0"/>
          <w:numId w:val="5"/>
        </w:numPr>
        <w:shd w:val="clear" w:color="auto" w:fill="FFFFFF"/>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Publicity of Defendant’s compelled testimony did not influence the use of Parker’s testimony as an investigatory lead. </w:t>
      </w:r>
    </w:p>
    <w:p w14:paraId="0000008B"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Government did not taint evidence because Parker’s employment history qualified her for an interview, so regardless of immunity, the Government had no need to use Defendant’s testimony as an investigatory lead to Parker. To satisfy the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prosecution should avoid “[putting] on a witness whose testimony is shaped, directly or indirectly, by compelled testimony.” </w:t>
      </w:r>
      <w:r>
        <w:rPr>
          <w:rFonts w:ascii="Times New Roman" w:eastAsia="Times New Roman" w:hAnsi="Times New Roman" w:cs="Times New Roman"/>
          <w:i/>
          <w:iCs/>
          <w:sz w:val="26"/>
          <w:szCs w:val="26"/>
        </w:rPr>
        <w:t>U.S. v. North</w:t>
      </w:r>
      <w:r>
        <w:rPr>
          <w:rFonts w:ascii="Times New Roman" w:eastAsia="Times New Roman" w:hAnsi="Times New Roman" w:cs="Times New Roman"/>
          <w:sz w:val="26"/>
          <w:szCs w:val="26"/>
        </w:rPr>
        <w:t xml:space="preserve">, 920 F.2d 940, 942 (D.C. Cir. 1990). Further, courts examine whether prosecution used immunized testimony to motivate another witness into making incriminating statements. </w:t>
      </w:r>
      <w:r>
        <w:rPr>
          <w:rFonts w:ascii="Times New Roman" w:eastAsia="Times New Roman" w:hAnsi="Times New Roman" w:cs="Times New Roman"/>
          <w:i/>
          <w:iCs/>
          <w:sz w:val="26"/>
          <w:szCs w:val="26"/>
        </w:rPr>
        <w:t>See</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U.S. v. Rinaldi</w:t>
      </w:r>
      <w:r>
        <w:rPr>
          <w:rFonts w:ascii="Times New Roman" w:eastAsia="Times New Roman" w:hAnsi="Times New Roman" w:cs="Times New Roman"/>
          <w:sz w:val="26"/>
          <w:szCs w:val="26"/>
        </w:rPr>
        <w:t>, 808 F.2d 1579 (D.C. Cir. 1987).</w:t>
      </w:r>
    </w:p>
    <w:p w14:paraId="0000008C"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Mere knowledge that the defendant received immunity for his testimony does not automatically taint an investigation. </w:t>
      </w:r>
      <w:r>
        <w:rPr>
          <w:rFonts w:ascii="Times New Roman" w:eastAsia="Times New Roman" w:hAnsi="Times New Roman" w:cs="Times New Roman"/>
          <w:i/>
          <w:iCs/>
          <w:sz w:val="26"/>
          <w:szCs w:val="26"/>
        </w:rPr>
        <w:t>Smith</w:t>
      </w:r>
      <w:r>
        <w:rPr>
          <w:rFonts w:ascii="Times New Roman" w:eastAsia="Times New Roman" w:hAnsi="Times New Roman" w:cs="Times New Roman"/>
          <w:sz w:val="26"/>
          <w:szCs w:val="26"/>
        </w:rPr>
        <w:t xml:space="preserve">, 580 F. Supp. at 1433. In </w:t>
      </w:r>
      <w:r>
        <w:rPr>
          <w:rFonts w:ascii="Times New Roman" w:eastAsia="Times New Roman" w:hAnsi="Times New Roman" w:cs="Times New Roman"/>
          <w:i/>
          <w:iCs/>
          <w:sz w:val="26"/>
          <w:szCs w:val="26"/>
        </w:rPr>
        <w:t xml:space="preserve">Smith, </w:t>
      </w:r>
      <w:r>
        <w:rPr>
          <w:rFonts w:ascii="Times New Roman" w:eastAsia="Times New Roman" w:hAnsi="Times New Roman" w:cs="Times New Roman"/>
          <w:sz w:val="26"/>
          <w:szCs w:val="26"/>
        </w:rPr>
        <w:t>the</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court reviewed independent sources from other agencies who investigated the defendant prior to </w:t>
      </w:r>
      <w:r>
        <w:rPr>
          <w:rFonts w:ascii="Times New Roman" w:eastAsia="Times New Roman" w:hAnsi="Times New Roman" w:cs="Times New Roman"/>
          <w:sz w:val="26"/>
          <w:szCs w:val="26"/>
        </w:rPr>
        <w:lastRenderedPageBreak/>
        <w:t xml:space="preserve">the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hearing.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1429. The Department of Justice conducted its own investigation as the “Camden team,” where the supervisor explicitly ordered his investigators not to have any contact with the “SCI team.”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1429-30. Instead, the Camden team reviewed grand jury transcripts as the basis for subpoenas.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1430. At no point did the Camden team proffer knowledge of Smith’s substantive testimony but offered proof that its evidence derived from a separate investigation and the grand jury transcript.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w:t>
      </w:r>
    </w:p>
    <w:p w14:paraId="0000008D"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Akin to </w:t>
      </w:r>
      <w:r>
        <w:rPr>
          <w:rFonts w:ascii="Times New Roman" w:eastAsia="Times New Roman" w:hAnsi="Times New Roman" w:cs="Times New Roman"/>
          <w:i/>
          <w:iCs/>
          <w:sz w:val="26"/>
          <w:szCs w:val="26"/>
        </w:rPr>
        <w:t>Smith</w:t>
      </w:r>
      <w:r>
        <w:rPr>
          <w:rFonts w:ascii="Times New Roman" w:eastAsia="Times New Roman" w:hAnsi="Times New Roman" w:cs="Times New Roman"/>
          <w:sz w:val="26"/>
          <w:szCs w:val="26"/>
        </w:rPr>
        <w:t xml:space="preserve">, Nolan or Parker never proffered knowledge of Defendant’s substantive testimony. Parker clarified her knowledge stopped at Donovan’s arrest, and despite his trial’s publicity, she did not partake in following its progress. Even while interviewed, Parker held on to Calloway’s innocence rather than showing signs of exposure to the immunized testimony. That Parker had not yet interviewed with Nolan before the wall-off and scandal does not mean that Parker knew the substance of the compelled statements before </w:t>
      </w:r>
      <w:r>
        <w:rPr>
          <w:rFonts w:ascii="Times New Roman" w:eastAsia="Times New Roman" w:hAnsi="Times New Roman" w:cs="Times New Roman"/>
          <w:sz w:val="26"/>
          <w:szCs w:val="26"/>
        </w:rPr>
        <w:t xml:space="preserve">she spoke to Nolan. To assume that Defendant’s statements led Nolan to specifically target Parker would ignore the investigatory timeline. </w:t>
      </w:r>
    </w:p>
    <w:p w14:paraId="0000008E"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Because Parker’s status and tenure automatically placed her on hold to be interviewed regardless of Defendant’s immunity grant, the Government did not use the compelled statements as an investigative lead to Parker’s testimony. Therefore, the Government did not taint its evidence nor </w:t>
      </w:r>
      <w:proofErr w:type="gramStart"/>
      <w:r>
        <w:rPr>
          <w:rFonts w:ascii="Times New Roman" w:eastAsia="Times New Roman" w:hAnsi="Times New Roman" w:cs="Times New Roman"/>
          <w:sz w:val="26"/>
          <w:szCs w:val="26"/>
        </w:rPr>
        <w:t>violate</w:t>
      </w:r>
      <w:proofErr w:type="gramEnd"/>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w:t>
      </w:r>
    </w:p>
    <w:p w14:paraId="0000008F" w14:textId="77777777" w:rsidR="003B4713" w:rsidRDefault="00300D6C">
      <w:pPr>
        <w:numPr>
          <w:ilvl w:val="0"/>
          <w:numId w:val="5"/>
        </w:numPr>
        <w:spacing w:after="200"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Publicity of Defendant’s compelled testimony did not taint the evidence because, absent those statements, the investigation would have yielded the same results.</w:t>
      </w:r>
    </w:p>
    <w:p w14:paraId="00000090"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Because the Calloway team would have learned of the Coastal file from Parker’s interview combined with pre-immunity evidence, Calloway would have faced the same charges. Immunity from use and derivative-use should ensure “the witness and the [prosecution are left] in substantially the same position as if the witness had claimed his privilege’ in the absence of a grant of immunity.”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406 U.S. at 458–59. </w:t>
      </w:r>
    </w:p>
    <w:p w14:paraId="00000091" w14:textId="77777777" w:rsidR="003B4713" w:rsidRDefault="00300D6C">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Public exposure to immunized statements does not render evidence tainted if no overlap occurs. </w:t>
      </w:r>
      <w:r>
        <w:rPr>
          <w:rFonts w:ascii="Times New Roman" w:eastAsia="Times New Roman" w:hAnsi="Times New Roman" w:cs="Times New Roman"/>
          <w:i/>
          <w:iCs/>
          <w:sz w:val="26"/>
          <w:szCs w:val="26"/>
        </w:rPr>
        <w:t>Slough</w:t>
      </w:r>
      <w:r>
        <w:rPr>
          <w:rFonts w:ascii="Times New Roman" w:eastAsia="Times New Roman" w:hAnsi="Times New Roman" w:cs="Times New Roman"/>
          <w:sz w:val="26"/>
          <w:szCs w:val="26"/>
        </w:rPr>
        <w:t xml:space="preserve">, 641 F.3d at 549. In </w:t>
      </w:r>
      <w:r>
        <w:rPr>
          <w:rFonts w:ascii="Times New Roman" w:eastAsia="Times New Roman" w:hAnsi="Times New Roman" w:cs="Times New Roman"/>
          <w:i/>
          <w:iCs/>
          <w:sz w:val="26"/>
          <w:szCs w:val="26"/>
        </w:rPr>
        <w:t>Slough</w:t>
      </w:r>
      <w:r>
        <w:rPr>
          <w:rFonts w:ascii="Times New Roman" w:eastAsia="Times New Roman" w:hAnsi="Times New Roman" w:cs="Times New Roman"/>
          <w:sz w:val="26"/>
          <w:szCs w:val="26"/>
        </w:rPr>
        <w:t xml:space="preserve">, the defendants’ compelled statements received notorious media attention.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548. But before the defendants’ grand jury proceedings, the government’s witnesses admitted they read those reports and knew of the statements.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549. To safeguard the testimony, the government presented a redacted case before the grand jury, who returned an indictment anyway.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The district court granted the motion to dismiss due tainting of the evidence under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On appeal, the court clarified the “sifting” theory: reviewing the evidence line by line ensures that what is allegedly tainted </w:t>
      </w:r>
      <w:proofErr w:type="gramStart"/>
      <w:r>
        <w:rPr>
          <w:rFonts w:ascii="Times New Roman" w:eastAsia="Times New Roman" w:hAnsi="Times New Roman" w:cs="Times New Roman"/>
          <w:sz w:val="26"/>
          <w:szCs w:val="26"/>
        </w:rPr>
        <w:t>actually formed</w:t>
      </w:r>
      <w:proofErr w:type="gramEnd"/>
      <w:r>
        <w:rPr>
          <w:rFonts w:ascii="Times New Roman" w:eastAsia="Times New Roman" w:hAnsi="Times New Roman" w:cs="Times New Roman"/>
          <w:sz w:val="26"/>
          <w:szCs w:val="26"/>
        </w:rPr>
        <w:t xml:space="preserve"> part of a later prosecution.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550. </w:t>
      </w:r>
    </w:p>
    <w:p w14:paraId="00000092" w14:textId="77777777" w:rsidR="003B4713" w:rsidRDefault="00300D6C">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Similarly, through a “sifting” of Nolan’s chain of investigation this Court will find the Government’s </w:t>
      </w:r>
      <w:r>
        <w:rPr>
          <w:rFonts w:ascii="Times New Roman" w:eastAsia="Times New Roman" w:hAnsi="Times New Roman" w:cs="Times New Roman"/>
          <w:i/>
          <w:iCs/>
          <w:sz w:val="26"/>
          <w:szCs w:val="26"/>
        </w:rPr>
        <w:t>Kastigar</w:t>
      </w:r>
      <w:r>
        <w:rPr>
          <w:rFonts w:ascii="Times New Roman" w:eastAsia="Times New Roman" w:hAnsi="Times New Roman" w:cs="Times New Roman"/>
          <w:sz w:val="26"/>
          <w:szCs w:val="26"/>
        </w:rPr>
        <w:t xml:space="preserve"> burden met. Defendant’s chain began as a general investigation into the Resort in </w:t>
      </w:r>
      <w:proofErr w:type="gramStart"/>
      <w:r>
        <w:rPr>
          <w:rFonts w:ascii="Times New Roman" w:eastAsia="Times New Roman" w:hAnsi="Times New Roman" w:cs="Times New Roman"/>
          <w:sz w:val="26"/>
          <w:szCs w:val="26"/>
        </w:rPr>
        <w:t>October  2023</w:t>
      </w:r>
      <w:proofErr w:type="gramEnd"/>
      <w:r>
        <w:rPr>
          <w:rFonts w:ascii="Times New Roman" w:eastAsia="Times New Roman" w:hAnsi="Times New Roman" w:cs="Times New Roman"/>
          <w:sz w:val="26"/>
          <w:szCs w:val="26"/>
        </w:rPr>
        <w:t xml:space="preserve">. After issuing warrants, Sinclair and Nolan received Emerald’s records in February 2024–these records included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banking. That same month, the investigation team subpoenaed the Resort’s employee roster, which included Parker. Prior to August 2024, Sinclair subpoenaed toll records from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number list, which showed repeated contact with Donovan and Defendant. Then, in June 2024, the Government submi</w:t>
      </w:r>
      <w:r>
        <w:rPr>
          <w:rFonts w:ascii="Times New Roman" w:eastAsia="Times New Roman" w:hAnsi="Times New Roman" w:cs="Times New Roman"/>
          <w:sz w:val="26"/>
          <w:szCs w:val="26"/>
        </w:rPr>
        <w:t xml:space="preserve">tted an MLAT request to identify the beneficial owner of a company to </w:t>
      </w:r>
      <w:r>
        <w:rPr>
          <w:rFonts w:ascii="Times New Roman" w:eastAsia="Times New Roman" w:hAnsi="Times New Roman" w:cs="Times New Roman"/>
          <w:sz w:val="26"/>
          <w:szCs w:val="26"/>
        </w:rPr>
        <w:lastRenderedPageBreak/>
        <w:t xml:space="preserve">which Coastal wired millions of dollars from 2018 to 2023. When “sifted,” every investigative step led to Coastal and would have ended with Defendant’s prosecution. </w:t>
      </w:r>
    </w:p>
    <w:p w14:paraId="00000093" w14:textId="77777777" w:rsidR="003B4713" w:rsidRDefault="00300D6C">
      <w:pPr>
        <w:shd w:val="clear" w:color="auto" w:fill="FFFFFF"/>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Further, courts have denied motions to suppress when government agents have not seen, read, or heard the substance of immunized testimony prior to their own investigations. </w:t>
      </w:r>
      <w:r>
        <w:rPr>
          <w:rFonts w:ascii="Times New Roman" w:eastAsia="Times New Roman" w:hAnsi="Times New Roman" w:cs="Times New Roman"/>
          <w:i/>
          <w:iCs/>
          <w:sz w:val="26"/>
          <w:szCs w:val="26"/>
        </w:rPr>
        <w:t>U.S. v. Mauro</w:t>
      </w:r>
      <w:r>
        <w:rPr>
          <w:rFonts w:ascii="Times New Roman" w:eastAsia="Times New Roman" w:hAnsi="Times New Roman" w:cs="Times New Roman"/>
          <w:sz w:val="26"/>
          <w:szCs w:val="26"/>
        </w:rPr>
        <w:t xml:space="preserve">, 846 F. Supp. 245, 255 (W.D.N.Y. 1994). But even when a movant accuses the prosecution of improper “subtle effects” of evidence, courts require more than speculation to prevent future prosecution.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253. </w:t>
      </w:r>
    </w:p>
    <w:p w14:paraId="00000094"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Mauro</w:t>
      </w:r>
      <w:r>
        <w:rPr>
          <w:rFonts w:ascii="Times New Roman" w:eastAsia="Times New Roman" w:hAnsi="Times New Roman" w:cs="Times New Roman"/>
          <w:sz w:val="26"/>
          <w:szCs w:val="26"/>
        </w:rPr>
        <w:t xml:space="preserve">, the court found that agents’ affidavits, testimony, and records prior to the defendant’s indictment demonstrated independent sources.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256. The government highlighted that it began the indictment investigation years prior and that their work was unrelated to the defendant’s immunized testimony.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247. The court agreed and denied the Motion to Suppress.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255. Akin to </w:t>
      </w:r>
      <w:r>
        <w:rPr>
          <w:rFonts w:ascii="Times New Roman" w:eastAsia="Times New Roman" w:hAnsi="Times New Roman" w:cs="Times New Roman"/>
          <w:i/>
          <w:iCs/>
          <w:sz w:val="26"/>
          <w:szCs w:val="26"/>
        </w:rPr>
        <w:t>Mauro</w:t>
      </w:r>
      <w:r>
        <w:rPr>
          <w:rFonts w:ascii="Times New Roman" w:eastAsia="Times New Roman" w:hAnsi="Times New Roman" w:cs="Times New Roman"/>
          <w:sz w:val="26"/>
          <w:szCs w:val="26"/>
        </w:rPr>
        <w:t xml:space="preserve">’s prosecution, the Government has proven the independence of its sources through prior work. Sinclair began investigating the Resort in 2023, only to </w:t>
      </w:r>
      <w:proofErr w:type="gramStart"/>
      <w:r>
        <w:rPr>
          <w:rFonts w:ascii="Times New Roman" w:eastAsia="Times New Roman" w:hAnsi="Times New Roman" w:cs="Times New Roman"/>
          <w:sz w:val="26"/>
          <w:szCs w:val="26"/>
        </w:rPr>
        <w:t>sever</w:t>
      </w:r>
      <w:proofErr w:type="gramEnd"/>
      <w:r>
        <w:rPr>
          <w:rFonts w:ascii="Times New Roman" w:eastAsia="Times New Roman" w:hAnsi="Times New Roman" w:cs="Times New Roman"/>
          <w:sz w:val="26"/>
          <w:szCs w:val="26"/>
        </w:rPr>
        <w:t xml:space="preserve"> upon necessity after Defendant’s immunity grant. </w:t>
      </w:r>
    </w:p>
    <w:p w14:paraId="00000095" w14:textId="77777777" w:rsidR="003B4713" w:rsidRDefault="00300D6C">
      <w:pPr>
        <w:spacing w:line="480" w:lineRule="auto"/>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xml:space="preserve">Because the Government successfully implemented a wall of separation between the Donovan and Calloway investigations, it prevented exposure to the compelled statements. Should this Court find that some level of exposure between teams occurred, the Government’s investigative records prove that evidence derives from independent sources. Absent direct or indirect use of immunized statements in Defendant’s grand jury indictment, this Court should deny Defendant’s Motion to Suppress. </w:t>
      </w:r>
    </w:p>
    <w:p w14:paraId="00000096" w14:textId="77777777" w:rsidR="003B4713" w:rsidRDefault="00300D6C">
      <w:pPr>
        <w:numPr>
          <w:ilvl w:val="0"/>
          <w:numId w:val="2"/>
        </w:numPr>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Defendant’s Motion to Quash United States Subpoena Duces Tecum should be denied because the subpoena complies with </w:t>
      </w:r>
      <w:r>
        <w:rPr>
          <w:rFonts w:ascii="Times New Roman" w:eastAsia="Times New Roman" w:hAnsi="Times New Roman" w:cs="Times New Roman"/>
          <w:b/>
          <w:bCs/>
          <w:i/>
          <w:iCs/>
          <w:sz w:val="26"/>
          <w:szCs w:val="26"/>
        </w:rPr>
        <w:t>Nixon</w:t>
      </w:r>
      <w:r>
        <w:rPr>
          <w:rFonts w:ascii="Times New Roman" w:eastAsia="Times New Roman" w:hAnsi="Times New Roman" w:cs="Times New Roman"/>
          <w:b/>
          <w:bCs/>
          <w:sz w:val="26"/>
          <w:szCs w:val="26"/>
        </w:rPr>
        <w:t xml:space="preserve"> and is not protected. </w:t>
      </w:r>
    </w:p>
    <w:p w14:paraId="00000097" w14:textId="77777777" w:rsidR="003B4713" w:rsidRDefault="003B4713">
      <w:pPr>
        <w:jc w:val="both"/>
        <w:rPr>
          <w:rFonts w:ascii="Times New Roman" w:eastAsia="Times New Roman" w:hAnsi="Times New Roman" w:cs="Times New Roman"/>
          <w:b/>
          <w:bCs/>
          <w:sz w:val="26"/>
          <w:szCs w:val="26"/>
        </w:rPr>
      </w:pPr>
    </w:p>
    <w:p w14:paraId="00000098"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Defendant’s Motion to Quash should be denied. Fed. R. Crim. P. 17(c)(2) allows a court to quash a subpoena for documents where compliance would be unreasonable or oppressive. In the </w:t>
      </w:r>
      <w:r>
        <w:rPr>
          <w:rFonts w:ascii="Times New Roman" w:eastAsia="Times New Roman" w:hAnsi="Times New Roman" w:cs="Times New Roman"/>
          <w:i/>
          <w:iCs/>
          <w:sz w:val="26"/>
          <w:szCs w:val="26"/>
        </w:rPr>
        <w:t>United States v. Nixon</w:t>
      </w:r>
      <w:r>
        <w:rPr>
          <w:rFonts w:ascii="Times New Roman" w:eastAsia="Times New Roman" w:hAnsi="Times New Roman" w:cs="Times New Roman"/>
          <w:sz w:val="26"/>
          <w:szCs w:val="26"/>
        </w:rPr>
        <w:t xml:space="preserve">, the Supreme Court held a subpoena is unreasonable or oppressive where the requesting party fails to prove the subpoena is: (1) relevancy, (2) admissibility, and (3) specificity. 418 U.S. 683, 699 (1974). </w:t>
      </w:r>
    </w:p>
    <w:p w14:paraId="00000099"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Where the </w:t>
      </w:r>
      <w:r>
        <w:rPr>
          <w:rFonts w:ascii="Times New Roman" w:eastAsia="Times New Roman" w:hAnsi="Times New Roman" w:cs="Times New Roman"/>
          <w:i/>
          <w:iCs/>
          <w:sz w:val="26"/>
          <w:szCs w:val="26"/>
        </w:rPr>
        <w:t>Nixon</w:t>
      </w:r>
      <w:r>
        <w:rPr>
          <w:rFonts w:ascii="Times New Roman" w:eastAsia="Times New Roman" w:hAnsi="Times New Roman" w:cs="Times New Roman"/>
          <w:sz w:val="26"/>
          <w:szCs w:val="26"/>
        </w:rPr>
        <w:t xml:space="preserve"> elements are satisfied but the resisting party asserts </w:t>
      </w:r>
      <w:proofErr w:type="gramStart"/>
      <w:r>
        <w:rPr>
          <w:rFonts w:ascii="Times New Roman" w:eastAsia="Times New Roman" w:hAnsi="Times New Roman" w:cs="Times New Roman"/>
          <w:sz w:val="26"/>
          <w:szCs w:val="26"/>
        </w:rPr>
        <w:t>privilege  of</w:t>
      </w:r>
      <w:proofErr w:type="gramEnd"/>
      <w:r>
        <w:rPr>
          <w:rFonts w:ascii="Times New Roman" w:eastAsia="Times New Roman" w:hAnsi="Times New Roman" w:cs="Times New Roman"/>
          <w:sz w:val="26"/>
          <w:szCs w:val="26"/>
        </w:rPr>
        <w:t xml:space="preserve"> subpoenaed documents, the burden then shifts to part asserting privilege to demonstrate that the documents were prepared: (1) in anticipation of litigation, and (2) by the attorney or their agent. </w:t>
      </w:r>
      <w:r>
        <w:rPr>
          <w:rFonts w:ascii="Times New Roman" w:eastAsia="Times New Roman" w:hAnsi="Times New Roman" w:cs="Times New Roman"/>
          <w:i/>
          <w:iCs/>
          <w:sz w:val="26"/>
          <w:szCs w:val="26"/>
        </w:rPr>
        <w:t>See Nobles</w:t>
      </w:r>
      <w:r>
        <w:rPr>
          <w:rFonts w:ascii="Times New Roman" w:eastAsia="Times New Roman" w:hAnsi="Times New Roman" w:cs="Times New Roman"/>
          <w:sz w:val="26"/>
          <w:szCs w:val="26"/>
        </w:rPr>
        <w:t>, 422 U.S. at 237-39.</w:t>
      </w:r>
    </w:p>
    <w:p w14:paraId="0000009A" w14:textId="77777777" w:rsidR="003B4713" w:rsidRDefault="00300D6C">
      <w:pPr>
        <w:spacing w:line="480" w:lineRule="auto"/>
        <w:ind w:firstLine="720"/>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rPr>
        <w:t xml:space="preserve">This privilege is not absolute.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238-39. If the privileged document is “fact” work-product, the privilege is waived if the author is called to testify.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239-40. Alternatively, the document is discoverable if the government can show an undue hardship and substantial need. Fed. R. Civ. P. 26(b)(3). Likewise, even if the privileged document is deemed “opinion” work-product, the document may be discoverable under rare and extraordinary circumstances. </w:t>
      </w:r>
      <w:r>
        <w:rPr>
          <w:rFonts w:ascii="Times New Roman" w:eastAsia="Times New Roman" w:hAnsi="Times New Roman" w:cs="Times New Roman"/>
          <w:i/>
          <w:iCs/>
          <w:sz w:val="26"/>
          <w:szCs w:val="26"/>
        </w:rPr>
        <w:t>In re Murphy</w:t>
      </w:r>
      <w:r>
        <w:rPr>
          <w:rFonts w:ascii="Times New Roman" w:eastAsia="Times New Roman" w:hAnsi="Times New Roman" w:cs="Times New Roman"/>
          <w:sz w:val="26"/>
          <w:szCs w:val="26"/>
        </w:rPr>
        <w:t xml:space="preserve">, 560 F.2d 326, 336 (8th Cir. 1977). </w:t>
      </w:r>
      <w:r>
        <w:rPr>
          <w:rFonts w:ascii="Times New Roman" w:eastAsia="Times New Roman" w:hAnsi="Times New Roman" w:cs="Times New Roman"/>
          <w:sz w:val="26"/>
          <w:szCs w:val="26"/>
          <w:highlight w:val="yellow"/>
        </w:rPr>
        <w:t xml:space="preserve"> </w:t>
      </w:r>
    </w:p>
    <w:p w14:paraId="0000009B" w14:textId="77777777" w:rsidR="003B4713" w:rsidRDefault="00300D6C">
      <w:pPr>
        <w:numPr>
          <w:ilvl w:val="0"/>
          <w:numId w:val="3"/>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The Government’s subpoena satisfies the Rule 17 burden pursuant to </w:t>
      </w:r>
      <w:r>
        <w:rPr>
          <w:rFonts w:ascii="Times New Roman" w:eastAsia="Times New Roman" w:hAnsi="Times New Roman" w:cs="Times New Roman"/>
          <w:b/>
          <w:bCs/>
          <w:i/>
          <w:iCs/>
          <w:sz w:val="26"/>
          <w:szCs w:val="26"/>
        </w:rPr>
        <w:t xml:space="preserve">Nixon. </w:t>
      </w:r>
    </w:p>
    <w:p w14:paraId="0000009C" w14:textId="77777777" w:rsidR="003B4713" w:rsidRDefault="003B4713">
      <w:pPr>
        <w:spacing w:line="240" w:lineRule="auto"/>
        <w:ind w:left="720"/>
        <w:jc w:val="both"/>
        <w:rPr>
          <w:rFonts w:ascii="Times New Roman" w:eastAsia="Times New Roman" w:hAnsi="Times New Roman" w:cs="Times New Roman"/>
          <w:b/>
          <w:bCs/>
          <w:sz w:val="26"/>
          <w:szCs w:val="26"/>
        </w:rPr>
      </w:pPr>
    </w:p>
    <w:p w14:paraId="0000009D" w14:textId="77777777" w:rsidR="003B4713" w:rsidRDefault="00300D6C">
      <w:pPr>
        <w:spacing w:line="480" w:lineRule="auto"/>
        <w:ind w:firstLine="720"/>
        <w:jc w:val="both"/>
        <w:rPr>
          <w:rFonts w:ascii="Times New Roman" w:eastAsia="Times New Roman" w:hAnsi="Times New Roman" w:cs="Times New Roman"/>
          <w:i/>
          <w:iCs/>
          <w:sz w:val="26"/>
          <w:szCs w:val="26"/>
        </w:rPr>
      </w:pPr>
      <w:r>
        <w:rPr>
          <w:rFonts w:ascii="Times New Roman" w:eastAsia="Times New Roman" w:hAnsi="Times New Roman" w:cs="Times New Roman"/>
          <w:sz w:val="26"/>
          <w:szCs w:val="26"/>
        </w:rPr>
        <w:t xml:space="preserve">The Government requests materials that are relevant, admissible, and with the requisite specificity to satisfy </w:t>
      </w:r>
      <w:r>
        <w:rPr>
          <w:rFonts w:ascii="Times New Roman" w:eastAsia="Times New Roman" w:hAnsi="Times New Roman" w:cs="Times New Roman"/>
          <w:i/>
          <w:iCs/>
          <w:sz w:val="26"/>
          <w:szCs w:val="26"/>
        </w:rPr>
        <w:t>Nixon</w:t>
      </w:r>
      <w:r>
        <w:rPr>
          <w:rFonts w:ascii="Times New Roman" w:eastAsia="Times New Roman" w:hAnsi="Times New Roman" w:cs="Times New Roman"/>
          <w:sz w:val="26"/>
          <w:szCs w:val="26"/>
        </w:rPr>
        <w:t xml:space="preserve">. Although Rule 17(c) protects evidentiary materials, those materials do not have to “actually be used in evidence.” </w:t>
      </w:r>
      <w:r>
        <w:rPr>
          <w:rFonts w:ascii="Times New Roman" w:eastAsia="Times New Roman" w:hAnsi="Times New Roman" w:cs="Times New Roman"/>
          <w:i/>
          <w:iCs/>
          <w:sz w:val="26"/>
          <w:szCs w:val="26"/>
        </w:rPr>
        <w:t>In re Martin Marietta Corp.</w:t>
      </w:r>
      <w:r>
        <w:rPr>
          <w:rFonts w:ascii="Times New Roman" w:eastAsia="Times New Roman" w:hAnsi="Times New Roman" w:cs="Times New Roman"/>
          <w:sz w:val="26"/>
          <w:szCs w:val="26"/>
        </w:rPr>
        <w:t xml:space="preserve">, 856 F.2d 619, 622 (4th Cir. 1988). Instead, to satisfy admissibility, the party seeking discovery only needs to make a “good faith effort” to obtain the evidence. </w:t>
      </w:r>
      <w:r>
        <w:rPr>
          <w:rFonts w:ascii="Times New Roman" w:eastAsia="Times New Roman" w:hAnsi="Times New Roman" w:cs="Times New Roman"/>
          <w:i/>
          <w:iCs/>
          <w:sz w:val="26"/>
          <w:szCs w:val="26"/>
        </w:rPr>
        <w:t xml:space="preserve">See Id. </w:t>
      </w:r>
      <w:r>
        <w:rPr>
          <w:rFonts w:ascii="Times New Roman" w:eastAsia="Times New Roman" w:hAnsi="Times New Roman" w:cs="Times New Roman"/>
          <w:sz w:val="26"/>
          <w:szCs w:val="26"/>
        </w:rPr>
        <w:t xml:space="preserve">Relevance is satisfied where the documents sought relate to investigations into the very </w:t>
      </w:r>
      <w:r>
        <w:rPr>
          <w:rFonts w:ascii="Times New Roman" w:eastAsia="Times New Roman" w:hAnsi="Times New Roman" w:cs="Times New Roman"/>
          <w:sz w:val="26"/>
          <w:szCs w:val="26"/>
        </w:rPr>
        <w:lastRenderedPageBreak/>
        <w:t xml:space="preserve">conduct which formed the basis for a criminal indictment. </w:t>
      </w:r>
      <w:r>
        <w:rPr>
          <w:rFonts w:ascii="Times New Roman" w:eastAsia="Times New Roman" w:hAnsi="Times New Roman" w:cs="Times New Roman"/>
          <w:i/>
          <w:iCs/>
          <w:sz w:val="26"/>
          <w:szCs w:val="26"/>
        </w:rPr>
        <w:t>U.S. v. Reyes</w:t>
      </w:r>
      <w:r>
        <w:rPr>
          <w:rFonts w:ascii="Times New Roman" w:eastAsia="Times New Roman" w:hAnsi="Times New Roman" w:cs="Times New Roman"/>
          <w:sz w:val="26"/>
          <w:szCs w:val="26"/>
        </w:rPr>
        <w:t>, 239 F.R.D. 591, 599 (N.D. Ca. 2006).</w:t>
      </w:r>
      <w:r>
        <w:rPr>
          <w:rFonts w:ascii="Times New Roman" w:eastAsia="Times New Roman" w:hAnsi="Times New Roman" w:cs="Times New Roman"/>
          <w:i/>
          <w:iCs/>
          <w:sz w:val="26"/>
          <w:szCs w:val="26"/>
        </w:rPr>
        <w:t xml:space="preserve"> </w:t>
      </w:r>
    </w:p>
    <w:p w14:paraId="0000009E"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i/>
          <w:iCs/>
          <w:sz w:val="26"/>
          <w:szCs w:val="26"/>
        </w:rPr>
        <w:t xml:space="preserve">Nixon </w:t>
      </w:r>
      <w:r>
        <w:rPr>
          <w:rFonts w:ascii="Times New Roman" w:eastAsia="Times New Roman" w:hAnsi="Times New Roman" w:cs="Times New Roman"/>
          <w:sz w:val="26"/>
          <w:szCs w:val="26"/>
        </w:rPr>
        <w:t xml:space="preserve">is satisfied where the party makes a good faith effort to obtain the materials he seeks. In </w:t>
      </w:r>
      <w:r>
        <w:rPr>
          <w:rFonts w:ascii="Times New Roman" w:eastAsia="Times New Roman" w:hAnsi="Times New Roman" w:cs="Times New Roman"/>
          <w:i/>
          <w:iCs/>
          <w:sz w:val="26"/>
          <w:szCs w:val="26"/>
        </w:rPr>
        <w:t>Martin Marietta</w:t>
      </w:r>
      <w:r>
        <w:rPr>
          <w:rFonts w:ascii="Times New Roman" w:eastAsia="Times New Roman" w:hAnsi="Times New Roman" w:cs="Times New Roman"/>
          <w:sz w:val="26"/>
          <w:szCs w:val="26"/>
        </w:rPr>
        <w:t xml:space="preserve">, the government investigated the defendant for fraud. 856 F.2d at 620. The defendant filed a subpoena seeking “notes, transcripts, and electronic recordings of interviews and statements by” named witnesses concerning the relationship between the travel agencies and subsidiaries.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621. He “sufficiently” described the requested documents.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622.</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The court found admissibility and relevancy were met because Pollard sought materials concerning the internal audit, satisfying </w:t>
      </w:r>
      <w:proofErr w:type="gramStart"/>
      <w:r>
        <w:rPr>
          <w:rFonts w:ascii="Times New Roman" w:eastAsia="Times New Roman" w:hAnsi="Times New Roman" w:cs="Times New Roman"/>
          <w:sz w:val="26"/>
          <w:szCs w:val="26"/>
        </w:rPr>
        <w:t xml:space="preserve">the </w:t>
      </w:r>
      <w:r>
        <w:rPr>
          <w:rFonts w:ascii="Times New Roman" w:eastAsia="Times New Roman" w:hAnsi="Times New Roman" w:cs="Times New Roman"/>
          <w:i/>
          <w:iCs/>
          <w:sz w:val="26"/>
          <w:szCs w:val="26"/>
        </w:rPr>
        <w:t>Nixon</w:t>
      </w:r>
      <w:proofErr w:type="gramEnd"/>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requirements. </w:t>
      </w:r>
      <w:r>
        <w:rPr>
          <w:rFonts w:ascii="Times New Roman" w:eastAsia="Times New Roman" w:hAnsi="Times New Roman" w:cs="Times New Roman"/>
          <w:i/>
          <w:iCs/>
          <w:sz w:val="26"/>
          <w:szCs w:val="26"/>
        </w:rPr>
        <w:t>Id.</w:t>
      </w:r>
    </w:p>
    <w:p w14:paraId="0000009F"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Government satisfies </w:t>
      </w:r>
      <w:r>
        <w:rPr>
          <w:rFonts w:ascii="Times New Roman" w:eastAsia="Times New Roman" w:hAnsi="Times New Roman" w:cs="Times New Roman"/>
          <w:i/>
          <w:iCs/>
          <w:sz w:val="26"/>
          <w:szCs w:val="26"/>
        </w:rPr>
        <w:t xml:space="preserve">Nixon </w:t>
      </w:r>
      <w:r>
        <w:rPr>
          <w:rFonts w:ascii="Times New Roman" w:eastAsia="Times New Roman" w:hAnsi="Times New Roman" w:cs="Times New Roman"/>
          <w:sz w:val="26"/>
          <w:szCs w:val="26"/>
        </w:rPr>
        <w:t xml:space="preserve">because it made a good faith effort to discover Araman’s memorandum. The Government satisfies specificity because it seeks “any and all records of Armana’s interview with Sierra Seton on February 15, 2024.” Further, Armana’s memorandum is relevant and admissible. In both instances, the parties seek information directly concerning a central issue, here </w:t>
      </w:r>
      <w:proofErr w:type="gramStart"/>
      <w:r>
        <w:rPr>
          <w:rFonts w:ascii="Times New Roman" w:eastAsia="Times New Roman" w:hAnsi="Times New Roman" w:cs="Times New Roman"/>
          <w:sz w:val="26"/>
          <w:szCs w:val="26"/>
        </w:rPr>
        <w:t>the</w:t>
      </w:r>
      <w:proofErr w:type="gramEnd"/>
      <w:r>
        <w:rPr>
          <w:rFonts w:ascii="Times New Roman" w:eastAsia="Times New Roman" w:hAnsi="Times New Roman" w:cs="Times New Roman"/>
          <w:sz w:val="26"/>
          <w:szCs w:val="26"/>
        </w:rPr>
        <w:t xml:space="preserve"> money laundering charge. 856 F.2d at 622. Armana’s memorandum concerning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corporate structure and money flow speaks directly to Defendant’s charg</w:t>
      </w:r>
      <w:r>
        <w:rPr>
          <w:rFonts w:ascii="Times New Roman" w:eastAsia="Times New Roman" w:hAnsi="Times New Roman" w:cs="Times New Roman"/>
          <w:sz w:val="26"/>
          <w:szCs w:val="26"/>
        </w:rPr>
        <w:t xml:space="preserve">es, satisfying relevance. Because admissibility necessarily subsumes relevance, the Government has made a good faith effort, satisfying </w:t>
      </w:r>
      <w:r>
        <w:rPr>
          <w:rFonts w:ascii="Times New Roman" w:eastAsia="Times New Roman" w:hAnsi="Times New Roman" w:cs="Times New Roman"/>
          <w:i/>
          <w:iCs/>
          <w:sz w:val="26"/>
          <w:szCs w:val="26"/>
        </w:rPr>
        <w:t>Nixon</w:t>
      </w:r>
      <w:r>
        <w:rPr>
          <w:rFonts w:ascii="Times New Roman" w:eastAsia="Times New Roman" w:hAnsi="Times New Roman" w:cs="Times New Roman"/>
          <w:sz w:val="26"/>
          <w:szCs w:val="26"/>
        </w:rPr>
        <w:t xml:space="preserve">. </w:t>
      </w:r>
    </w:p>
    <w:p w14:paraId="000000A0"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Accordingly, the Motion to Quash should be denied.</w:t>
      </w:r>
    </w:p>
    <w:p w14:paraId="000000A1" w14:textId="77777777" w:rsidR="003B4713" w:rsidRDefault="00300D6C">
      <w:pPr>
        <w:numPr>
          <w:ilvl w:val="0"/>
          <w:numId w:val="3"/>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The Defense has not satisfied its burden to establish the interview records as privileged because they were waived or, alternatively, are discoverable due to Seton’s absence.</w:t>
      </w:r>
    </w:p>
    <w:p w14:paraId="000000A2" w14:textId="77777777" w:rsidR="003B4713" w:rsidRDefault="003B4713">
      <w:pPr>
        <w:spacing w:line="240" w:lineRule="auto"/>
        <w:ind w:left="720"/>
        <w:jc w:val="both"/>
        <w:rPr>
          <w:rFonts w:ascii="Times New Roman" w:eastAsia="Times New Roman" w:hAnsi="Times New Roman" w:cs="Times New Roman"/>
          <w:b/>
          <w:bCs/>
          <w:sz w:val="26"/>
          <w:szCs w:val="26"/>
        </w:rPr>
      </w:pPr>
    </w:p>
    <w:p w14:paraId="000000A3"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Fed. R. Crim. P. 16(b)(2)(A) provides work-product privileges to “documents made by the defendant, or the defendant's attorney or agent, during the case's investigation or defense.” To establish that privilege, the moving party has the burden to show the documents were (1) created in anticipation of litigation, and (2) created by an attorney or their agent.  Fed. R. Civ. P. 26(b)(3)(A)(ii);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237-39. 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the Supreme Court found this standard may be satisfied for interview notes created by an attorney’s investigator during the interview of a key witness.</w:t>
      </w:r>
      <w:r>
        <w:rPr>
          <w:rFonts w:ascii="Times New Roman" w:eastAsia="Times New Roman" w:hAnsi="Times New Roman" w:cs="Times New Roman"/>
          <w:i/>
          <w:iCs/>
          <w:sz w:val="26"/>
          <w:szCs w:val="26"/>
        </w:rPr>
        <w:t xml:space="preserve"> Id. </w:t>
      </w:r>
      <w:r>
        <w:rPr>
          <w:rFonts w:ascii="Times New Roman" w:eastAsia="Times New Roman" w:hAnsi="Times New Roman" w:cs="Times New Roman"/>
          <w:sz w:val="26"/>
          <w:szCs w:val="26"/>
        </w:rPr>
        <w:t xml:space="preserve">at 236. </w:t>
      </w:r>
    </w:p>
    <w:p w14:paraId="000000A4"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Where a party makes testimonial use of “fact” work product, he waives protections. </w:t>
      </w:r>
      <w:r>
        <w:rPr>
          <w:rFonts w:ascii="Times New Roman" w:eastAsia="Times New Roman" w:hAnsi="Times New Roman" w:cs="Times New Roman"/>
          <w:i/>
          <w:iCs/>
          <w:sz w:val="26"/>
          <w:szCs w:val="26"/>
        </w:rPr>
        <w:t>Martin Marietta</w:t>
      </w:r>
      <w:r>
        <w:rPr>
          <w:rFonts w:ascii="Times New Roman" w:eastAsia="Times New Roman" w:hAnsi="Times New Roman" w:cs="Times New Roman"/>
          <w:sz w:val="26"/>
          <w:szCs w:val="26"/>
        </w:rPr>
        <w:t xml:space="preserve">, 856 F.2d at 625. Even if not waived, “fact” work-product is discoverable upon a showing of a substantial need and undue hardship. Fed. R. Civ. P. 26(b)(3). Further, even when a document is “opinion” work-product, the facts contained in the work-product are discoverable. </w:t>
      </w:r>
      <w:r>
        <w:rPr>
          <w:rFonts w:ascii="Times New Roman" w:eastAsia="Times New Roman" w:hAnsi="Times New Roman" w:cs="Times New Roman"/>
          <w:i/>
          <w:iCs/>
          <w:sz w:val="26"/>
          <w:szCs w:val="26"/>
        </w:rPr>
        <w:t>E.I. Dupont de Nemours &amp; Co. v. Kolon Indus., Inc.</w:t>
      </w:r>
      <w:r>
        <w:rPr>
          <w:rFonts w:ascii="Times New Roman" w:eastAsia="Times New Roman" w:hAnsi="Times New Roman" w:cs="Times New Roman"/>
          <w:sz w:val="26"/>
          <w:szCs w:val="26"/>
        </w:rPr>
        <w:t xml:space="preserve">, 269 F.R.D. 600, 606 (E.D. Va. 2010). </w:t>
      </w:r>
    </w:p>
    <w:p w14:paraId="000000A5"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Here, the records of Seton’s interview qualify as privileged work-product. Armana, hired as an agent of the Defendant and her attorney, interviewed Seton to help prepare defense strategies surrounding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financial structure. Thus, the remaining question is whether the privilege has been </w:t>
      </w:r>
      <w:proofErr w:type="gramStart"/>
      <w:r>
        <w:rPr>
          <w:rFonts w:ascii="Times New Roman" w:eastAsia="Times New Roman" w:hAnsi="Times New Roman" w:cs="Times New Roman"/>
          <w:sz w:val="26"/>
          <w:szCs w:val="26"/>
        </w:rPr>
        <w:t>waived</w:t>
      </w:r>
      <w:proofErr w:type="gramEnd"/>
      <w:r>
        <w:rPr>
          <w:rFonts w:ascii="Times New Roman" w:eastAsia="Times New Roman" w:hAnsi="Times New Roman" w:cs="Times New Roman"/>
          <w:sz w:val="26"/>
          <w:szCs w:val="26"/>
        </w:rPr>
        <w:t xml:space="preserve"> or circumstances otherwise satisfy “undue hardship.” </w:t>
      </w:r>
    </w:p>
    <w:p w14:paraId="000000A6" w14:textId="77777777" w:rsidR="003B4713" w:rsidRDefault="00300D6C">
      <w:pPr>
        <w:numPr>
          <w:ilvl w:val="0"/>
          <w:numId w:val="7"/>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Defendant waived its work-product protections.</w:t>
      </w:r>
      <w:r>
        <w:rPr>
          <w:rFonts w:ascii="Times New Roman" w:eastAsia="Times New Roman" w:hAnsi="Times New Roman" w:cs="Times New Roman"/>
          <w:sz w:val="26"/>
          <w:szCs w:val="26"/>
        </w:rPr>
        <w:t xml:space="preserve"> </w:t>
      </w:r>
    </w:p>
    <w:p w14:paraId="000000A7" w14:textId="77777777" w:rsidR="003B4713" w:rsidRDefault="003B4713">
      <w:pPr>
        <w:spacing w:line="240" w:lineRule="auto"/>
        <w:ind w:left="720"/>
        <w:jc w:val="both"/>
        <w:rPr>
          <w:rFonts w:ascii="Times New Roman" w:eastAsia="Times New Roman" w:hAnsi="Times New Roman" w:cs="Times New Roman"/>
          <w:sz w:val="26"/>
          <w:szCs w:val="26"/>
        </w:rPr>
      </w:pPr>
    </w:p>
    <w:p w14:paraId="000000A8" w14:textId="77777777" w:rsidR="003B4713" w:rsidRDefault="00300D6C">
      <w:pPr>
        <w:spacing w:line="480" w:lineRule="auto"/>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xml:space="preserve">The work-product privilege is a “qualified privilege” subject to waiver. </w:t>
      </w:r>
      <w:r>
        <w:rPr>
          <w:rFonts w:ascii="Times New Roman" w:eastAsia="Times New Roman" w:hAnsi="Times New Roman" w:cs="Times New Roman"/>
          <w:i/>
          <w:iCs/>
          <w:sz w:val="26"/>
          <w:szCs w:val="26"/>
        </w:rPr>
        <w:t>Martin Marietta Corp.</w:t>
      </w:r>
      <w:r>
        <w:rPr>
          <w:rFonts w:ascii="Times New Roman" w:eastAsia="Times New Roman" w:hAnsi="Times New Roman" w:cs="Times New Roman"/>
          <w:sz w:val="26"/>
          <w:szCs w:val="26"/>
        </w:rPr>
        <w:t xml:space="preserve">, 856 F.2d at 624. A party engages in </w:t>
      </w:r>
      <w:proofErr w:type="gramStart"/>
      <w:r>
        <w:rPr>
          <w:rFonts w:ascii="Times New Roman" w:eastAsia="Times New Roman" w:hAnsi="Times New Roman" w:cs="Times New Roman"/>
          <w:sz w:val="26"/>
          <w:szCs w:val="26"/>
        </w:rPr>
        <w:t>subject-matter</w:t>
      </w:r>
      <w:proofErr w:type="gramEnd"/>
      <w:r>
        <w:rPr>
          <w:rFonts w:ascii="Times New Roman" w:eastAsia="Times New Roman" w:hAnsi="Times New Roman" w:cs="Times New Roman"/>
          <w:sz w:val="26"/>
          <w:szCs w:val="26"/>
        </w:rPr>
        <w:t xml:space="preserve"> waiver of work-product </w:t>
      </w:r>
      <w:proofErr w:type="gramStart"/>
      <w:r>
        <w:rPr>
          <w:rFonts w:ascii="Times New Roman" w:eastAsia="Times New Roman" w:hAnsi="Times New Roman" w:cs="Times New Roman"/>
          <w:sz w:val="26"/>
          <w:szCs w:val="26"/>
        </w:rPr>
        <w:lastRenderedPageBreak/>
        <w:t>privilege</w:t>
      </w:r>
      <w:proofErr w:type="gramEnd"/>
      <w:r>
        <w:rPr>
          <w:rFonts w:ascii="Times New Roman" w:eastAsia="Times New Roman" w:hAnsi="Times New Roman" w:cs="Times New Roman"/>
          <w:sz w:val="26"/>
          <w:szCs w:val="26"/>
        </w:rPr>
        <w:t xml:space="preserve"> when it discloses privileged materials to its adversaries by testimonial use.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625. </w:t>
      </w:r>
    </w:p>
    <w:p w14:paraId="000000A9"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If a party asserts work-product protections, but later calls its preparer to testify, it waives work-product protections. </w:t>
      </w:r>
      <w:r>
        <w:rPr>
          <w:rFonts w:ascii="Times New Roman" w:eastAsia="Times New Roman" w:hAnsi="Times New Roman" w:cs="Times New Roman"/>
          <w:i/>
          <w:iCs/>
          <w:sz w:val="26"/>
          <w:szCs w:val="26"/>
        </w:rPr>
        <w:t>See generally</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422 U.S. at 240. In </w:t>
      </w:r>
      <w:r>
        <w:rPr>
          <w:rFonts w:ascii="Times New Roman" w:eastAsia="Times New Roman" w:hAnsi="Times New Roman" w:cs="Times New Roman"/>
          <w:i/>
          <w:iCs/>
          <w:sz w:val="26"/>
          <w:szCs w:val="26"/>
        </w:rPr>
        <w:t>Nobles</w:t>
      </w:r>
      <w:r>
        <w:rPr>
          <w:rFonts w:ascii="Times New Roman" w:eastAsia="Times New Roman" w:hAnsi="Times New Roman" w:cs="Times New Roman"/>
          <w:sz w:val="26"/>
          <w:szCs w:val="26"/>
        </w:rPr>
        <w:t xml:space="preserve">, the Defense counsel hired an investigator to interview witnesses.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The investigator detailed those interviews in a written report, which the prosecution sought to inspect.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227-28.</w:t>
      </w:r>
      <w:r>
        <w:rPr>
          <w:rFonts w:ascii="Times New Roman" w:eastAsia="Times New Roman" w:hAnsi="Times New Roman" w:cs="Times New Roman"/>
          <w:i/>
          <w:iCs/>
          <w:sz w:val="26"/>
          <w:szCs w:val="26"/>
        </w:rPr>
        <w:t xml:space="preserve"> </w:t>
      </w:r>
      <w:r>
        <w:rPr>
          <w:rFonts w:ascii="Times New Roman" w:eastAsia="Times New Roman" w:hAnsi="Times New Roman" w:cs="Times New Roman"/>
          <w:sz w:val="26"/>
          <w:szCs w:val="26"/>
        </w:rPr>
        <w:t xml:space="preserve">The defendant called the investigator to </w:t>
      </w:r>
      <w:proofErr w:type="gramStart"/>
      <w:r>
        <w:rPr>
          <w:rFonts w:ascii="Times New Roman" w:eastAsia="Times New Roman" w:hAnsi="Times New Roman" w:cs="Times New Roman"/>
          <w:sz w:val="26"/>
          <w:szCs w:val="26"/>
        </w:rPr>
        <w:t>testify</w:t>
      </w:r>
      <w:proofErr w:type="gramEnd"/>
      <w:r>
        <w:rPr>
          <w:rFonts w:ascii="Times New Roman" w:eastAsia="Times New Roman" w:hAnsi="Times New Roman" w:cs="Times New Roman"/>
          <w:sz w:val="26"/>
          <w:szCs w:val="26"/>
        </w:rPr>
        <w:t xml:space="preserve"> and the court held the testimonial use of the work-product in an adversarial proceeding waived the work-product protections.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239-40. </w:t>
      </w:r>
    </w:p>
    <w:p w14:paraId="000000AA" w14:textId="77777777" w:rsidR="003B4713" w:rsidRDefault="00300D6C">
      <w:pPr>
        <w:spacing w:line="480" w:lineRule="auto"/>
        <w:ind w:firstLine="720"/>
        <w:jc w:val="both"/>
        <w:rPr>
          <w:rFonts w:ascii="Times New Roman" w:eastAsia="Times New Roman" w:hAnsi="Times New Roman" w:cs="Times New Roman"/>
          <w:b/>
          <w:bCs/>
          <w:sz w:val="26"/>
          <w:szCs w:val="26"/>
        </w:rPr>
      </w:pPr>
      <w:r>
        <w:rPr>
          <w:rFonts w:ascii="Times New Roman" w:eastAsia="Times New Roman" w:hAnsi="Times New Roman" w:cs="Times New Roman"/>
          <w:sz w:val="26"/>
          <w:szCs w:val="26"/>
        </w:rPr>
        <w:t xml:space="preserve">Armana testified during his deposition as to the contents of his memorandum, waiving the document’s </w:t>
      </w:r>
      <w:proofErr w:type="gramStart"/>
      <w:r>
        <w:rPr>
          <w:rFonts w:ascii="Times New Roman" w:eastAsia="Times New Roman" w:hAnsi="Times New Roman" w:cs="Times New Roman"/>
          <w:sz w:val="26"/>
          <w:szCs w:val="26"/>
        </w:rPr>
        <w:t>protections</w:t>
      </w:r>
      <w:proofErr w:type="gramEnd"/>
      <w:r>
        <w:rPr>
          <w:rFonts w:ascii="Times New Roman" w:eastAsia="Times New Roman" w:hAnsi="Times New Roman" w:cs="Times New Roman"/>
          <w:sz w:val="26"/>
          <w:szCs w:val="26"/>
        </w:rPr>
        <w:t xml:space="preserve">. In both instances, a private investigator prepared documents concerning witness interviews. </w:t>
      </w:r>
      <w:r>
        <w:rPr>
          <w:rFonts w:ascii="Times New Roman" w:eastAsia="Times New Roman" w:hAnsi="Times New Roman" w:cs="Times New Roman"/>
          <w:i/>
          <w:iCs/>
          <w:sz w:val="26"/>
          <w:szCs w:val="26"/>
        </w:rPr>
        <w:t>Id.</w:t>
      </w:r>
      <w:r>
        <w:rPr>
          <w:rFonts w:ascii="Times New Roman" w:eastAsia="Times New Roman" w:hAnsi="Times New Roman" w:cs="Times New Roman"/>
          <w:sz w:val="26"/>
          <w:szCs w:val="26"/>
        </w:rPr>
        <w:t xml:space="preserve"> at 227. Defendant then called Armana, an adversary of the Government, to testify at his deposition. Defendant necessarily engaged in testimonial use of Armana’s memorandum in an adversarial proceeding. Thus, Defendant engaged in subject-matter waiver of its work-product protections, and the Motion to Quash should be denied. </w:t>
      </w:r>
    </w:p>
    <w:p w14:paraId="000000AB" w14:textId="77777777" w:rsidR="003B4713" w:rsidRDefault="00300D6C">
      <w:pPr>
        <w:numPr>
          <w:ilvl w:val="0"/>
          <w:numId w:val="7"/>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Alternatively, the Motion to Quash should be denied because Seton’s disappearance makes the </w:t>
      </w:r>
      <w:proofErr w:type="gramStart"/>
      <w:r>
        <w:rPr>
          <w:rFonts w:ascii="Times New Roman" w:eastAsia="Times New Roman" w:hAnsi="Times New Roman" w:cs="Times New Roman"/>
          <w:b/>
          <w:bCs/>
          <w:sz w:val="26"/>
          <w:szCs w:val="26"/>
        </w:rPr>
        <w:t>work-product</w:t>
      </w:r>
      <w:proofErr w:type="gramEnd"/>
      <w:r>
        <w:rPr>
          <w:rFonts w:ascii="Times New Roman" w:eastAsia="Times New Roman" w:hAnsi="Times New Roman" w:cs="Times New Roman"/>
          <w:b/>
          <w:bCs/>
          <w:sz w:val="26"/>
          <w:szCs w:val="26"/>
        </w:rPr>
        <w:t xml:space="preserve"> discoverable. </w:t>
      </w:r>
    </w:p>
    <w:p w14:paraId="000000AC" w14:textId="77777777" w:rsidR="003B4713" w:rsidRDefault="003B4713">
      <w:pPr>
        <w:spacing w:line="240" w:lineRule="auto"/>
        <w:jc w:val="both"/>
        <w:rPr>
          <w:rFonts w:ascii="Times New Roman" w:eastAsia="Times New Roman" w:hAnsi="Times New Roman" w:cs="Times New Roman"/>
          <w:b/>
          <w:bCs/>
          <w:sz w:val="26"/>
          <w:szCs w:val="26"/>
        </w:rPr>
      </w:pPr>
    </w:p>
    <w:p w14:paraId="000000AD"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Armana’s memorandum is discoverable as “fact” work product. A party asserting a “substantial need” for discovery must show that the materials sought are relevant. </w:t>
      </w:r>
      <w:r>
        <w:rPr>
          <w:rFonts w:ascii="Times New Roman" w:eastAsia="Times New Roman" w:hAnsi="Times New Roman" w:cs="Times New Roman"/>
          <w:i/>
          <w:iCs/>
          <w:sz w:val="26"/>
          <w:szCs w:val="26"/>
        </w:rPr>
        <w:t>F.T.C. v. Boehringer Ingelheim Pharmaceuticals, Inc.</w:t>
      </w:r>
      <w:r>
        <w:rPr>
          <w:rFonts w:ascii="Times New Roman" w:eastAsia="Times New Roman" w:hAnsi="Times New Roman" w:cs="Times New Roman"/>
          <w:sz w:val="26"/>
          <w:szCs w:val="26"/>
        </w:rPr>
        <w:t>, 778 F.3d 142, 155 (D.C. Cir. 2015). Generally, Courts have routinely found undue hardship necessary to make fact work-</w:t>
      </w:r>
      <w:r>
        <w:rPr>
          <w:rFonts w:ascii="Times New Roman" w:eastAsia="Times New Roman" w:hAnsi="Times New Roman" w:cs="Times New Roman"/>
          <w:sz w:val="26"/>
          <w:szCs w:val="26"/>
        </w:rPr>
        <w:lastRenderedPageBreak/>
        <w:t xml:space="preserve">product discoverable exists where a witness is unavailable. </w:t>
      </w:r>
      <w:r>
        <w:rPr>
          <w:rFonts w:ascii="Times New Roman" w:eastAsia="Times New Roman" w:hAnsi="Times New Roman" w:cs="Times New Roman"/>
          <w:i/>
          <w:iCs/>
          <w:sz w:val="26"/>
          <w:szCs w:val="26"/>
        </w:rPr>
        <w:t>See generally</w:t>
      </w:r>
      <w:r>
        <w:rPr>
          <w:rFonts w:ascii="Times New Roman" w:eastAsia="Times New Roman" w:hAnsi="Times New Roman" w:cs="Times New Roman"/>
          <w:sz w:val="26"/>
          <w:szCs w:val="26"/>
        </w:rPr>
        <w:t xml:space="preserve"> </w:t>
      </w:r>
      <w:r>
        <w:rPr>
          <w:rFonts w:ascii="Times New Roman" w:eastAsia="Times New Roman" w:hAnsi="Times New Roman" w:cs="Times New Roman"/>
          <w:i/>
          <w:iCs/>
          <w:sz w:val="26"/>
          <w:szCs w:val="26"/>
        </w:rPr>
        <w:t>U.S. v. ISS Marine Servs., Inc.</w:t>
      </w:r>
      <w:r>
        <w:rPr>
          <w:rFonts w:ascii="Times New Roman" w:eastAsia="Times New Roman" w:hAnsi="Times New Roman" w:cs="Times New Roman"/>
          <w:sz w:val="26"/>
          <w:szCs w:val="26"/>
        </w:rPr>
        <w:t xml:space="preserve">, 905 F.Supp.2d 121, 138-39 (D.D.C. 2012); see also </w:t>
      </w:r>
      <w:proofErr w:type="gramStart"/>
      <w:r>
        <w:rPr>
          <w:rFonts w:ascii="Times New Roman" w:eastAsia="Times New Roman" w:hAnsi="Times New Roman" w:cs="Times New Roman"/>
          <w:i/>
          <w:iCs/>
          <w:sz w:val="26"/>
          <w:szCs w:val="26"/>
        </w:rPr>
        <w:t>In</w:t>
      </w:r>
      <w:proofErr w:type="gramEnd"/>
      <w:r>
        <w:rPr>
          <w:rFonts w:ascii="Times New Roman" w:eastAsia="Times New Roman" w:hAnsi="Times New Roman" w:cs="Times New Roman"/>
          <w:i/>
          <w:iCs/>
          <w:sz w:val="26"/>
          <w:szCs w:val="26"/>
        </w:rPr>
        <w:t xml:space="preserve"> re Grand Jury Investigation</w:t>
      </w:r>
      <w:r>
        <w:rPr>
          <w:rFonts w:ascii="Times New Roman" w:eastAsia="Times New Roman" w:hAnsi="Times New Roman" w:cs="Times New Roman"/>
          <w:sz w:val="26"/>
          <w:szCs w:val="26"/>
        </w:rPr>
        <w:t xml:space="preserve">, 599 F.2d 1224, 1227-28 (3d Cir. 1979); see also </w:t>
      </w:r>
      <w:r>
        <w:rPr>
          <w:rFonts w:ascii="Times New Roman" w:eastAsia="Times New Roman" w:hAnsi="Times New Roman" w:cs="Times New Roman"/>
          <w:i/>
          <w:iCs/>
          <w:sz w:val="26"/>
          <w:szCs w:val="26"/>
        </w:rPr>
        <w:t>U.S. v. Davis</w:t>
      </w:r>
      <w:r>
        <w:rPr>
          <w:rFonts w:ascii="Times New Roman" w:eastAsia="Times New Roman" w:hAnsi="Times New Roman" w:cs="Times New Roman"/>
          <w:sz w:val="26"/>
          <w:szCs w:val="26"/>
        </w:rPr>
        <w:t xml:space="preserve">, 131 F.R.D. 391, 396 (S.D.N.Y. 1991). </w:t>
      </w:r>
    </w:p>
    <w:p w14:paraId="000000AE"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 </w:t>
      </w:r>
      <w:r>
        <w:rPr>
          <w:rFonts w:ascii="Times New Roman" w:eastAsia="Times New Roman" w:hAnsi="Times New Roman" w:cs="Times New Roman"/>
          <w:i/>
          <w:iCs/>
          <w:sz w:val="26"/>
          <w:szCs w:val="26"/>
        </w:rPr>
        <w:t>Davis</w:t>
      </w:r>
      <w:r>
        <w:rPr>
          <w:rFonts w:ascii="Times New Roman" w:eastAsia="Times New Roman" w:hAnsi="Times New Roman" w:cs="Times New Roman"/>
          <w:sz w:val="26"/>
          <w:szCs w:val="26"/>
        </w:rPr>
        <w:t xml:space="preserve">, the court found undue hardship where a witness fled to Greece. 131 F.R.D. at 394-95. The witness was a co-defendant interviewed by the government in a False Claims Act enforcement action.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394-95.  After the witness fled, the remaining co-defendant sought production of the interview transcripts, asserting relevance because they contained references to the cost estimates in the fraud action.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 xml:space="preserve">at 395. The court rejected the government's assertion that the interview records were protected by work-product privilege, holding that undue hardship existed because any alternative means to acquire the information would be futile given the witness had fled to Greece. </w:t>
      </w:r>
      <w:r>
        <w:rPr>
          <w:rFonts w:ascii="Times New Roman" w:eastAsia="Times New Roman" w:hAnsi="Times New Roman" w:cs="Times New Roman"/>
          <w:i/>
          <w:iCs/>
          <w:sz w:val="26"/>
          <w:szCs w:val="26"/>
        </w:rPr>
        <w:t xml:space="preserve">Id. </w:t>
      </w:r>
      <w:r>
        <w:rPr>
          <w:rFonts w:ascii="Times New Roman" w:eastAsia="Times New Roman" w:hAnsi="Times New Roman" w:cs="Times New Roman"/>
          <w:sz w:val="26"/>
          <w:szCs w:val="26"/>
        </w:rPr>
        <w:t>at 396</w:t>
      </w:r>
    </w:p>
    <w:p w14:paraId="000000AF"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Here, the facts are more persuasive than those in </w:t>
      </w:r>
      <w:r>
        <w:rPr>
          <w:rFonts w:ascii="Times New Roman" w:eastAsia="Times New Roman" w:hAnsi="Times New Roman" w:cs="Times New Roman"/>
          <w:i/>
          <w:iCs/>
          <w:sz w:val="26"/>
          <w:szCs w:val="26"/>
        </w:rPr>
        <w:t>Davis</w:t>
      </w:r>
      <w:r>
        <w:rPr>
          <w:rFonts w:ascii="Times New Roman" w:eastAsia="Times New Roman" w:hAnsi="Times New Roman" w:cs="Times New Roman"/>
          <w:sz w:val="26"/>
          <w:szCs w:val="26"/>
        </w:rPr>
        <w:t xml:space="preserve">. There, the court found undue hardship where the witness had fled to a known location. Here, Seton has fled and her whereabouts remain unknown. Last seen in February 2024, she remains “unreachable” despite further investigative records. Further, Seton is the only Coastal “insider” ever </w:t>
      </w:r>
      <w:proofErr w:type="gramStart"/>
      <w:r>
        <w:rPr>
          <w:rFonts w:ascii="Times New Roman" w:eastAsia="Times New Roman" w:hAnsi="Times New Roman" w:cs="Times New Roman"/>
          <w:sz w:val="26"/>
          <w:szCs w:val="26"/>
        </w:rPr>
        <w:t>interviewed, and</w:t>
      </w:r>
      <w:proofErr w:type="gramEnd"/>
      <w:r>
        <w:rPr>
          <w:rFonts w:ascii="Times New Roman" w:eastAsia="Times New Roman" w:hAnsi="Times New Roman" w:cs="Times New Roman"/>
          <w:sz w:val="26"/>
          <w:szCs w:val="26"/>
        </w:rPr>
        <w:t xml:space="preserve"> holds exclusive knowledge as to the financial scheme. Armana’s memorandum detailing that interview is the only place that account still exists. </w:t>
      </w:r>
      <w:proofErr w:type="gramStart"/>
      <w:r>
        <w:rPr>
          <w:rFonts w:ascii="Times New Roman" w:eastAsia="Times New Roman" w:hAnsi="Times New Roman" w:cs="Times New Roman"/>
          <w:sz w:val="26"/>
          <w:szCs w:val="26"/>
        </w:rPr>
        <w:t>Since,</w:t>
      </w:r>
      <w:proofErr w:type="gramEnd"/>
      <w:r>
        <w:rPr>
          <w:rFonts w:ascii="Times New Roman" w:eastAsia="Times New Roman" w:hAnsi="Times New Roman" w:cs="Times New Roman"/>
          <w:sz w:val="26"/>
          <w:szCs w:val="26"/>
        </w:rPr>
        <w:t xml:space="preserve"> like in </w:t>
      </w:r>
      <w:r>
        <w:rPr>
          <w:rFonts w:ascii="Times New Roman" w:eastAsia="Times New Roman" w:hAnsi="Times New Roman" w:cs="Times New Roman"/>
          <w:i/>
          <w:iCs/>
          <w:sz w:val="26"/>
          <w:szCs w:val="26"/>
        </w:rPr>
        <w:t>Davis</w:t>
      </w:r>
      <w:r>
        <w:rPr>
          <w:rFonts w:ascii="Times New Roman" w:eastAsia="Times New Roman" w:hAnsi="Times New Roman" w:cs="Times New Roman"/>
          <w:sz w:val="26"/>
          <w:szCs w:val="26"/>
        </w:rPr>
        <w:t xml:space="preserve">, there </w:t>
      </w:r>
      <w:proofErr w:type="gramStart"/>
      <w:r>
        <w:rPr>
          <w:rFonts w:ascii="Times New Roman" w:eastAsia="Times New Roman" w:hAnsi="Times New Roman" w:cs="Times New Roman"/>
          <w:sz w:val="26"/>
          <w:szCs w:val="26"/>
        </w:rPr>
        <w:t>are</w:t>
      </w:r>
      <w:proofErr w:type="gramEnd"/>
      <w:r>
        <w:rPr>
          <w:rFonts w:ascii="Times New Roman" w:eastAsia="Times New Roman" w:hAnsi="Times New Roman" w:cs="Times New Roman"/>
          <w:sz w:val="26"/>
          <w:szCs w:val="26"/>
        </w:rPr>
        <w:t xml:space="preserve"> no means by which to obtain the substantial equivalent of Armana’s interview with Seton without imposing an undue hardship, Armana’s memorandum is discoverable. </w:t>
      </w:r>
    </w:p>
    <w:p w14:paraId="000000B0"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As such, the work-product </w:t>
      </w:r>
      <w:proofErr w:type="gramStart"/>
      <w:r>
        <w:rPr>
          <w:rFonts w:ascii="Times New Roman" w:eastAsia="Times New Roman" w:hAnsi="Times New Roman" w:cs="Times New Roman"/>
          <w:sz w:val="26"/>
          <w:szCs w:val="26"/>
        </w:rPr>
        <w:t>protections</w:t>
      </w:r>
      <w:proofErr w:type="gramEnd"/>
      <w:r>
        <w:rPr>
          <w:rFonts w:ascii="Times New Roman" w:eastAsia="Times New Roman" w:hAnsi="Times New Roman" w:cs="Times New Roman"/>
          <w:sz w:val="26"/>
          <w:szCs w:val="26"/>
        </w:rPr>
        <w:t xml:space="preserve"> should be revoked and the Motion to Quash denied.</w:t>
      </w:r>
    </w:p>
    <w:p w14:paraId="000000B1" w14:textId="77777777" w:rsidR="003B4713" w:rsidRDefault="00300D6C">
      <w:pPr>
        <w:numPr>
          <w:ilvl w:val="0"/>
          <w:numId w:val="7"/>
        </w:numPr>
        <w:spacing w:line="240" w:lineRule="auto"/>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To the extent Armana’s memorandum contains both “fact” and “opinion” work-product, portions of the work-product may be made discoverable.</w:t>
      </w:r>
    </w:p>
    <w:p w14:paraId="000000B2" w14:textId="77777777" w:rsidR="003B4713" w:rsidRDefault="003B4713">
      <w:pPr>
        <w:spacing w:line="240" w:lineRule="auto"/>
        <w:jc w:val="both"/>
        <w:rPr>
          <w:rFonts w:ascii="Times New Roman" w:eastAsia="Times New Roman" w:hAnsi="Times New Roman" w:cs="Times New Roman"/>
          <w:b/>
          <w:bCs/>
          <w:sz w:val="26"/>
          <w:szCs w:val="26"/>
        </w:rPr>
      </w:pPr>
    </w:p>
    <w:p w14:paraId="000000B3"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facts contained in Armana’s memorandum are discoverable. Notes or memoranda prepared by a private investigator reflecting their “recollection or impression of witness interviews constitute opinion work-product.” </w:t>
      </w:r>
      <w:r>
        <w:rPr>
          <w:rFonts w:ascii="Times New Roman" w:eastAsia="Times New Roman" w:hAnsi="Times New Roman" w:cs="Times New Roman"/>
          <w:i/>
          <w:iCs/>
          <w:sz w:val="26"/>
          <w:szCs w:val="26"/>
        </w:rPr>
        <w:t>Dempsey v. Bucknell Univ.</w:t>
      </w:r>
      <w:r>
        <w:rPr>
          <w:rFonts w:ascii="Times New Roman" w:eastAsia="Times New Roman" w:hAnsi="Times New Roman" w:cs="Times New Roman"/>
          <w:sz w:val="26"/>
          <w:szCs w:val="26"/>
        </w:rPr>
        <w:t xml:space="preserve">, 296 F.R.D. 323, 329 (M.D. Pa. 2013). When a document commingles fact and opinion, the “opinion” work-product should be redacted and the waived “fact” work-product made discoverable. </w:t>
      </w:r>
      <w:r>
        <w:rPr>
          <w:rFonts w:ascii="Times New Roman" w:eastAsia="Times New Roman" w:hAnsi="Times New Roman" w:cs="Times New Roman"/>
          <w:i/>
          <w:iCs/>
          <w:sz w:val="26"/>
          <w:szCs w:val="26"/>
        </w:rPr>
        <w:t>E.I. Dupont de Nemours &amp; Co.</w:t>
      </w:r>
      <w:r>
        <w:rPr>
          <w:rFonts w:ascii="Times New Roman" w:eastAsia="Times New Roman" w:hAnsi="Times New Roman" w:cs="Times New Roman"/>
          <w:sz w:val="26"/>
          <w:szCs w:val="26"/>
        </w:rPr>
        <w:t>, 269 F.R.D. at 606.</w:t>
      </w:r>
    </w:p>
    <w:p w14:paraId="000000B4"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Defense admits that Armana’s memorandum is commingled with his own thoughts and factual accounts. The “opinion” work-product can be redacted and the specific facts as to </w:t>
      </w:r>
      <w:proofErr w:type="spellStart"/>
      <w:r>
        <w:rPr>
          <w:rFonts w:ascii="Times New Roman" w:eastAsia="Times New Roman" w:hAnsi="Times New Roman" w:cs="Times New Roman"/>
          <w:sz w:val="26"/>
          <w:szCs w:val="26"/>
        </w:rPr>
        <w:t>Coastal’s</w:t>
      </w:r>
      <w:proofErr w:type="spellEnd"/>
      <w:r>
        <w:rPr>
          <w:rFonts w:ascii="Times New Roman" w:eastAsia="Times New Roman" w:hAnsi="Times New Roman" w:cs="Times New Roman"/>
          <w:sz w:val="26"/>
          <w:szCs w:val="26"/>
        </w:rPr>
        <w:t xml:space="preserve"> operations made discoverable. </w:t>
      </w:r>
    </w:p>
    <w:p w14:paraId="000000B5" w14:textId="77777777" w:rsidR="003B4713" w:rsidRDefault="00300D6C">
      <w:pPr>
        <w:spacing w:line="48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CONCLUSION</w:t>
      </w:r>
    </w:p>
    <w:p w14:paraId="000000B6" w14:textId="77777777" w:rsidR="003B4713" w:rsidRDefault="00300D6C">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Government has not misused Calloway’s protected testimony as it appropriately insulated investigations regarding Calloway and Donavan. Accordingly, Defendant’s Motion to Suppress should be DENIED. </w:t>
      </w:r>
    </w:p>
    <w:p w14:paraId="000000B7" w14:textId="77777777" w:rsidR="003B4713" w:rsidRDefault="00300D6C">
      <w:pPr>
        <w:spacing w:line="48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Government’s Subpoena Duces Tecum is not unreasonable or oppressive. Because Armana’s memorandum is discoverable because the Government has made a sufficient showing of substantial burden and undue hardship, Defendant’s Motion to Quash should be DENIED. </w:t>
      </w:r>
    </w:p>
    <w:p w14:paraId="000000B8" w14:textId="77777777" w:rsidR="003B4713" w:rsidRDefault="00300D6C">
      <w:pPr>
        <w:spacing w:line="480" w:lineRule="auto"/>
        <w:jc w:val="both"/>
        <w:rPr>
          <w:rFonts w:ascii="Times New Roman" w:eastAsia="Times New Roman" w:hAnsi="Times New Roman" w:cs="Times New Roman"/>
          <w:sz w:val="26"/>
          <w:szCs w:val="26"/>
        </w:rPr>
      </w:pPr>
      <w:r>
        <w:br w:type="page"/>
      </w:r>
    </w:p>
    <w:p w14:paraId="000000B9" w14:textId="77777777" w:rsidR="003B4713" w:rsidRDefault="00300D6C">
      <w:pPr>
        <w:spacing w:line="48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CERTIFICATE OF SERVICE</w:t>
      </w:r>
    </w:p>
    <w:p w14:paraId="000000BA" w14:textId="77777777" w:rsidR="003B4713" w:rsidRDefault="00300D6C">
      <w:pPr>
        <w:spacing w:line="480" w:lineRule="auto"/>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We, attorneys for the United States, do hereby certify that a true and correct copy of the foregoing memorandum of law has been served by electronic mail to all attorneys of record on this the 1st day of September 2026.</w:t>
      </w:r>
    </w:p>
    <w:p w14:paraId="000000BB" w14:textId="77777777" w:rsidR="003B4713" w:rsidRDefault="003B4713">
      <w:pPr>
        <w:spacing w:line="240" w:lineRule="auto"/>
        <w:rPr>
          <w:rFonts w:ascii="Times New Roman" w:eastAsia="Times New Roman" w:hAnsi="Times New Roman" w:cs="Times New Roman"/>
          <w:sz w:val="26"/>
          <w:szCs w:val="26"/>
        </w:rPr>
      </w:pPr>
    </w:p>
    <w:p w14:paraId="000000BC" w14:textId="77777777" w:rsidR="003B4713" w:rsidRDefault="00300D6C">
      <w:pPr>
        <w:spacing w:line="240" w:lineRule="auto"/>
        <w:jc w:val="right"/>
        <w:rPr>
          <w:rFonts w:ascii="Times New Roman" w:eastAsia="Times New Roman" w:hAnsi="Times New Roman" w:cs="Times New Roman"/>
          <w:i/>
          <w:iCs/>
          <w:sz w:val="26"/>
          <w:szCs w:val="26"/>
        </w:rPr>
      </w:pPr>
      <w:r>
        <w:rPr>
          <w:rFonts w:ascii="Times New Roman" w:eastAsia="Times New Roman" w:hAnsi="Times New Roman" w:cs="Times New Roman"/>
          <w:sz w:val="26"/>
          <w:szCs w:val="26"/>
          <w:u w:val="single"/>
        </w:rPr>
        <w:t>/s/</w:t>
      </w:r>
      <w:r>
        <w:rPr>
          <w:rFonts w:ascii="Times New Roman" w:eastAsia="Times New Roman" w:hAnsi="Times New Roman" w:cs="Times New Roman"/>
          <w:i/>
          <w:iCs/>
          <w:sz w:val="26"/>
          <w:szCs w:val="26"/>
          <w:u w:val="single"/>
        </w:rPr>
        <w:t>TEAM302</w:t>
      </w:r>
    </w:p>
    <w:p w14:paraId="000000BD" w14:textId="77777777" w:rsidR="003B4713" w:rsidRDefault="00300D6C">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u w:val="single"/>
        </w:rPr>
        <w:t>TEAM302</w:t>
      </w:r>
    </w:p>
    <w:p w14:paraId="000000BE" w14:textId="77777777" w:rsidR="003B4713" w:rsidRDefault="00300D6C">
      <w:pPr>
        <w:spacing w:line="240" w:lineRule="auto"/>
        <w:jc w:val="righ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Attorneys for the United States</w:t>
      </w:r>
    </w:p>
    <w:p w14:paraId="000000BF" w14:textId="77777777" w:rsidR="003B4713" w:rsidRDefault="003B4713">
      <w:pPr>
        <w:spacing w:line="480" w:lineRule="auto"/>
        <w:jc w:val="both"/>
        <w:rPr>
          <w:rFonts w:ascii="Times New Roman" w:eastAsia="Times New Roman" w:hAnsi="Times New Roman" w:cs="Times New Roman"/>
          <w:sz w:val="26"/>
          <w:szCs w:val="26"/>
        </w:rPr>
      </w:pPr>
    </w:p>
    <w:sectPr w:rsidR="003B47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8E65E" w14:textId="77777777" w:rsidR="00300D6C" w:rsidRDefault="00300D6C">
      <w:pPr>
        <w:spacing w:line="240" w:lineRule="auto"/>
      </w:pPr>
      <w:r>
        <w:separator/>
      </w:r>
    </w:p>
  </w:endnote>
  <w:endnote w:type="continuationSeparator" w:id="0">
    <w:p w14:paraId="101E7989" w14:textId="77777777" w:rsidR="00300D6C" w:rsidRDefault="00300D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B3F3A67-102D-4827-9428-BAD81EDF2A8D}"/>
  </w:font>
  <w:font w:name="Cambria">
    <w:panose1 w:val="02040503050406030204"/>
    <w:charset w:val="00"/>
    <w:family w:val="roman"/>
    <w:pitch w:val="variable"/>
    <w:sig w:usb0="E00006FF" w:usb1="420024FF" w:usb2="02000000" w:usb3="00000000" w:csb0="0000019F" w:csb1="00000000"/>
    <w:embedRegular r:id="rId2" w:fontKey="{EFFAAA4B-E0B3-4DE6-ADBD-DCFB7F2CE0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0" w14:textId="44C36E01" w:rsidR="003B4713" w:rsidRDefault="00300D6C">
    <w:pPr>
      <w:jc w:val="center"/>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DE2FFD">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73B6B" w14:textId="77777777" w:rsidR="00300D6C" w:rsidRDefault="00300D6C">
      <w:pPr>
        <w:spacing w:line="240" w:lineRule="auto"/>
      </w:pPr>
      <w:r>
        <w:separator/>
      </w:r>
    </w:p>
  </w:footnote>
  <w:footnote w:type="continuationSeparator" w:id="0">
    <w:p w14:paraId="60019652" w14:textId="77777777" w:rsidR="00300D6C" w:rsidRDefault="00300D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0198"/>
    <w:multiLevelType w:val="multilevel"/>
    <w:tmpl w:val="99BC4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035791A"/>
    <w:multiLevelType w:val="multilevel"/>
    <w:tmpl w:val="777AE2D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05408C7"/>
    <w:multiLevelType w:val="multilevel"/>
    <w:tmpl w:val="777AE2D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3196B59"/>
    <w:multiLevelType w:val="hybridMultilevel"/>
    <w:tmpl w:val="9AFE9F70"/>
    <w:lvl w:ilvl="0" w:tplc="917A6F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44153"/>
    <w:multiLevelType w:val="multilevel"/>
    <w:tmpl w:val="7988EC8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5" w15:restartNumberingAfterBreak="0">
    <w:nsid w:val="43543559"/>
    <w:multiLevelType w:val="multilevel"/>
    <w:tmpl w:val="9082667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505A5198"/>
    <w:multiLevelType w:val="multilevel"/>
    <w:tmpl w:val="1910E24C"/>
    <w:lvl w:ilvl="0">
      <w:start w:val="1"/>
      <w:numFmt w:val="decimal"/>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546B4E75"/>
    <w:multiLevelType w:val="multilevel"/>
    <w:tmpl w:val="2A8820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6E12C20"/>
    <w:multiLevelType w:val="multilevel"/>
    <w:tmpl w:val="137CDF6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5C47674C"/>
    <w:multiLevelType w:val="multilevel"/>
    <w:tmpl w:val="5D6A41B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73616157">
    <w:abstractNumId w:val="1"/>
  </w:num>
  <w:num w:numId="2" w16cid:durableId="550116353">
    <w:abstractNumId w:val="9"/>
  </w:num>
  <w:num w:numId="3" w16cid:durableId="1041515968">
    <w:abstractNumId w:val="7"/>
  </w:num>
  <w:num w:numId="4" w16cid:durableId="1206024993">
    <w:abstractNumId w:val="4"/>
  </w:num>
  <w:num w:numId="5" w16cid:durableId="315843018">
    <w:abstractNumId w:val="8"/>
  </w:num>
  <w:num w:numId="6" w16cid:durableId="1212839360">
    <w:abstractNumId w:val="5"/>
  </w:num>
  <w:num w:numId="7" w16cid:durableId="2029333611">
    <w:abstractNumId w:val="0"/>
  </w:num>
  <w:num w:numId="8" w16cid:durableId="175120711">
    <w:abstractNumId w:val="6"/>
  </w:num>
  <w:num w:numId="9" w16cid:durableId="10762698">
    <w:abstractNumId w:val="3"/>
  </w:num>
  <w:num w:numId="10" w16cid:durableId="1855655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13"/>
    <w:rsid w:val="000F4C0C"/>
    <w:rsid w:val="00190B53"/>
    <w:rsid w:val="002B557E"/>
    <w:rsid w:val="00300D6C"/>
    <w:rsid w:val="00311389"/>
    <w:rsid w:val="003B0375"/>
    <w:rsid w:val="003B4713"/>
    <w:rsid w:val="00760087"/>
    <w:rsid w:val="008648F3"/>
    <w:rsid w:val="00A20997"/>
    <w:rsid w:val="00BA3FE0"/>
    <w:rsid w:val="00D468F9"/>
    <w:rsid w:val="00DE2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2834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E2FFD"/>
    <w:pPr>
      <w:tabs>
        <w:tab w:val="center" w:pos="4680"/>
        <w:tab w:val="right" w:pos="9360"/>
      </w:tabs>
      <w:spacing w:line="240" w:lineRule="auto"/>
    </w:pPr>
  </w:style>
  <w:style w:type="character" w:customStyle="1" w:styleId="HeaderChar">
    <w:name w:val="Header Char"/>
    <w:basedOn w:val="DefaultParagraphFont"/>
    <w:link w:val="Header"/>
    <w:uiPriority w:val="99"/>
    <w:rsid w:val="00DE2FFD"/>
  </w:style>
  <w:style w:type="paragraph" w:styleId="Footer">
    <w:name w:val="footer"/>
    <w:basedOn w:val="Normal"/>
    <w:link w:val="FooterChar"/>
    <w:uiPriority w:val="99"/>
    <w:unhideWhenUsed/>
    <w:rsid w:val="00DE2FFD"/>
    <w:pPr>
      <w:tabs>
        <w:tab w:val="center" w:pos="4680"/>
        <w:tab w:val="right" w:pos="9360"/>
      </w:tabs>
      <w:spacing w:line="240" w:lineRule="auto"/>
    </w:pPr>
  </w:style>
  <w:style w:type="character" w:customStyle="1" w:styleId="FooterChar">
    <w:name w:val="Footer Char"/>
    <w:basedOn w:val="DefaultParagraphFont"/>
    <w:link w:val="Footer"/>
    <w:uiPriority w:val="99"/>
    <w:rsid w:val="00DE2FFD"/>
  </w:style>
  <w:style w:type="paragraph" w:styleId="ListParagraph">
    <w:name w:val="List Paragraph"/>
    <w:basedOn w:val="Normal"/>
    <w:uiPriority w:val="34"/>
    <w:qFormat/>
    <w:rsid w:val="00DE2F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B1600C0F-B19F-4AB7-94FF-FB3E68BF073D}"/>
</file>

<file path=customXml/itemProps2.xml><?xml version="1.0" encoding="utf-8"?>
<ds:datastoreItem xmlns:ds="http://schemas.openxmlformats.org/officeDocument/2006/customXml" ds:itemID="{C96FAFFD-6972-43EB-91F4-15237DC97654}"/>
</file>

<file path=customXml/itemProps3.xml><?xml version="1.0" encoding="utf-8"?>
<ds:datastoreItem xmlns:ds="http://schemas.openxmlformats.org/officeDocument/2006/customXml" ds:itemID="{1541C71D-44A2-4C24-B005-E835547DC156}"/>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25</Pages>
  <Words>5650</Words>
  <Characters>32206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2026-09-09T00:29:00Z</dcterms:created>
  <dcterms:modified xsi:type="dcterms:W3CDTF">2026-09-09T00:29:00Z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ies>
</file>