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C39CF" w:rsidRDefault="007C39CF">
      <w:pPr>
        <w:spacing w:line="240" w:lineRule="auto"/>
        <w:rPr>
          <w:rFonts w:ascii="Times New Roman" w:eastAsia="Times New Roman" w:hAnsi="Times New Roman" w:cs="Times New Roman"/>
          <w:sz w:val="26"/>
          <w:szCs w:val="26"/>
        </w:rPr>
      </w:pPr>
    </w:p>
    <w:p w14:paraId="00000002" w14:textId="77777777" w:rsidR="007C39CF" w:rsidRDefault="00335CC5">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TEAM: 302</w:t>
      </w:r>
    </w:p>
    <w:p w14:paraId="00000003" w14:textId="77777777" w:rsidR="007C39CF" w:rsidRDefault="00335CC5">
      <w:pPr>
        <w:spacing w:line="240" w:lineRule="auto"/>
        <w:rPr>
          <w:rFonts w:ascii="Times New Roman" w:eastAsia="Times New Roman" w:hAnsi="Times New Roman" w:cs="Times New Roman"/>
          <w:b/>
          <w:bCs/>
          <w:sz w:val="26"/>
          <w:szCs w:val="26"/>
        </w:rPr>
      </w:pPr>
      <w:r>
        <w:pict w14:anchorId="25878534">
          <v:rect id="Horizontal Line 1" o:spid="_x0000_s2053"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0000004" w14:textId="77777777" w:rsidR="007C39CF" w:rsidRDefault="007C39CF">
      <w:pPr>
        <w:spacing w:line="240" w:lineRule="auto"/>
        <w:jc w:val="center"/>
        <w:rPr>
          <w:rFonts w:ascii="Times New Roman" w:eastAsia="Times New Roman" w:hAnsi="Times New Roman" w:cs="Times New Roman"/>
          <w:b/>
          <w:bCs/>
          <w:sz w:val="26"/>
          <w:szCs w:val="26"/>
        </w:rPr>
      </w:pPr>
    </w:p>
    <w:p w14:paraId="00000005" w14:textId="77777777" w:rsidR="007C39CF" w:rsidRDefault="00335CC5">
      <w:pPr>
        <w:spacing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IN THE UNITED STATES DISTRICT COURT</w:t>
      </w:r>
    </w:p>
    <w:p w14:paraId="00000006" w14:textId="77777777" w:rsidR="007C39CF" w:rsidRDefault="00335CC5">
      <w:pPr>
        <w:spacing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THE FOURTEENTH JUDICIAL DISTRICT</w:t>
      </w:r>
    </w:p>
    <w:p w14:paraId="00000007" w14:textId="77777777" w:rsidR="007C39CF" w:rsidRDefault="007C39CF">
      <w:pPr>
        <w:spacing w:line="240" w:lineRule="auto"/>
        <w:jc w:val="center"/>
        <w:rPr>
          <w:rFonts w:ascii="Times New Roman" w:eastAsia="Times New Roman" w:hAnsi="Times New Roman" w:cs="Times New Roman"/>
          <w:b/>
          <w:bCs/>
          <w:sz w:val="26"/>
          <w:szCs w:val="26"/>
        </w:rPr>
      </w:pPr>
    </w:p>
    <w:p w14:paraId="00000008" w14:textId="77777777" w:rsidR="007C39CF" w:rsidRDefault="00335CC5">
      <w:pPr>
        <w:spacing w:line="240" w:lineRule="auto"/>
        <w:rPr>
          <w:rFonts w:ascii="Times New Roman" w:eastAsia="Times New Roman" w:hAnsi="Times New Roman" w:cs="Times New Roman"/>
          <w:sz w:val="26"/>
          <w:szCs w:val="26"/>
        </w:rPr>
      </w:pPr>
      <w:r>
        <w:pict w14:anchorId="0FA40570">
          <v:rect id="Horizontal Line 2" o:spid="_x0000_s2052"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0000009" w14:textId="77777777" w:rsidR="007C39CF" w:rsidRDefault="007C39CF">
      <w:pPr>
        <w:spacing w:after="160" w:line="259" w:lineRule="auto"/>
        <w:jc w:val="center"/>
        <w:rPr>
          <w:rFonts w:ascii="Times New Roman" w:eastAsia="Times New Roman" w:hAnsi="Times New Roman" w:cs="Times New Roman"/>
          <w:b/>
          <w:bCs/>
          <w:sz w:val="26"/>
          <w:szCs w:val="26"/>
        </w:rPr>
      </w:pPr>
    </w:p>
    <w:p w14:paraId="0000000A" w14:textId="77777777" w:rsidR="007C39CF" w:rsidRDefault="007C39CF">
      <w:pPr>
        <w:spacing w:after="160" w:line="259" w:lineRule="auto"/>
        <w:jc w:val="center"/>
        <w:rPr>
          <w:rFonts w:ascii="Times New Roman" w:eastAsia="Times New Roman" w:hAnsi="Times New Roman" w:cs="Times New Roman"/>
          <w:b/>
          <w:bCs/>
          <w:sz w:val="26"/>
          <w:szCs w:val="26"/>
        </w:rPr>
      </w:pPr>
    </w:p>
    <w:p w14:paraId="0000000B" w14:textId="77777777" w:rsidR="007C39CF" w:rsidRDefault="00335CC5">
      <w:pPr>
        <w:spacing w:after="160" w:line="259"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UNITED STATES OF AMERICA,</w:t>
      </w:r>
    </w:p>
    <w:p w14:paraId="0000000C" w14:textId="77777777" w:rsidR="007C39CF" w:rsidRDefault="007C39CF">
      <w:pPr>
        <w:spacing w:after="160" w:line="259" w:lineRule="auto"/>
        <w:rPr>
          <w:rFonts w:ascii="Times New Roman" w:eastAsia="Times New Roman" w:hAnsi="Times New Roman" w:cs="Times New Roman"/>
          <w:i/>
          <w:iCs/>
          <w:sz w:val="26"/>
          <w:szCs w:val="26"/>
        </w:rPr>
      </w:pPr>
    </w:p>
    <w:p w14:paraId="0000000D" w14:textId="77777777" w:rsidR="007C39CF" w:rsidRDefault="00335CC5">
      <w:pPr>
        <w:spacing w:after="160" w:line="259"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vs.</w:t>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t>Case No. 2005-CF-00416</w:t>
      </w:r>
    </w:p>
    <w:p w14:paraId="0000000E" w14:textId="77777777" w:rsidR="007C39CF" w:rsidRDefault="00335CC5">
      <w:pPr>
        <w:spacing w:after="160" w:line="259"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p>
    <w:p w14:paraId="0000000F" w14:textId="77777777" w:rsidR="007C39CF" w:rsidRDefault="00335CC5">
      <w:pPr>
        <w:spacing w:after="160" w:line="259"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EMILY CALLOWAY</w:t>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t xml:space="preserve">          </w:t>
      </w:r>
    </w:p>
    <w:p w14:paraId="00000010" w14:textId="77777777" w:rsidR="007C39CF" w:rsidRDefault="007C39CF">
      <w:pPr>
        <w:spacing w:after="160" w:line="259" w:lineRule="auto"/>
        <w:rPr>
          <w:rFonts w:ascii="Times New Roman" w:eastAsia="Times New Roman" w:hAnsi="Times New Roman" w:cs="Times New Roman"/>
          <w:b/>
          <w:bCs/>
          <w:sz w:val="26"/>
          <w:szCs w:val="26"/>
        </w:rPr>
      </w:pPr>
    </w:p>
    <w:p w14:paraId="00000011" w14:textId="77777777" w:rsidR="007C39CF" w:rsidRDefault="00335CC5">
      <w:pPr>
        <w:spacing w:after="160" w:line="259" w:lineRule="auto"/>
        <w:ind w:left="720" w:firstLine="720"/>
        <w:rPr>
          <w:rFonts w:ascii="Times New Roman" w:eastAsia="Times New Roman" w:hAnsi="Times New Roman" w:cs="Times New Roman"/>
          <w:i/>
          <w:iCs/>
          <w:sz w:val="26"/>
          <w:szCs w:val="26"/>
        </w:rPr>
      </w:pPr>
      <w:r>
        <w:rPr>
          <w:rFonts w:ascii="Times New Roman" w:eastAsia="Times New Roman" w:hAnsi="Times New Roman" w:cs="Times New Roman"/>
          <w:sz w:val="26"/>
          <w:szCs w:val="26"/>
        </w:rPr>
        <w:t>Defendant</w:t>
      </w:r>
      <w:r>
        <w:rPr>
          <w:rFonts w:ascii="Times New Roman" w:eastAsia="Times New Roman" w:hAnsi="Times New Roman" w:cs="Times New Roman"/>
          <w:i/>
          <w:iCs/>
          <w:sz w:val="26"/>
          <w:szCs w:val="26"/>
        </w:rPr>
        <w:t>.</w:t>
      </w:r>
    </w:p>
    <w:p w14:paraId="00000012" w14:textId="77777777" w:rsidR="007C39CF" w:rsidRDefault="007C39CF">
      <w:pPr>
        <w:spacing w:after="160" w:line="259" w:lineRule="auto"/>
        <w:rPr>
          <w:rFonts w:ascii="Times New Roman" w:eastAsia="Times New Roman" w:hAnsi="Times New Roman" w:cs="Times New Roman"/>
          <w:b/>
          <w:bCs/>
          <w:sz w:val="26"/>
          <w:szCs w:val="26"/>
        </w:rPr>
      </w:pPr>
    </w:p>
    <w:p w14:paraId="00000013" w14:textId="77777777" w:rsidR="007C39CF" w:rsidRDefault="00335CC5">
      <w:pPr>
        <w:spacing w:line="259" w:lineRule="auto"/>
        <w:rPr>
          <w:rFonts w:ascii="Times New Roman" w:eastAsia="Times New Roman" w:hAnsi="Times New Roman" w:cs="Times New Roman"/>
          <w:sz w:val="26"/>
          <w:szCs w:val="26"/>
        </w:rPr>
      </w:pPr>
      <w:r>
        <w:pict w14:anchorId="3C2B8199">
          <v:rect id="Horizontal Line 3" o:spid="_x0000_s2051"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0000014" w14:textId="77777777" w:rsidR="007C39CF" w:rsidRDefault="007C39CF">
      <w:pPr>
        <w:spacing w:line="240" w:lineRule="auto"/>
        <w:rPr>
          <w:rFonts w:ascii="Times New Roman" w:eastAsia="Times New Roman" w:hAnsi="Times New Roman" w:cs="Times New Roman"/>
          <w:sz w:val="26"/>
          <w:szCs w:val="26"/>
        </w:rPr>
      </w:pPr>
    </w:p>
    <w:p w14:paraId="00000015" w14:textId="77777777" w:rsidR="007C39CF" w:rsidRDefault="00335CC5">
      <w:pPr>
        <w:spacing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DEFENDANT’S  MEMORANDUM IN SUPPORT OF </w:t>
      </w:r>
    </w:p>
    <w:p w14:paraId="00000016" w14:textId="77777777" w:rsidR="007C39CF" w:rsidRDefault="00335CC5">
      <w:pPr>
        <w:spacing w:line="240" w:lineRule="auto"/>
        <w:jc w:val="center"/>
        <w:rPr>
          <w:rFonts w:ascii="Times New Roman" w:eastAsia="Times New Roman" w:hAnsi="Times New Roman" w:cs="Times New Roman"/>
          <w:b/>
          <w:bCs/>
          <w:sz w:val="26"/>
          <w:szCs w:val="26"/>
          <w:highlight w:val="yellow"/>
        </w:rPr>
      </w:pPr>
      <w:r>
        <w:rPr>
          <w:rFonts w:ascii="Times New Roman" w:eastAsia="Times New Roman" w:hAnsi="Times New Roman" w:cs="Times New Roman"/>
          <w:b/>
          <w:bCs/>
          <w:sz w:val="26"/>
          <w:szCs w:val="26"/>
        </w:rPr>
        <w:t xml:space="preserve">MOTION TO SUPPRESS EVIDENCE AND MOTION TO QUASH </w:t>
      </w:r>
    </w:p>
    <w:p w14:paraId="00000017" w14:textId="77777777" w:rsidR="007C39CF" w:rsidRDefault="007C39CF">
      <w:pPr>
        <w:spacing w:line="240" w:lineRule="auto"/>
        <w:jc w:val="center"/>
        <w:rPr>
          <w:rFonts w:ascii="Times New Roman" w:eastAsia="Times New Roman" w:hAnsi="Times New Roman" w:cs="Times New Roman"/>
          <w:b/>
          <w:bCs/>
          <w:sz w:val="26"/>
          <w:szCs w:val="26"/>
          <w:highlight w:val="yellow"/>
        </w:rPr>
      </w:pPr>
    </w:p>
    <w:p w14:paraId="00000018" w14:textId="77777777" w:rsidR="007C39CF" w:rsidRDefault="00335CC5">
      <w:pPr>
        <w:spacing w:line="240" w:lineRule="auto"/>
        <w:rPr>
          <w:rFonts w:ascii="Times New Roman" w:eastAsia="Times New Roman" w:hAnsi="Times New Roman" w:cs="Times New Roman"/>
          <w:sz w:val="26"/>
          <w:szCs w:val="26"/>
        </w:rPr>
      </w:pPr>
      <w:r>
        <w:pict w14:anchorId="4991F428">
          <v:rect id="Horizontal Line 4" o:spid="_x0000_s2050"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0000019" w14:textId="77777777" w:rsidR="007C39CF" w:rsidRDefault="007C39CF">
      <w:pPr>
        <w:spacing w:line="240" w:lineRule="auto"/>
        <w:rPr>
          <w:rFonts w:ascii="Times New Roman" w:eastAsia="Times New Roman" w:hAnsi="Times New Roman" w:cs="Times New Roman"/>
          <w:sz w:val="26"/>
          <w:szCs w:val="26"/>
        </w:rPr>
      </w:pPr>
    </w:p>
    <w:p w14:paraId="0000001A" w14:textId="77777777" w:rsidR="007C39CF" w:rsidRDefault="00335CC5">
      <w:pPr>
        <w:spacing w:line="240" w:lineRule="auto"/>
        <w:jc w:val="right"/>
        <w:rPr>
          <w:rFonts w:ascii="Times New Roman" w:eastAsia="Times New Roman" w:hAnsi="Times New Roman" w:cs="Times New Roman"/>
          <w:i/>
          <w:iCs/>
          <w:sz w:val="26"/>
          <w:szCs w:val="26"/>
          <w:u w:val="single"/>
        </w:rPr>
      </w:pPr>
      <w:r>
        <w:rPr>
          <w:rFonts w:ascii="Times New Roman" w:eastAsia="Times New Roman" w:hAnsi="Times New Roman" w:cs="Times New Roman"/>
          <w:i/>
          <w:iCs/>
          <w:sz w:val="26"/>
          <w:szCs w:val="26"/>
          <w:u w:val="single"/>
        </w:rPr>
        <w:t>/s/ TEAM 302</w:t>
      </w:r>
    </w:p>
    <w:p w14:paraId="0000001B" w14:textId="77777777" w:rsidR="007C39CF" w:rsidRDefault="00335CC5">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TEAM 302</w:t>
      </w:r>
    </w:p>
    <w:p w14:paraId="0000001C" w14:textId="77777777" w:rsidR="007C39CF" w:rsidRDefault="00335CC5">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p>
    <w:p w14:paraId="0000001D" w14:textId="77777777" w:rsidR="007C39CF" w:rsidRDefault="007C39CF">
      <w:pPr>
        <w:spacing w:line="240" w:lineRule="auto"/>
        <w:jc w:val="right"/>
        <w:rPr>
          <w:rFonts w:ascii="Times New Roman" w:eastAsia="Times New Roman" w:hAnsi="Times New Roman" w:cs="Times New Roman"/>
          <w:i/>
          <w:iCs/>
          <w:sz w:val="26"/>
          <w:szCs w:val="26"/>
        </w:rPr>
      </w:pPr>
    </w:p>
    <w:p w14:paraId="0000001E" w14:textId="77777777" w:rsidR="007C39CF" w:rsidRDefault="00335CC5">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i/>
          <w:iCs/>
          <w:sz w:val="26"/>
          <w:szCs w:val="26"/>
        </w:rPr>
        <w:t>Counsel for the Defendant</w:t>
      </w:r>
    </w:p>
    <w:p w14:paraId="0000001F" w14:textId="77777777" w:rsidR="007C39CF" w:rsidRDefault="007C39CF">
      <w:pPr>
        <w:spacing w:after="160" w:line="259" w:lineRule="auto"/>
        <w:rPr>
          <w:rFonts w:ascii="Times New Roman" w:eastAsia="Times New Roman" w:hAnsi="Times New Roman" w:cs="Times New Roman"/>
          <w:b/>
          <w:bCs/>
          <w:sz w:val="26"/>
          <w:szCs w:val="26"/>
        </w:rPr>
        <w:sectPr w:rsidR="007C39CF">
          <w:footerReference w:type="default" r:id="rId7"/>
          <w:pgSz w:w="12240" w:h="15840"/>
          <w:pgMar w:top="1440" w:right="1440" w:bottom="1440" w:left="1440" w:header="720" w:footer="720" w:gutter="0"/>
          <w:pgNumType w:start="1"/>
          <w:cols w:space="720"/>
        </w:sectPr>
      </w:pPr>
    </w:p>
    <w:p w14:paraId="00000020" w14:textId="77777777" w:rsidR="007C39CF" w:rsidRDefault="00335CC5">
      <w:pPr>
        <w:spacing w:after="160" w:line="259"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TABLE OF CONTENTS</w:t>
      </w:r>
    </w:p>
    <w:p w14:paraId="00000021" w14:textId="25F4642B" w:rsidR="007C39CF" w:rsidRDefault="00335CC5">
      <w:pPr>
        <w:numPr>
          <w:ilvl w:val="0"/>
          <w:numId w:val="1"/>
        </w:num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TABLE OF AUTHORITIES........................................................</w:t>
      </w:r>
      <w:r w:rsidR="00A67994">
        <w:rPr>
          <w:rFonts w:ascii="Times New Roman" w:eastAsia="Times New Roman" w:hAnsi="Times New Roman" w:cs="Times New Roman"/>
          <w:sz w:val="26"/>
          <w:szCs w:val="26"/>
        </w:rPr>
        <w:t>.</w:t>
      </w:r>
      <w:r>
        <w:rPr>
          <w:rFonts w:ascii="Times New Roman" w:eastAsia="Times New Roman" w:hAnsi="Times New Roman" w:cs="Times New Roman"/>
          <w:sz w:val="26"/>
          <w:szCs w:val="26"/>
        </w:rPr>
        <w:t>.....................ii</w:t>
      </w:r>
    </w:p>
    <w:p w14:paraId="00000022" w14:textId="77777777" w:rsidR="007C39CF" w:rsidRDefault="00335CC5">
      <w:pPr>
        <w:numPr>
          <w:ilvl w:val="0"/>
          <w:numId w:val="1"/>
        </w:num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INTRODUCTION...............................................................................................1</w:t>
      </w:r>
    </w:p>
    <w:p w14:paraId="00000023" w14:textId="0A013098" w:rsidR="007C39CF" w:rsidRDefault="00335CC5">
      <w:pPr>
        <w:numPr>
          <w:ilvl w:val="0"/>
          <w:numId w:val="1"/>
        </w:num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STATEMENT OF FACTS....................</w:t>
      </w:r>
      <w:r w:rsidR="00A67994">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00A67994">
        <w:rPr>
          <w:rFonts w:ascii="Times New Roman" w:eastAsia="Times New Roman" w:hAnsi="Times New Roman" w:cs="Times New Roman"/>
          <w:sz w:val="26"/>
          <w:szCs w:val="26"/>
        </w:rPr>
        <w:t>........................</w:t>
      </w:r>
      <w:r>
        <w:rPr>
          <w:rFonts w:ascii="Times New Roman" w:eastAsia="Times New Roman" w:hAnsi="Times New Roman" w:cs="Times New Roman"/>
          <w:sz w:val="26"/>
          <w:szCs w:val="26"/>
        </w:rPr>
        <w:t>.....................2</w:t>
      </w:r>
    </w:p>
    <w:p w14:paraId="00000024" w14:textId="18C2E08C" w:rsidR="007C39CF" w:rsidRDefault="00335CC5">
      <w:pPr>
        <w:numPr>
          <w:ilvl w:val="0"/>
          <w:numId w:val="1"/>
        </w:num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ARGUMENT......................................................................................................6</w:t>
      </w:r>
    </w:p>
    <w:p w14:paraId="00000025" w14:textId="77777777" w:rsidR="007C39CF" w:rsidRDefault="00335CC5">
      <w:pPr>
        <w:numPr>
          <w:ilvl w:val="0"/>
          <w:numId w:val="2"/>
        </w:numPr>
        <w:spacing w:line="259"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Calloway’s Motion to Suppress Evidence Obtained in violation of Court Order should be granted because the Government cannot satisfy its burden under </w:t>
      </w:r>
      <w:r>
        <w:rPr>
          <w:rFonts w:ascii="Times New Roman" w:eastAsia="Times New Roman" w:hAnsi="Times New Roman" w:cs="Times New Roman"/>
          <w:i/>
          <w:iCs/>
          <w:sz w:val="26"/>
          <w:szCs w:val="26"/>
        </w:rPr>
        <w:t>Katsigar</w:t>
      </w:r>
      <w:r>
        <w:rPr>
          <w:rFonts w:ascii="Times New Roman" w:eastAsia="Times New Roman" w:hAnsi="Times New Roman" w:cs="Times New Roman"/>
          <w:sz w:val="26"/>
          <w:szCs w:val="26"/>
        </w:rPr>
        <w:t>, as it failed to insulate the investigation and gather evidence through independent sources………………….……………………………6</w:t>
      </w:r>
    </w:p>
    <w:p w14:paraId="00000026" w14:textId="77777777" w:rsidR="007C39CF" w:rsidRDefault="007C39CF">
      <w:pPr>
        <w:spacing w:line="259" w:lineRule="auto"/>
        <w:ind w:left="1440"/>
        <w:rPr>
          <w:rFonts w:ascii="Times New Roman" w:eastAsia="Times New Roman" w:hAnsi="Times New Roman" w:cs="Times New Roman"/>
          <w:sz w:val="26"/>
          <w:szCs w:val="26"/>
        </w:rPr>
      </w:pPr>
    </w:p>
    <w:p w14:paraId="00000027" w14:textId="7747FAB6" w:rsidR="007C39CF" w:rsidRDefault="00335CC5">
      <w:pPr>
        <w:numPr>
          <w:ilvl w:val="0"/>
          <w:numId w:val="5"/>
        </w:numPr>
        <w:spacing w:line="259"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The Government obtained evidence derived from exposure to Calloway’s immunized testimony when it failed to implement a true “wall of separation”...</w:t>
      </w:r>
      <w:r>
        <w:rPr>
          <w:rFonts w:ascii="Times New Roman" w:eastAsia="Times New Roman" w:hAnsi="Times New Roman" w:cs="Times New Roman"/>
          <w:sz w:val="26"/>
          <w:szCs w:val="26"/>
        </w:rPr>
        <w:t>……..…………</w:t>
      </w:r>
      <w:r w:rsidR="00A67994">
        <w:rPr>
          <w:rFonts w:ascii="Times New Roman" w:eastAsia="Times New Roman" w:hAnsi="Times New Roman" w:cs="Times New Roman"/>
          <w:sz w:val="26"/>
          <w:szCs w:val="26"/>
        </w:rPr>
        <w:t>….</w:t>
      </w:r>
      <w:r>
        <w:rPr>
          <w:rFonts w:ascii="Times New Roman" w:eastAsia="Times New Roman" w:hAnsi="Times New Roman" w:cs="Times New Roman"/>
          <w:sz w:val="26"/>
          <w:szCs w:val="26"/>
        </w:rPr>
        <w:t>………..…………………..7</w:t>
      </w:r>
    </w:p>
    <w:p w14:paraId="00000028" w14:textId="77777777" w:rsidR="007C39CF" w:rsidRDefault="007C39CF">
      <w:pPr>
        <w:spacing w:line="259" w:lineRule="auto"/>
        <w:ind w:left="1800"/>
        <w:rPr>
          <w:rFonts w:ascii="Times New Roman" w:eastAsia="Times New Roman" w:hAnsi="Times New Roman" w:cs="Times New Roman"/>
          <w:sz w:val="26"/>
          <w:szCs w:val="26"/>
        </w:rPr>
      </w:pPr>
    </w:p>
    <w:p w14:paraId="00000029" w14:textId="77777777" w:rsidR="007C39CF" w:rsidRDefault="00335CC5">
      <w:pPr>
        <w:numPr>
          <w:ilvl w:val="0"/>
          <w:numId w:val="5"/>
        </w:numPr>
        <w:spacing w:line="259"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Even if no exposure occurred, the Government’s mere assertions do not suffice to prove the evidence derives from independent, legitimate sources…………………</w:t>
      </w:r>
      <w:r>
        <w:rPr>
          <w:rFonts w:ascii="Times New Roman" w:eastAsia="Times New Roman" w:hAnsi="Times New Roman" w:cs="Times New Roman"/>
          <w:sz w:val="26"/>
          <w:szCs w:val="26"/>
        </w:rPr>
        <w:t>…………………………………………………9</w:t>
      </w:r>
    </w:p>
    <w:p w14:paraId="0000002A" w14:textId="77777777" w:rsidR="007C39CF" w:rsidRDefault="007C39CF">
      <w:pPr>
        <w:spacing w:line="259" w:lineRule="auto"/>
        <w:ind w:left="1800"/>
        <w:rPr>
          <w:rFonts w:ascii="Times New Roman" w:eastAsia="Times New Roman" w:hAnsi="Times New Roman" w:cs="Times New Roman"/>
          <w:sz w:val="26"/>
          <w:szCs w:val="26"/>
        </w:rPr>
      </w:pPr>
    </w:p>
    <w:p w14:paraId="0000002B" w14:textId="77777777" w:rsidR="007C39CF" w:rsidRDefault="00335CC5">
      <w:pPr>
        <w:numPr>
          <w:ilvl w:val="0"/>
          <w:numId w:val="2"/>
        </w:numPr>
        <w:spacing w:line="259"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Calloway’s Motion to Quash should be granted because Armana’s memorandum is protected by the work-product doctrine..………………..12</w:t>
      </w:r>
    </w:p>
    <w:p w14:paraId="0000002C" w14:textId="77777777" w:rsidR="007C39CF" w:rsidRDefault="007C39CF">
      <w:pPr>
        <w:spacing w:line="259" w:lineRule="auto"/>
        <w:ind w:left="1440"/>
        <w:rPr>
          <w:rFonts w:ascii="Times New Roman" w:eastAsia="Times New Roman" w:hAnsi="Times New Roman" w:cs="Times New Roman"/>
          <w:sz w:val="26"/>
          <w:szCs w:val="26"/>
        </w:rPr>
      </w:pPr>
    </w:p>
    <w:p w14:paraId="0000002D" w14:textId="1981CE09" w:rsidR="007C39CF" w:rsidRDefault="00335CC5">
      <w:pPr>
        <w:numPr>
          <w:ilvl w:val="0"/>
          <w:numId w:val="4"/>
        </w:numPr>
        <w:spacing w:line="259"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Armana’s memorandum was prepared in anticipation of litigation…………………………………………………………</w:t>
      </w:r>
      <w:r w:rsidR="00561B9C">
        <w:rPr>
          <w:rFonts w:ascii="Times New Roman" w:eastAsia="Times New Roman" w:hAnsi="Times New Roman" w:cs="Times New Roman"/>
          <w:i/>
          <w:iCs/>
          <w:sz w:val="26"/>
          <w:szCs w:val="26"/>
        </w:rPr>
        <w:t>…</w:t>
      </w:r>
      <w:r>
        <w:rPr>
          <w:rFonts w:ascii="Times New Roman" w:eastAsia="Times New Roman" w:hAnsi="Times New Roman" w:cs="Times New Roman"/>
          <w:i/>
          <w:iCs/>
          <w:sz w:val="26"/>
          <w:szCs w:val="26"/>
        </w:rPr>
        <w:t>……….</w:t>
      </w:r>
      <w:r>
        <w:rPr>
          <w:rFonts w:ascii="Times New Roman" w:eastAsia="Times New Roman" w:hAnsi="Times New Roman" w:cs="Times New Roman"/>
          <w:sz w:val="26"/>
          <w:szCs w:val="26"/>
        </w:rPr>
        <w:t>…13</w:t>
      </w:r>
    </w:p>
    <w:p w14:paraId="0000002E" w14:textId="77777777" w:rsidR="007C39CF" w:rsidRDefault="007C39CF">
      <w:pPr>
        <w:spacing w:line="259" w:lineRule="auto"/>
        <w:ind w:left="1800"/>
        <w:rPr>
          <w:rFonts w:ascii="Times New Roman" w:eastAsia="Times New Roman" w:hAnsi="Times New Roman" w:cs="Times New Roman"/>
          <w:sz w:val="26"/>
          <w:szCs w:val="26"/>
        </w:rPr>
      </w:pPr>
    </w:p>
    <w:p w14:paraId="0000002F" w14:textId="432E3F3B" w:rsidR="007C39CF" w:rsidRDefault="00335CC5">
      <w:pPr>
        <w:numPr>
          <w:ilvl w:val="0"/>
          <w:numId w:val="4"/>
        </w:numPr>
        <w:spacing w:line="259"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The Government cannot establish that Armana’s memorandum is discoverable as fact or opinion work-product</w:t>
      </w:r>
      <w:r>
        <w:rPr>
          <w:rFonts w:ascii="Times New Roman" w:eastAsia="Times New Roman" w:hAnsi="Times New Roman" w:cs="Times New Roman"/>
          <w:sz w:val="26"/>
          <w:szCs w:val="26"/>
        </w:rPr>
        <w:t>……..………...</w:t>
      </w:r>
      <w:r w:rsidR="00A67994">
        <w:rPr>
          <w:rFonts w:ascii="Times New Roman" w:eastAsia="Times New Roman" w:hAnsi="Times New Roman" w:cs="Times New Roman"/>
          <w:sz w:val="26"/>
          <w:szCs w:val="26"/>
        </w:rPr>
        <w:t>..</w:t>
      </w:r>
      <w:r>
        <w:rPr>
          <w:rFonts w:ascii="Times New Roman" w:eastAsia="Times New Roman" w:hAnsi="Times New Roman" w:cs="Times New Roman"/>
          <w:sz w:val="26"/>
          <w:szCs w:val="26"/>
        </w:rPr>
        <w:t>………14</w:t>
      </w:r>
    </w:p>
    <w:p w14:paraId="00000030" w14:textId="77777777" w:rsidR="007C39CF" w:rsidRDefault="007C39CF">
      <w:pPr>
        <w:spacing w:line="259" w:lineRule="auto"/>
        <w:ind w:left="1800"/>
        <w:rPr>
          <w:rFonts w:ascii="Times New Roman" w:eastAsia="Times New Roman" w:hAnsi="Times New Roman" w:cs="Times New Roman"/>
          <w:sz w:val="26"/>
          <w:szCs w:val="26"/>
        </w:rPr>
      </w:pPr>
    </w:p>
    <w:p w14:paraId="00000031" w14:textId="77777777" w:rsidR="007C39CF" w:rsidRDefault="00335CC5">
      <w:pPr>
        <w:spacing w:after="160" w:line="259"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CONCLUSION..................................................................................................................19</w:t>
      </w:r>
    </w:p>
    <w:p w14:paraId="00000032" w14:textId="77777777" w:rsidR="007C39CF" w:rsidRDefault="00335CC5">
      <w:pPr>
        <w:spacing w:after="160" w:line="259"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CERTIFICATE OF SERVICE...........................................................................................................................20</w:t>
      </w:r>
    </w:p>
    <w:p w14:paraId="00000033" w14:textId="77777777" w:rsidR="007C39CF" w:rsidRDefault="007C39CF">
      <w:pPr>
        <w:spacing w:after="160" w:line="259" w:lineRule="auto"/>
        <w:rPr>
          <w:rFonts w:ascii="Times New Roman" w:eastAsia="Times New Roman" w:hAnsi="Times New Roman" w:cs="Times New Roman"/>
          <w:sz w:val="26"/>
          <w:szCs w:val="26"/>
        </w:rPr>
      </w:pPr>
    </w:p>
    <w:p w14:paraId="00000034" w14:textId="77777777" w:rsidR="007C39CF" w:rsidRDefault="007C39CF">
      <w:pPr>
        <w:spacing w:after="160" w:line="259" w:lineRule="auto"/>
        <w:jc w:val="center"/>
        <w:rPr>
          <w:rFonts w:ascii="Times New Roman" w:eastAsia="Times New Roman" w:hAnsi="Times New Roman" w:cs="Times New Roman"/>
          <w:b/>
          <w:bCs/>
          <w:sz w:val="26"/>
          <w:szCs w:val="26"/>
        </w:rPr>
      </w:pPr>
    </w:p>
    <w:p w14:paraId="00000035" w14:textId="77777777" w:rsidR="007C39CF" w:rsidRDefault="007C39CF">
      <w:pPr>
        <w:spacing w:after="160" w:line="259" w:lineRule="auto"/>
        <w:rPr>
          <w:rFonts w:ascii="Times New Roman" w:eastAsia="Times New Roman" w:hAnsi="Times New Roman" w:cs="Times New Roman"/>
          <w:b/>
          <w:bCs/>
          <w:sz w:val="26"/>
          <w:szCs w:val="26"/>
        </w:rPr>
      </w:pPr>
    </w:p>
    <w:p w14:paraId="00000036" w14:textId="77777777" w:rsidR="007C39CF" w:rsidRDefault="00335CC5">
      <w:pPr>
        <w:spacing w:after="160" w:line="259"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TABLE OF AUTHORITIES</w:t>
      </w:r>
    </w:p>
    <w:p w14:paraId="00000037" w14:textId="77777777" w:rsidR="007C39CF" w:rsidRDefault="00335CC5">
      <w:pPr>
        <w:spacing w:after="160" w:line="259"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Statutes</w:t>
      </w:r>
    </w:p>
    <w:p w14:paraId="00000038" w14:textId="77777777" w:rsidR="007C39CF" w:rsidRDefault="00335CC5">
      <w:pPr>
        <w:spacing w:after="160" w:line="259"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18 U.S.C.A. § 6002..............................................................................................................1 </w:t>
      </w:r>
    </w:p>
    <w:p w14:paraId="00000039" w14:textId="77777777" w:rsidR="007C39CF" w:rsidRDefault="00335CC5">
      <w:pPr>
        <w:spacing w:after="160" w:line="259"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18 U.SC.A. § 6003...............................................................................................................1</w:t>
      </w:r>
    </w:p>
    <w:p w14:paraId="0000003A" w14:textId="77777777" w:rsidR="007C39CF" w:rsidRDefault="00335CC5">
      <w:pPr>
        <w:spacing w:after="160" w:line="259" w:lineRule="auto"/>
        <w:rPr>
          <w:rFonts w:ascii="Times New Roman" w:eastAsia="Times New Roman" w:hAnsi="Times New Roman" w:cs="Times New Roman"/>
          <w:sz w:val="26"/>
          <w:szCs w:val="26"/>
        </w:rPr>
      </w:pPr>
      <w:r>
        <w:rPr>
          <w:rFonts w:ascii="Times New Roman" w:eastAsia="Times New Roman" w:hAnsi="Times New Roman" w:cs="Times New Roman"/>
          <w:b/>
          <w:bCs/>
          <w:sz w:val="26"/>
          <w:szCs w:val="26"/>
        </w:rPr>
        <w:t>Rules of Criminal Procedure</w:t>
      </w:r>
    </w:p>
    <w:p w14:paraId="0000003B" w14:textId="77777777" w:rsidR="007C39CF" w:rsidRDefault="00335CC5">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Fed. R. Crim. P. 16(b)(2)(A)..............................................................................................15 </w:t>
      </w:r>
    </w:p>
    <w:p w14:paraId="0000003C" w14:textId="77777777" w:rsidR="007C39CF" w:rsidRDefault="00335CC5">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Fed R. Crim P. 17(c)(2)......................................................................................................13</w:t>
      </w:r>
    </w:p>
    <w:p w14:paraId="0000003D" w14:textId="77777777" w:rsidR="007C39CF" w:rsidRDefault="00335CC5">
      <w:pPr>
        <w:spacing w:after="160" w:line="259"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U.S. Supreme Court Cases</w:t>
      </w:r>
    </w:p>
    <w:p w14:paraId="0000003E" w14:textId="091C85BB" w:rsidR="007C39CF" w:rsidRDefault="00335CC5">
      <w:pPr>
        <w:spacing w:line="24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Kastigar v. U.S.</w:t>
      </w:r>
      <w:r>
        <w:rPr>
          <w:rFonts w:ascii="Times New Roman" w:eastAsia="Times New Roman" w:hAnsi="Times New Roman" w:cs="Times New Roman"/>
          <w:sz w:val="26"/>
          <w:szCs w:val="26"/>
        </w:rPr>
        <w:t>, 406 U.S. 441 (1972)……………………...…………………..…………………</w:t>
      </w:r>
      <w:r w:rsidR="00A67994">
        <w:rPr>
          <w:rFonts w:ascii="Times New Roman" w:eastAsia="Times New Roman" w:hAnsi="Times New Roman" w:cs="Times New Roman"/>
          <w:sz w:val="26"/>
          <w:szCs w:val="26"/>
        </w:rPr>
        <w:t>..</w:t>
      </w:r>
      <w:r>
        <w:rPr>
          <w:rFonts w:ascii="Times New Roman" w:eastAsia="Times New Roman" w:hAnsi="Times New Roman" w:cs="Times New Roman"/>
          <w:sz w:val="26"/>
          <w:szCs w:val="26"/>
        </w:rPr>
        <w:t>………1,6,8,9,10,11,12</w:t>
      </w:r>
    </w:p>
    <w:p w14:paraId="0000003F" w14:textId="0DB542C1" w:rsidR="007C39CF" w:rsidRDefault="007C39CF">
      <w:pPr>
        <w:spacing w:after="160" w:line="259" w:lineRule="auto"/>
        <w:jc w:val="both"/>
        <w:rPr>
          <w:rFonts w:ascii="Times New Roman" w:eastAsia="Times New Roman" w:hAnsi="Times New Roman" w:cs="Times New Roman"/>
          <w:b/>
          <w:bCs/>
          <w:sz w:val="26"/>
          <w:szCs w:val="26"/>
        </w:rPr>
      </w:pPr>
    </w:p>
    <w:p w14:paraId="00000040" w14:textId="77777777" w:rsidR="007C39CF" w:rsidRDefault="00335CC5">
      <w:pPr>
        <w:spacing w:after="160" w:line="259"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U.S. Court of Appeals Cases</w:t>
      </w:r>
    </w:p>
    <w:p w14:paraId="00000041" w14:textId="77777777" w:rsidR="007C39CF" w:rsidRDefault="00335CC5">
      <w:pPr>
        <w:spacing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Conoco Inc. v. U.S. Dept. of Justice</w:t>
      </w:r>
      <w:r>
        <w:rPr>
          <w:rFonts w:ascii="Times New Roman" w:eastAsia="Times New Roman" w:hAnsi="Times New Roman" w:cs="Times New Roman"/>
          <w:sz w:val="26"/>
          <w:szCs w:val="26"/>
        </w:rPr>
        <w:t>, 687 F.2d 724</w:t>
      </w:r>
    </w:p>
    <w:p w14:paraId="00000042" w14:textId="77777777" w:rsidR="007C39CF" w:rsidRDefault="00335CC5">
      <w:pPr>
        <w:spacing w:after="200" w:line="259" w:lineRule="auto"/>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(3d Cir. 1982)…………………………………………………………………………….15</w:t>
      </w:r>
    </w:p>
    <w:p w14:paraId="00000043" w14:textId="77777777" w:rsidR="007C39CF" w:rsidRDefault="00335CC5">
      <w:p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In re Grand Jury Investigation</w:t>
      </w:r>
      <w:r>
        <w:rPr>
          <w:rFonts w:ascii="Times New Roman" w:eastAsia="Times New Roman" w:hAnsi="Times New Roman" w:cs="Times New Roman"/>
          <w:sz w:val="26"/>
          <w:szCs w:val="26"/>
        </w:rPr>
        <w:t xml:space="preserve">, 599 F.2d 1224 </w:t>
      </w:r>
    </w:p>
    <w:p w14:paraId="00000044" w14:textId="77777777" w:rsidR="007C39CF" w:rsidRDefault="00335CC5">
      <w:pPr>
        <w:keepNext/>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(3d Cir. 1979)………………………………………………..………………...15,17, 18,19</w:t>
      </w:r>
    </w:p>
    <w:p w14:paraId="00000045" w14:textId="77777777" w:rsidR="007C39CF" w:rsidRDefault="007C39CF">
      <w:pPr>
        <w:keepNext/>
        <w:spacing w:line="240" w:lineRule="auto"/>
        <w:jc w:val="both"/>
        <w:rPr>
          <w:rFonts w:ascii="Times New Roman" w:eastAsia="Times New Roman" w:hAnsi="Times New Roman" w:cs="Times New Roman"/>
          <w:i/>
          <w:iCs/>
          <w:sz w:val="26"/>
          <w:szCs w:val="26"/>
        </w:rPr>
      </w:pPr>
    </w:p>
    <w:p w14:paraId="00000046" w14:textId="77777777" w:rsidR="007C39CF" w:rsidRDefault="00335CC5">
      <w:pPr>
        <w:keepNext/>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In re Martin Marietta Corp.</w:t>
      </w:r>
      <w:r>
        <w:rPr>
          <w:rFonts w:ascii="Times New Roman" w:eastAsia="Times New Roman" w:hAnsi="Times New Roman" w:cs="Times New Roman"/>
          <w:sz w:val="26"/>
          <w:szCs w:val="26"/>
        </w:rPr>
        <w:t xml:space="preserve">, 856 F.2d 619 </w:t>
      </w:r>
    </w:p>
    <w:p w14:paraId="00000047" w14:textId="77777777" w:rsidR="007C39CF" w:rsidRDefault="00335CC5">
      <w:pPr>
        <w:spacing w:line="240" w:lineRule="auto"/>
        <w:jc w:val="both"/>
        <w:rPr>
          <w:rFonts w:ascii="Times New Roman" w:eastAsia="Times New Roman" w:hAnsi="Times New Roman" w:cs="Times New Roman"/>
          <w:i/>
          <w:iCs/>
          <w:sz w:val="26"/>
          <w:szCs w:val="26"/>
        </w:rPr>
      </w:pPr>
      <w:r>
        <w:rPr>
          <w:rFonts w:ascii="Times New Roman" w:eastAsia="Times New Roman" w:hAnsi="Times New Roman" w:cs="Times New Roman"/>
          <w:sz w:val="26"/>
          <w:szCs w:val="26"/>
        </w:rPr>
        <w:t>(4thCir. 1988)……………………………………………………………………………....13,15,16</w:t>
      </w:r>
    </w:p>
    <w:p w14:paraId="00000048" w14:textId="77777777" w:rsidR="007C39CF" w:rsidRDefault="00335CC5">
      <w:pPr>
        <w:spacing w:before="200"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In re Murphy</w:t>
      </w:r>
      <w:r>
        <w:rPr>
          <w:rFonts w:ascii="Times New Roman" w:eastAsia="Times New Roman" w:hAnsi="Times New Roman" w:cs="Times New Roman"/>
          <w:sz w:val="26"/>
          <w:szCs w:val="26"/>
        </w:rPr>
        <w:t xml:space="preserve">, 560 F.2d 326 </w:t>
      </w:r>
    </w:p>
    <w:p w14:paraId="00000049" w14:textId="77777777" w:rsidR="007C39CF" w:rsidRDefault="00335CC5">
      <w:pPr>
        <w:spacing w:line="259" w:lineRule="auto"/>
        <w:jc w:val="both"/>
        <w:rPr>
          <w:rFonts w:ascii="Times New Roman" w:eastAsia="Times New Roman" w:hAnsi="Times New Roman" w:cs="Times New Roman"/>
          <w:i/>
          <w:iCs/>
          <w:sz w:val="26"/>
          <w:szCs w:val="26"/>
        </w:rPr>
      </w:pPr>
      <w:r>
        <w:rPr>
          <w:rFonts w:ascii="Times New Roman" w:eastAsia="Times New Roman" w:hAnsi="Times New Roman" w:cs="Times New Roman"/>
          <w:sz w:val="26"/>
          <w:szCs w:val="26"/>
        </w:rPr>
        <w:t>(8th Cir. 1977)……………………………..…………………………….………………13</w:t>
      </w:r>
    </w:p>
    <w:p w14:paraId="0000004A" w14:textId="77777777" w:rsidR="007C39CF" w:rsidRDefault="00335CC5">
      <w:pPr>
        <w:spacing w:before="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Bianco</w:t>
      </w:r>
      <w:r>
        <w:rPr>
          <w:rFonts w:ascii="Times New Roman" w:eastAsia="Times New Roman" w:hAnsi="Times New Roman" w:cs="Times New Roman"/>
          <w:sz w:val="26"/>
          <w:szCs w:val="26"/>
        </w:rPr>
        <w:t xml:space="preserve">, 534 F.2d 501 </w:t>
      </w:r>
    </w:p>
    <w:p w14:paraId="0000004B" w14:textId="77777777" w:rsidR="007C39CF" w:rsidRDefault="00335CC5">
      <w:pPr>
        <w:keepNext/>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(2d Cir. 1976)......................................................................................................................8</w:t>
      </w:r>
    </w:p>
    <w:p w14:paraId="0000004C" w14:textId="77777777" w:rsidR="007C39CF" w:rsidRDefault="007C39CF">
      <w:pPr>
        <w:spacing w:line="240" w:lineRule="auto"/>
        <w:jc w:val="both"/>
        <w:rPr>
          <w:rFonts w:ascii="Times New Roman" w:eastAsia="Times New Roman" w:hAnsi="Times New Roman" w:cs="Times New Roman"/>
          <w:sz w:val="26"/>
          <w:szCs w:val="26"/>
        </w:rPr>
      </w:pPr>
    </w:p>
    <w:p w14:paraId="0000004D" w14:textId="77777777" w:rsidR="007C39CF" w:rsidRDefault="00335CC5">
      <w:pPr>
        <w:spacing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Nemes</w:t>
      </w:r>
      <w:r>
        <w:rPr>
          <w:rFonts w:ascii="Times New Roman" w:eastAsia="Times New Roman" w:hAnsi="Times New Roman" w:cs="Times New Roman"/>
          <w:sz w:val="26"/>
          <w:szCs w:val="26"/>
        </w:rPr>
        <w:t xml:space="preserve">, 555 F.2d 51 </w:t>
      </w:r>
    </w:p>
    <w:p w14:paraId="0000004E" w14:textId="77777777" w:rsidR="007C39CF" w:rsidRDefault="00335CC5">
      <w:pPr>
        <w:spacing w:line="259"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(2d Cir. 1977)………………………………...…………………………………………7,9</w:t>
      </w:r>
    </w:p>
    <w:p w14:paraId="0000004F" w14:textId="77777777" w:rsidR="007C39CF" w:rsidRDefault="007C39CF">
      <w:pPr>
        <w:spacing w:line="259" w:lineRule="auto"/>
        <w:jc w:val="both"/>
        <w:rPr>
          <w:rFonts w:ascii="Times New Roman" w:eastAsia="Times New Roman" w:hAnsi="Times New Roman" w:cs="Times New Roman"/>
          <w:sz w:val="26"/>
          <w:szCs w:val="26"/>
        </w:rPr>
      </w:pPr>
    </w:p>
    <w:p w14:paraId="00000050" w14:textId="77777777" w:rsidR="007C39CF" w:rsidRDefault="00335CC5">
      <w:pPr>
        <w:spacing w:line="259"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District Court Cases</w:t>
      </w:r>
    </w:p>
    <w:p w14:paraId="00000051" w14:textId="77777777" w:rsidR="007C39CF" w:rsidRDefault="00335CC5">
      <w:pPr>
        <w:spacing w:before="200"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Dempsey v. Bucknell University</w:t>
      </w:r>
      <w:r>
        <w:rPr>
          <w:rFonts w:ascii="Times New Roman" w:eastAsia="Times New Roman" w:hAnsi="Times New Roman" w:cs="Times New Roman"/>
          <w:sz w:val="26"/>
          <w:szCs w:val="26"/>
        </w:rPr>
        <w:t>, 296 F.R.D. 323</w:t>
      </w:r>
    </w:p>
    <w:p w14:paraId="00000052" w14:textId="77777777" w:rsidR="007C39CF" w:rsidRDefault="00335CC5">
      <w:pPr>
        <w:spacing w:line="259"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(M.D. Pa. 2013)…………………………………………...……………………………..18</w:t>
      </w:r>
    </w:p>
    <w:p w14:paraId="00000053" w14:textId="77777777" w:rsidR="007C39CF" w:rsidRDefault="00335CC5">
      <w:pPr>
        <w:spacing w:before="200"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Equal Rights Center v. Post Properties, Inc.</w:t>
      </w:r>
      <w:r>
        <w:rPr>
          <w:rFonts w:ascii="Times New Roman" w:eastAsia="Times New Roman" w:hAnsi="Times New Roman" w:cs="Times New Roman"/>
          <w:sz w:val="26"/>
          <w:szCs w:val="26"/>
        </w:rPr>
        <w:t xml:space="preserve">, 247 F.R.D. 208 </w:t>
      </w:r>
    </w:p>
    <w:p w14:paraId="00000054" w14:textId="77777777" w:rsidR="007C39CF" w:rsidRDefault="00335CC5">
      <w:pPr>
        <w:spacing w:line="259" w:lineRule="auto"/>
        <w:jc w:val="both"/>
        <w:rPr>
          <w:rFonts w:ascii="Times New Roman" w:eastAsia="Times New Roman" w:hAnsi="Times New Roman" w:cs="Times New Roman"/>
          <w:sz w:val="26"/>
          <w:szCs w:val="26"/>
          <w:highlight w:val="magenta"/>
        </w:rPr>
      </w:pPr>
      <w:r>
        <w:rPr>
          <w:rFonts w:ascii="Times New Roman" w:eastAsia="Times New Roman" w:hAnsi="Times New Roman" w:cs="Times New Roman"/>
          <w:sz w:val="26"/>
          <w:szCs w:val="26"/>
        </w:rPr>
        <w:lastRenderedPageBreak/>
        <w:t>(D.D.C. 2008).……………………………………………………………….…………..15</w:t>
      </w:r>
      <w:r>
        <w:rPr>
          <w:rFonts w:ascii="Times New Roman" w:eastAsia="Times New Roman" w:hAnsi="Times New Roman" w:cs="Times New Roman"/>
          <w:sz w:val="26"/>
          <w:szCs w:val="26"/>
          <w:highlight w:val="magenta"/>
        </w:rPr>
        <w:t xml:space="preserve"> </w:t>
      </w:r>
    </w:p>
    <w:p w14:paraId="00000055" w14:textId="77777777" w:rsidR="007C39CF" w:rsidRDefault="00335CC5">
      <w:pPr>
        <w:spacing w:before="200"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F.T.C. v. Boehringer Ingelheim Pharmaceuticals, Inc.</w:t>
      </w:r>
      <w:r>
        <w:rPr>
          <w:rFonts w:ascii="Times New Roman" w:eastAsia="Times New Roman" w:hAnsi="Times New Roman" w:cs="Times New Roman"/>
          <w:sz w:val="26"/>
          <w:szCs w:val="26"/>
        </w:rPr>
        <w:t xml:space="preserve">, 778 F.3d 142 </w:t>
      </w:r>
    </w:p>
    <w:p w14:paraId="00000056" w14:textId="77777777" w:rsidR="007C39CF" w:rsidRDefault="00335CC5">
      <w:pPr>
        <w:spacing w:line="259" w:lineRule="auto"/>
        <w:jc w:val="both"/>
        <w:rPr>
          <w:rFonts w:ascii="Times New Roman" w:eastAsia="Times New Roman" w:hAnsi="Times New Roman" w:cs="Times New Roman"/>
          <w:sz w:val="26"/>
          <w:szCs w:val="26"/>
          <w:highlight w:val="magenta"/>
        </w:rPr>
      </w:pPr>
      <w:r>
        <w:rPr>
          <w:rFonts w:ascii="Times New Roman" w:eastAsia="Times New Roman" w:hAnsi="Times New Roman" w:cs="Times New Roman"/>
          <w:sz w:val="26"/>
          <w:szCs w:val="26"/>
        </w:rPr>
        <w:t>(D.C. Cir. 2015)…………………………………………………………………………17</w:t>
      </w:r>
    </w:p>
    <w:p w14:paraId="00000057" w14:textId="77777777" w:rsidR="007C39CF" w:rsidRDefault="00335CC5">
      <w:pPr>
        <w:spacing w:before="200"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Clemens</w:t>
      </w:r>
      <w:r>
        <w:rPr>
          <w:rFonts w:ascii="Times New Roman" w:eastAsia="Times New Roman" w:hAnsi="Times New Roman" w:cs="Times New Roman"/>
          <w:sz w:val="26"/>
          <w:szCs w:val="26"/>
        </w:rPr>
        <w:t xml:space="preserve">, 793 F.Supp.2d 236 </w:t>
      </w:r>
    </w:p>
    <w:p w14:paraId="00000058" w14:textId="77777777" w:rsidR="007C39CF" w:rsidRDefault="00335CC5">
      <w:pPr>
        <w:spacing w:line="259"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(D.D.C. 2011)………………………………………………….…………………….15,17</w:t>
      </w:r>
    </w:p>
    <w:p w14:paraId="00000059" w14:textId="77777777" w:rsidR="007C39CF" w:rsidRDefault="00335CC5">
      <w:pPr>
        <w:spacing w:before="200" w:line="240" w:lineRule="auto"/>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U.S. Equal Employment Opportunity Commission v. </w:t>
      </w:r>
    </w:p>
    <w:p w14:paraId="0000005A" w14:textId="77777777" w:rsidR="007C39CF" w:rsidRDefault="00335CC5">
      <w:p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George Washington University</w:t>
      </w:r>
      <w:r>
        <w:rPr>
          <w:rFonts w:ascii="Times New Roman" w:eastAsia="Times New Roman" w:hAnsi="Times New Roman" w:cs="Times New Roman"/>
          <w:sz w:val="26"/>
          <w:szCs w:val="26"/>
        </w:rPr>
        <w:t xml:space="preserve">, 342 F.R.D. 161 </w:t>
      </w:r>
    </w:p>
    <w:p w14:paraId="0000005B" w14:textId="77777777" w:rsidR="007C39CF" w:rsidRDefault="00335CC5">
      <w:p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(D.D.C. 2022)………………………………..…………………………………………..17</w:t>
      </w:r>
    </w:p>
    <w:p w14:paraId="0000005C" w14:textId="77777777" w:rsidR="007C39CF" w:rsidRDefault="00335CC5">
      <w:pPr>
        <w:spacing w:before="200"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Martinez</w:t>
      </w:r>
      <w:r>
        <w:rPr>
          <w:rFonts w:ascii="Times New Roman" w:eastAsia="Times New Roman" w:hAnsi="Times New Roman" w:cs="Times New Roman"/>
          <w:sz w:val="26"/>
          <w:szCs w:val="26"/>
        </w:rPr>
        <w:t xml:space="preserve">, 81 F. Supp. 3d 1046 </w:t>
      </w:r>
    </w:p>
    <w:p w14:paraId="0000005D" w14:textId="77777777" w:rsidR="007C39CF" w:rsidRDefault="00335CC5">
      <w:pPr>
        <w:spacing w:line="259"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Colo. 2015)......……………………………………………………………………9,11</w:t>
      </w:r>
    </w:p>
    <w:p w14:paraId="0000005E" w14:textId="77777777" w:rsidR="007C39CF" w:rsidRDefault="00335CC5">
      <w:pPr>
        <w:spacing w:before="200"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North</w:t>
      </w:r>
      <w:r>
        <w:rPr>
          <w:rFonts w:ascii="Times New Roman" w:eastAsia="Times New Roman" w:hAnsi="Times New Roman" w:cs="Times New Roman"/>
          <w:sz w:val="26"/>
          <w:szCs w:val="26"/>
        </w:rPr>
        <w:t>, 920 F.2d 940</w:t>
      </w:r>
    </w:p>
    <w:p w14:paraId="0000005F" w14:textId="77777777" w:rsidR="007C39CF" w:rsidRDefault="00335CC5">
      <w:pPr>
        <w:spacing w:line="259"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(D.C. Cir. 1990).............................................………………………………………...….10</w:t>
      </w:r>
    </w:p>
    <w:p w14:paraId="00000060" w14:textId="77777777" w:rsidR="007C39CF" w:rsidRDefault="00335CC5">
      <w:pPr>
        <w:spacing w:before="200"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Slough</w:t>
      </w:r>
      <w:r>
        <w:rPr>
          <w:rFonts w:ascii="Times New Roman" w:eastAsia="Times New Roman" w:hAnsi="Times New Roman" w:cs="Times New Roman"/>
          <w:sz w:val="26"/>
          <w:szCs w:val="26"/>
        </w:rPr>
        <w:t xml:space="preserve">, 641 F.3d 544 </w:t>
      </w:r>
    </w:p>
    <w:p w14:paraId="00000061" w14:textId="77777777" w:rsidR="007C39CF" w:rsidRDefault="00335CC5">
      <w:pPr>
        <w:spacing w:line="259"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(D.C. Cir. 2011)…………………………….…………………….………………………10</w:t>
      </w:r>
    </w:p>
    <w:p w14:paraId="00000062" w14:textId="77777777" w:rsidR="007C39CF" w:rsidRDefault="00335CC5">
      <w:pPr>
        <w:spacing w:before="200"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Smith</w:t>
      </w:r>
      <w:r>
        <w:rPr>
          <w:rFonts w:ascii="Times New Roman" w:eastAsia="Times New Roman" w:hAnsi="Times New Roman" w:cs="Times New Roman"/>
          <w:sz w:val="26"/>
          <w:szCs w:val="26"/>
        </w:rPr>
        <w:t xml:space="preserve">, 580 F. Supp. 1418 </w:t>
      </w:r>
    </w:p>
    <w:p w14:paraId="00000063" w14:textId="77777777" w:rsidR="007C39CF" w:rsidRDefault="00335CC5">
      <w:pPr>
        <w:spacing w:line="259" w:lineRule="auto"/>
        <w:jc w:val="both"/>
        <w:rPr>
          <w:rFonts w:ascii="Times New Roman" w:eastAsia="Times New Roman" w:hAnsi="Times New Roman" w:cs="Times New Roman"/>
          <w:sz w:val="26"/>
          <w:szCs w:val="26"/>
          <w:highlight w:val="magenta"/>
        </w:rPr>
      </w:pPr>
      <w:r>
        <w:rPr>
          <w:rFonts w:ascii="Times New Roman" w:eastAsia="Times New Roman" w:hAnsi="Times New Roman" w:cs="Times New Roman"/>
          <w:sz w:val="26"/>
          <w:szCs w:val="26"/>
        </w:rPr>
        <w:t>(D.N.J. 1984)…………………………………………...………………………………..7,9</w:t>
      </w:r>
    </w:p>
    <w:p w14:paraId="00000064" w14:textId="77777777" w:rsidR="007C39CF" w:rsidRDefault="007C39CF">
      <w:pPr>
        <w:spacing w:line="240" w:lineRule="auto"/>
        <w:jc w:val="both"/>
        <w:rPr>
          <w:rFonts w:ascii="Times New Roman" w:eastAsia="Times New Roman" w:hAnsi="Times New Roman" w:cs="Times New Roman"/>
          <w:b/>
          <w:bCs/>
          <w:sz w:val="26"/>
          <w:szCs w:val="26"/>
        </w:rPr>
      </w:pPr>
    </w:p>
    <w:p w14:paraId="00000065" w14:textId="77777777" w:rsidR="007C39CF" w:rsidRDefault="00335CC5">
      <w:pPr>
        <w:spacing w:after="200" w:line="259" w:lineRule="auto"/>
        <w:jc w:val="both"/>
        <w:rPr>
          <w:rFonts w:ascii="Times New Roman" w:eastAsia="Times New Roman" w:hAnsi="Times New Roman" w:cs="Times New Roman"/>
          <w:i/>
          <w:iCs/>
          <w:sz w:val="26"/>
          <w:szCs w:val="26"/>
        </w:rPr>
      </w:pPr>
      <w:r>
        <w:rPr>
          <w:rFonts w:ascii="Times New Roman" w:eastAsia="Times New Roman" w:hAnsi="Times New Roman" w:cs="Times New Roman"/>
          <w:b/>
          <w:bCs/>
          <w:sz w:val="26"/>
          <w:szCs w:val="26"/>
        </w:rPr>
        <w:t>State Court Cases</w:t>
      </w:r>
    </w:p>
    <w:p w14:paraId="00000066" w14:textId="77777777" w:rsidR="007C39CF" w:rsidRDefault="00335CC5">
      <w:pPr>
        <w:spacing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Bloxham v. State</w:t>
      </w:r>
      <w:r>
        <w:rPr>
          <w:rFonts w:ascii="Times New Roman" w:eastAsia="Times New Roman" w:hAnsi="Times New Roman" w:cs="Times New Roman"/>
          <w:sz w:val="26"/>
          <w:szCs w:val="26"/>
        </w:rPr>
        <w:t xml:space="preserve">, 702 S.W.3d 732 </w:t>
      </w:r>
    </w:p>
    <w:p w14:paraId="00000067" w14:textId="77777777" w:rsidR="007C39CF" w:rsidRDefault="00335CC5">
      <w:pPr>
        <w:spacing w:line="259"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(Tex. App. 2024).............................................…………………….………………10,11,12</w:t>
      </w:r>
    </w:p>
    <w:p w14:paraId="00000068" w14:textId="77777777" w:rsidR="007C39CF" w:rsidRDefault="007C39CF">
      <w:pPr>
        <w:spacing w:line="259" w:lineRule="auto"/>
        <w:jc w:val="both"/>
        <w:rPr>
          <w:rFonts w:ascii="Times New Roman" w:eastAsia="Times New Roman" w:hAnsi="Times New Roman" w:cs="Times New Roman"/>
          <w:sz w:val="26"/>
          <w:szCs w:val="26"/>
        </w:rPr>
      </w:pPr>
    </w:p>
    <w:p w14:paraId="00000069" w14:textId="77777777" w:rsidR="007C39CF" w:rsidRDefault="00335CC5">
      <w:pPr>
        <w:spacing w:after="200" w:line="259"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U.S Court of Appeals for Armed Forces</w:t>
      </w:r>
    </w:p>
    <w:p w14:paraId="0000006A" w14:textId="77777777" w:rsidR="007C39CF" w:rsidRDefault="00335CC5">
      <w:pPr>
        <w:spacing w:before="200" w:line="259"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U.S. v. Mapes,</w:t>
      </w:r>
      <w:r>
        <w:rPr>
          <w:rFonts w:ascii="Times New Roman" w:eastAsia="Times New Roman" w:hAnsi="Times New Roman" w:cs="Times New Roman"/>
          <w:sz w:val="26"/>
          <w:szCs w:val="26"/>
        </w:rPr>
        <w:t xml:space="preserve"> 59 M.J. 60 (App. Armed Forces 2012).....................……………………………………………………………………...7,8</w:t>
      </w:r>
    </w:p>
    <w:p w14:paraId="0000006B" w14:textId="77777777" w:rsidR="007C39CF" w:rsidRDefault="00335CC5">
      <w:pPr>
        <w:spacing w:before="200" w:line="259"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Morrissette,</w:t>
      </w:r>
      <w:r>
        <w:rPr>
          <w:rFonts w:ascii="Times New Roman" w:eastAsia="Times New Roman" w:hAnsi="Times New Roman" w:cs="Times New Roman"/>
          <w:sz w:val="26"/>
          <w:szCs w:val="26"/>
        </w:rPr>
        <w:t xml:space="preserve"> 70 M.J. 431 </w:t>
      </w:r>
    </w:p>
    <w:p w14:paraId="0000006C" w14:textId="77777777" w:rsidR="007C39CF" w:rsidRDefault="00335CC5">
      <w:pPr>
        <w:spacing w:line="259"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(App. Armed Forces 2012)...................…………………………………………………...6</w:t>
      </w:r>
    </w:p>
    <w:p w14:paraId="0000006D" w14:textId="77777777" w:rsidR="007C39CF" w:rsidRDefault="007C39CF">
      <w:pPr>
        <w:spacing w:line="240" w:lineRule="auto"/>
        <w:jc w:val="both"/>
        <w:rPr>
          <w:rFonts w:ascii="Times New Roman" w:eastAsia="Times New Roman" w:hAnsi="Times New Roman" w:cs="Times New Roman"/>
          <w:sz w:val="26"/>
          <w:szCs w:val="26"/>
        </w:rPr>
      </w:pPr>
    </w:p>
    <w:p w14:paraId="0000006E" w14:textId="77777777" w:rsidR="007C39CF" w:rsidRDefault="007C39CF">
      <w:pPr>
        <w:spacing w:line="259" w:lineRule="auto"/>
        <w:jc w:val="both"/>
        <w:rPr>
          <w:rFonts w:ascii="Times New Roman" w:eastAsia="Times New Roman" w:hAnsi="Times New Roman" w:cs="Times New Roman"/>
          <w:sz w:val="26"/>
          <w:szCs w:val="26"/>
        </w:rPr>
      </w:pPr>
    </w:p>
    <w:p w14:paraId="0000006F" w14:textId="77777777" w:rsidR="007C39CF" w:rsidRDefault="007C39CF">
      <w:pPr>
        <w:spacing w:line="259" w:lineRule="auto"/>
        <w:jc w:val="both"/>
        <w:rPr>
          <w:rFonts w:ascii="Times New Roman" w:eastAsia="Times New Roman" w:hAnsi="Times New Roman" w:cs="Times New Roman"/>
          <w:sz w:val="26"/>
          <w:szCs w:val="26"/>
          <w:highlight w:val="magenta"/>
        </w:rPr>
      </w:pPr>
    </w:p>
    <w:p w14:paraId="00000070" w14:textId="77777777" w:rsidR="007C39CF" w:rsidRDefault="007C39CF">
      <w:pPr>
        <w:spacing w:line="240" w:lineRule="auto"/>
        <w:jc w:val="both"/>
        <w:rPr>
          <w:rFonts w:ascii="Times New Roman" w:eastAsia="Times New Roman" w:hAnsi="Times New Roman" w:cs="Times New Roman"/>
          <w:sz w:val="26"/>
          <w:szCs w:val="26"/>
        </w:rPr>
      </w:pPr>
    </w:p>
    <w:p w14:paraId="00000071" w14:textId="77777777" w:rsidR="007C39CF" w:rsidRDefault="007C39CF">
      <w:pPr>
        <w:spacing w:line="259" w:lineRule="auto"/>
        <w:jc w:val="both"/>
        <w:rPr>
          <w:rFonts w:ascii="Times New Roman" w:eastAsia="Times New Roman" w:hAnsi="Times New Roman" w:cs="Times New Roman"/>
          <w:sz w:val="26"/>
          <w:szCs w:val="26"/>
        </w:rPr>
      </w:pPr>
    </w:p>
    <w:p w14:paraId="00000072" w14:textId="77777777" w:rsidR="007C39CF" w:rsidRDefault="007C39CF">
      <w:pPr>
        <w:spacing w:line="259" w:lineRule="auto"/>
        <w:rPr>
          <w:rFonts w:ascii="Times New Roman" w:eastAsia="Times New Roman" w:hAnsi="Times New Roman" w:cs="Times New Roman"/>
          <w:sz w:val="26"/>
          <w:szCs w:val="26"/>
        </w:rPr>
      </w:pPr>
    </w:p>
    <w:p w14:paraId="00000073" w14:textId="77777777" w:rsidR="007C39CF" w:rsidRDefault="007C39CF">
      <w:pPr>
        <w:spacing w:line="240" w:lineRule="auto"/>
        <w:jc w:val="both"/>
        <w:rPr>
          <w:rFonts w:ascii="Times New Roman" w:eastAsia="Times New Roman" w:hAnsi="Times New Roman" w:cs="Times New Roman"/>
          <w:sz w:val="26"/>
          <w:szCs w:val="26"/>
        </w:rPr>
        <w:sectPr w:rsidR="007C39CF">
          <w:pgSz w:w="12240" w:h="15840"/>
          <w:pgMar w:top="1440" w:right="1440" w:bottom="1440" w:left="1440" w:header="720" w:footer="720" w:gutter="0"/>
          <w:pgNumType w:start="1"/>
          <w:cols w:space="720"/>
        </w:sectPr>
      </w:pPr>
    </w:p>
    <w:p w14:paraId="00000074" w14:textId="77777777" w:rsidR="007C39CF" w:rsidRDefault="00335CC5">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INTRODUCTION</w:t>
      </w:r>
    </w:p>
    <w:p w14:paraId="00000075"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This Court should grant Defendant’s Motion to Suppress and Motion to Quash due to the violations of her Court-ordered immunity and right to protect her defense strategy. </w:t>
      </w:r>
    </w:p>
    <w:p w14:paraId="00000076"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 2013, Defendant Emily Calloway (“Calloway”) assumed management of the Silver Palms Resort (“the Resort”), her long-standing family business in Gulf Haven. A decade later, the Resort fell subject to a money laundering investigation by the United States Attorneys’ Office. Unable to progress against the Resort after nearly a year-long investigation, the U.S. Attorney compelled Calloway to testify. In exchange for her testimony, Calloway received use and derivative-use immunity. Eleven months after Calloway </w:t>
      </w:r>
      <w:r>
        <w:rPr>
          <w:rFonts w:ascii="Times New Roman" w:eastAsia="Times New Roman" w:hAnsi="Times New Roman" w:cs="Times New Roman"/>
          <w:sz w:val="26"/>
          <w:szCs w:val="26"/>
        </w:rPr>
        <w:t xml:space="preserve">testified, the Government charged her with conspiracy in the same alleged money laundering scheme for which she was compelled to testify. </w:t>
      </w:r>
    </w:p>
    <w:p w14:paraId="00000077"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 addition to relying on information disclosed in Calloway’s immunized testimony, the Government also attempted to subpoena information protected under work-product privileges. Calloway now moves to suppress immunized evidence and to quash the unreasonable and oppressive subpoena under 18 U.S.C.A. § 6002 and § 6003. </w:t>
      </w:r>
    </w:p>
    <w:p w14:paraId="00000078"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As to the Motion to Suppress, the Court asks whether the Government obtained evidence in violation of court ordered immunity. Under </w:t>
      </w:r>
      <w:r>
        <w:rPr>
          <w:rFonts w:ascii="Times New Roman" w:eastAsia="Times New Roman" w:hAnsi="Times New Roman" w:cs="Times New Roman"/>
          <w:i/>
          <w:iCs/>
          <w:sz w:val="26"/>
          <w:szCs w:val="26"/>
        </w:rPr>
        <w:t>Kastigar v. United States</w:t>
      </w:r>
      <w:r>
        <w:rPr>
          <w:rFonts w:ascii="Times New Roman" w:eastAsia="Times New Roman" w:hAnsi="Times New Roman" w:cs="Times New Roman"/>
          <w:sz w:val="26"/>
          <w:szCs w:val="26"/>
        </w:rPr>
        <w:t>, 406 U.S. 441, 447 (1972), a defendant’s compelled testimony may receive immunity from improper use by the prosecution in a later investigation. Here, the Government violated Calloway’s immunity when it failed to implement a proper “wall-off” protocol and acquire independently-sourced evidence. Until Calloway–under immunity–testified, the Government lacked the necessary investigatory leads to advance Calloway’s prosecution.</w:t>
      </w:r>
    </w:p>
    <w:p w14:paraId="00000079"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As to the Motion to Quash, the Court asks whether the interview records of Sierra Seton are protected under the work-product privilege. Here, the Government violated Calloway’s privacy through an unreasonable subpoena duces tecum for work conducted by her private investigator. Crucially, the Government cannot establish discoverability of the subpoenaed memorandum because it is a protected work-product. </w:t>
      </w:r>
    </w:p>
    <w:p w14:paraId="0000007A"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Because the circumstances clearly establish that Calloway did not receive protection for her immunized testimony nor Armana’s work-product, Defendant respectfully requests this Court grant the Motion to Suppress Evidence and Motion to Quash Subpoena. </w:t>
      </w:r>
    </w:p>
    <w:p w14:paraId="0000007B" w14:textId="77777777" w:rsidR="007C39CF" w:rsidRDefault="00335CC5">
      <w:pPr>
        <w:spacing w:after="20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STATEMENT OF FACTS </w:t>
      </w:r>
    </w:p>
    <w:p w14:paraId="0000007C" w14:textId="77777777" w:rsidR="007C39CF" w:rsidRDefault="00335CC5">
      <w:pPr>
        <w:pStyle w:val="Heading1"/>
        <w:keepNext w:val="0"/>
        <w:keepLines w:val="0"/>
        <w:spacing w:before="0" w:after="200" w:line="480" w:lineRule="auto"/>
        <w:ind w:firstLine="720"/>
        <w:jc w:val="both"/>
        <w:rPr>
          <w:rFonts w:ascii="Times New Roman" w:eastAsia="Times New Roman" w:hAnsi="Times New Roman" w:cs="Times New Roman"/>
          <w:sz w:val="26"/>
          <w:szCs w:val="26"/>
        </w:rPr>
      </w:pPr>
      <w:bookmarkStart w:id="0" w:name="_5j3iugl5mheb" w:colFirst="0" w:colLast="0"/>
      <w:bookmarkEnd w:id="0"/>
      <w:r>
        <w:rPr>
          <w:rFonts w:ascii="Times New Roman" w:eastAsia="Times New Roman" w:hAnsi="Times New Roman" w:cs="Times New Roman"/>
          <w:sz w:val="26"/>
          <w:szCs w:val="26"/>
        </w:rPr>
        <w:t>On September 23, 2025, Defendant was indicted by a grand jury for one count of Killing of a Witness and one count of Money Laundering Conspiracy. Defendant faces these charges after months of failed governmental investigations and the murder of Defendant’s employee that occurred December 9, 2023.</w:t>
      </w:r>
    </w:p>
    <w:p w14:paraId="0000007D" w14:textId="77777777" w:rsidR="007C39CF" w:rsidRDefault="00335CC5">
      <w:pPr>
        <w:pStyle w:val="Heading1"/>
        <w:keepNext w:val="0"/>
        <w:keepLines w:val="0"/>
        <w:spacing w:before="0" w:after="0" w:line="480" w:lineRule="auto"/>
        <w:jc w:val="both"/>
        <w:rPr>
          <w:rFonts w:ascii="Times New Roman" w:eastAsia="Times New Roman" w:hAnsi="Times New Roman" w:cs="Times New Roman"/>
          <w:b/>
          <w:bCs/>
          <w:i/>
          <w:iCs/>
          <w:sz w:val="26"/>
          <w:szCs w:val="26"/>
        </w:rPr>
      </w:pPr>
      <w:bookmarkStart w:id="1" w:name="_ju113uqlvseh" w:colFirst="0" w:colLast="0"/>
      <w:bookmarkEnd w:id="1"/>
      <w:r>
        <w:rPr>
          <w:rFonts w:ascii="Times New Roman" w:eastAsia="Times New Roman" w:hAnsi="Times New Roman" w:cs="Times New Roman"/>
          <w:b/>
          <w:bCs/>
          <w:i/>
          <w:iCs/>
          <w:sz w:val="26"/>
          <w:szCs w:val="26"/>
        </w:rPr>
        <w:t>The Family Resort.</w:t>
      </w:r>
    </w:p>
    <w:p w14:paraId="0000007E" w14:textId="77777777" w:rsidR="007C39CF" w:rsidRDefault="00335CC5">
      <w:pPr>
        <w:pStyle w:val="Heading1"/>
        <w:keepNext w:val="0"/>
        <w:keepLines w:val="0"/>
        <w:spacing w:before="0" w:after="0" w:line="480" w:lineRule="auto"/>
        <w:ind w:firstLine="720"/>
        <w:jc w:val="both"/>
        <w:rPr>
          <w:rFonts w:ascii="Times New Roman" w:eastAsia="Times New Roman" w:hAnsi="Times New Roman" w:cs="Times New Roman"/>
          <w:sz w:val="26"/>
          <w:szCs w:val="26"/>
        </w:rPr>
      </w:pPr>
      <w:bookmarkStart w:id="2" w:name="_1n4swnqv80sz" w:colFirst="0" w:colLast="0"/>
      <w:bookmarkEnd w:id="2"/>
      <w:r>
        <w:rPr>
          <w:rFonts w:ascii="Times New Roman" w:eastAsia="Times New Roman" w:hAnsi="Times New Roman" w:cs="Times New Roman"/>
          <w:sz w:val="26"/>
          <w:szCs w:val="26"/>
        </w:rPr>
        <w:t xml:space="preserve">Since 1926, the Calloways have owned Silver Palms, Gulf Haven’s historic beachfront resort. Sinclair Dep. 8:32-38. Boasting luxury accommodations, the Resort attracted countless tourists.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This legacy continued when Calloway inherited the Resort in 2013. Sinclair Dep. 9:53-54; Parker Dep. 35:63-64.. </w:t>
      </w:r>
    </w:p>
    <w:p w14:paraId="0000007F" w14:textId="77777777" w:rsidR="007C39CF" w:rsidRDefault="00335CC5">
      <w:pPr>
        <w:pStyle w:val="Heading1"/>
        <w:keepNext w:val="0"/>
        <w:keepLines w:val="0"/>
        <w:spacing w:before="0" w:after="0" w:line="480" w:lineRule="auto"/>
        <w:ind w:firstLine="720"/>
        <w:jc w:val="both"/>
        <w:rPr>
          <w:rFonts w:ascii="Times New Roman" w:eastAsia="Times New Roman" w:hAnsi="Times New Roman" w:cs="Times New Roman"/>
          <w:sz w:val="26"/>
          <w:szCs w:val="26"/>
        </w:rPr>
      </w:pPr>
      <w:bookmarkStart w:id="3" w:name="_sj12xretfj2" w:colFirst="0" w:colLast="0"/>
      <w:bookmarkEnd w:id="3"/>
      <w:r>
        <w:rPr>
          <w:rFonts w:ascii="Times New Roman" w:eastAsia="Times New Roman" w:hAnsi="Times New Roman" w:cs="Times New Roman"/>
          <w:sz w:val="26"/>
          <w:szCs w:val="26"/>
        </w:rPr>
        <w:t xml:space="preserve">In efforts to grow the Resort, in 2018 Calloway partnered with Saint Donovan (“Donovan”), a Gulf Haven native with advising experience. Sinclair Dep. 9:64-67. As her </w:t>
      </w:r>
      <w:r>
        <w:rPr>
          <w:rFonts w:ascii="Times New Roman" w:eastAsia="Times New Roman" w:hAnsi="Times New Roman" w:cs="Times New Roman"/>
          <w:sz w:val="26"/>
          <w:szCs w:val="26"/>
        </w:rPr>
        <w:lastRenderedPageBreak/>
        <w:t xml:space="preserve">business partner, Donovan managed the Resort’s financial branch so Calloway could focus on company growth and publicity. Sinclair Dep. 10:86-87. </w:t>
      </w:r>
    </w:p>
    <w:p w14:paraId="00000080" w14:textId="77777777" w:rsidR="007C39CF" w:rsidRDefault="00335CC5">
      <w:pPr>
        <w:pStyle w:val="Heading1"/>
        <w:keepNext w:val="0"/>
        <w:keepLines w:val="0"/>
        <w:spacing w:before="0" w:after="0" w:line="480" w:lineRule="auto"/>
        <w:jc w:val="both"/>
        <w:rPr>
          <w:rFonts w:ascii="Times New Roman" w:eastAsia="Times New Roman" w:hAnsi="Times New Roman" w:cs="Times New Roman"/>
          <w:b/>
          <w:bCs/>
          <w:sz w:val="26"/>
          <w:szCs w:val="26"/>
        </w:rPr>
      </w:pPr>
      <w:bookmarkStart w:id="4" w:name="_xg530smr4y1o" w:colFirst="0" w:colLast="0"/>
      <w:bookmarkEnd w:id="4"/>
      <w:r>
        <w:rPr>
          <w:rFonts w:ascii="Times New Roman" w:eastAsia="Times New Roman" w:hAnsi="Times New Roman" w:cs="Times New Roman"/>
          <w:b/>
          <w:bCs/>
          <w:i/>
          <w:iCs/>
          <w:sz w:val="26"/>
          <w:szCs w:val="26"/>
        </w:rPr>
        <w:t xml:space="preserve">Daniel Blake Reaches out to Authorities. </w:t>
      </w:r>
    </w:p>
    <w:p w14:paraId="00000081"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Daniel Blake (“Blake”) joined the Resort as an accountant in January 2023. Sinclair Dep. 10: 95. While still new to the company, Blake had concerns about suspicious payments made from the Resort to Emerald, a company controlled solely by Donovan. Sinclair Dep. 12: 162-63; 10:103-05. Blake brought his concerns to Calloway, who advised him to continue work as usual. Sinclair Dep. 12: 190-94. </w:t>
      </w:r>
    </w:p>
    <w:p w14:paraId="00000082"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After Blake reported his concerns to local law enforcement, AUSA Sinclair (“Sinclair”) undertook a months-long investigation that traced payment histories to specific owners but found no connection to the Resort or Calloway. Sinclair Dep. 16: 341-44. </w:t>
      </w:r>
    </w:p>
    <w:p w14:paraId="00000083"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Against Calloway’s orders, Blake continued searching for connections and on December 9, 2023, he called Sinclair about a “missing piece.” Sinclair Dep. 13:208-10. </w:t>
      </w:r>
    </w:p>
    <w:p w14:paraId="00000084" w14:textId="77777777" w:rsidR="007C39CF" w:rsidRDefault="00335CC5">
      <w:pPr>
        <w:spacing w:line="480" w:lineRule="auto"/>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The Murder.</w:t>
      </w:r>
    </w:p>
    <w:p w14:paraId="00000085"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On December 10, 2023, longtime employee Kennedy Parker (“Parker”) overheard a conversation between Blake and Calloway at the Resort’s annual Christmas party. Parker Dep. 38:187-88. Blake pressed Calloway about “a problem with the payments” and threatened to give her  "one last chance to do the right thing."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Calloway reassured Blake that his suspicions were mistaken. Parker Dep. 38:189. Calloway resumed the night in her normal role, working the floor, offering toasts, and chatting with everyone. Ex. 7; Parker Dep. 38:167-169. </w:t>
      </w:r>
    </w:p>
    <w:p w14:paraId="00000086"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Blake was found dead in his office on December 12, 2023. Sinclair Dep. 13: 216-17. Through surveillance, authorities found a suspect who received a check from Donovan and confessed that Donovan hired him to kill Blake. Sinclair Dep. 15: 274-76. Donovan was arrested January 26, 2024, but refused to answer any questions. Sinclair Dep. 15: 276-83.</w:t>
      </w:r>
    </w:p>
    <w:p w14:paraId="00000087" w14:textId="77777777" w:rsidR="007C39CF" w:rsidRDefault="00335CC5">
      <w:pPr>
        <w:spacing w:line="480" w:lineRule="auto"/>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The Defense's Independent Investigation.</w:t>
      </w:r>
    </w:p>
    <w:p w14:paraId="00000088"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Anticipating the Government’s pursuit of Calloway, her attorneys retained private investigator Maddox Armana (“Armana”) to work as an extension of the legal time and help them understand the Resort’s business structure. Armana Dep. 43:35-38; 44:39-47. After months of tracking, Armana found and interviewed Coastal’s former manager Sierra Seton (“Seton”). Armana Dep. 43:51-53; 43:73-76. Seton explained how Coastal worked while Armana wrote down Seton’s words, his internal thoughts, questions, and theories. Ar</w:t>
      </w:r>
      <w:r>
        <w:rPr>
          <w:rFonts w:ascii="Times New Roman" w:eastAsia="Times New Roman" w:hAnsi="Times New Roman" w:cs="Times New Roman"/>
          <w:sz w:val="26"/>
          <w:szCs w:val="26"/>
        </w:rPr>
        <w:t xml:space="preserve">mana Dep. 46:121-24; 46:140-43. </w:t>
      </w:r>
    </w:p>
    <w:p w14:paraId="00000089" w14:textId="77777777" w:rsidR="007C39CF" w:rsidRDefault="00335CC5">
      <w:pPr>
        <w:spacing w:line="480" w:lineRule="auto"/>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The “Wall-Off.”</w:t>
      </w:r>
    </w:p>
    <w:p w14:paraId="0000008A"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After Blake’s murder, Sinclair and his lifelong friend, FBI Special Agent Bryce Nolan (“Nolan”) reunited to lead the Resort investigation. Sinclair Dep. 13:226-28. Scrambling to fill evidentiary gaps, Sinclair and Nolan compelled Calloway’s testimony against Donovan with a subpoena. Sinclair Dep. 21:514-19; 532-34. Because she was compelled, Calloway received immunity protections against use and derivative use of her testimony. Ex. 12. </w:t>
      </w:r>
    </w:p>
    <w:p w14:paraId="0000008B"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 response to Calloway’s immunity grant, the Government attempted to institute a “wall-off” system by separating the investigation into two teams: Sinclair for Donovan and </w:t>
      </w:r>
      <w:r>
        <w:rPr>
          <w:rFonts w:ascii="Times New Roman" w:eastAsia="Times New Roman" w:hAnsi="Times New Roman" w:cs="Times New Roman"/>
          <w:sz w:val="26"/>
          <w:szCs w:val="26"/>
        </w:rPr>
        <w:lastRenderedPageBreak/>
        <w:t xml:space="preserve">Nolan for Calloway. Nolan Dep. 28:173-75. Both prosecutors failed to responsibly handle evidence after the wall-off, resuming casual contact on multiple occasions. Sinclair Dep. 22: 580-86. </w:t>
      </w:r>
    </w:p>
    <w:p w14:paraId="0000008C"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Meanwhile, Calloway testified in open court, and her statements appeared on the local news and front pages for weeks. Sinclair Dep. 23:592-99. Through this process, the Government had no formal wall-off protocol beyond a memorandum. Nolan Dep. 29:216-17. Instead, the Government “insulated” through labeled notes and the expectation that prosecutors would “know immediately to put down” any materials for the other side to maintain the wall-off. Nolan Dep. 30: 236-41. </w:t>
      </w:r>
    </w:p>
    <w:p w14:paraId="0000008D" w14:textId="77777777" w:rsidR="007C39CF" w:rsidRDefault="00335CC5">
      <w:pPr>
        <w:spacing w:line="480" w:lineRule="auto"/>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 xml:space="preserve">The Government’s Only Link to Calloway. </w:t>
      </w:r>
    </w:p>
    <w:p w14:paraId="0000008E"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Prior to the Order to Compel, no one on Team Calloway spoke to Parker or considered her a relevant witness. Nolan Dep. 33:372-74. Only after Calloway's testimony–where she mentioned Parker–did Nolan re-rank his interview list to prioritize Parker. Ex. 10; Ex. 17. Although he did not date it, Nolan felt “sure he wrote [the list] before Ms. Calloway's testimony.” Nolan Dep. 30:275-76; 307-309. Nolan did not interview Parker until October 31st. </w:t>
      </w:r>
    </w:p>
    <w:p w14:paraId="0000008F"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During the interview, Parker disclosed that Calloway asked her to move a "Coastal" file box to an off-site storage unit. Nolan Dep. 32:334-41. Though this information proved crucial, the Government admitted no knowledge of the storage unit before Parker’s interview. Nolan Dep. 32: 346-48.</w:t>
      </w:r>
    </w:p>
    <w:p w14:paraId="00000090"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Acting on Parker’s disclosure, investigators searched the unit and recovered a banking record identifying Calloway as the owner of a banking account connected to </w:t>
      </w:r>
      <w:r>
        <w:rPr>
          <w:rFonts w:ascii="Times New Roman" w:eastAsia="Times New Roman" w:hAnsi="Times New Roman" w:cs="Times New Roman"/>
          <w:sz w:val="26"/>
          <w:szCs w:val="26"/>
        </w:rPr>
        <w:lastRenderedPageBreak/>
        <w:t>Coastal. Nolan Dep. 33:355-60. Only after this discovery was Calloway prosecuted and indicted by a grand jury for homicide and money laundering. Nolan Dep. 33: 376-79.</w:t>
      </w:r>
    </w:p>
    <w:p w14:paraId="00000091" w14:textId="77777777" w:rsidR="007C39CF" w:rsidRDefault="00335CC5">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ARGUMENT</w:t>
      </w:r>
      <w:r>
        <w:rPr>
          <w:rFonts w:ascii="Times New Roman" w:eastAsia="Times New Roman" w:hAnsi="Times New Roman" w:cs="Times New Roman"/>
          <w:sz w:val="26"/>
          <w:szCs w:val="26"/>
        </w:rPr>
        <w:t xml:space="preserve"> </w:t>
      </w:r>
    </w:p>
    <w:p w14:paraId="00000092" w14:textId="77777777" w:rsidR="007C39CF" w:rsidRDefault="007C39CF">
      <w:pPr>
        <w:jc w:val="center"/>
        <w:rPr>
          <w:rFonts w:ascii="Times New Roman" w:eastAsia="Times New Roman" w:hAnsi="Times New Roman" w:cs="Times New Roman"/>
          <w:sz w:val="26"/>
          <w:szCs w:val="26"/>
        </w:rPr>
      </w:pPr>
    </w:p>
    <w:p w14:paraId="00000093" w14:textId="77777777" w:rsidR="007C39CF" w:rsidRDefault="00335CC5">
      <w:pPr>
        <w:numPr>
          <w:ilvl w:val="0"/>
          <w:numId w:val="3"/>
        </w:numPr>
        <w:spacing w:after="20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This Court should grant Calloway’s Motion to Suppress because the Government cannot satisfy the </w:t>
      </w:r>
      <w:r>
        <w:rPr>
          <w:rFonts w:ascii="Times New Roman" w:eastAsia="Times New Roman" w:hAnsi="Times New Roman" w:cs="Times New Roman"/>
          <w:b/>
          <w:bCs/>
          <w:i/>
          <w:iCs/>
          <w:sz w:val="26"/>
          <w:szCs w:val="26"/>
        </w:rPr>
        <w:t>Kastigar</w:t>
      </w:r>
      <w:r>
        <w:rPr>
          <w:rFonts w:ascii="Times New Roman" w:eastAsia="Times New Roman" w:hAnsi="Times New Roman" w:cs="Times New Roman"/>
          <w:b/>
          <w:bCs/>
          <w:sz w:val="26"/>
          <w:szCs w:val="26"/>
        </w:rPr>
        <w:t xml:space="preserve"> burden to insulate the investigation and gather evidence through independent sources. </w:t>
      </w:r>
    </w:p>
    <w:p w14:paraId="00000094"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Because the Government failed to enable a wall-off protocol and acquire untainted evidence, it fails under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and Defendant’s Motion to Suppress should be granted. Immunity statutes have “become a part of our Constitutional fabric.” </w:t>
      </w:r>
      <w:r>
        <w:rPr>
          <w:rFonts w:ascii="Times New Roman" w:eastAsia="Times New Roman" w:hAnsi="Times New Roman" w:cs="Times New Roman"/>
          <w:i/>
          <w:iCs/>
          <w:sz w:val="26"/>
          <w:szCs w:val="26"/>
        </w:rPr>
        <w:t>Kastigar v. U.S.</w:t>
      </w:r>
      <w:r>
        <w:rPr>
          <w:rFonts w:ascii="Times New Roman" w:eastAsia="Times New Roman" w:hAnsi="Times New Roman" w:cs="Times New Roman"/>
          <w:sz w:val="26"/>
          <w:szCs w:val="26"/>
        </w:rPr>
        <w:t>, 406 U.S. 441, 447 (1972) (</w:t>
      </w:r>
      <w:r>
        <w:rPr>
          <w:rFonts w:ascii="Times New Roman" w:eastAsia="Times New Roman" w:hAnsi="Times New Roman" w:cs="Times New Roman"/>
          <w:i/>
          <w:iCs/>
          <w:sz w:val="26"/>
          <w:szCs w:val="26"/>
        </w:rPr>
        <w:t>quoting Ullman v. U.S.</w:t>
      </w:r>
      <w:r>
        <w:rPr>
          <w:rFonts w:ascii="Times New Roman" w:eastAsia="Times New Roman" w:hAnsi="Times New Roman" w:cs="Times New Roman"/>
          <w:sz w:val="26"/>
          <w:szCs w:val="26"/>
        </w:rPr>
        <w:t xml:space="preserve">, 350 U.S. 422 (1956)). Such protections guard against improper use of disclosures “which the witness reasonably believes” could assist with a criminal prosecution.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445. The burden placed on the prosecution is indisputably “heavy[.]” </w:t>
      </w:r>
      <w:r>
        <w:rPr>
          <w:rFonts w:ascii="Times New Roman" w:eastAsia="Times New Roman" w:hAnsi="Times New Roman" w:cs="Times New Roman"/>
          <w:i/>
          <w:iCs/>
          <w:sz w:val="26"/>
          <w:szCs w:val="26"/>
        </w:rPr>
        <w:t>Kastigar v. U.S.</w:t>
      </w:r>
      <w:r>
        <w:rPr>
          <w:rFonts w:ascii="Times New Roman" w:eastAsia="Times New Roman" w:hAnsi="Times New Roman" w:cs="Times New Roman"/>
          <w:sz w:val="26"/>
          <w:szCs w:val="26"/>
        </w:rPr>
        <w:t xml:space="preserve">, 406 U.S. 441, 461 (1972). If prosecutors have access to the immunized testimony, they retain an affirmative duty to prove their evidence stems from “wholly independent and legitimate sources.” </w:t>
      </w:r>
      <w:r>
        <w:rPr>
          <w:rFonts w:ascii="Times New Roman" w:eastAsia="Times New Roman" w:hAnsi="Times New Roman" w:cs="Times New Roman"/>
          <w:i/>
          <w:iCs/>
          <w:sz w:val="26"/>
          <w:szCs w:val="26"/>
        </w:rPr>
        <w:t>U.S. v. Morrissette,</w:t>
      </w:r>
      <w:r>
        <w:rPr>
          <w:rFonts w:ascii="Times New Roman" w:eastAsia="Times New Roman" w:hAnsi="Times New Roman" w:cs="Times New Roman"/>
          <w:sz w:val="26"/>
          <w:szCs w:val="26"/>
        </w:rPr>
        <w:t xml:space="preserve"> 70 M.J. 431 (App. Armed Forces 2012). Because the Government failed to meet its heavy burden, this Court should grant the Defendant’s Motion to Suppress. </w:t>
      </w:r>
    </w:p>
    <w:p w14:paraId="00000095"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Despite Calloway’s testimonial immunity, the Government lacked an effective “wall-off” protocol to protect Calloway’s statements. The “wall-off” separated the investigation into the “Donovan” and “Calloway” teams but the Calloway team did not maintain clear, properly labeled records of its findings.  Specifically, evidence derived from Parker’s testimony did not result from expected progress in the investigation. Until </w:t>
      </w:r>
      <w:r>
        <w:rPr>
          <w:rFonts w:ascii="Times New Roman" w:eastAsia="Times New Roman" w:hAnsi="Times New Roman" w:cs="Times New Roman"/>
          <w:sz w:val="26"/>
          <w:szCs w:val="26"/>
        </w:rPr>
        <w:lastRenderedPageBreak/>
        <w:t xml:space="preserve">Calloway testified, the Calloway team failed to acquire important leads to prosecute her. All presented records, absent avoidance of taint and independently sourced evidence, demonstrate that the Government cannot satisfy its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burden and the Motion to Suppress should be granted.  </w:t>
      </w:r>
    </w:p>
    <w:p w14:paraId="00000096" w14:textId="77777777" w:rsidR="007C39CF" w:rsidRDefault="00335CC5">
      <w:pPr>
        <w:numPr>
          <w:ilvl w:val="0"/>
          <w:numId w:val="7"/>
        </w:numPr>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By failing to implement a true “wall of separation,” the Government obtained evidence derived from exposure to Calloway’s immunized testimony. </w:t>
      </w:r>
    </w:p>
    <w:p w14:paraId="00000097" w14:textId="77777777" w:rsidR="007C39CF" w:rsidRDefault="00335CC5">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p>
    <w:p w14:paraId="00000098"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Due to the Government’s failure to adequately implement a wall-off protocol, Nolan did not prevent exposure to Calloway’s immunized testimony and this Court should grant Defendant’s Motion to Suppress. Numerous courts reject the notion that a “Chinese wall” alone suffices to “negate the possibility of taint.” </w:t>
      </w:r>
      <w:r>
        <w:rPr>
          <w:rFonts w:ascii="Times New Roman" w:eastAsia="Times New Roman" w:hAnsi="Times New Roman" w:cs="Times New Roman"/>
          <w:i/>
          <w:iCs/>
          <w:sz w:val="26"/>
          <w:szCs w:val="26"/>
        </w:rPr>
        <w:t>U.S. v. Smith</w:t>
      </w:r>
      <w:r>
        <w:rPr>
          <w:rFonts w:ascii="Times New Roman" w:eastAsia="Times New Roman" w:hAnsi="Times New Roman" w:cs="Times New Roman"/>
          <w:sz w:val="26"/>
          <w:szCs w:val="26"/>
        </w:rPr>
        <w:t xml:space="preserve">, 580 F. Supp. 1418, 1423 (D.N.J. 1984). </w:t>
      </w:r>
      <w:r>
        <w:rPr>
          <w:rFonts w:ascii="Times New Roman" w:eastAsia="Times New Roman" w:hAnsi="Times New Roman" w:cs="Times New Roman"/>
          <w:i/>
          <w:iCs/>
          <w:sz w:val="26"/>
          <w:szCs w:val="26"/>
        </w:rPr>
        <w:t>See also</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 xml:space="preserve">United States v. Nemes, </w:t>
      </w:r>
      <w:r>
        <w:rPr>
          <w:rFonts w:ascii="Times New Roman" w:eastAsia="Times New Roman" w:hAnsi="Times New Roman" w:cs="Times New Roman"/>
          <w:sz w:val="26"/>
          <w:szCs w:val="26"/>
        </w:rPr>
        <w:t xml:space="preserve">555 F.2d at 54–55; </w:t>
      </w:r>
      <w:r>
        <w:rPr>
          <w:rFonts w:ascii="Times New Roman" w:eastAsia="Times New Roman" w:hAnsi="Times New Roman" w:cs="Times New Roman"/>
          <w:i/>
          <w:iCs/>
          <w:sz w:val="26"/>
          <w:szCs w:val="26"/>
        </w:rPr>
        <w:t xml:space="preserve">United States v. Semkiw, </w:t>
      </w:r>
      <w:r>
        <w:rPr>
          <w:rFonts w:ascii="Times New Roman" w:eastAsia="Times New Roman" w:hAnsi="Times New Roman" w:cs="Times New Roman"/>
          <w:sz w:val="26"/>
          <w:szCs w:val="26"/>
        </w:rPr>
        <w:t xml:space="preserve">712 F.2d at 895. Instead, the Government must demonstrate what investigative steps established the “wall.” </w:t>
      </w:r>
      <w:r>
        <w:rPr>
          <w:rFonts w:ascii="Times New Roman" w:eastAsia="Times New Roman" w:hAnsi="Times New Roman" w:cs="Times New Roman"/>
          <w:i/>
          <w:iCs/>
          <w:sz w:val="26"/>
          <w:szCs w:val="26"/>
        </w:rPr>
        <w:t>Smith</w:t>
      </w:r>
      <w:r>
        <w:rPr>
          <w:rFonts w:ascii="Times New Roman" w:eastAsia="Times New Roman" w:hAnsi="Times New Roman" w:cs="Times New Roman"/>
          <w:sz w:val="26"/>
          <w:szCs w:val="26"/>
        </w:rPr>
        <w:t xml:space="preserve">, at 1424. Should prosecutors admit to exposure, constructing a wall between those individuals prevents “impropriety” in ensuing investigations. </w:t>
      </w:r>
      <w:r>
        <w:rPr>
          <w:rFonts w:ascii="Times New Roman" w:eastAsia="Times New Roman" w:hAnsi="Times New Roman" w:cs="Times New Roman"/>
          <w:i/>
          <w:iCs/>
          <w:sz w:val="26"/>
          <w:szCs w:val="26"/>
        </w:rPr>
        <w:t>U.S. v. Mauro</w:t>
      </w:r>
      <w:r>
        <w:rPr>
          <w:rFonts w:ascii="Times New Roman" w:eastAsia="Times New Roman" w:hAnsi="Times New Roman" w:cs="Times New Roman"/>
          <w:sz w:val="26"/>
          <w:szCs w:val="26"/>
        </w:rPr>
        <w:t xml:space="preserve">, 846 F. Supp. 245, 255 (W.D.N.Y. 1994). </w:t>
      </w:r>
    </w:p>
    <w:p w14:paraId="00000099"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 lieu of merely denying taint, the government holds the burden to affirmatively demonstrate that it successfully implemented a “Chinese Wall.” </w:t>
      </w:r>
      <w:r>
        <w:rPr>
          <w:rFonts w:ascii="Times New Roman" w:eastAsia="Times New Roman" w:hAnsi="Times New Roman" w:cs="Times New Roman"/>
          <w:i/>
          <w:iCs/>
          <w:sz w:val="26"/>
          <w:szCs w:val="26"/>
        </w:rPr>
        <w:t>U.S. v. Mapes,</w:t>
      </w:r>
      <w:r>
        <w:rPr>
          <w:rFonts w:ascii="Times New Roman" w:eastAsia="Times New Roman" w:hAnsi="Times New Roman" w:cs="Times New Roman"/>
          <w:sz w:val="26"/>
          <w:szCs w:val="26"/>
        </w:rPr>
        <w:t xml:space="preserve"> 59 M.J. 60, 67 (App. Armed Forces 2003). In </w:t>
      </w:r>
      <w:r>
        <w:rPr>
          <w:rFonts w:ascii="Times New Roman" w:eastAsia="Times New Roman" w:hAnsi="Times New Roman" w:cs="Times New Roman"/>
          <w:i/>
          <w:iCs/>
          <w:sz w:val="26"/>
          <w:szCs w:val="26"/>
        </w:rPr>
        <w:t>Mapes</w:t>
      </w:r>
      <w:r>
        <w:rPr>
          <w:rFonts w:ascii="Times New Roman" w:eastAsia="Times New Roman" w:hAnsi="Times New Roman" w:cs="Times New Roman"/>
          <w:sz w:val="26"/>
          <w:szCs w:val="26"/>
        </w:rPr>
        <w:t xml:space="preserve">, both the principal investigator and the Legal Advisor (“SJA”) knew of the immunized testimony and shared a supervisor, which the court deemed insufficient to establish a wall–even if other trial counsel lacked access.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68. Also, the government showed no efforts to “memorialize” pertinent details, and this “deficiency” the court found contrary to the government’s claim of a “wall.”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69. </w:t>
      </w:r>
      <w:r>
        <w:rPr>
          <w:rFonts w:ascii="Times New Roman" w:eastAsia="Times New Roman" w:hAnsi="Times New Roman" w:cs="Times New Roman"/>
          <w:sz w:val="26"/>
          <w:szCs w:val="26"/>
        </w:rPr>
        <w:lastRenderedPageBreak/>
        <w:t xml:space="preserve">Thus, the court dismissed all tainted sources and remanded those lacking evidence.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at 72.</w:t>
      </w:r>
    </w:p>
    <w:p w14:paraId="0000009A"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Akin to the government’s claim in </w:t>
      </w:r>
      <w:r>
        <w:rPr>
          <w:rFonts w:ascii="Times New Roman" w:eastAsia="Times New Roman" w:hAnsi="Times New Roman" w:cs="Times New Roman"/>
          <w:i/>
          <w:iCs/>
          <w:sz w:val="26"/>
          <w:szCs w:val="26"/>
        </w:rPr>
        <w:t>Mapes</w:t>
      </w:r>
      <w:r>
        <w:rPr>
          <w:rFonts w:ascii="Times New Roman" w:eastAsia="Times New Roman" w:hAnsi="Times New Roman" w:cs="Times New Roman"/>
          <w:sz w:val="26"/>
          <w:szCs w:val="26"/>
        </w:rPr>
        <w:t xml:space="preserve">, here, the Government’s affirmation of a structured “wall” holds little weight under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As for memorialization of relevant details, Sinclair clearly noted that he “can’t say” what Team Calloway did with employee records after the wall. And Nolan could not provide a date for the employee roster–only that he felt “sure” he wrote it before the protocol. Despite Nolan’s assertion that he maintained a “clear line” of division, one written note labeled “team Calloway” does not suffice to prove a wall.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reads clearly: the burden entails more than a “negation of taint.” 406 U.S. at 460. </w:t>
      </w:r>
    </w:p>
    <w:p w14:paraId="0000009B"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Likelihood of contact between prosecutorial teams may indicate whether tainted evidence derives from immunized testimony. </w:t>
      </w:r>
      <w:r>
        <w:rPr>
          <w:rFonts w:ascii="Times New Roman" w:eastAsia="Times New Roman" w:hAnsi="Times New Roman" w:cs="Times New Roman"/>
          <w:i/>
          <w:iCs/>
          <w:sz w:val="26"/>
          <w:szCs w:val="26"/>
        </w:rPr>
        <w:t>U.S. v. Bianco</w:t>
      </w:r>
      <w:r>
        <w:rPr>
          <w:rFonts w:ascii="Times New Roman" w:eastAsia="Times New Roman" w:hAnsi="Times New Roman" w:cs="Times New Roman"/>
          <w:sz w:val="26"/>
          <w:szCs w:val="26"/>
        </w:rPr>
        <w:t xml:space="preserve">, 534 F.2d 501 (2d Cir. 1976).  In </w:t>
      </w:r>
      <w:r>
        <w:rPr>
          <w:rFonts w:ascii="Times New Roman" w:eastAsia="Times New Roman" w:hAnsi="Times New Roman" w:cs="Times New Roman"/>
          <w:i/>
          <w:iCs/>
          <w:sz w:val="26"/>
          <w:szCs w:val="26"/>
        </w:rPr>
        <w:t>Bianco</w:t>
      </w:r>
      <w:r>
        <w:rPr>
          <w:rFonts w:ascii="Times New Roman" w:eastAsia="Times New Roman" w:hAnsi="Times New Roman" w:cs="Times New Roman"/>
          <w:sz w:val="26"/>
          <w:szCs w:val="26"/>
        </w:rPr>
        <w:t xml:space="preserve">, the defendant claimed the government derived evidence for his prosecution from immunized testimony given at a grand jury hearing.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509. Both an agent to the investigation and a district attorney testified that they did not converse about the Bianco Grand Jury proceedings.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But the testifying agent clarified he had no contact with state officials involved in the Grand Jury, and that his connection to other federal agents dealt with an investigation that concluded prior to Bianco’s testimony.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w:t>
      </w:r>
    </w:p>
    <w:p w14:paraId="0000009C"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Unlike </w:t>
      </w:r>
      <w:r>
        <w:rPr>
          <w:rFonts w:ascii="Times New Roman" w:eastAsia="Times New Roman" w:hAnsi="Times New Roman" w:cs="Times New Roman"/>
          <w:i/>
          <w:iCs/>
          <w:sz w:val="26"/>
          <w:szCs w:val="26"/>
        </w:rPr>
        <w:t>Bianco</w:t>
      </w:r>
      <w:r>
        <w:rPr>
          <w:rFonts w:ascii="Times New Roman" w:eastAsia="Times New Roman" w:hAnsi="Times New Roman" w:cs="Times New Roman"/>
          <w:sz w:val="26"/>
          <w:szCs w:val="26"/>
        </w:rPr>
        <w:t xml:space="preserve">, Sinclair and Nolan cannot dispute their reoccurring contact. Alarmingly, both prosecutors continuously met </w:t>
      </w:r>
      <w:r>
        <w:rPr>
          <w:rFonts w:ascii="Times New Roman" w:eastAsia="Times New Roman" w:hAnsi="Times New Roman" w:cs="Times New Roman"/>
          <w:i/>
          <w:iCs/>
          <w:sz w:val="26"/>
          <w:szCs w:val="26"/>
        </w:rPr>
        <w:t>after</w:t>
      </w:r>
      <w:r>
        <w:rPr>
          <w:rFonts w:ascii="Times New Roman" w:eastAsia="Times New Roman" w:hAnsi="Times New Roman" w:cs="Times New Roman"/>
          <w:sz w:val="26"/>
          <w:szCs w:val="26"/>
        </w:rPr>
        <w:t xml:space="preserve"> the wall yet can only proffer that they avoided cross-contamination. </w:t>
      </w:r>
      <w:r>
        <w:rPr>
          <w:rFonts w:ascii="Times New Roman" w:eastAsia="Times New Roman" w:hAnsi="Times New Roman" w:cs="Times New Roman"/>
          <w:i/>
          <w:iCs/>
          <w:sz w:val="26"/>
          <w:szCs w:val="26"/>
        </w:rPr>
        <w:t>Bianco</w:t>
      </w:r>
      <w:r>
        <w:rPr>
          <w:rFonts w:ascii="Times New Roman" w:eastAsia="Times New Roman" w:hAnsi="Times New Roman" w:cs="Times New Roman"/>
          <w:sz w:val="26"/>
          <w:szCs w:val="26"/>
        </w:rPr>
        <w:t xml:space="preserve">’s prosecution also claimed no access to the immunized testimony–an allegation Sinclair and Nolan cannot parallel, as Calloway’s </w:t>
      </w:r>
      <w:r>
        <w:rPr>
          <w:rFonts w:ascii="Times New Roman" w:eastAsia="Times New Roman" w:hAnsi="Times New Roman" w:cs="Times New Roman"/>
          <w:sz w:val="26"/>
          <w:szCs w:val="26"/>
        </w:rPr>
        <w:lastRenderedPageBreak/>
        <w:t xml:space="preserve">testimony received constant media coverage through Donovan’s trial.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at 510. Due to likely exposure between investigative teams, the Government cannot establish the absence of taint from Calloway’s immunized testimony and the Motion to Suppress should be granted.</w:t>
      </w:r>
    </w:p>
    <w:p w14:paraId="0000009D" w14:textId="77777777" w:rsidR="007C39CF" w:rsidRDefault="00335CC5">
      <w:pPr>
        <w:numPr>
          <w:ilvl w:val="0"/>
          <w:numId w:val="7"/>
        </w:numPr>
        <w:spacing w:after="20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Even if no exposure occurred, the Government’s mere assertions do not suffice to prove the evidence derives from independent, legitimate sources.</w:t>
      </w:r>
    </w:p>
    <w:p w14:paraId="0000009E" w14:textId="77777777" w:rsidR="007C39CF" w:rsidRDefault="00335CC5">
      <w:pPr>
        <w:shd w:val="clear" w:color="auto" w:fill="FFFFFF"/>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Despite its alleged investigative insulation, the Government failed to gather necessary evidence through its own independent sources and the Motion to Suppress should be granted. The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burden affirmatively demands prosecutorial integrity.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at 460. Thus, lack of access to compelled testimony does not assure the “existence of independent sources” and will not afford Defendant her Constitutional “guarantees.” </w:t>
      </w:r>
      <w:r>
        <w:rPr>
          <w:rFonts w:ascii="Times New Roman" w:eastAsia="Times New Roman" w:hAnsi="Times New Roman" w:cs="Times New Roman"/>
          <w:i/>
          <w:iCs/>
          <w:sz w:val="26"/>
          <w:szCs w:val="26"/>
        </w:rPr>
        <w:t>U.S. v. Nemes</w:t>
      </w:r>
      <w:r>
        <w:rPr>
          <w:rFonts w:ascii="Times New Roman" w:eastAsia="Times New Roman" w:hAnsi="Times New Roman" w:cs="Times New Roman"/>
          <w:sz w:val="26"/>
          <w:szCs w:val="26"/>
        </w:rPr>
        <w:t>, 555 F.2d 51, 55 (2d Cir. 1977). Further, “a Chinese-Wall format, standing alone, is insufficient to guarantee the absence of taint.”</w:t>
      </w:r>
      <w:r>
        <w:rPr>
          <w:rFonts w:ascii="Times New Roman" w:eastAsia="Times New Roman" w:hAnsi="Times New Roman" w:cs="Times New Roman"/>
          <w:i/>
          <w:iCs/>
          <w:sz w:val="26"/>
          <w:szCs w:val="26"/>
        </w:rPr>
        <w:t xml:space="preserve"> U.S. v. Smith</w:t>
      </w:r>
      <w:r>
        <w:rPr>
          <w:rFonts w:ascii="Times New Roman" w:eastAsia="Times New Roman" w:hAnsi="Times New Roman" w:cs="Times New Roman"/>
          <w:sz w:val="26"/>
          <w:szCs w:val="26"/>
        </w:rPr>
        <w:t xml:space="preserve">, 580 F. Supp. 1418, 1423 (D.N.J. 1984). The government cannot use immunized testimony to “develop investigatory leads, to focus an investigation on a witness, or to motivate another witness to give incriminating testimony.” </w:t>
      </w:r>
      <w:r>
        <w:rPr>
          <w:rFonts w:ascii="Times New Roman" w:eastAsia="Times New Roman" w:hAnsi="Times New Roman" w:cs="Times New Roman"/>
          <w:i/>
          <w:iCs/>
          <w:sz w:val="26"/>
          <w:szCs w:val="26"/>
        </w:rPr>
        <w:t>U.S. v. Martinez</w:t>
      </w:r>
      <w:r>
        <w:rPr>
          <w:rFonts w:ascii="Times New Roman" w:eastAsia="Times New Roman" w:hAnsi="Times New Roman" w:cs="Times New Roman"/>
          <w:sz w:val="26"/>
          <w:szCs w:val="26"/>
        </w:rPr>
        <w:t>, 81 F. Supp. 3d 1046, 1054 (D. Colo. 2015).</w:t>
      </w:r>
    </w:p>
    <w:p w14:paraId="0000009F" w14:textId="77777777" w:rsidR="007C39CF" w:rsidRDefault="00335CC5">
      <w:pPr>
        <w:ind w:left="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1. The Government used Parker’s testimony as an investigatory lead.</w:t>
      </w:r>
    </w:p>
    <w:p w14:paraId="000000A0" w14:textId="77777777" w:rsidR="007C39CF" w:rsidRDefault="007C39CF">
      <w:pPr>
        <w:ind w:firstLine="720"/>
        <w:jc w:val="both"/>
        <w:rPr>
          <w:rFonts w:ascii="Times New Roman" w:eastAsia="Times New Roman" w:hAnsi="Times New Roman" w:cs="Times New Roman"/>
          <w:sz w:val="26"/>
          <w:szCs w:val="26"/>
        </w:rPr>
      </w:pPr>
    </w:p>
    <w:p w14:paraId="000000A1"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Because the mention of Parker served as a direct connection to Calloway’s dispute with Blake, it presented a desirable lead for team Calloway that violates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Prosecution fails to meet the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burden when it uses a witness influenced, directly or indirectly, by immunized testimony “</w:t>
      </w:r>
      <w:r>
        <w:rPr>
          <w:rFonts w:ascii="Times New Roman" w:eastAsia="Times New Roman" w:hAnsi="Times New Roman" w:cs="Times New Roman"/>
          <w:color w:val="1F1F1F"/>
          <w:sz w:val="26"/>
          <w:szCs w:val="26"/>
        </w:rPr>
        <w:t xml:space="preserve">regardless of </w:t>
      </w:r>
      <w:r>
        <w:rPr>
          <w:rFonts w:ascii="Times New Roman" w:eastAsia="Times New Roman" w:hAnsi="Times New Roman" w:cs="Times New Roman"/>
          <w:i/>
          <w:iCs/>
          <w:color w:val="1F1F1F"/>
          <w:sz w:val="26"/>
          <w:szCs w:val="26"/>
        </w:rPr>
        <w:t>how or by whom</w:t>
      </w:r>
      <w:r>
        <w:rPr>
          <w:rFonts w:ascii="Times New Roman" w:eastAsia="Times New Roman" w:hAnsi="Times New Roman" w:cs="Times New Roman"/>
          <w:color w:val="1F1F1F"/>
          <w:sz w:val="26"/>
          <w:szCs w:val="26"/>
        </w:rPr>
        <w:t xml:space="preserve"> he was exposed to </w:t>
      </w:r>
      <w:r>
        <w:rPr>
          <w:rFonts w:ascii="Times New Roman" w:eastAsia="Times New Roman" w:hAnsi="Times New Roman" w:cs="Times New Roman"/>
          <w:color w:val="1F1F1F"/>
          <w:sz w:val="26"/>
          <w:szCs w:val="26"/>
        </w:rPr>
        <w:lastRenderedPageBreak/>
        <w:t xml:space="preserve">that compelled testimony.” </w:t>
      </w:r>
      <w:r>
        <w:rPr>
          <w:rFonts w:ascii="Times New Roman" w:eastAsia="Times New Roman" w:hAnsi="Times New Roman" w:cs="Times New Roman"/>
          <w:i/>
          <w:iCs/>
          <w:sz w:val="26"/>
          <w:szCs w:val="26"/>
        </w:rPr>
        <w:t>U.S. v. North</w:t>
      </w:r>
      <w:r>
        <w:rPr>
          <w:rFonts w:ascii="Times New Roman" w:eastAsia="Times New Roman" w:hAnsi="Times New Roman" w:cs="Times New Roman"/>
          <w:sz w:val="26"/>
          <w:szCs w:val="26"/>
        </w:rPr>
        <w:t xml:space="preserve">, 920 F.2d 940, 942 (D.C. Cir. 1990). Prosecution further violates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through more subtle usage of investigatory leads. </w:t>
      </w:r>
      <w:r>
        <w:rPr>
          <w:rFonts w:ascii="Times New Roman" w:eastAsia="Times New Roman" w:hAnsi="Times New Roman" w:cs="Times New Roman"/>
          <w:i/>
          <w:iCs/>
          <w:sz w:val="26"/>
          <w:szCs w:val="26"/>
        </w:rPr>
        <w:t>Bloxham v. State</w:t>
      </w:r>
      <w:r>
        <w:rPr>
          <w:rFonts w:ascii="Times New Roman" w:eastAsia="Times New Roman" w:hAnsi="Times New Roman" w:cs="Times New Roman"/>
          <w:sz w:val="26"/>
          <w:szCs w:val="26"/>
        </w:rPr>
        <w:t>, 702 S.W.3d 732, 744 (Tex. App. 2024).</w:t>
      </w:r>
      <w:r>
        <w:rPr>
          <w:sz w:val="26"/>
          <w:szCs w:val="26"/>
        </w:rPr>
        <w:t xml:space="preserve"> </w:t>
      </w:r>
      <w:r>
        <w:rPr>
          <w:rFonts w:ascii="Times New Roman" w:eastAsia="Times New Roman" w:hAnsi="Times New Roman" w:cs="Times New Roman"/>
          <w:sz w:val="26"/>
          <w:szCs w:val="26"/>
        </w:rPr>
        <w:t xml:space="preserve"> To ensure absence of taint, courts “parse the evidence” from each witness or, if needed, line-by-line. </w:t>
      </w:r>
      <w:r>
        <w:rPr>
          <w:rFonts w:ascii="Times New Roman" w:eastAsia="Times New Roman" w:hAnsi="Times New Roman" w:cs="Times New Roman"/>
          <w:i/>
          <w:iCs/>
          <w:sz w:val="26"/>
          <w:szCs w:val="26"/>
        </w:rPr>
        <w:t>U.S. v. Slough</w:t>
      </w:r>
      <w:r>
        <w:rPr>
          <w:rFonts w:ascii="Times New Roman" w:eastAsia="Times New Roman" w:hAnsi="Times New Roman" w:cs="Times New Roman"/>
          <w:sz w:val="26"/>
          <w:szCs w:val="26"/>
        </w:rPr>
        <w:t>, 641 F.3d 544, 550 (D.C. Cir. 2011).</w:t>
      </w:r>
      <w:r>
        <w:rPr>
          <w:sz w:val="26"/>
          <w:szCs w:val="26"/>
        </w:rPr>
        <w:t xml:space="preserve"> </w:t>
      </w:r>
      <w:r>
        <w:rPr>
          <w:rFonts w:ascii="Times New Roman" w:eastAsia="Times New Roman" w:hAnsi="Times New Roman" w:cs="Times New Roman"/>
          <w:sz w:val="26"/>
          <w:szCs w:val="26"/>
        </w:rPr>
        <w:t xml:space="preserve">Immunity from use and derivative-use should ensure “the witness and the [prosecution are left] in substantially the same position as if the witness had claimed his privilege’ in the absence of a grant of immunity.”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at 458–59. </w:t>
      </w:r>
    </w:p>
    <w:p w14:paraId="000000A2"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Courts examine overlap between immunized testimony and evidence to determine if derivative use occurred. </w:t>
      </w:r>
      <w:r>
        <w:rPr>
          <w:rFonts w:ascii="Times New Roman" w:eastAsia="Times New Roman" w:hAnsi="Times New Roman" w:cs="Times New Roman"/>
          <w:i/>
          <w:iCs/>
          <w:sz w:val="26"/>
          <w:szCs w:val="26"/>
        </w:rPr>
        <w:t>U.S. v. Slough</w:t>
      </w:r>
      <w:r>
        <w:rPr>
          <w:rFonts w:ascii="Times New Roman" w:eastAsia="Times New Roman" w:hAnsi="Times New Roman" w:cs="Times New Roman"/>
          <w:sz w:val="26"/>
          <w:szCs w:val="26"/>
        </w:rPr>
        <w:t xml:space="preserve">, 36 F. Supp. 3d 37 (D.D.C. 2014). In </w:t>
      </w:r>
      <w:r>
        <w:rPr>
          <w:rFonts w:ascii="Times New Roman" w:eastAsia="Times New Roman" w:hAnsi="Times New Roman" w:cs="Times New Roman"/>
          <w:i/>
          <w:iCs/>
          <w:sz w:val="26"/>
          <w:szCs w:val="26"/>
        </w:rPr>
        <w:t>Slough</w:t>
      </w:r>
      <w:r>
        <w:rPr>
          <w:rFonts w:ascii="Times New Roman" w:eastAsia="Times New Roman" w:hAnsi="Times New Roman" w:cs="Times New Roman"/>
          <w:sz w:val="26"/>
          <w:szCs w:val="26"/>
        </w:rPr>
        <w:t xml:space="preserve">, defendants claimed that the government used their compelled statements, leading to their grand jury indictment.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42. On appeal, the defendants moved to dismiss the superseding grand jury indictment, arguing that Ridgeway, one of twenty-three defendants, provided tainted testimony upon exposure to other defendants’ immunized statements.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44. Absent overlap of facts between Ridgeway’s testimony and the defendants’ compelled statements, the court found no taint.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45. </w:t>
      </w:r>
    </w:p>
    <w:p w14:paraId="000000A3"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Unlike </w:t>
      </w:r>
      <w:r>
        <w:rPr>
          <w:rFonts w:ascii="Times New Roman" w:eastAsia="Times New Roman" w:hAnsi="Times New Roman" w:cs="Times New Roman"/>
          <w:i/>
          <w:iCs/>
          <w:sz w:val="26"/>
          <w:szCs w:val="26"/>
        </w:rPr>
        <w:t>Slough,</w:t>
      </w:r>
      <w:r>
        <w:rPr>
          <w:rFonts w:ascii="Times New Roman" w:eastAsia="Times New Roman" w:hAnsi="Times New Roman" w:cs="Times New Roman"/>
          <w:sz w:val="26"/>
          <w:szCs w:val="26"/>
        </w:rPr>
        <w:t xml:space="preserve"> Parker’s testimony directly overlaps with Calloway’s compelled statements, part of which detailed her conversation with Parker on December 10. As noted in  her testimonial excerpt, Calloway explained that after her argument with Blake, Parker approached her at the Resort’s Christmas party and asked if she felt alright. The same instance is detailed in Parker’s deposition. This exchange, though brief, gave the Government</w:t>
      </w:r>
      <w:r>
        <w:rPr>
          <w:rFonts w:ascii="Times New Roman" w:eastAsia="Times New Roman" w:hAnsi="Times New Roman" w:cs="Times New Roman"/>
          <w:i/>
          <w:iCs/>
          <w:sz w:val="26"/>
          <w:szCs w:val="26"/>
        </w:rPr>
        <w:t xml:space="preserve"> the</w:t>
      </w:r>
      <w:r>
        <w:rPr>
          <w:rFonts w:ascii="Times New Roman" w:eastAsia="Times New Roman" w:hAnsi="Times New Roman" w:cs="Times New Roman"/>
          <w:sz w:val="26"/>
          <w:szCs w:val="26"/>
        </w:rPr>
        <w:t xml:space="preserve"> crucial lead to advance their incomplete investigation: Kennedy Parker. </w:t>
      </w:r>
    </w:p>
    <w:p w14:paraId="000000A4" w14:textId="77777777" w:rsidR="007C39CF" w:rsidRDefault="00335CC5">
      <w:pPr>
        <w:ind w:left="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 xml:space="preserve">2. The Calloway team had not reached a finishing point before Calloway testified under immunity. </w:t>
      </w:r>
    </w:p>
    <w:p w14:paraId="000000A5" w14:textId="77777777" w:rsidR="007C39CF" w:rsidRDefault="007C39CF">
      <w:pPr>
        <w:ind w:left="720"/>
        <w:jc w:val="both"/>
        <w:rPr>
          <w:rFonts w:ascii="Times New Roman" w:eastAsia="Times New Roman" w:hAnsi="Times New Roman" w:cs="Times New Roman"/>
          <w:b/>
          <w:bCs/>
          <w:sz w:val="26"/>
          <w:szCs w:val="26"/>
        </w:rPr>
      </w:pPr>
    </w:p>
    <w:p w14:paraId="000000A6" w14:textId="77777777" w:rsidR="007C39CF" w:rsidRDefault="00335CC5">
      <w:pPr>
        <w:shd w:val="clear" w:color="auto" w:fill="FFFFFF"/>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Mere suspicions and piecemeal leads do not suffice the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burden. Complete or near “completely procured” investigations must show that the prosecution would be in “substantially the same position” as if the witness had not testified under immunity. </w:t>
      </w:r>
      <w:r>
        <w:rPr>
          <w:rFonts w:ascii="Times New Roman" w:eastAsia="Times New Roman" w:hAnsi="Times New Roman" w:cs="Times New Roman"/>
          <w:i/>
          <w:iCs/>
          <w:sz w:val="26"/>
          <w:szCs w:val="26"/>
        </w:rPr>
        <w:t>Bloxham</w:t>
      </w:r>
      <w:r>
        <w:rPr>
          <w:rFonts w:ascii="Times New Roman" w:eastAsia="Times New Roman" w:hAnsi="Times New Roman" w:cs="Times New Roman"/>
          <w:sz w:val="26"/>
          <w:szCs w:val="26"/>
        </w:rPr>
        <w:t>, at 732 (</w:t>
      </w:r>
      <w:r>
        <w:rPr>
          <w:rFonts w:ascii="Times New Roman" w:eastAsia="Times New Roman" w:hAnsi="Times New Roman" w:cs="Times New Roman"/>
          <w:i/>
          <w:iCs/>
          <w:sz w:val="26"/>
          <w:szCs w:val="26"/>
        </w:rPr>
        <w:t>quoting Kastigar</w:t>
      </w:r>
      <w:r>
        <w:rPr>
          <w:rFonts w:ascii="Times New Roman" w:eastAsia="Times New Roman" w:hAnsi="Times New Roman" w:cs="Times New Roman"/>
          <w:sz w:val="26"/>
          <w:szCs w:val="26"/>
        </w:rPr>
        <w:t xml:space="preserve">, 406 U.S. at 458-59). To prove the level of completion in the investigation, the State must present sufficient evidence to undergo a “piece-by-piece” analysis. </w:t>
      </w:r>
      <w:r>
        <w:rPr>
          <w:rFonts w:ascii="Times New Roman" w:eastAsia="Times New Roman" w:hAnsi="Times New Roman" w:cs="Times New Roman"/>
          <w:i/>
          <w:iCs/>
          <w:sz w:val="26"/>
          <w:szCs w:val="26"/>
        </w:rPr>
        <w:t>U.S. v. Martinez</w:t>
      </w:r>
      <w:r>
        <w:rPr>
          <w:rFonts w:ascii="Times New Roman" w:eastAsia="Times New Roman" w:hAnsi="Times New Roman" w:cs="Times New Roman"/>
          <w:sz w:val="26"/>
          <w:szCs w:val="26"/>
        </w:rPr>
        <w:t>, 81 F. Supp. 3d 1046, 1056 (D. Colo. 2015).</w:t>
      </w:r>
    </w:p>
    <w:p w14:paraId="000000A7" w14:textId="77777777" w:rsidR="007C39CF" w:rsidRDefault="00335CC5">
      <w:pPr>
        <w:shd w:val="clear" w:color="auto" w:fill="FFFFFF"/>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Nolan cannot prove that the investigation would have been the same without the immunized testimony because he cannot prove the investigation was almost complete. </w:t>
      </w:r>
      <w:r>
        <w:rPr>
          <w:rFonts w:ascii="Times New Roman" w:eastAsia="Times New Roman" w:hAnsi="Times New Roman" w:cs="Times New Roman"/>
          <w:i/>
          <w:iCs/>
          <w:sz w:val="26"/>
          <w:szCs w:val="26"/>
        </w:rPr>
        <w:t>U.S. v. Martinez</w:t>
      </w:r>
      <w:r>
        <w:rPr>
          <w:rFonts w:ascii="Times New Roman" w:eastAsia="Times New Roman" w:hAnsi="Times New Roman" w:cs="Times New Roman"/>
          <w:sz w:val="26"/>
          <w:szCs w:val="26"/>
        </w:rPr>
        <w:t xml:space="preserve">, 81 F. Supp. 3d 1046, 1059 (D. Colo. 2015). In </w:t>
      </w:r>
      <w:r>
        <w:rPr>
          <w:rFonts w:ascii="Times New Roman" w:eastAsia="Times New Roman" w:hAnsi="Times New Roman" w:cs="Times New Roman"/>
          <w:i/>
          <w:iCs/>
          <w:sz w:val="26"/>
          <w:szCs w:val="26"/>
        </w:rPr>
        <w:t>Martinez</w:t>
      </w:r>
      <w:r>
        <w:rPr>
          <w:rFonts w:ascii="Times New Roman" w:eastAsia="Times New Roman" w:hAnsi="Times New Roman" w:cs="Times New Roman"/>
          <w:sz w:val="26"/>
          <w:szCs w:val="26"/>
        </w:rPr>
        <w:t xml:space="preserve">, a prosecutor testified that a specific witness was the source of conspiracy-related testimony, but the interview did not occur until after the defendant testified under immunity.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Prior to the testimony, the prosecutor merely identified the defendant as a “person of interest.”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Because the government could not prove the extent of its own investigation independent of the immunized testimony, the court granted the defendant’s motion to dismiss pursuant to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1062. </w:t>
      </w:r>
    </w:p>
    <w:p w14:paraId="000000A8" w14:textId="77777777" w:rsidR="007C39CF" w:rsidRDefault="00335CC5">
      <w:pPr>
        <w:shd w:val="clear" w:color="auto" w:fill="FFFFFF"/>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Likewise, Parker’s key facts involving Calloway’s favor to retrieve the items labeled “Coastal” did not arise until her interview, which occurred </w:t>
      </w:r>
      <w:r>
        <w:rPr>
          <w:rFonts w:ascii="Times New Roman" w:eastAsia="Times New Roman" w:hAnsi="Times New Roman" w:cs="Times New Roman"/>
          <w:i/>
          <w:iCs/>
          <w:sz w:val="26"/>
          <w:szCs w:val="26"/>
        </w:rPr>
        <w:t>after</w:t>
      </w:r>
      <w:r>
        <w:rPr>
          <w:rFonts w:ascii="Times New Roman" w:eastAsia="Times New Roman" w:hAnsi="Times New Roman" w:cs="Times New Roman"/>
          <w:sz w:val="26"/>
          <w:szCs w:val="26"/>
        </w:rPr>
        <w:t xml:space="preserve"> Calloway testified at trial. Conveniently, Parker’s interview lacked relevance until the Calloway testimony circulated in the media during Donovan’s trial. As the </w:t>
      </w:r>
      <w:r>
        <w:rPr>
          <w:rFonts w:ascii="Times New Roman" w:eastAsia="Times New Roman" w:hAnsi="Times New Roman" w:cs="Times New Roman"/>
          <w:i/>
          <w:iCs/>
          <w:sz w:val="26"/>
          <w:szCs w:val="26"/>
        </w:rPr>
        <w:t>Martinez</w:t>
      </w:r>
      <w:r>
        <w:rPr>
          <w:rFonts w:ascii="Times New Roman" w:eastAsia="Times New Roman" w:hAnsi="Times New Roman" w:cs="Times New Roman"/>
          <w:sz w:val="26"/>
          <w:szCs w:val="26"/>
        </w:rPr>
        <w:t xml:space="preserve"> court noted, “legally </w:t>
      </w:r>
      <w:r>
        <w:rPr>
          <w:rFonts w:ascii="Times New Roman" w:eastAsia="Times New Roman" w:hAnsi="Times New Roman" w:cs="Times New Roman"/>
          <w:sz w:val="26"/>
          <w:szCs w:val="26"/>
        </w:rPr>
        <w:lastRenderedPageBreak/>
        <w:t xml:space="preserve">insufficient” statements that cannot produce a direct line to untainted evidence will not defeat a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inquiry. 81 F. Supp. 3d at 1056. </w:t>
      </w:r>
    </w:p>
    <w:p w14:paraId="000000A9" w14:textId="77777777" w:rsidR="007C39CF" w:rsidRDefault="00335CC5">
      <w:pPr>
        <w:shd w:val="clear" w:color="auto" w:fill="FFFFFF"/>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 </w:t>
      </w:r>
      <w:r>
        <w:rPr>
          <w:rFonts w:ascii="Times New Roman" w:eastAsia="Times New Roman" w:hAnsi="Times New Roman" w:cs="Times New Roman"/>
          <w:i/>
          <w:iCs/>
          <w:sz w:val="26"/>
          <w:szCs w:val="26"/>
        </w:rPr>
        <w:t>Bloxham</w:t>
      </w:r>
      <w:r>
        <w:rPr>
          <w:rFonts w:ascii="Times New Roman" w:eastAsia="Times New Roman" w:hAnsi="Times New Roman" w:cs="Times New Roman"/>
          <w:sz w:val="26"/>
          <w:szCs w:val="26"/>
        </w:rPr>
        <w:t xml:space="preserve">, one officer testified that although he knew of the defendants’ immunized testimony, he did not use it in his report because his team had almost finished the report by the time the defendants testified. 702 S.W.3d at 740. The court disagreed. Not only did the state fail to erect a wall, but it could not prove prior knowledge of pertinent facts that would have rendered the investigation nearly complete.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743.  </w:t>
      </w:r>
    </w:p>
    <w:p w14:paraId="000000AA" w14:textId="77777777" w:rsidR="007C39CF" w:rsidRDefault="00335CC5">
      <w:pPr>
        <w:shd w:val="clear" w:color="auto" w:fill="FFFFFF"/>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Similar to </w:t>
      </w:r>
      <w:r>
        <w:rPr>
          <w:rFonts w:ascii="Times New Roman" w:eastAsia="Times New Roman" w:hAnsi="Times New Roman" w:cs="Times New Roman"/>
          <w:i/>
          <w:iCs/>
          <w:sz w:val="26"/>
          <w:szCs w:val="26"/>
        </w:rPr>
        <w:t>Bloxham</w:t>
      </w:r>
      <w:r>
        <w:rPr>
          <w:rFonts w:ascii="Times New Roman" w:eastAsia="Times New Roman" w:hAnsi="Times New Roman" w:cs="Times New Roman"/>
          <w:sz w:val="26"/>
          <w:szCs w:val="26"/>
        </w:rPr>
        <w:t>’s investigative team, Calloway’s investigation was not near completion before Calloway testified. Prior to the wall-off, Nolan submitted a “MLAT” request to inquire about Coastal’s deposits, but the report yielded no answer.  Before Donovan’s trial, the Government only suspected Calloway’s involvement because she owned half of the Resort and approved numerous expenses. But Sinclair admittedly noted his team lacked enough evidence to “back it up”  before the wall-off. And in Nolan’s words, the phone records</w:t>
      </w:r>
      <w:r>
        <w:rPr>
          <w:rFonts w:ascii="Times New Roman" w:eastAsia="Times New Roman" w:hAnsi="Times New Roman" w:cs="Times New Roman"/>
          <w:sz w:val="26"/>
          <w:szCs w:val="26"/>
        </w:rPr>
        <w:t xml:space="preserve"> from Coastal “alone weren’t enough” to deepen Calloway’s potential culpability. The Government needed Parker first. </w:t>
      </w:r>
    </w:p>
    <w:p w14:paraId="000000AB" w14:textId="77777777" w:rsidR="007C39CF" w:rsidRDefault="00335CC5">
      <w:pPr>
        <w:shd w:val="clear" w:color="auto" w:fill="FFFFFF"/>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Given the Government’s failure to properly implement a wall-off protocol,  demonstrate substantial progress into Calloway’s investigation pre-testimony, and establish independent sources, Parker’s sudden interview and findings reflect a deficient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burden and this Court should grant Defendant’s Motion to Suppress. </w:t>
      </w:r>
    </w:p>
    <w:p w14:paraId="000000AC" w14:textId="77777777" w:rsidR="007C39CF" w:rsidRDefault="00335CC5">
      <w:pPr>
        <w:numPr>
          <w:ilvl w:val="0"/>
          <w:numId w:val="3"/>
        </w:numPr>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Calloway’s Motion to Quash should be granted because Armana’s memorandum is protected by the work-product doctrine. </w:t>
      </w:r>
    </w:p>
    <w:p w14:paraId="000000AD" w14:textId="77777777" w:rsidR="007C39CF" w:rsidRDefault="007C39CF">
      <w:pPr>
        <w:jc w:val="both"/>
        <w:rPr>
          <w:rFonts w:ascii="Times New Roman" w:eastAsia="Times New Roman" w:hAnsi="Times New Roman" w:cs="Times New Roman"/>
          <w:b/>
          <w:bCs/>
          <w:sz w:val="26"/>
          <w:szCs w:val="26"/>
        </w:rPr>
      </w:pPr>
    </w:p>
    <w:p w14:paraId="000000AE"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Calloway’s Motion to Quash should be granted. Fed. R. Crim. P. 17(c)(2) allows a court to quash a subpoena for documents where compliance would be unreasonable or oppressive. In the </w:t>
      </w:r>
      <w:r>
        <w:rPr>
          <w:rFonts w:ascii="Times New Roman" w:eastAsia="Times New Roman" w:hAnsi="Times New Roman" w:cs="Times New Roman"/>
          <w:i/>
          <w:iCs/>
          <w:sz w:val="26"/>
          <w:szCs w:val="26"/>
        </w:rPr>
        <w:t>United States v. Nixon</w:t>
      </w:r>
      <w:r>
        <w:rPr>
          <w:rFonts w:ascii="Times New Roman" w:eastAsia="Times New Roman" w:hAnsi="Times New Roman" w:cs="Times New Roman"/>
          <w:sz w:val="26"/>
          <w:szCs w:val="26"/>
        </w:rPr>
        <w:t xml:space="preserve">, the Supreme Court held a subpoena is unreasonable or oppressive where the requesting party fails to prove the subpoena is: (1) relevancy, (2) admissibility, and (3) specificity. 418 U.S. 683, 699 (1974). </w:t>
      </w:r>
    </w:p>
    <w:p w14:paraId="000000AF"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Where the </w:t>
      </w:r>
      <w:r>
        <w:rPr>
          <w:rFonts w:ascii="Times New Roman" w:eastAsia="Times New Roman" w:hAnsi="Times New Roman" w:cs="Times New Roman"/>
          <w:i/>
          <w:iCs/>
          <w:sz w:val="26"/>
          <w:szCs w:val="26"/>
        </w:rPr>
        <w:t>Nixon</w:t>
      </w:r>
      <w:r>
        <w:rPr>
          <w:rFonts w:ascii="Times New Roman" w:eastAsia="Times New Roman" w:hAnsi="Times New Roman" w:cs="Times New Roman"/>
          <w:sz w:val="26"/>
          <w:szCs w:val="26"/>
        </w:rPr>
        <w:t xml:space="preserve"> elements are satisfied but the resisting party asserts privilege  of subpoenaed documents, the burden then shifts to part asserting privilege to demonstrate that the documents were prepared: (1) in anticipation of litigation, and (2) by the attorney or their agent. </w:t>
      </w:r>
      <w:r>
        <w:rPr>
          <w:rFonts w:ascii="Times New Roman" w:eastAsia="Times New Roman" w:hAnsi="Times New Roman" w:cs="Times New Roman"/>
          <w:i/>
          <w:iCs/>
          <w:sz w:val="26"/>
          <w:szCs w:val="26"/>
        </w:rPr>
        <w:t>See U.S. v. Nobles</w:t>
      </w:r>
      <w:r>
        <w:rPr>
          <w:rFonts w:ascii="Times New Roman" w:eastAsia="Times New Roman" w:hAnsi="Times New Roman" w:cs="Times New Roman"/>
          <w:sz w:val="26"/>
          <w:szCs w:val="26"/>
        </w:rPr>
        <w:t>, 422 U.S. 225, 237-39 (1975).</w:t>
      </w:r>
    </w:p>
    <w:p w14:paraId="000000B0" w14:textId="77777777" w:rsidR="007C39CF" w:rsidRDefault="00335CC5">
      <w:pPr>
        <w:spacing w:line="480" w:lineRule="auto"/>
        <w:ind w:firstLine="720"/>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 xml:space="preserve">This privilege only gives way in limited circumstances.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238-39. If the privileged document is “fact” work-product, the privilege is waived through testimonial use.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239-40. Alternatively, the document is discoverable if the government can show an undue hardship and substantial need. Fed. R. Civ. P. 26(b)(3). Likewise, even if the privileged document is deemed “opinion” work-product, the document cannot be discoverable absent rare and extraordinary circumstances. </w:t>
      </w:r>
      <w:r>
        <w:rPr>
          <w:rFonts w:ascii="Times New Roman" w:eastAsia="Times New Roman" w:hAnsi="Times New Roman" w:cs="Times New Roman"/>
          <w:i/>
          <w:iCs/>
          <w:sz w:val="26"/>
          <w:szCs w:val="26"/>
        </w:rPr>
        <w:t>In re Murphy</w:t>
      </w:r>
      <w:r>
        <w:rPr>
          <w:rFonts w:ascii="Times New Roman" w:eastAsia="Times New Roman" w:hAnsi="Times New Roman" w:cs="Times New Roman"/>
          <w:sz w:val="26"/>
          <w:szCs w:val="26"/>
        </w:rPr>
        <w:t xml:space="preserve">, 560 F.2d 326, 336 (8th Cir. 1977). </w:t>
      </w:r>
      <w:r>
        <w:rPr>
          <w:rFonts w:ascii="Times New Roman" w:eastAsia="Times New Roman" w:hAnsi="Times New Roman" w:cs="Times New Roman"/>
          <w:sz w:val="26"/>
          <w:szCs w:val="26"/>
          <w:highlight w:val="yellow"/>
        </w:rPr>
        <w:t xml:space="preserve"> </w:t>
      </w:r>
    </w:p>
    <w:p w14:paraId="000000B1" w14:textId="77777777" w:rsidR="007C39CF" w:rsidRDefault="00335CC5">
      <w:pPr>
        <w:numPr>
          <w:ilvl w:val="0"/>
          <w:numId w:val="6"/>
        </w:numPr>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The Government’s Subpoena Duces Tecum is unreasonable and oppressive</w:t>
      </w:r>
      <w:r>
        <w:rPr>
          <w:rFonts w:ascii="Times New Roman" w:eastAsia="Times New Roman" w:hAnsi="Times New Roman" w:cs="Times New Roman"/>
          <w:b/>
          <w:bCs/>
          <w:i/>
          <w:iCs/>
          <w:sz w:val="26"/>
          <w:szCs w:val="26"/>
        </w:rPr>
        <w:t xml:space="preserve">. </w:t>
      </w:r>
    </w:p>
    <w:p w14:paraId="000000B2" w14:textId="77777777" w:rsidR="007C39CF" w:rsidRDefault="007C39CF">
      <w:pPr>
        <w:spacing w:line="240" w:lineRule="auto"/>
        <w:jc w:val="both"/>
        <w:rPr>
          <w:rFonts w:ascii="Times New Roman" w:eastAsia="Times New Roman" w:hAnsi="Times New Roman" w:cs="Times New Roman"/>
          <w:sz w:val="26"/>
          <w:szCs w:val="26"/>
        </w:rPr>
      </w:pPr>
    </w:p>
    <w:p w14:paraId="000000B3"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Government fails to satisfy </w:t>
      </w:r>
      <w:r>
        <w:rPr>
          <w:rFonts w:ascii="Times New Roman" w:eastAsia="Times New Roman" w:hAnsi="Times New Roman" w:cs="Times New Roman"/>
          <w:i/>
          <w:iCs/>
          <w:sz w:val="26"/>
          <w:szCs w:val="26"/>
        </w:rPr>
        <w:t>Nixon</w:t>
      </w:r>
      <w:r>
        <w:rPr>
          <w:rFonts w:ascii="Times New Roman" w:eastAsia="Times New Roman" w:hAnsi="Times New Roman" w:cs="Times New Roman"/>
          <w:sz w:val="26"/>
          <w:szCs w:val="26"/>
        </w:rPr>
        <w:t xml:space="preserve">. To satisfy admissibility, the party seeking discovery must make a good-faith effort to obtain the evidence. </w:t>
      </w:r>
      <w:r>
        <w:rPr>
          <w:rFonts w:ascii="Times New Roman" w:eastAsia="Times New Roman" w:hAnsi="Times New Roman" w:cs="Times New Roman"/>
          <w:i/>
          <w:iCs/>
          <w:sz w:val="26"/>
          <w:szCs w:val="26"/>
        </w:rPr>
        <w:t>See In re Martin Marietta</w:t>
      </w:r>
      <w:r>
        <w:rPr>
          <w:rFonts w:ascii="Times New Roman" w:eastAsia="Times New Roman" w:hAnsi="Times New Roman" w:cs="Times New Roman"/>
          <w:sz w:val="26"/>
          <w:szCs w:val="26"/>
        </w:rPr>
        <w:t>, 856 F.2d 619, 622 (4th Cir. 1988)</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The party seeking discovery must prove that he is not engaged in a “fishing expedition.” </w:t>
      </w:r>
      <w:r>
        <w:rPr>
          <w:rFonts w:ascii="Times New Roman" w:eastAsia="Times New Roman" w:hAnsi="Times New Roman" w:cs="Times New Roman"/>
          <w:i/>
          <w:iCs/>
          <w:sz w:val="26"/>
          <w:szCs w:val="26"/>
        </w:rPr>
        <w:t>U.S. v. Reyes</w:t>
      </w:r>
      <w:r>
        <w:rPr>
          <w:rFonts w:ascii="Times New Roman" w:eastAsia="Times New Roman" w:hAnsi="Times New Roman" w:cs="Times New Roman"/>
          <w:sz w:val="26"/>
          <w:szCs w:val="26"/>
        </w:rPr>
        <w:t xml:space="preserve">, 239 F.R.D. 591, 599 (N.D. Ca. 2006). He must provide details sufficient to evidence a good-faith.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To satisfy relevance, the </w:t>
      </w:r>
      <w:r>
        <w:rPr>
          <w:rFonts w:ascii="Times New Roman" w:eastAsia="Times New Roman" w:hAnsi="Times New Roman" w:cs="Times New Roman"/>
          <w:sz w:val="26"/>
          <w:szCs w:val="26"/>
        </w:rPr>
        <w:lastRenderedPageBreak/>
        <w:t xml:space="preserve">documents sought must relate to investigations into the very conduct which formed the basis for a criminal indictment. </w:t>
      </w:r>
      <w:r>
        <w:rPr>
          <w:rFonts w:ascii="Times New Roman" w:eastAsia="Times New Roman" w:hAnsi="Times New Roman" w:cs="Times New Roman"/>
          <w:i/>
          <w:iCs/>
          <w:sz w:val="26"/>
          <w:szCs w:val="26"/>
        </w:rPr>
        <w:t xml:space="preserve">Id. </w:t>
      </w:r>
    </w:p>
    <w:p w14:paraId="000000B4"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document containing only hearsay does not satisfy admissibility. In </w:t>
      </w:r>
      <w:r>
        <w:rPr>
          <w:rFonts w:ascii="Times New Roman" w:eastAsia="Times New Roman" w:hAnsi="Times New Roman" w:cs="Times New Roman"/>
          <w:i/>
          <w:iCs/>
          <w:sz w:val="26"/>
          <w:szCs w:val="26"/>
        </w:rPr>
        <w:t>Reyes</w:t>
      </w:r>
      <w:r>
        <w:rPr>
          <w:rFonts w:ascii="Times New Roman" w:eastAsia="Times New Roman" w:hAnsi="Times New Roman" w:cs="Times New Roman"/>
          <w:sz w:val="26"/>
          <w:szCs w:val="26"/>
        </w:rPr>
        <w:t xml:space="preserve">, the government investigated Gregory Reyes for fraud.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596. Two hired law firms investigated the matter, conducting interviews, reviewing records, and creating notes.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Reyes subpoenaed these documents, requesting specific and discrete types of documents relating to the interviews, investigations, and stock options.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596, 599. This satisfied specificity and relevance.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599. Reyes failed to satisfy admissibility because work-product relating to the interviews naturally included “only hearsay.”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600. Thus, the court held that Reyes’ subpoena did not satisfy </w:t>
      </w:r>
      <w:r>
        <w:rPr>
          <w:rFonts w:ascii="Times New Roman" w:eastAsia="Times New Roman" w:hAnsi="Times New Roman" w:cs="Times New Roman"/>
          <w:i/>
          <w:iCs/>
          <w:sz w:val="26"/>
          <w:szCs w:val="26"/>
        </w:rPr>
        <w:t>Nixon</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 xml:space="preserve">Id. </w:t>
      </w:r>
    </w:p>
    <w:p w14:paraId="000000B5"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Armana’s memorandum contains only hearsay, so it is not admissible. In both scenarios, the subpoenaing party is seeking memoranda of witness interviews.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596. The Government satisfies relevancy because Coastal’s corporate structure relates to Calloway’s charges. But, the Government does not satisfy specificity because it broadly seeks “any and all records” of Armana’s interview. This is unlike </w:t>
      </w:r>
      <w:r>
        <w:rPr>
          <w:rFonts w:ascii="Times New Roman" w:eastAsia="Times New Roman" w:hAnsi="Times New Roman" w:cs="Times New Roman"/>
          <w:i/>
          <w:iCs/>
          <w:sz w:val="26"/>
          <w:szCs w:val="26"/>
        </w:rPr>
        <w:t>Reyes</w:t>
      </w:r>
      <w:r>
        <w:rPr>
          <w:rFonts w:ascii="Times New Roman" w:eastAsia="Times New Roman" w:hAnsi="Times New Roman" w:cs="Times New Roman"/>
          <w:sz w:val="26"/>
          <w:szCs w:val="26"/>
        </w:rPr>
        <w:t xml:space="preserve">’ discrete requests.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599. Further, Armana’s memorandum is not admissible because Armana’s memorandum contains witness interviews which are only hearsay. This is the same situation as in </w:t>
      </w:r>
      <w:r>
        <w:rPr>
          <w:rFonts w:ascii="Times New Roman" w:eastAsia="Times New Roman" w:hAnsi="Times New Roman" w:cs="Times New Roman"/>
          <w:i/>
          <w:iCs/>
          <w:sz w:val="26"/>
          <w:szCs w:val="26"/>
        </w:rPr>
        <w:t>Reyes</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596. As such, the subpoena is unreasonable and oppressive. </w:t>
      </w:r>
    </w:p>
    <w:p w14:paraId="000000B6"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Government fails to satisfy </w:t>
      </w:r>
      <w:r>
        <w:rPr>
          <w:rFonts w:ascii="Times New Roman" w:eastAsia="Times New Roman" w:hAnsi="Times New Roman" w:cs="Times New Roman"/>
          <w:i/>
          <w:iCs/>
          <w:sz w:val="26"/>
          <w:szCs w:val="26"/>
        </w:rPr>
        <w:t>Nixon</w:t>
      </w:r>
      <w:r>
        <w:rPr>
          <w:rFonts w:ascii="Times New Roman" w:eastAsia="Times New Roman" w:hAnsi="Times New Roman" w:cs="Times New Roman"/>
          <w:sz w:val="26"/>
          <w:szCs w:val="26"/>
        </w:rPr>
        <w:t xml:space="preserve">, and Calloway’s motion to quash should be granted. </w:t>
      </w:r>
    </w:p>
    <w:p w14:paraId="000000B7" w14:textId="77777777" w:rsidR="007C39CF" w:rsidRDefault="00335CC5">
      <w:pPr>
        <w:numPr>
          <w:ilvl w:val="0"/>
          <w:numId w:val="6"/>
        </w:numPr>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Even if the Government satisfies </w:t>
      </w:r>
      <w:r>
        <w:rPr>
          <w:rFonts w:ascii="Times New Roman" w:eastAsia="Times New Roman" w:hAnsi="Times New Roman" w:cs="Times New Roman"/>
          <w:b/>
          <w:bCs/>
          <w:i/>
          <w:iCs/>
          <w:sz w:val="26"/>
          <w:szCs w:val="26"/>
        </w:rPr>
        <w:t>Nixon</w:t>
      </w:r>
      <w:r>
        <w:rPr>
          <w:rFonts w:ascii="Times New Roman" w:eastAsia="Times New Roman" w:hAnsi="Times New Roman" w:cs="Times New Roman"/>
          <w:b/>
          <w:bCs/>
          <w:sz w:val="26"/>
          <w:szCs w:val="26"/>
        </w:rPr>
        <w:t xml:space="preserve">, Armana’s memorandum is not discoverable because it is protected by work-product privileges. </w:t>
      </w:r>
    </w:p>
    <w:p w14:paraId="000000B8" w14:textId="77777777" w:rsidR="007C39CF" w:rsidRDefault="007C39CF">
      <w:pPr>
        <w:spacing w:line="240" w:lineRule="auto"/>
        <w:ind w:left="720"/>
        <w:jc w:val="both"/>
        <w:rPr>
          <w:rFonts w:ascii="Times New Roman" w:eastAsia="Times New Roman" w:hAnsi="Times New Roman" w:cs="Times New Roman"/>
          <w:b/>
          <w:bCs/>
          <w:sz w:val="26"/>
          <w:szCs w:val="26"/>
        </w:rPr>
      </w:pPr>
    </w:p>
    <w:p w14:paraId="000000B9"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A subpoena should be quashed if it seeks privileged matters. </w:t>
      </w:r>
      <w:r>
        <w:rPr>
          <w:rFonts w:ascii="Times New Roman" w:eastAsia="Times New Roman" w:hAnsi="Times New Roman" w:cs="Times New Roman"/>
          <w:i/>
          <w:iCs/>
          <w:sz w:val="26"/>
          <w:szCs w:val="26"/>
        </w:rPr>
        <w:t>In re Martin Marietta Corp.</w:t>
      </w:r>
      <w:r>
        <w:rPr>
          <w:rFonts w:ascii="Times New Roman" w:eastAsia="Times New Roman" w:hAnsi="Times New Roman" w:cs="Times New Roman"/>
          <w:sz w:val="26"/>
          <w:szCs w:val="26"/>
        </w:rPr>
        <w:t>, 856 F.2d 619, 622 (4th Cir. 1988). The work-product doctrine prohibits discovery of privileged matters like “reports, memoranda, or other documents made by the defendant,” their attorney or agent. Fed. R. Crim. P. 16(b)(2)(A). The doctrine applies if the document was created “in anticipation of litigation.”</w:t>
      </w:r>
      <w:r>
        <w:rPr>
          <w:rFonts w:ascii="Times New Roman" w:eastAsia="Times New Roman" w:hAnsi="Times New Roman" w:cs="Times New Roman"/>
          <w:i/>
          <w:iCs/>
          <w:sz w:val="26"/>
          <w:szCs w:val="26"/>
        </w:rPr>
        <w:t xml:space="preserve"> In re Grand Jury Investigation</w:t>
      </w:r>
      <w:r>
        <w:rPr>
          <w:rFonts w:ascii="Times New Roman" w:eastAsia="Times New Roman" w:hAnsi="Times New Roman" w:cs="Times New Roman"/>
          <w:sz w:val="26"/>
          <w:szCs w:val="26"/>
        </w:rPr>
        <w:t xml:space="preserve">, 599 F.2d 1224, 1228 (3d Cir. 1979). The mighty protections afforded to such documents necessarily depend on their classification as “fact” or “opinion” work-product. </w:t>
      </w:r>
      <w:r>
        <w:rPr>
          <w:rFonts w:ascii="Times New Roman" w:eastAsia="Times New Roman" w:hAnsi="Times New Roman" w:cs="Times New Roman"/>
          <w:i/>
          <w:iCs/>
          <w:sz w:val="26"/>
          <w:szCs w:val="26"/>
        </w:rPr>
        <w:t>U.S. v. Clemens</w:t>
      </w:r>
      <w:r>
        <w:rPr>
          <w:rFonts w:ascii="Times New Roman" w:eastAsia="Times New Roman" w:hAnsi="Times New Roman" w:cs="Times New Roman"/>
          <w:sz w:val="26"/>
          <w:szCs w:val="26"/>
        </w:rPr>
        <w:t xml:space="preserve">, 793 F.Supp.2d 236, 244 (D.D.C. 2011). These protections give way only in limited circumstances.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422 U.S.</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at 238-39. </w:t>
      </w:r>
    </w:p>
    <w:p w14:paraId="000000BA" w14:textId="77777777" w:rsidR="007C39CF" w:rsidRDefault="00335CC5">
      <w:pPr>
        <w:numPr>
          <w:ilvl w:val="0"/>
          <w:numId w:val="8"/>
        </w:numPr>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Armana’s memorandum was prepared in anticipation of litigation.</w:t>
      </w:r>
    </w:p>
    <w:p w14:paraId="000000BB" w14:textId="77777777" w:rsidR="007C39CF" w:rsidRDefault="007C39CF">
      <w:pPr>
        <w:jc w:val="both"/>
        <w:rPr>
          <w:rFonts w:ascii="Times New Roman" w:eastAsia="Times New Roman" w:hAnsi="Times New Roman" w:cs="Times New Roman"/>
          <w:sz w:val="26"/>
          <w:szCs w:val="26"/>
        </w:rPr>
      </w:pPr>
    </w:p>
    <w:p w14:paraId="000000BC"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Armana prepared the memorandum because of anticipated litigation. The party asserting work-product privilege bears the burden of establishing that the doctrine applies. </w:t>
      </w:r>
      <w:r>
        <w:rPr>
          <w:rFonts w:ascii="Times New Roman" w:eastAsia="Times New Roman" w:hAnsi="Times New Roman" w:cs="Times New Roman"/>
          <w:i/>
          <w:iCs/>
          <w:sz w:val="26"/>
          <w:szCs w:val="26"/>
        </w:rPr>
        <w:t>Conoco Inc. v. U.S. Dept. of Justice</w:t>
      </w:r>
      <w:r>
        <w:rPr>
          <w:rFonts w:ascii="Times New Roman" w:eastAsia="Times New Roman" w:hAnsi="Times New Roman" w:cs="Times New Roman"/>
          <w:sz w:val="26"/>
          <w:szCs w:val="26"/>
        </w:rPr>
        <w:t xml:space="preserve">, 687 F.2d 724, 730 (3d Cir. 1982). The attorney or their agent must have a subjective and objectively reasonable belief that litigation was a “real possibility[,]” and that the document “can fairly be said to have been prepared or obtained because of the prospect of litigation.” </w:t>
      </w:r>
      <w:r>
        <w:rPr>
          <w:rFonts w:ascii="Times New Roman" w:eastAsia="Times New Roman" w:hAnsi="Times New Roman" w:cs="Times New Roman"/>
          <w:i/>
          <w:iCs/>
          <w:sz w:val="26"/>
          <w:szCs w:val="26"/>
        </w:rPr>
        <w:t>Equal Rights Center v. Post Properties, Inc.</w:t>
      </w:r>
      <w:r>
        <w:rPr>
          <w:rFonts w:ascii="Times New Roman" w:eastAsia="Times New Roman" w:hAnsi="Times New Roman" w:cs="Times New Roman"/>
          <w:sz w:val="26"/>
          <w:szCs w:val="26"/>
        </w:rPr>
        <w:t xml:space="preserve">, 247 F.R.D. 208, 210 (D.D.C. 2008). </w:t>
      </w:r>
    </w:p>
    <w:p w14:paraId="000000BD"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Documents are created “in anticipation of litigation” when they are produced by a party whose similarly-positioned peers are in litigation. In </w:t>
      </w:r>
      <w:r>
        <w:rPr>
          <w:rFonts w:ascii="Times New Roman" w:eastAsia="Times New Roman" w:hAnsi="Times New Roman" w:cs="Times New Roman"/>
          <w:i/>
          <w:iCs/>
          <w:sz w:val="26"/>
          <w:szCs w:val="26"/>
        </w:rPr>
        <w:t>Post Properties</w:t>
      </w:r>
      <w:r>
        <w:rPr>
          <w:rFonts w:ascii="Times New Roman" w:eastAsia="Times New Roman" w:hAnsi="Times New Roman" w:cs="Times New Roman"/>
          <w:sz w:val="26"/>
          <w:szCs w:val="26"/>
        </w:rPr>
        <w:t xml:space="preserve">, Post retained and had its attorney conduct and draft memorandums. 247 F.R.D. at 209-10, 211. Post did so because several of its peer developers had been sued by the Equal Rights Center (“ERC”).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211. The court found that because Post’s peers had been sued on “virtually </w:t>
      </w:r>
      <w:r>
        <w:rPr>
          <w:rFonts w:ascii="Times New Roman" w:eastAsia="Times New Roman" w:hAnsi="Times New Roman" w:cs="Times New Roman"/>
          <w:sz w:val="26"/>
          <w:szCs w:val="26"/>
        </w:rPr>
        <w:lastRenderedPageBreak/>
        <w:t xml:space="preserve">identical [c]omplaints” it had a subjective and objectively reasonable belief that litigation would ensue. </w:t>
      </w:r>
      <w:r>
        <w:rPr>
          <w:rFonts w:ascii="Times New Roman" w:eastAsia="Times New Roman" w:hAnsi="Times New Roman" w:cs="Times New Roman"/>
          <w:i/>
          <w:iCs/>
          <w:sz w:val="26"/>
          <w:szCs w:val="26"/>
        </w:rPr>
        <w:t xml:space="preserve">Id. </w:t>
      </w:r>
    </w:p>
    <w:p w14:paraId="000000BE"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Because Calloway’s charges were identical to Donovan’s, Armana’s memorandum was prepared “in anticipation of litigation.” Both Calloway and Post were charged with the same complaints as their peers: here, homicide and money laundering.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Both parties also retained attorneys to prepare for litigation and conduct investigations.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209-10. As such, Calloway had a subjective and objectively reasonable belief that litigation would ensue. Thus, Armana’s memorandum was prepared “in anticipation of litigation” and should receive work-product protections.</w:t>
      </w:r>
    </w:p>
    <w:p w14:paraId="000000BF" w14:textId="77777777" w:rsidR="007C39CF" w:rsidRDefault="00335CC5">
      <w:pPr>
        <w:numPr>
          <w:ilvl w:val="0"/>
          <w:numId w:val="8"/>
        </w:numPr>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Calloway did not waive work-product privilege when Armana was deposed. </w:t>
      </w:r>
    </w:p>
    <w:p w14:paraId="000000C0" w14:textId="77777777" w:rsidR="007C39CF" w:rsidRDefault="007C39CF">
      <w:pPr>
        <w:jc w:val="both"/>
        <w:rPr>
          <w:rFonts w:ascii="Times New Roman" w:eastAsia="Times New Roman" w:hAnsi="Times New Roman" w:cs="Times New Roman"/>
          <w:b/>
          <w:bCs/>
          <w:sz w:val="26"/>
          <w:szCs w:val="26"/>
        </w:rPr>
      </w:pPr>
    </w:p>
    <w:p w14:paraId="000000C1"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work-product privilege may be subject to waiver. </w:t>
      </w:r>
      <w:r>
        <w:rPr>
          <w:rFonts w:ascii="Times New Roman" w:eastAsia="Times New Roman" w:hAnsi="Times New Roman" w:cs="Times New Roman"/>
          <w:i/>
          <w:iCs/>
          <w:sz w:val="26"/>
          <w:szCs w:val="26"/>
        </w:rPr>
        <w:t>In re Martin Marietta Corp.</w:t>
      </w:r>
      <w:r>
        <w:rPr>
          <w:rFonts w:ascii="Times New Roman" w:eastAsia="Times New Roman" w:hAnsi="Times New Roman" w:cs="Times New Roman"/>
          <w:sz w:val="26"/>
          <w:szCs w:val="26"/>
        </w:rPr>
        <w:t xml:space="preserve">, 856 F.2d 619, 624 (4th Cir. 1988). A party waives work-product privilege when it discloses privileged materials to its adversaries by testimonial use at trial.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625. </w:t>
      </w:r>
    </w:p>
    <w:p w14:paraId="000000C2"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There is no waiver if the testimonial use does not occur at trial. </w:t>
      </w:r>
      <w:r>
        <w:rPr>
          <w:rFonts w:ascii="Times New Roman" w:eastAsia="Times New Roman" w:hAnsi="Times New Roman" w:cs="Times New Roman"/>
          <w:i/>
          <w:iCs/>
          <w:sz w:val="26"/>
          <w:szCs w:val="26"/>
        </w:rPr>
        <w:t>See Nobles</w:t>
      </w:r>
      <w:r>
        <w:rPr>
          <w:rFonts w:ascii="Times New Roman" w:eastAsia="Times New Roman" w:hAnsi="Times New Roman" w:cs="Times New Roman"/>
          <w:sz w:val="26"/>
          <w:szCs w:val="26"/>
        </w:rPr>
        <w:t xml:space="preserve">, 422 U.S. at 240. In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the Defense counsel hired an investigator to interview witnesses.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227.</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The investigator detailed those interviews in a written report, which the prosecution sought to inspect.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227-28. The defendant called the investigator to testify at trial and the court held the testimonial use of the work-product in an adversarial proceeding constituted waiver.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239-40. </w:t>
      </w:r>
    </w:p>
    <w:p w14:paraId="000000C3"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Armana did not testify at trial, so Defendant has not waived work-product protections. In both instances, a private investigator prepared documents concerning </w:t>
      </w:r>
      <w:r>
        <w:rPr>
          <w:rFonts w:ascii="Times New Roman" w:eastAsia="Times New Roman" w:hAnsi="Times New Roman" w:cs="Times New Roman"/>
          <w:sz w:val="26"/>
          <w:szCs w:val="26"/>
        </w:rPr>
        <w:lastRenderedPageBreak/>
        <w:t xml:space="preserve">witness interviews.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227. Notably, Defendant called Armana to testify at a deposition, not trial. Thus, there was no testimonial use of Armana’s memorandum and Defendant did not waive protections. As such, the Motion to Quash should be denied. </w:t>
      </w:r>
    </w:p>
    <w:p w14:paraId="000000C4" w14:textId="77777777" w:rsidR="007C39CF" w:rsidRDefault="00335CC5">
      <w:pPr>
        <w:numPr>
          <w:ilvl w:val="0"/>
          <w:numId w:val="8"/>
        </w:numPr>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The memorandum is protected as “fact” work-product because the Government failed to make the requisite showing of substantial burden and undue hardship. </w:t>
      </w:r>
    </w:p>
    <w:p w14:paraId="000000C5" w14:textId="77777777" w:rsidR="007C39CF" w:rsidRDefault="00335CC5">
      <w:pPr>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p>
    <w:p w14:paraId="000000C6"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Armana’s memorandum is not discoverable as a “fact” work-product. Discovery of “fact” work-product requires the party seeking discovery show a substantial need and an undue hardship. </w:t>
      </w:r>
      <w:r>
        <w:rPr>
          <w:rFonts w:ascii="Times New Roman" w:eastAsia="Times New Roman" w:hAnsi="Times New Roman" w:cs="Times New Roman"/>
          <w:i/>
          <w:iCs/>
          <w:sz w:val="26"/>
          <w:szCs w:val="26"/>
        </w:rPr>
        <w:t>U.S. v. Clemens</w:t>
      </w:r>
      <w:r>
        <w:rPr>
          <w:rFonts w:ascii="Times New Roman" w:eastAsia="Times New Roman" w:hAnsi="Times New Roman" w:cs="Times New Roman"/>
          <w:sz w:val="26"/>
          <w:szCs w:val="26"/>
        </w:rPr>
        <w:t>, 793 F.Supp.2d 236, 244 (D.D.C. 2011).</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To satisfy substantial need, the party seeking discovery must show that the materials sought are relevant, have a unique value, and special circumstances excuse their failure to obtain the requested material. </w:t>
      </w:r>
      <w:r>
        <w:rPr>
          <w:rFonts w:ascii="Times New Roman" w:eastAsia="Times New Roman" w:hAnsi="Times New Roman" w:cs="Times New Roman"/>
          <w:i/>
          <w:iCs/>
          <w:sz w:val="26"/>
          <w:szCs w:val="26"/>
        </w:rPr>
        <w:t>F.T.C. v. Boehringer Ingelheim Pharmaceuticals, Inc.</w:t>
      </w:r>
      <w:r>
        <w:rPr>
          <w:rFonts w:ascii="Times New Roman" w:eastAsia="Times New Roman" w:hAnsi="Times New Roman" w:cs="Times New Roman"/>
          <w:sz w:val="26"/>
          <w:szCs w:val="26"/>
        </w:rPr>
        <w:t xml:space="preserve">, 778 F.3d 142, 155 (D.C. Cir. 2015). Generally, undue hardship is found only in “extreme circumstances such as unavailability due to death . . . or where a witness’s geographic location is beyond the court’s subpoena power.” </w:t>
      </w:r>
      <w:r>
        <w:rPr>
          <w:rFonts w:ascii="Times New Roman" w:eastAsia="Times New Roman" w:hAnsi="Times New Roman" w:cs="Times New Roman"/>
          <w:i/>
          <w:iCs/>
          <w:sz w:val="26"/>
          <w:szCs w:val="26"/>
        </w:rPr>
        <w:t>U.S. Equal Employment Opportunity Commission v. George Washington University</w:t>
      </w:r>
      <w:r>
        <w:rPr>
          <w:rFonts w:ascii="Times New Roman" w:eastAsia="Times New Roman" w:hAnsi="Times New Roman" w:cs="Times New Roman"/>
          <w:sz w:val="26"/>
          <w:szCs w:val="26"/>
        </w:rPr>
        <w:t xml:space="preserve">, 342 F.R.D. 161, 184 (D.D.C. 2022). </w:t>
      </w:r>
    </w:p>
    <w:p w14:paraId="000000C7"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party does not suffer an undue hardship if it fails to make adequate efforts to interview the witness. In </w:t>
      </w:r>
      <w:r>
        <w:rPr>
          <w:rFonts w:ascii="Times New Roman" w:eastAsia="Times New Roman" w:hAnsi="Times New Roman" w:cs="Times New Roman"/>
          <w:i/>
          <w:iCs/>
          <w:sz w:val="26"/>
          <w:szCs w:val="26"/>
        </w:rPr>
        <w:t>In re Grand Jury Investigation</w:t>
      </w:r>
      <w:r>
        <w:rPr>
          <w:rFonts w:ascii="Times New Roman" w:eastAsia="Times New Roman" w:hAnsi="Times New Roman" w:cs="Times New Roman"/>
          <w:sz w:val="26"/>
          <w:szCs w:val="26"/>
        </w:rPr>
        <w:t xml:space="preserve">, Sun Company (“Sun”) hired attorneys to investigate potentially illegal payments made by its employees. 599 F.2d 1224, 1227 (3rd Cir. 1979). The attorneys conducted interviews, reducing their notes and recollections to memoranda which were later subpoenaed.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1227-28. The court found that the witnesses were all reachable by subpoena, and that the government’s lack of effort in securing their testimony made the living interviewees’ unavailability “purely </w:t>
      </w:r>
      <w:r>
        <w:rPr>
          <w:rFonts w:ascii="Times New Roman" w:eastAsia="Times New Roman" w:hAnsi="Times New Roman" w:cs="Times New Roman"/>
          <w:sz w:val="26"/>
          <w:szCs w:val="26"/>
        </w:rPr>
        <w:lastRenderedPageBreak/>
        <w:t xml:space="preserve">conjectural.”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1232. Thus, court held that these memoranda were protected by work-product doctrine.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at 1233, 1238.</w:t>
      </w:r>
    </w:p>
    <w:p w14:paraId="000000C8"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Because the Government failed to make a thorough search for Seton, it did not suffer an undue hardship. Both here and in </w:t>
      </w:r>
      <w:r>
        <w:rPr>
          <w:rFonts w:ascii="Times New Roman" w:eastAsia="Times New Roman" w:hAnsi="Times New Roman" w:cs="Times New Roman"/>
          <w:i/>
          <w:iCs/>
          <w:sz w:val="26"/>
          <w:szCs w:val="26"/>
        </w:rPr>
        <w:t>Grand Jury Investigation</w:t>
      </w:r>
      <w:r>
        <w:rPr>
          <w:rFonts w:ascii="Times New Roman" w:eastAsia="Times New Roman" w:hAnsi="Times New Roman" w:cs="Times New Roman"/>
          <w:sz w:val="26"/>
          <w:szCs w:val="26"/>
        </w:rPr>
        <w:t xml:space="preserve"> the Government failed to conduct thorough investigations. 599 F.2d at 1232. Here, the Government discovered Seton using the payroll transactions, but has since only checked flight records and made vague “investigative efforts.” In fact, the Government’s failure to discover Seton prior to her leaving the country emphasizes the stark difference between Armana’s efforts and the Government's lack thereof. Armana alone “took real time and real effort” in pulling old records, former addresses, and talking to peo</w:t>
      </w:r>
      <w:r>
        <w:rPr>
          <w:rFonts w:ascii="Times New Roman" w:eastAsia="Times New Roman" w:hAnsi="Times New Roman" w:cs="Times New Roman"/>
          <w:sz w:val="26"/>
          <w:szCs w:val="26"/>
        </w:rPr>
        <w:t xml:space="preserve">ple connected with Seton. Armana located Seton in a place only “a few hours from Gulf Haven.” Just like the government in </w:t>
      </w:r>
      <w:r>
        <w:rPr>
          <w:rFonts w:ascii="Times New Roman" w:eastAsia="Times New Roman" w:hAnsi="Times New Roman" w:cs="Times New Roman"/>
          <w:i/>
          <w:iCs/>
          <w:sz w:val="26"/>
          <w:szCs w:val="26"/>
        </w:rPr>
        <w:t>Grand Jury Investigation</w:t>
      </w:r>
      <w:r>
        <w:rPr>
          <w:rFonts w:ascii="Times New Roman" w:eastAsia="Times New Roman" w:hAnsi="Times New Roman" w:cs="Times New Roman"/>
          <w:sz w:val="26"/>
          <w:szCs w:val="26"/>
        </w:rPr>
        <w:t xml:space="preserve">, the Government here failed to make sufficient efforts to interview an individual within this Court’s subpoena power. </w:t>
      </w:r>
      <w:r>
        <w:rPr>
          <w:rFonts w:ascii="Times New Roman" w:eastAsia="Times New Roman" w:hAnsi="Times New Roman" w:cs="Times New Roman"/>
          <w:i/>
          <w:iCs/>
          <w:sz w:val="26"/>
          <w:szCs w:val="26"/>
        </w:rPr>
        <w:t xml:space="preserve">See </w:t>
      </w:r>
      <w:r>
        <w:rPr>
          <w:rFonts w:ascii="Times New Roman" w:eastAsia="Times New Roman" w:hAnsi="Times New Roman" w:cs="Times New Roman"/>
          <w:sz w:val="26"/>
          <w:szCs w:val="26"/>
        </w:rPr>
        <w:t xml:space="preserve">599 F.2d at 1232. Thus, the Government failed to show that it suffered an undue hardship. </w:t>
      </w:r>
    </w:p>
    <w:p w14:paraId="000000C9"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Armana’s memorandum should be afforded work-product protections and the motion to quash, granted.</w:t>
      </w:r>
    </w:p>
    <w:p w14:paraId="000000CA" w14:textId="77777777" w:rsidR="007C39CF" w:rsidRDefault="00335CC5">
      <w:pPr>
        <w:numPr>
          <w:ilvl w:val="0"/>
          <w:numId w:val="8"/>
        </w:numPr>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Armana’s memorandum is “opinion” work-product, making it undiscoverable. </w:t>
      </w:r>
    </w:p>
    <w:p w14:paraId="000000CB" w14:textId="77777777" w:rsidR="007C39CF" w:rsidRDefault="007C39CF">
      <w:pPr>
        <w:spacing w:line="240" w:lineRule="auto"/>
        <w:ind w:left="1440"/>
        <w:jc w:val="both"/>
        <w:rPr>
          <w:rFonts w:ascii="Times New Roman" w:eastAsia="Times New Roman" w:hAnsi="Times New Roman" w:cs="Times New Roman"/>
          <w:b/>
          <w:bCs/>
          <w:sz w:val="26"/>
          <w:szCs w:val="26"/>
        </w:rPr>
      </w:pPr>
    </w:p>
    <w:p w14:paraId="000000CC"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Government cannot discover Armana’s own thoughts. Notes or memoranda prepared by a private investigator reflecting their “recollection or impression of witness interviews constitute opinion work-product.” </w:t>
      </w:r>
      <w:r>
        <w:rPr>
          <w:rFonts w:ascii="Times New Roman" w:eastAsia="Times New Roman" w:hAnsi="Times New Roman" w:cs="Times New Roman"/>
          <w:i/>
          <w:iCs/>
          <w:sz w:val="26"/>
          <w:szCs w:val="26"/>
        </w:rPr>
        <w:t>Dempsey v. Bucknell Univ.</w:t>
      </w:r>
      <w:r>
        <w:rPr>
          <w:rFonts w:ascii="Times New Roman" w:eastAsia="Times New Roman" w:hAnsi="Times New Roman" w:cs="Times New Roman"/>
          <w:sz w:val="26"/>
          <w:szCs w:val="26"/>
        </w:rPr>
        <w:t xml:space="preserve">, 296 F.R.D. 323, 329 (M.D. Pa. 2013). This is discoverable only in “rare situations” such that it is “virtually </w:t>
      </w:r>
      <w:r>
        <w:rPr>
          <w:rFonts w:ascii="Times New Roman" w:eastAsia="Times New Roman" w:hAnsi="Times New Roman" w:cs="Times New Roman"/>
          <w:sz w:val="26"/>
          <w:szCs w:val="26"/>
        </w:rPr>
        <w:lastRenderedPageBreak/>
        <w:t xml:space="preserve">undiscoverable[.]”  </w:t>
      </w:r>
      <w:r>
        <w:rPr>
          <w:rFonts w:ascii="Times New Roman" w:eastAsia="Times New Roman" w:hAnsi="Times New Roman" w:cs="Times New Roman"/>
          <w:i/>
          <w:iCs/>
          <w:sz w:val="26"/>
          <w:szCs w:val="26"/>
        </w:rPr>
        <w:t>In re Grand Jury Investigation</w:t>
      </w:r>
      <w:r>
        <w:rPr>
          <w:rFonts w:ascii="Times New Roman" w:eastAsia="Times New Roman" w:hAnsi="Times New Roman" w:cs="Times New Roman"/>
          <w:sz w:val="26"/>
          <w:szCs w:val="26"/>
        </w:rPr>
        <w:t xml:space="preserve">, 599 F.2d 1224, 1231 (3rd Cir. 1979). Accordingly, Armana’s work-product is protected because even the facts are intertwined with and reflect his own thoughts. </w:t>
      </w:r>
    </w:p>
    <w:p w14:paraId="000000CD"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Given that Armana’s memorandum is protected by work-product privilege, and that the Government failed to establish that the document is otherwise discoverable, Calloway’s Motion to Quash should be granted. </w:t>
      </w:r>
    </w:p>
    <w:p w14:paraId="000000CE" w14:textId="77777777" w:rsidR="007C39CF" w:rsidRDefault="00335CC5">
      <w:pPr>
        <w:spacing w:line="480" w:lineRule="auto"/>
        <w:ind w:firstLine="7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CONCLUSION</w:t>
      </w:r>
    </w:p>
    <w:p w14:paraId="000000CF" w14:textId="77777777" w:rsidR="007C39CF" w:rsidRDefault="00335CC5">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Government’s misuse of Calloway’s protected testimony tainted the evidence presented during grand jury proceedings, and the failure to insulate investigations violated Calloway’s clearly established Constitutional rights. Accordingly, Defendant’s Motion to Suppress should be GRANTED. </w:t>
      </w:r>
    </w:p>
    <w:p w14:paraId="000000D0" w14:textId="77777777" w:rsidR="007C39CF" w:rsidRDefault="00335CC5">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Armana’s memorandum was prepared in anticipation of litigation and not discoverable because it is protected by work-product privileges. Because the Government’s Subpoena Duces Tecum is unreasonable and oppressive, Defendant’s Motion to Quash should be GRANTED. </w:t>
      </w:r>
    </w:p>
    <w:p w14:paraId="000000D1" w14:textId="77777777" w:rsidR="007C39CF" w:rsidRDefault="007C39CF">
      <w:pPr>
        <w:spacing w:line="480" w:lineRule="auto"/>
        <w:ind w:firstLine="720"/>
        <w:jc w:val="both"/>
        <w:rPr>
          <w:rFonts w:ascii="Times New Roman" w:eastAsia="Times New Roman" w:hAnsi="Times New Roman" w:cs="Times New Roman"/>
          <w:sz w:val="26"/>
          <w:szCs w:val="26"/>
        </w:rPr>
      </w:pPr>
    </w:p>
    <w:p w14:paraId="000000D2" w14:textId="77777777" w:rsidR="007C39CF" w:rsidRDefault="007C39CF">
      <w:pPr>
        <w:spacing w:line="480" w:lineRule="auto"/>
        <w:ind w:firstLine="720"/>
        <w:jc w:val="both"/>
        <w:rPr>
          <w:rFonts w:ascii="Times New Roman" w:eastAsia="Times New Roman" w:hAnsi="Times New Roman" w:cs="Times New Roman"/>
          <w:sz w:val="26"/>
          <w:szCs w:val="26"/>
        </w:rPr>
      </w:pPr>
    </w:p>
    <w:p w14:paraId="000000D3" w14:textId="77777777" w:rsidR="007C39CF" w:rsidRDefault="00335CC5">
      <w:pPr>
        <w:spacing w:line="480" w:lineRule="auto"/>
        <w:rPr>
          <w:rFonts w:ascii="Times New Roman" w:eastAsia="Times New Roman" w:hAnsi="Times New Roman" w:cs="Times New Roman"/>
          <w:sz w:val="26"/>
          <w:szCs w:val="26"/>
        </w:rPr>
      </w:pPr>
      <w:r>
        <w:br w:type="page"/>
      </w:r>
    </w:p>
    <w:p w14:paraId="000000D4" w14:textId="77777777" w:rsidR="007C39CF" w:rsidRDefault="00335CC5">
      <w:pPr>
        <w:spacing w:line="48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lastRenderedPageBreak/>
        <w:t>CERTIFICATE OF SERVICE</w:t>
      </w:r>
    </w:p>
    <w:p w14:paraId="000000D5" w14:textId="77777777" w:rsidR="007C39CF" w:rsidRDefault="00335CC5">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We, attorneys for the Defendant, Emily Calloway, do hereby certify that a true and correct copy of the foregoing memorandum of law has been served by electronic mail to all attorneys of record on this the 1st day of September 2026.</w:t>
      </w:r>
    </w:p>
    <w:p w14:paraId="000000D6" w14:textId="77777777" w:rsidR="007C39CF" w:rsidRDefault="007C39CF">
      <w:pPr>
        <w:spacing w:line="240" w:lineRule="auto"/>
        <w:rPr>
          <w:rFonts w:ascii="Times New Roman" w:eastAsia="Times New Roman" w:hAnsi="Times New Roman" w:cs="Times New Roman"/>
          <w:sz w:val="26"/>
          <w:szCs w:val="26"/>
        </w:rPr>
      </w:pPr>
    </w:p>
    <w:p w14:paraId="000000D7" w14:textId="77777777" w:rsidR="007C39CF" w:rsidRDefault="00335CC5">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u w:val="single"/>
        </w:rPr>
        <w:t>/s/TEAM302</w:t>
      </w:r>
    </w:p>
    <w:p w14:paraId="000000D8" w14:textId="77777777" w:rsidR="007C39CF" w:rsidRDefault="00335CC5">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u w:val="single"/>
        </w:rPr>
        <w:t>TEAM302</w:t>
      </w:r>
    </w:p>
    <w:p w14:paraId="000000D9" w14:textId="77777777" w:rsidR="007C39CF" w:rsidRDefault="00335CC5">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i/>
          <w:iCs/>
          <w:sz w:val="26"/>
          <w:szCs w:val="26"/>
        </w:rPr>
        <w:t>Attorneys for the Defendant</w:t>
      </w:r>
    </w:p>
    <w:p w14:paraId="000000DA" w14:textId="77777777" w:rsidR="007C39CF" w:rsidRDefault="007C39CF">
      <w:pPr>
        <w:spacing w:line="480" w:lineRule="auto"/>
        <w:ind w:firstLine="720"/>
        <w:jc w:val="both"/>
        <w:rPr>
          <w:rFonts w:ascii="Times New Roman" w:eastAsia="Times New Roman" w:hAnsi="Times New Roman" w:cs="Times New Roman"/>
          <w:sz w:val="26"/>
          <w:szCs w:val="26"/>
        </w:rPr>
      </w:pPr>
    </w:p>
    <w:p w14:paraId="000000DB" w14:textId="77777777" w:rsidR="007C39CF" w:rsidRDefault="007C39CF">
      <w:pPr>
        <w:jc w:val="both"/>
        <w:rPr>
          <w:rFonts w:ascii="Times New Roman" w:eastAsia="Times New Roman" w:hAnsi="Times New Roman" w:cs="Times New Roman"/>
          <w:sz w:val="26"/>
          <w:szCs w:val="26"/>
        </w:rPr>
      </w:pPr>
    </w:p>
    <w:p w14:paraId="000000DC" w14:textId="77777777" w:rsidR="007C39CF" w:rsidRDefault="007C39CF">
      <w:pPr>
        <w:rPr>
          <w:rFonts w:ascii="Times New Roman" w:eastAsia="Times New Roman" w:hAnsi="Times New Roman" w:cs="Times New Roman"/>
          <w:sz w:val="26"/>
          <w:szCs w:val="26"/>
        </w:rPr>
      </w:pPr>
    </w:p>
    <w:sectPr w:rsidR="007C39CF">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AE35F" w14:textId="77777777" w:rsidR="00335CC5" w:rsidRDefault="00335CC5">
      <w:pPr>
        <w:spacing w:line="240" w:lineRule="auto"/>
      </w:pPr>
      <w:r>
        <w:separator/>
      </w:r>
    </w:p>
  </w:endnote>
  <w:endnote w:type="continuationSeparator" w:id="0">
    <w:p w14:paraId="74BCD638" w14:textId="77777777" w:rsidR="00335CC5" w:rsidRDefault="00335C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36DB5A3-A552-4C37-8F92-34999FC865FA}"/>
  </w:font>
  <w:font w:name="Cambria">
    <w:panose1 w:val="02040503050406030204"/>
    <w:charset w:val="00"/>
    <w:family w:val="roman"/>
    <w:pitch w:val="variable"/>
    <w:sig w:usb0="E00006FF" w:usb1="420024FF" w:usb2="02000000" w:usb3="00000000" w:csb0="0000019F" w:csb1="00000000"/>
    <w:embedRegular r:id="rId2" w:fontKey="{3E657E06-3B6C-455B-8BC9-A839D9EAEA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D" w14:textId="59661F37" w:rsidR="007C39CF" w:rsidRDefault="00335CC5">
    <w:pPr>
      <w:jc w:val="center"/>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A67994">
      <w:rPr>
        <w:rFonts w:ascii="Times New Roman" w:eastAsia="Times New Roman" w:hAnsi="Times New Roman" w:cs="Times New Roman"/>
        <w:noProof/>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94C8D" w14:textId="77777777" w:rsidR="00335CC5" w:rsidRDefault="00335CC5">
      <w:pPr>
        <w:spacing w:line="240" w:lineRule="auto"/>
      </w:pPr>
      <w:r>
        <w:separator/>
      </w:r>
    </w:p>
  </w:footnote>
  <w:footnote w:type="continuationSeparator" w:id="0">
    <w:p w14:paraId="77F119B9" w14:textId="77777777" w:rsidR="00335CC5" w:rsidRDefault="00335CC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6EAC"/>
    <w:multiLevelType w:val="multilevel"/>
    <w:tmpl w:val="F1920FE0"/>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1D0E63A4"/>
    <w:multiLevelType w:val="multilevel"/>
    <w:tmpl w:val="CDD623C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2" w15:restartNumberingAfterBreak="0">
    <w:nsid w:val="20966575"/>
    <w:multiLevelType w:val="multilevel"/>
    <w:tmpl w:val="1DACCD1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D640982"/>
    <w:multiLevelType w:val="multilevel"/>
    <w:tmpl w:val="C3E006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B282F59"/>
    <w:multiLevelType w:val="multilevel"/>
    <w:tmpl w:val="26946E7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4939460B"/>
    <w:multiLevelType w:val="multilevel"/>
    <w:tmpl w:val="CB9CCE5C"/>
    <w:lvl w:ilvl="0">
      <w:start w:val="1"/>
      <w:numFmt w:val="upp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18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18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180"/>
      </w:pPr>
      <w:rPr>
        <w:u w:val="none"/>
      </w:rPr>
    </w:lvl>
  </w:abstractNum>
  <w:abstractNum w:abstractNumId="6" w15:restartNumberingAfterBreak="0">
    <w:nsid w:val="52037A55"/>
    <w:multiLevelType w:val="multilevel"/>
    <w:tmpl w:val="CB006BAC"/>
    <w:lvl w:ilvl="0">
      <w:start w:val="1"/>
      <w:numFmt w:val="upp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18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18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180"/>
      </w:pPr>
      <w:rPr>
        <w:u w:val="none"/>
      </w:rPr>
    </w:lvl>
  </w:abstractNum>
  <w:abstractNum w:abstractNumId="7" w15:restartNumberingAfterBreak="0">
    <w:nsid w:val="7E0551A7"/>
    <w:multiLevelType w:val="multilevel"/>
    <w:tmpl w:val="7304BB9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71316690">
    <w:abstractNumId w:val="0"/>
  </w:num>
  <w:num w:numId="2" w16cid:durableId="339740348">
    <w:abstractNumId w:val="1"/>
  </w:num>
  <w:num w:numId="3" w16cid:durableId="1234000676">
    <w:abstractNumId w:val="2"/>
  </w:num>
  <w:num w:numId="4" w16cid:durableId="377362844">
    <w:abstractNumId w:val="6"/>
  </w:num>
  <w:num w:numId="5" w16cid:durableId="561865523">
    <w:abstractNumId w:val="5"/>
  </w:num>
  <w:num w:numId="6" w16cid:durableId="732119835">
    <w:abstractNumId w:val="7"/>
  </w:num>
  <w:num w:numId="7" w16cid:durableId="663626201">
    <w:abstractNumId w:val="3"/>
  </w:num>
  <w:num w:numId="8" w16cid:durableId="16989634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9CF"/>
    <w:rsid w:val="00006455"/>
    <w:rsid w:val="00335CC5"/>
    <w:rsid w:val="004255B1"/>
    <w:rsid w:val="00561B9C"/>
    <w:rsid w:val="00676336"/>
    <w:rsid w:val="007C35CA"/>
    <w:rsid w:val="007C39CF"/>
    <w:rsid w:val="008648F3"/>
    <w:rsid w:val="008D2421"/>
    <w:rsid w:val="00A67994"/>
    <w:rsid w:val="00CE503D"/>
    <w:rsid w:val="00D95E4A"/>
    <w:rsid w:val="00EC3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76A1B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D2421"/>
    <w:pPr>
      <w:tabs>
        <w:tab w:val="center" w:pos="4680"/>
        <w:tab w:val="right" w:pos="9360"/>
      </w:tabs>
      <w:spacing w:line="240" w:lineRule="auto"/>
    </w:pPr>
  </w:style>
  <w:style w:type="character" w:customStyle="1" w:styleId="HeaderChar">
    <w:name w:val="Header Char"/>
    <w:basedOn w:val="DefaultParagraphFont"/>
    <w:link w:val="Header"/>
    <w:uiPriority w:val="99"/>
    <w:rsid w:val="008D2421"/>
  </w:style>
  <w:style w:type="paragraph" w:styleId="Footer">
    <w:name w:val="footer"/>
    <w:basedOn w:val="Normal"/>
    <w:link w:val="FooterChar"/>
    <w:uiPriority w:val="99"/>
    <w:unhideWhenUsed/>
    <w:rsid w:val="008D2421"/>
    <w:pPr>
      <w:tabs>
        <w:tab w:val="center" w:pos="4680"/>
        <w:tab w:val="right" w:pos="9360"/>
      </w:tabs>
      <w:spacing w:line="240" w:lineRule="auto"/>
    </w:pPr>
  </w:style>
  <w:style w:type="character" w:customStyle="1" w:styleId="FooterChar">
    <w:name w:val="Footer Char"/>
    <w:basedOn w:val="DefaultParagraphFont"/>
    <w:link w:val="Footer"/>
    <w:uiPriority w:val="99"/>
    <w:rsid w:val="008D2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A3B6D407-5BEF-436F-A3E3-31E91506B6CD}"/>
</file>

<file path=customXml/itemProps2.xml><?xml version="1.0" encoding="utf-8"?>
<ds:datastoreItem xmlns:ds="http://schemas.openxmlformats.org/officeDocument/2006/customXml" ds:itemID="{F822059D-94D3-4163-A617-4D7C9066E99C}"/>
</file>

<file path=customXml/itemProps3.xml><?xml version="1.0" encoding="utf-8"?>
<ds:datastoreItem xmlns:ds="http://schemas.openxmlformats.org/officeDocument/2006/customXml" ds:itemID="{535A867D-CB62-498E-840C-A6FAD93A7330}"/>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5458</Words>
  <Characters>31113</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2026-09-09T00:28:00Z</dcterms:created>
  <dcterms:modified xsi:type="dcterms:W3CDTF">2026-09-09T00:28:00Z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