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9D03A7" w14:textId="77777777" w:rsidR="00654050" w:rsidRPr="00654050" w:rsidRDefault="00654050" w:rsidP="00654050">
      <w:pPr>
        <w:jc w:val="center"/>
      </w:pPr>
    </w:p>
    <w:p w14:paraId="7A81124C" w14:textId="77777777" w:rsidR="00654050" w:rsidRPr="00654050" w:rsidRDefault="00654050" w:rsidP="00654050">
      <w:pPr>
        <w:jc w:val="center"/>
      </w:pPr>
    </w:p>
    <w:p w14:paraId="2CE71363" w14:textId="78A20404" w:rsidR="00620694" w:rsidRPr="00BF5772" w:rsidRDefault="00620694" w:rsidP="00654050">
      <w:pPr>
        <w:jc w:val="center"/>
      </w:pPr>
      <w:r w:rsidRPr="00BF5772">
        <w:t>Case No. 2025-CF-00417</w:t>
      </w:r>
    </w:p>
    <w:p w14:paraId="37DF8306" w14:textId="77777777" w:rsidR="00620694" w:rsidRPr="00BF5772" w:rsidRDefault="00620694" w:rsidP="00654050">
      <w:pPr>
        <w:jc w:val="center"/>
      </w:pPr>
      <w:r w:rsidRPr="00BF5772">
        <w:t>________________________________________________________</w:t>
      </w:r>
    </w:p>
    <w:p w14:paraId="79A5D2F2" w14:textId="77777777" w:rsidR="00654050" w:rsidRPr="00BF5772" w:rsidRDefault="00654050" w:rsidP="00654050"/>
    <w:p w14:paraId="14B250A7" w14:textId="44A7EFC3" w:rsidR="00620694" w:rsidRPr="00BF5772" w:rsidRDefault="00620694" w:rsidP="00654050">
      <w:pPr>
        <w:spacing w:after="0"/>
        <w:jc w:val="center"/>
        <w:rPr>
          <w:sz w:val="32"/>
          <w:szCs w:val="32"/>
        </w:rPr>
      </w:pPr>
      <w:r w:rsidRPr="00BF5772">
        <w:rPr>
          <w:sz w:val="32"/>
          <w:szCs w:val="32"/>
        </w:rPr>
        <w:t>United States District Court</w:t>
      </w:r>
    </w:p>
    <w:p w14:paraId="17CCD77C" w14:textId="77777777" w:rsidR="00620694" w:rsidRPr="00BF5772" w:rsidRDefault="00620694" w:rsidP="00654050">
      <w:pPr>
        <w:jc w:val="center"/>
        <w:rPr>
          <w:sz w:val="32"/>
          <w:szCs w:val="32"/>
        </w:rPr>
      </w:pPr>
      <w:r w:rsidRPr="00BF5772">
        <w:rPr>
          <w:sz w:val="32"/>
          <w:szCs w:val="32"/>
        </w:rPr>
        <w:t>Fourteenth Judicial District</w:t>
      </w:r>
    </w:p>
    <w:p w14:paraId="28736818" w14:textId="77777777" w:rsidR="00620694" w:rsidRPr="00BF5772" w:rsidRDefault="00620694" w:rsidP="00654050">
      <w:pPr>
        <w:spacing w:before="240"/>
        <w:jc w:val="center"/>
      </w:pPr>
      <w:r w:rsidRPr="00BF5772">
        <w:t>________________________________________________________</w:t>
      </w:r>
    </w:p>
    <w:p w14:paraId="6E6D3576" w14:textId="77777777" w:rsidR="00620694" w:rsidRPr="00BF5772" w:rsidRDefault="00620694" w:rsidP="00654050">
      <w:pPr>
        <w:jc w:val="center"/>
      </w:pPr>
    </w:p>
    <w:p w14:paraId="6EA8DA6A" w14:textId="77777777" w:rsidR="00620694" w:rsidRPr="00BF5772" w:rsidRDefault="00620694" w:rsidP="00654050">
      <w:pPr>
        <w:jc w:val="center"/>
      </w:pPr>
    </w:p>
    <w:p w14:paraId="5ECFF996" w14:textId="77777777" w:rsidR="00620694" w:rsidRPr="00BF5772" w:rsidRDefault="00620694" w:rsidP="00654050">
      <w:pPr>
        <w:jc w:val="center"/>
        <w:rPr>
          <w:b/>
          <w:bCs/>
        </w:rPr>
      </w:pPr>
      <w:r w:rsidRPr="00BF5772">
        <w:rPr>
          <w:b/>
          <w:bCs/>
        </w:rPr>
        <w:t>UNITED STATES OF AMERICA</w:t>
      </w:r>
    </w:p>
    <w:p w14:paraId="6BA6CAAD" w14:textId="77777777" w:rsidR="00620694" w:rsidRPr="00BF5772" w:rsidRDefault="00620694" w:rsidP="00654050">
      <w:pPr>
        <w:jc w:val="center"/>
        <w:rPr>
          <w:b/>
          <w:bCs/>
        </w:rPr>
      </w:pPr>
      <w:r w:rsidRPr="00BF5772">
        <w:rPr>
          <w:b/>
          <w:bCs/>
        </w:rPr>
        <w:t>v.</w:t>
      </w:r>
    </w:p>
    <w:p w14:paraId="78BA5138" w14:textId="77777777" w:rsidR="00620694" w:rsidRPr="00BF5772" w:rsidRDefault="00620694" w:rsidP="00654050">
      <w:pPr>
        <w:jc w:val="center"/>
        <w:rPr>
          <w:b/>
          <w:bCs/>
        </w:rPr>
      </w:pPr>
      <w:r w:rsidRPr="00BF5772">
        <w:rPr>
          <w:b/>
          <w:bCs/>
        </w:rPr>
        <w:t>EMILY CALLOWAY</w:t>
      </w:r>
    </w:p>
    <w:p w14:paraId="1ECAD3A5" w14:textId="77777777" w:rsidR="00620694" w:rsidRPr="00BF5772" w:rsidRDefault="00620694" w:rsidP="00654050">
      <w:pPr>
        <w:jc w:val="center"/>
      </w:pPr>
    </w:p>
    <w:p w14:paraId="662635FC" w14:textId="77777777" w:rsidR="00620694" w:rsidRPr="00BF5772" w:rsidRDefault="00620694" w:rsidP="00654050">
      <w:pPr>
        <w:pBdr>
          <w:bottom w:val="single" w:sz="12" w:space="1" w:color="auto"/>
        </w:pBdr>
        <w:jc w:val="center"/>
      </w:pPr>
    </w:p>
    <w:p w14:paraId="3210CE14" w14:textId="77777777" w:rsidR="00654050" w:rsidRPr="00BF5772" w:rsidRDefault="00654050" w:rsidP="00654050">
      <w:pPr>
        <w:jc w:val="center"/>
      </w:pPr>
    </w:p>
    <w:p w14:paraId="74DBE2E6" w14:textId="3197885A" w:rsidR="00620694" w:rsidRPr="00BF5772" w:rsidRDefault="00620694" w:rsidP="00654050">
      <w:pPr>
        <w:jc w:val="center"/>
        <w:rPr>
          <w:b/>
          <w:bCs/>
        </w:rPr>
      </w:pPr>
      <w:r w:rsidRPr="00BF5772">
        <w:t>NON-MOVANT’S MEMORANDUM OF LAW</w:t>
      </w:r>
    </w:p>
    <w:p w14:paraId="329C9488" w14:textId="51DFE4B4" w:rsidR="00620694" w:rsidRPr="00BF5772" w:rsidRDefault="00620694" w:rsidP="00654050">
      <w:pPr>
        <w:jc w:val="center"/>
      </w:pPr>
      <w:r w:rsidRPr="00BF5772">
        <w:t>__________________________________________________________________</w:t>
      </w:r>
    </w:p>
    <w:p w14:paraId="3BFAEC5D" w14:textId="77777777" w:rsidR="00620694" w:rsidRPr="00BF5772" w:rsidRDefault="00620694" w:rsidP="00654050">
      <w:pPr>
        <w:jc w:val="center"/>
      </w:pPr>
    </w:p>
    <w:p w14:paraId="244A8627" w14:textId="77777777" w:rsidR="00620694" w:rsidRPr="00BF5772" w:rsidRDefault="00620694" w:rsidP="00654050">
      <w:pPr>
        <w:ind w:left="5760"/>
      </w:pPr>
      <w:r w:rsidRPr="00BF5772">
        <w:t>Team 301</w:t>
      </w:r>
    </w:p>
    <w:p w14:paraId="5A093BE4" w14:textId="52A5EB55" w:rsidR="00620694" w:rsidRPr="00BF5772" w:rsidRDefault="00620694" w:rsidP="00654050">
      <w:pPr>
        <w:ind w:left="5760"/>
      </w:pPr>
      <w:r w:rsidRPr="00BF5772">
        <w:t>Counsel for Prosecution</w:t>
      </w:r>
    </w:p>
    <w:p w14:paraId="3045B3BA" w14:textId="77777777" w:rsidR="00064C63" w:rsidRPr="00BF5772" w:rsidRDefault="00064C63" w:rsidP="00064C63">
      <w:pPr>
        <w:sectPr w:rsidR="00064C63" w:rsidRPr="00BF5772" w:rsidSect="00064C63">
          <w:footerReference w:type="even" r:id="rId7"/>
          <w:footerReference w:type="default" r:id="rId8"/>
          <w:headerReference w:type="first" r:id="rId9"/>
          <w:type w:val="continuous"/>
          <w:pgSz w:w="12240" w:h="15840"/>
          <w:pgMar w:top="1440" w:right="1440" w:bottom="1440" w:left="1440" w:header="720" w:footer="720" w:gutter="0"/>
          <w:cols w:space="720"/>
          <w:titlePg/>
          <w:docGrid w:linePitch="360"/>
        </w:sectPr>
      </w:pPr>
    </w:p>
    <w:p w14:paraId="7152041B" w14:textId="6259F62B" w:rsidR="00064C63" w:rsidRPr="00BF5772" w:rsidRDefault="00064C63" w:rsidP="00654050">
      <w:pPr>
        <w:jc w:val="center"/>
        <w:rPr>
          <w:b/>
          <w:bCs/>
        </w:rPr>
      </w:pPr>
      <w:r w:rsidRPr="00BF5772">
        <w:rPr>
          <w:b/>
          <w:bCs/>
        </w:rPr>
        <w:lastRenderedPageBreak/>
        <w:t>TABLE OF CONTENTS</w:t>
      </w:r>
    </w:p>
    <w:sdt>
      <w:sdtPr>
        <w:rPr>
          <w:rFonts w:ascii="Times New Roman" w:hAnsi="Times New Roman" w:cs="Times New Roman"/>
          <w:b w:val="0"/>
          <w:bCs w:val="0"/>
          <w:i w:val="0"/>
          <w:iCs w:val="0"/>
          <w:sz w:val="28"/>
          <w:szCs w:val="28"/>
        </w:rPr>
        <w:id w:val="1848433331"/>
        <w:docPartObj>
          <w:docPartGallery w:val="Table of Contents"/>
          <w:docPartUnique/>
        </w:docPartObj>
      </w:sdtPr>
      <w:sdtEndPr>
        <w:rPr>
          <w:noProof/>
        </w:rPr>
      </w:sdtEndPr>
      <w:sdtContent>
        <w:p w14:paraId="651C8DA4" w14:textId="0E332C12" w:rsidR="00654050" w:rsidRPr="00EA0839" w:rsidRDefault="00654050" w:rsidP="00EA0839">
          <w:pPr>
            <w:pStyle w:val="TOC1"/>
            <w:tabs>
              <w:tab w:val="clear" w:pos="560"/>
            </w:tabs>
            <w:ind w:left="720" w:hanging="720"/>
            <w:rPr>
              <w:rFonts w:ascii="Times New Roman" w:eastAsiaTheme="minorEastAsia" w:hAnsi="Times New Roman" w:cs="Times New Roman"/>
              <w:noProof/>
              <w:sz w:val="28"/>
              <w:szCs w:val="28"/>
            </w:rPr>
          </w:pPr>
          <w:r w:rsidRPr="00BF5772">
            <w:fldChar w:fldCharType="begin"/>
          </w:r>
          <w:r w:rsidRPr="00BF5772">
            <w:instrText xml:space="preserve"> TOC \o "1-3" \h \z \u </w:instrText>
          </w:r>
          <w:r w:rsidRPr="00BF5772">
            <w:fldChar w:fldCharType="separate"/>
          </w:r>
          <w:hyperlink w:anchor="_Toc239144074" w:history="1">
            <w:r w:rsidRPr="00EA0839">
              <w:rPr>
                <w:rStyle w:val="Hyperlink"/>
                <w:rFonts w:ascii="Times New Roman" w:hAnsi="Times New Roman" w:cs="Times New Roman"/>
                <w:i w:val="0"/>
                <w:iCs w:val="0"/>
                <w:noProof/>
                <w:sz w:val="28"/>
                <w:szCs w:val="28"/>
              </w:rPr>
              <w:t xml:space="preserve">I. </w:t>
            </w:r>
            <w:r w:rsidRPr="00EA0839">
              <w:rPr>
                <w:rFonts w:ascii="Times New Roman" w:eastAsiaTheme="minorEastAsia" w:hAnsi="Times New Roman" w:cs="Times New Roman"/>
                <w:noProof/>
                <w:sz w:val="28"/>
                <w:szCs w:val="28"/>
              </w:rPr>
              <w:tab/>
            </w:r>
            <w:r w:rsidRPr="00EA0839">
              <w:rPr>
                <w:rStyle w:val="Hyperlink"/>
                <w:rFonts w:ascii="Times New Roman" w:hAnsi="Times New Roman" w:cs="Times New Roman"/>
                <w:i w:val="0"/>
                <w:iCs w:val="0"/>
                <w:noProof/>
                <w:sz w:val="28"/>
                <w:szCs w:val="28"/>
              </w:rPr>
              <w:t>INTRODUCTION WITH REQUEST FOR RELIEF</w:t>
            </w:r>
            <w:r w:rsidRPr="00EA0839">
              <w:rPr>
                <w:rFonts w:ascii="Times New Roman" w:hAnsi="Times New Roman" w:cs="Times New Roman"/>
                <w:noProof/>
                <w:webHidden/>
                <w:sz w:val="28"/>
                <w:szCs w:val="28"/>
              </w:rPr>
              <w:tab/>
            </w:r>
            <w:r w:rsidRPr="00EA0839">
              <w:rPr>
                <w:rFonts w:ascii="Times New Roman" w:hAnsi="Times New Roman" w:cs="Times New Roman"/>
                <w:noProof/>
                <w:webHidden/>
                <w:sz w:val="28"/>
                <w:szCs w:val="28"/>
              </w:rPr>
              <w:fldChar w:fldCharType="begin"/>
            </w:r>
            <w:r w:rsidRPr="00EA0839">
              <w:rPr>
                <w:rFonts w:ascii="Times New Roman" w:hAnsi="Times New Roman" w:cs="Times New Roman"/>
                <w:noProof/>
                <w:webHidden/>
                <w:sz w:val="28"/>
                <w:szCs w:val="28"/>
              </w:rPr>
              <w:instrText xml:space="preserve"> PAGEREF _Toc239144074 \h </w:instrText>
            </w:r>
            <w:r w:rsidRPr="00EA0839">
              <w:rPr>
                <w:rFonts w:ascii="Times New Roman" w:hAnsi="Times New Roman" w:cs="Times New Roman"/>
                <w:noProof/>
                <w:webHidden/>
                <w:sz w:val="28"/>
                <w:szCs w:val="28"/>
              </w:rPr>
            </w:r>
            <w:r w:rsidRPr="00EA0839">
              <w:rPr>
                <w:rFonts w:ascii="Times New Roman" w:hAnsi="Times New Roman" w:cs="Times New Roman"/>
                <w:noProof/>
                <w:webHidden/>
                <w:sz w:val="28"/>
                <w:szCs w:val="28"/>
              </w:rPr>
              <w:fldChar w:fldCharType="separate"/>
            </w:r>
            <w:r w:rsidRPr="00EA0839">
              <w:rPr>
                <w:rFonts w:ascii="Times New Roman" w:hAnsi="Times New Roman" w:cs="Times New Roman"/>
                <w:noProof/>
                <w:webHidden/>
                <w:sz w:val="28"/>
                <w:szCs w:val="28"/>
              </w:rPr>
              <w:t>1</w:t>
            </w:r>
            <w:r w:rsidRPr="00EA0839">
              <w:rPr>
                <w:rFonts w:ascii="Times New Roman" w:hAnsi="Times New Roman" w:cs="Times New Roman"/>
                <w:noProof/>
                <w:webHidden/>
                <w:sz w:val="28"/>
                <w:szCs w:val="28"/>
              </w:rPr>
              <w:fldChar w:fldCharType="end"/>
            </w:r>
          </w:hyperlink>
        </w:p>
        <w:p w14:paraId="1372AE96" w14:textId="7978F060" w:rsidR="00654050" w:rsidRPr="00EA0839" w:rsidRDefault="00654050" w:rsidP="00EA0839">
          <w:pPr>
            <w:pStyle w:val="TOC1"/>
            <w:tabs>
              <w:tab w:val="clear" w:pos="560"/>
            </w:tabs>
            <w:ind w:left="720" w:hanging="720"/>
            <w:rPr>
              <w:rFonts w:ascii="Times New Roman" w:eastAsiaTheme="minorEastAsia" w:hAnsi="Times New Roman" w:cs="Times New Roman"/>
              <w:noProof/>
              <w:sz w:val="28"/>
              <w:szCs w:val="28"/>
            </w:rPr>
          </w:pPr>
          <w:hyperlink w:anchor="_Toc239144075" w:history="1">
            <w:r w:rsidRPr="00EA0839">
              <w:rPr>
                <w:rStyle w:val="Hyperlink"/>
                <w:rFonts w:ascii="Times New Roman" w:hAnsi="Times New Roman" w:cs="Times New Roman"/>
                <w:i w:val="0"/>
                <w:iCs w:val="0"/>
                <w:noProof/>
                <w:sz w:val="28"/>
                <w:szCs w:val="28"/>
              </w:rPr>
              <w:t xml:space="preserve">II. </w:t>
            </w:r>
            <w:r w:rsidRPr="00EA0839">
              <w:rPr>
                <w:rFonts w:ascii="Times New Roman" w:eastAsiaTheme="minorEastAsia" w:hAnsi="Times New Roman" w:cs="Times New Roman"/>
                <w:noProof/>
                <w:sz w:val="28"/>
                <w:szCs w:val="28"/>
              </w:rPr>
              <w:tab/>
            </w:r>
            <w:r w:rsidRPr="00EA0839">
              <w:rPr>
                <w:rStyle w:val="Hyperlink"/>
                <w:rFonts w:ascii="Times New Roman" w:hAnsi="Times New Roman" w:cs="Times New Roman"/>
                <w:i w:val="0"/>
                <w:iCs w:val="0"/>
                <w:noProof/>
                <w:sz w:val="28"/>
                <w:szCs w:val="28"/>
              </w:rPr>
              <w:t>STATEMENT OF FACTS</w:t>
            </w:r>
            <w:r w:rsidRPr="00EA0839">
              <w:rPr>
                <w:rFonts w:ascii="Times New Roman" w:hAnsi="Times New Roman" w:cs="Times New Roman"/>
                <w:noProof/>
                <w:webHidden/>
                <w:sz w:val="28"/>
                <w:szCs w:val="28"/>
              </w:rPr>
              <w:tab/>
            </w:r>
            <w:r w:rsidRPr="00EA0839">
              <w:rPr>
                <w:rFonts w:ascii="Times New Roman" w:hAnsi="Times New Roman" w:cs="Times New Roman"/>
                <w:noProof/>
                <w:webHidden/>
                <w:sz w:val="28"/>
                <w:szCs w:val="28"/>
              </w:rPr>
              <w:fldChar w:fldCharType="begin"/>
            </w:r>
            <w:r w:rsidRPr="00EA0839">
              <w:rPr>
                <w:rFonts w:ascii="Times New Roman" w:hAnsi="Times New Roman" w:cs="Times New Roman"/>
                <w:noProof/>
                <w:webHidden/>
                <w:sz w:val="28"/>
                <w:szCs w:val="28"/>
              </w:rPr>
              <w:instrText xml:space="preserve"> PAGEREF _Toc239144075 \h </w:instrText>
            </w:r>
            <w:r w:rsidRPr="00EA0839">
              <w:rPr>
                <w:rFonts w:ascii="Times New Roman" w:hAnsi="Times New Roman" w:cs="Times New Roman"/>
                <w:noProof/>
                <w:webHidden/>
                <w:sz w:val="28"/>
                <w:szCs w:val="28"/>
              </w:rPr>
            </w:r>
            <w:r w:rsidRPr="00EA0839">
              <w:rPr>
                <w:rFonts w:ascii="Times New Roman" w:hAnsi="Times New Roman" w:cs="Times New Roman"/>
                <w:noProof/>
                <w:webHidden/>
                <w:sz w:val="28"/>
                <w:szCs w:val="28"/>
              </w:rPr>
              <w:fldChar w:fldCharType="separate"/>
            </w:r>
            <w:r w:rsidRPr="00EA0839">
              <w:rPr>
                <w:rFonts w:ascii="Times New Roman" w:hAnsi="Times New Roman" w:cs="Times New Roman"/>
                <w:noProof/>
                <w:webHidden/>
                <w:sz w:val="28"/>
                <w:szCs w:val="28"/>
              </w:rPr>
              <w:t>3</w:t>
            </w:r>
            <w:r w:rsidRPr="00EA0839">
              <w:rPr>
                <w:rFonts w:ascii="Times New Roman" w:hAnsi="Times New Roman" w:cs="Times New Roman"/>
                <w:noProof/>
                <w:webHidden/>
                <w:sz w:val="28"/>
                <w:szCs w:val="28"/>
              </w:rPr>
              <w:fldChar w:fldCharType="end"/>
            </w:r>
          </w:hyperlink>
        </w:p>
        <w:p w14:paraId="31A07A73" w14:textId="3A05040A" w:rsidR="00654050" w:rsidRPr="00EA0839" w:rsidRDefault="00654050" w:rsidP="00EA0839">
          <w:pPr>
            <w:pStyle w:val="TOC1"/>
            <w:tabs>
              <w:tab w:val="clear" w:pos="560"/>
            </w:tabs>
            <w:ind w:left="720" w:hanging="720"/>
            <w:rPr>
              <w:rFonts w:ascii="Times New Roman" w:eastAsiaTheme="minorEastAsia" w:hAnsi="Times New Roman" w:cs="Times New Roman"/>
              <w:noProof/>
              <w:sz w:val="28"/>
              <w:szCs w:val="28"/>
            </w:rPr>
          </w:pPr>
          <w:hyperlink w:anchor="_Toc239144076" w:history="1">
            <w:r w:rsidRPr="00EA0839">
              <w:rPr>
                <w:rStyle w:val="Hyperlink"/>
                <w:rFonts w:ascii="Times New Roman" w:hAnsi="Times New Roman" w:cs="Times New Roman"/>
                <w:i w:val="0"/>
                <w:iCs w:val="0"/>
                <w:noProof/>
                <w:sz w:val="28"/>
                <w:szCs w:val="28"/>
              </w:rPr>
              <w:t xml:space="preserve">III. </w:t>
            </w:r>
            <w:r w:rsidRPr="00EA0839">
              <w:rPr>
                <w:rFonts w:ascii="Times New Roman" w:eastAsiaTheme="minorEastAsia" w:hAnsi="Times New Roman" w:cs="Times New Roman"/>
                <w:noProof/>
                <w:sz w:val="28"/>
                <w:szCs w:val="28"/>
              </w:rPr>
              <w:tab/>
            </w:r>
            <w:r w:rsidRPr="00EA0839">
              <w:rPr>
                <w:rStyle w:val="Hyperlink"/>
                <w:rFonts w:ascii="Times New Roman" w:hAnsi="Times New Roman" w:cs="Times New Roman"/>
                <w:i w:val="0"/>
                <w:iCs w:val="0"/>
                <w:noProof/>
                <w:sz w:val="28"/>
                <w:szCs w:val="28"/>
              </w:rPr>
              <w:t>ARGUMENT</w:t>
            </w:r>
            <w:r w:rsidRPr="00EA0839">
              <w:rPr>
                <w:rFonts w:ascii="Times New Roman" w:hAnsi="Times New Roman" w:cs="Times New Roman"/>
                <w:noProof/>
                <w:webHidden/>
                <w:sz w:val="28"/>
                <w:szCs w:val="28"/>
              </w:rPr>
              <w:tab/>
            </w:r>
            <w:r w:rsidRPr="00EA0839">
              <w:rPr>
                <w:rFonts w:ascii="Times New Roman" w:hAnsi="Times New Roman" w:cs="Times New Roman"/>
                <w:noProof/>
                <w:webHidden/>
                <w:sz w:val="28"/>
                <w:szCs w:val="28"/>
              </w:rPr>
              <w:fldChar w:fldCharType="begin"/>
            </w:r>
            <w:r w:rsidRPr="00EA0839">
              <w:rPr>
                <w:rFonts w:ascii="Times New Roman" w:hAnsi="Times New Roman" w:cs="Times New Roman"/>
                <w:noProof/>
                <w:webHidden/>
                <w:sz w:val="28"/>
                <w:szCs w:val="28"/>
              </w:rPr>
              <w:instrText xml:space="preserve"> PAGEREF _Toc239144076 \h </w:instrText>
            </w:r>
            <w:r w:rsidRPr="00EA0839">
              <w:rPr>
                <w:rFonts w:ascii="Times New Roman" w:hAnsi="Times New Roman" w:cs="Times New Roman"/>
                <w:noProof/>
                <w:webHidden/>
                <w:sz w:val="28"/>
                <w:szCs w:val="28"/>
              </w:rPr>
            </w:r>
            <w:r w:rsidRPr="00EA0839">
              <w:rPr>
                <w:rFonts w:ascii="Times New Roman" w:hAnsi="Times New Roman" w:cs="Times New Roman"/>
                <w:noProof/>
                <w:webHidden/>
                <w:sz w:val="28"/>
                <w:szCs w:val="28"/>
              </w:rPr>
              <w:fldChar w:fldCharType="separate"/>
            </w:r>
            <w:r w:rsidRPr="00EA0839">
              <w:rPr>
                <w:rFonts w:ascii="Times New Roman" w:hAnsi="Times New Roman" w:cs="Times New Roman"/>
                <w:noProof/>
                <w:webHidden/>
                <w:sz w:val="28"/>
                <w:szCs w:val="28"/>
              </w:rPr>
              <w:t>6</w:t>
            </w:r>
            <w:r w:rsidRPr="00EA0839">
              <w:rPr>
                <w:rFonts w:ascii="Times New Roman" w:hAnsi="Times New Roman" w:cs="Times New Roman"/>
                <w:noProof/>
                <w:webHidden/>
                <w:sz w:val="28"/>
                <w:szCs w:val="28"/>
              </w:rPr>
              <w:fldChar w:fldCharType="end"/>
            </w:r>
          </w:hyperlink>
        </w:p>
        <w:p w14:paraId="74864BF7" w14:textId="4C3EE5D9" w:rsidR="00654050" w:rsidRPr="00EA0839" w:rsidRDefault="00654050" w:rsidP="00EA0839">
          <w:pPr>
            <w:pStyle w:val="TOC2"/>
            <w:tabs>
              <w:tab w:val="right" w:leader="dot" w:pos="9350"/>
            </w:tabs>
            <w:ind w:left="1440" w:hanging="720"/>
            <w:rPr>
              <w:rFonts w:ascii="Times New Roman" w:eastAsiaTheme="minorEastAsia" w:hAnsi="Times New Roman" w:cs="Times New Roman"/>
              <w:b w:val="0"/>
              <w:bCs w:val="0"/>
              <w:noProof/>
              <w:sz w:val="28"/>
              <w:szCs w:val="28"/>
            </w:rPr>
          </w:pPr>
          <w:hyperlink w:anchor="_Toc239144077" w:history="1">
            <w:r w:rsidRPr="00EA0839">
              <w:rPr>
                <w:rStyle w:val="Hyperlink"/>
                <w:rFonts w:ascii="Times New Roman" w:hAnsi="Times New Roman" w:cs="Times New Roman"/>
                <w:noProof/>
                <w:sz w:val="28"/>
                <w:szCs w:val="28"/>
              </w:rPr>
              <w:t xml:space="preserve">A. </w:t>
            </w:r>
            <w:r w:rsidRPr="00EA0839">
              <w:rPr>
                <w:rFonts w:ascii="Times New Roman" w:eastAsiaTheme="minorEastAsia" w:hAnsi="Times New Roman" w:cs="Times New Roman"/>
                <w:b w:val="0"/>
                <w:bCs w:val="0"/>
                <w:noProof/>
                <w:sz w:val="28"/>
                <w:szCs w:val="28"/>
              </w:rPr>
              <w:tab/>
            </w:r>
            <w:r w:rsidRPr="00EA0839">
              <w:rPr>
                <w:rStyle w:val="Hyperlink"/>
                <w:rFonts w:ascii="Times New Roman" w:hAnsi="Times New Roman" w:cs="Times New Roman"/>
                <w:noProof/>
                <w:sz w:val="28"/>
                <w:szCs w:val="28"/>
              </w:rPr>
              <w:t xml:space="preserve">The Government Met the </w:t>
            </w:r>
            <w:r w:rsidRPr="00EA0839">
              <w:rPr>
                <w:rStyle w:val="Hyperlink"/>
                <w:rFonts w:ascii="Times New Roman" w:hAnsi="Times New Roman" w:cs="Times New Roman"/>
                <w:i/>
                <w:iCs/>
                <w:noProof/>
                <w:sz w:val="28"/>
                <w:szCs w:val="28"/>
              </w:rPr>
              <w:t>Kastigar</w:t>
            </w:r>
            <w:r w:rsidRPr="00EA0839">
              <w:rPr>
                <w:rStyle w:val="Hyperlink"/>
                <w:rFonts w:ascii="Times New Roman" w:hAnsi="Times New Roman" w:cs="Times New Roman"/>
                <w:noProof/>
                <w:sz w:val="28"/>
                <w:szCs w:val="28"/>
              </w:rPr>
              <w:t xml:space="preserve"> Standard and the Evidence Should Not Be Suppressed.</w:t>
            </w:r>
            <w:r w:rsidRPr="00EA0839">
              <w:rPr>
                <w:rFonts w:ascii="Times New Roman" w:hAnsi="Times New Roman" w:cs="Times New Roman"/>
                <w:noProof/>
                <w:webHidden/>
                <w:sz w:val="28"/>
                <w:szCs w:val="28"/>
              </w:rPr>
              <w:tab/>
            </w:r>
            <w:r w:rsidRPr="00EA0839">
              <w:rPr>
                <w:rFonts w:ascii="Times New Roman" w:hAnsi="Times New Roman" w:cs="Times New Roman"/>
                <w:noProof/>
                <w:webHidden/>
                <w:sz w:val="28"/>
                <w:szCs w:val="28"/>
              </w:rPr>
              <w:fldChar w:fldCharType="begin"/>
            </w:r>
            <w:r w:rsidRPr="00EA0839">
              <w:rPr>
                <w:rFonts w:ascii="Times New Roman" w:hAnsi="Times New Roman" w:cs="Times New Roman"/>
                <w:noProof/>
                <w:webHidden/>
                <w:sz w:val="28"/>
                <w:szCs w:val="28"/>
              </w:rPr>
              <w:instrText xml:space="preserve"> PAGEREF _Toc239144077 \h </w:instrText>
            </w:r>
            <w:r w:rsidRPr="00EA0839">
              <w:rPr>
                <w:rFonts w:ascii="Times New Roman" w:hAnsi="Times New Roman" w:cs="Times New Roman"/>
                <w:noProof/>
                <w:webHidden/>
                <w:sz w:val="28"/>
                <w:szCs w:val="28"/>
              </w:rPr>
            </w:r>
            <w:r w:rsidRPr="00EA0839">
              <w:rPr>
                <w:rFonts w:ascii="Times New Roman" w:hAnsi="Times New Roman" w:cs="Times New Roman"/>
                <w:noProof/>
                <w:webHidden/>
                <w:sz w:val="28"/>
                <w:szCs w:val="28"/>
              </w:rPr>
              <w:fldChar w:fldCharType="separate"/>
            </w:r>
            <w:r w:rsidRPr="00EA0839">
              <w:rPr>
                <w:rFonts w:ascii="Times New Roman" w:hAnsi="Times New Roman" w:cs="Times New Roman"/>
                <w:noProof/>
                <w:webHidden/>
                <w:sz w:val="28"/>
                <w:szCs w:val="28"/>
              </w:rPr>
              <w:t>6</w:t>
            </w:r>
            <w:r w:rsidRPr="00EA0839">
              <w:rPr>
                <w:rFonts w:ascii="Times New Roman" w:hAnsi="Times New Roman" w:cs="Times New Roman"/>
                <w:noProof/>
                <w:webHidden/>
                <w:sz w:val="28"/>
                <w:szCs w:val="28"/>
              </w:rPr>
              <w:fldChar w:fldCharType="end"/>
            </w:r>
          </w:hyperlink>
        </w:p>
        <w:p w14:paraId="5F1D39CA" w14:textId="5DAC8F4B" w:rsidR="00654050" w:rsidRPr="00EA0839" w:rsidRDefault="00654050" w:rsidP="00EA0839">
          <w:pPr>
            <w:pStyle w:val="TOC3"/>
            <w:tabs>
              <w:tab w:val="right" w:leader="dot" w:pos="9350"/>
            </w:tabs>
            <w:ind w:left="2160" w:hanging="720"/>
            <w:rPr>
              <w:rFonts w:ascii="Times New Roman" w:eastAsiaTheme="minorEastAsia" w:hAnsi="Times New Roman" w:cs="Times New Roman"/>
              <w:noProof/>
              <w:sz w:val="28"/>
              <w:szCs w:val="28"/>
            </w:rPr>
          </w:pPr>
          <w:hyperlink w:anchor="_Toc239144078" w:history="1">
            <w:r w:rsidRPr="00EA0839">
              <w:rPr>
                <w:rStyle w:val="Hyperlink"/>
                <w:rFonts w:ascii="Times New Roman" w:hAnsi="Times New Roman" w:cs="Times New Roman"/>
                <w:noProof/>
                <w:sz w:val="28"/>
                <w:szCs w:val="28"/>
              </w:rPr>
              <w:t xml:space="preserve">1. </w:t>
            </w:r>
            <w:r w:rsidRPr="00EA0839">
              <w:rPr>
                <w:rFonts w:ascii="Times New Roman" w:eastAsiaTheme="minorEastAsia" w:hAnsi="Times New Roman" w:cs="Times New Roman"/>
                <w:noProof/>
                <w:sz w:val="28"/>
                <w:szCs w:val="28"/>
              </w:rPr>
              <w:tab/>
            </w:r>
            <w:r w:rsidRPr="00EA0839">
              <w:rPr>
                <w:rStyle w:val="Hyperlink"/>
                <w:rFonts w:ascii="Times New Roman" w:hAnsi="Times New Roman" w:cs="Times New Roman"/>
                <w:noProof/>
                <w:sz w:val="28"/>
                <w:szCs w:val="28"/>
              </w:rPr>
              <w:t>The Pre-Testimony Record Proves Wholly Independent Origin</w:t>
            </w:r>
            <w:r w:rsidRPr="00EA0839">
              <w:rPr>
                <w:rFonts w:ascii="Times New Roman" w:hAnsi="Times New Roman" w:cs="Times New Roman"/>
                <w:noProof/>
                <w:webHidden/>
                <w:sz w:val="28"/>
                <w:szCs w:val="28"/>
              </w:rPr>
              <w:tab/>
            </w:r>
            <w:r w:rsidRPr="00EA0839">
              <w:rPr>
                <w:rFonts w:ascii="Times New Roman" w:hAnsi="Times New Roman" w:cs="Times New Roman"/>
                <w:noProof/>
                <w:webHidden/>
                <w:sz w:val="28"/>
                <w:szCs w:val="28"/>
              </w:rPr>
              <w:fldChar w:fldCharType="begin"/>
            </w:r>
            <w:r w:rsidRPr="00EA0839">
              <w:rPr>
                <w:rFonts w:ascii="Times New Roman" w:hAnsi="Times New Roman" w:cs="Times New Roman"/>
                <w:noProof/>
                <w:webHidden/>
                <w:sz w:val="28"/>
                <w:szCs w:val="28"/>
              </w:rPr>
              <w:instrText xml:space="preserve"> PAGEREF _Toc239144078 \h </w:instrText>
            </w:r>
            <w:r w:rsidRPr="00EA0839">
              <w:rPr>
                <w:rFonts w:ascii="Times New Roman" w:hAnsi="Times New Roman" w:cs="Times New Roman"/>
                <w:noProof/>
                <w:webHidden/>
                <w:sz w:val="28"/>
                <w:szCs w:val="28"/>
              </w:rPr>
            </w:r>
            <w:r w:rsidRPr="00EA0839">
              <w:rPr>
                <w:rFonts w:ascii="Times New Roman" w:hAnsi="Times New Roman" w:cs="Times New Roman"/>
                <w:noProof/>
                <w:webHidden/>
                <w:sz w:val="28"/>
                <w:szCs w:val="28"/>
              </w:rPr>
              <w:fldChar w:fldCharType="separate"/>
            </w:r>
            <w:r w:rsidRPr="00EA0839">
              <w:rPr>
                <w:rFonts w:ascii="Times New Roman" w:hAnsi="Times New Roman" w:cs="Times New Roman"/>
                <w:noProof/>
                <w:webHidden/>
                <w:sz w:val="28"/>
                <w:szCs w:val="28"/>
              </w:rPr>
              <w:t>7</w:t>
            </w:r>
            <w:r w:rsidRPr="00EA0839">
              <w:rPr>
                <w:rFonts w:ascii="Times New Roman" w:hAnsi="Times New Roman" w:cs="Times New Roman"/>
                <w:noProof/>
                <w:webHidden/>
                <w:sz w:val="28"/>
                <w:szCs w:val="28"/>
              </w:rPr>
              <w:fldChar w:fldCharType="end"/>
            </w:r>
          </w:hyperlink>
        </w:p>
        <w:p w14:paraId="7F3EEC58" w14:textId="2BBC6379" w:rsidR="00654050" w:rsidRPr="00EA0839" w:rsidRDefault="00654050" w:rsidP="00EA0839">
          <w:pPr>
            <w:pStyle w:val="TOC3"/>
            <w:tabs>
              <w:tab w:val="right" w:leader="dot" w:pos="9350"/>
            </w:tabs>
            <w:ind w:left="2160" w:hanging="720"/>
            <w:rPr>
              <w:rFonts w:ascii="Times New Roman" w:eastAsiaTheme="minorEastAsia" w:hAnsi="Times New Roman" w:cs="Times New Roman"/>
              <w:noProof/>
              <w:sz w:val="28"/>
              <w:szCs w:val="28"/>
            </w:rPr>
          </w:pPr>
          <w:hyperlink w:anchor="_Toc239144079" w:history="1">
            <w:r w:rsidRPr="00EA0839">
              <w:rPr>
                <w:rStyle w:val="Hyperlink"/>
                <w:rFonts w:ascii="Times New Roman" w:hAnsi="Times New Roman" w:cs="Times New Roman"/>
                <w:noProof/>
                <w:sz w:val="28"/>
                <w:szCs w:val="28"/>
              </w:rPr>
              <w:t xml:space="preserve">2. </w:t>
            </w:r>
            <w:r w:rsidRPr="00EA0839">
              <w:rPr>
                <w:rFonts w:ascii="Times New Roman" w:eastAsiaTheme="minorEastAsia" w:hAnsi="Times New Roman" w:cs="Times New Roman"/>
                <w:noProof/>
                <w:sz w:val="28"/>
                <w:szCs w:val="28"/>
              </w:rPr>
              <w:tab/>
            </w:r>
            <w:r w:rsidRPr="00EA0839">
              <w:rPr>
                <w:rStyle w:val="Hyperlink"/>
                <w:rFonts w:ascii="Times New Roman" w:hAnsi="Times New Roman" w:cs="Times New Roman"/>
                <w:noProof/>
                <w:sz w:val="28"/>
                <w:szCs w:val="28"/>
              </w:rPr>
              <w:t>The Wall Protocol Insulated the Investigation</w:t>
            </w:r>
            <w:r w:rsidRPr="00EA0839">
              <w:rPr>
                <w:rFonts w:ascii="Times New Roman" w:hAnsi="Times New Roman" w:cs="Times New Roman"/>
                <w:noProof/>
                <w:webHidden/>
                <w:sz w:val="28"/>
                <w:szCs w:val="28"/>
              </w:rPr>
              <w:tab/>
            </w:r>
            <w:r w:rsidRPr="00EA0839">
              <w:rPr>
                <w:rFonts w:ascii="Times New Roman" w:hAnsi="Times New Roman" w:cs="Times New Roman"/>
                <w:noProof/>
                <w:webHidden/>
                <w:sz w:val="28"/>
                <w:szCs w:val="28"/>
              </w:rPr>
              <w:fldChar w:fldCharType="begin"/>
            </w:r>
            <w:r w:rsidRPr="00EA0839">
              <w:rPr>
                <w:rFonts w:ascii="Times New Roman" w:hAnsi="Times New Roman" w:cs="Times New Roman"/>
                <w:noProof/>
                <w:webHidden/>
                <w:sz w:val="28"/>
                <w:szCs w:val="28"/>
              </w:rPr>
              <w:instrText xml:space="preserve"> PAGEREF _Toc239144079 \h </w:instrText>
            </w:r>
            <w:r w:rsidRPr="00EA0839">
              <w:rPr>
                <w:rFonts w:ascii="Times New Roman" w:hAnsi="Times New Roman" w:cs="Times New Roman"/>
                <w:noProof/>
                <w:webHidden/>
                <w:sz w:val="28"/>
                <w:szCs w:val="28"/>
              </w:rPr>
            </w:r>
            <w:r w:rsidRPr="00EA0839">
              <w:rPr>
                <w:rFonts w:ascii="Times New Roman" w:hAnsi="Times New Roman" w:cs="Times New Roman"/>
                <w:noProof/>
                <w:webHidden/>
                <w:sz w:val="28"/>
                <w:szCs w:val="28"/>
              </w:rPr>
              <w:fldChar w:fldCharType="separate"/>
            </w:r>
            <w:r w:rsidRPr="00EA0839">
              <w:rPr>
                <w:rFonts w:ascii="Times New Roman" w:hAnsi="Times New Roman" w:cs="Times New Roman"/>
                <w:noProof/>
                <w:webHidden/>
                <w:sz w:val="28"/>
                <w:szCs w:val="28"/>
              </w:rPr>
              <w:t>8</w:t>
            </w:r>
            <w:r w:rsidRPr="00EA0839">
              <w:rPr>
                <w:rFonts w:ascii="Times New Roman" w:hAnsi="Times New Roman" w:cs="Times New Roman"/>
                <w:noProof/>
                <w:webHidden/>
                <w:sz w:val="28"/>
                <w:szCs w:val="28"/>
              </w:rPr>
              <w:fldChar w:fldCharType="end"/>
            </w:r>
          </w:hyperlink>
        </w:p>
        <w:p w14:paraId="2BFDF6BD" w14:textId="5536EA3B" w:rsidR="00654050" w:rsidRPr="00EA0839" w:rsidRDefault="00654050" w:rsidP="00EA0839">
          <w:pPr>
            <w:pStyle w:val="TOC3"/>
            <w:tabs>
              <w:tab w:val="right" w:leader="dot" w:pos="9350"/>
            </w:tabs>
            <w:ind w:left="2160" w:hanging="720"/>
            <w:rPr>
              <w:rFonts w:ascii="Times New Roman" w:eastAsiaTheme="minorEastAsia" w:hAnsi="Times New Roman" w:cs="Times New Roman"/>
              <w:noProof/>
              <w:sz w:val="28"/>
              <w:szCs w:val="28"/>
            </w:rPr>
          </w:pPr>
          <w:hyperlink w:anchor="_Toc239144080" w:history="1">
            <w:r w:rsidRPr="00EA0839">
              <w:rPr>
                <w:rStyle w:val="Hyperlink"/>
                <w:rFonts w:ascii="Times New Roman" w:hAnsi="Times New Roman" w:cs="Times New Roman"/>
                <w:noProof/>
                <w:sz w:val="28"/>
                <w:szCs w:val="28"/>
              </w:rPr>
              <w:t xml:space="preserve">3. </w:t>
            </w:r>
            <w:r w:rsidRPr="00EA0839">
              <w:rPr>
                <w:rFonts w:ascii="Times New Roman" w:eastAsiaTheme="minorEastAsia" w:hAnsi="Times New Roman" w:cs="Times New Roman"/>
                <w:noProof/>
                <w:sz w:val="28"/>
                <w:szCs w:val="28"/>
              </w:rPr>
              <w:tab/>
            </w:r>
            <w:r w:rsidRPr="00EA0839">
              <w:rPr>
                <w:rStyle w:val="Hyperlink"/>
                <w:rFonts w:ascii="Times New Roman" w:hAnsi="Times New Roman" w:cs="Times New Roman"/>
                <w:noProof/>
                <w:sz w:val="28"/>
                <w:szCs w:val="28"/>
              </w:rPr>
              <w:t>Parker's Account Is Based on Firsthand Observation</w:t>
            </w:r>
            <w:r w:rsidRPr="00EA0839">
              <w:rPr>
                <w:rFonts w:ascii="Times New Roman" w:hAnsi="Times New Roman" w:cs="Times New Roman"/>
                <w:noProof/>
                <w:webHidden/>
                <w:sz w:val="28"/>
                <w:szCs w:val="28"/>
              </w:rPr>
              <w:tab/>
            </w:r>
            <w:r w:rsidRPr="00EA0839">
              <w:rPr>
                <w:rFonts w:ascii="Times New Roman" w:hAnsi="Times New Roman" w:cs="Times New Roman"/>
                <w:noProof/>
                <w:webHidden/>
                <w:sz w:val="28"/>
                <w:szCs w:val="28"/>
              </w:rPr>
              <w:fldChar w:fldCharType="begin"/>
            </w:r>
            <w:r w:rsidRPr="00EA0839">
              <w:rPr>
                <w:rFonts w:ascii="Times New Roman" w:hAnsi="Times New Roman" w:cs="Times New Roman"/>
                <w:noProof/>
                <w:webHidden/>
                <w:sz w:val="28"/>
                <w:szCs w:val="28"/>
              </w:rPr>
              <w:instrText xml:space="preserve"> PAGEREF _Toc239144080 \h </w:instrText>
            </w:r>
            <w:r w:rsidRPr="00EA0839">
              <w:rPr>
                <w:rFonts w:ascii="Times New Roman" w:hAnsi="Times New Roman" w:cs="Times New Roman"/>
                <w:noProof/>
                <w:webHidden/>
                <w:sz w:val="28"/>
                <w:szCs w:val="28"/>
              </w:rPr>
            </w:r>
            <w:r w:rsidRPr="00EA0839">
              <w:rPr>
                <w:rFonts w:ascii="Times New Roman" w:hAnsi="Times New Roman" w:cs="Times New Roman"/>
                <w:noProof/>
                <w:webHidden/>
                <w:sz w:val="28"/>
                <w:szCs w:val="28"/>
              </w:rPr>
              <w:fldChar w:fldCharType="separate"/>
            </w:r>
            <w:r w:rsidRPr="00EA0839">
              <w:rPr>
                <w:rFonts w:ascii="Times New Roman" w:hAnsi="Times New Roman" w:cs="Times New Roman"/>
                <w:noProof/>
                <w:webHidden/>
                <w:sz w:val="28"/>
                <w:szCs w:val="28"/>
              </w:rPr>
              <w:t>9</w:t>
            </w:r>
            <w:r w:rsidRPr="00EA0839">
              <w:rPr>
                <w:rFonts w:ascii="Times New Roman" w:hAnsi="Times New Roman" w:cs="Times New Roman"/>
                <w:noProof/>
                <w:webHidden/>
                <w:sz w:val="28"/>
                <w:szCs w:val="28"/>
              </w:rPr>
              <w:fldChar w:fldCharType="end"/>
            </w:r>
          </w:hyperlink>
        </w:p>
        <w:p w14:paraId="48EF736C" w14:textId="36B06CFA" w:rsidR="00654050" w:rsidRPr="00EA0839" w:rsidRDefault="00654050" w:rsidP="00EA0839">
          <w:pPr>
            <w:pStyle w:val="TOC3"/>
            <w:tabs>
              <w:tab w:val="right" w:leader="dot" w:pos="9350"/>
            </w:tabs>
            <w:ind w:left="2160" w:hanging="720"/>
            <w:rPr>
              <w:rFonts w:ascii="Times New Roman" w:eastAsiaTheme="minorEastAsia" w:hAnsi="Times New Roman" w:cs="Times New Roman"/>
              <w:noProof/>
              <w:sz w:val="28"/>
              <w:szCs w:val="28"/>
            </w:rPr>
          </w:pPr>
          <w:hyperlink w:anchor="_Toc239144081" w:history="1">
            <w:r w:rsidRPr="00EA0839">
              <w:rPr>
                <w:rStyle w:val="Hyperlink"/>
                <w:rFonts w:ascii="Times New Roman" w:hAnsi="Times New Roman" w:cs="Times New Roman"/>
                <w:noProof/>
                <w:sz w:val="28"/>
                <w:szCs w:val="28"/>
              </w:rPr>
              <w:t xml:space="preserve">4. </w:t>
            </w:r>
            <w:r w:rsidRPr="00EA0839">
              <w:rPr>
                <w:rFonts w:ascii="Times New Roman" w:eastAsiaTheme="minorEastAsia" w:hAnsi="Times New Roman" w:cs="Times New Roman"/>
                <w:noProof/>
                <w:sz w:val="28"/>
                <w:szCs w:val="28"/>
              </w:rPr>
              <w:tab/>
            </w:r>
            <w:r w:rsidRPr="00EA0839">
              <w:rPr>
                <w:rStyle w:val="Hyperlink"/>
                <w:rFonts w:ascii="Times New Roman" w:hAnsi="Times New Roman" w:cs="Times New Roman"/>
                <w:noProof/>
                <w:sz w:val="28"/>
                <w:szCs w:val="28"/>
              </w:rPr>
              <w:t>The Warehouse Evidence Flows from a Clean Source</w:t>
            </w:r>
            <w:r w:rsidRPr="00EA0839">
              <w:rPr>
                <w:rFonts w:ascii="Times New Roman" w:hAnsi="Times New Roman" w:cs="Times New Roman"/>
                <w:noProof/>
                <w:webHidden/>
                <w:sz w:val="28"/>
                <w:szCs w:val="28"/>
              </w:rPr>
              <w:tab/>
            </w:r>
            <w:r w:rsidRPr="00EA0839">
              <w:rPr>
                <w:rFonts w:ascii="Times New Roman" w:hAnsi="Times New Roman" w:cs="Times New Roman"/>
                <w:noProof/>
                <w:webHidden/>
                <w:sz w:val="28"/>
                <w:szCs w:val="28"/>
              </w:rPr>
              <w:fldChar w:fldCharType="begin"/>
            </w:r>
            <w:r w:rsidRPr="00EA0839">
              <w:rPr>
                <w:rFonts w:ascii="Times New Roman" w:hAnsi="Times New Roman" w:cs="Times New Roman"/>
                <w:noProof/>
                <w:webHidden/>
                <w:sz w:val="28"/>
                <w:szCs w:val="28"/>
              </w:rPr>
              <w:instrText xml:space="preserve"> PAGEREF _Toc239144081 \h </w:instrText>
            </w:r>
            <w:r w:rsidRPr="00EA0839">
              <w:rPr>
                <w:rFonts w:ascii="Times New Roman" w:hAnsi="Times New Roman" w:cs="Times New Roman"/>
                <w:noProof/>
                <w:webHidden/>
                <w:sz w:val="28"/>
                <w:szCs w:val="28"/>
              </w:rPr>
            </w:r>
            <w:r w:rsidRPr="00EA0839">
              <w:rPr>
                <w:rFonts w:ascii="Times New Roman" w:hAnsi="Times New Roman" w:cs="Times New Roman"/>
                <w:noProof/>
                <w:webHidden/>
                <w:sz w:val="28"/>
                <w:szCs w:val="28"/>
              </w:rPr>
              <w:fldChar w:fldCharType="separate"/>
            </w:r>
            <w:r w:rsidRPr="00EA0839">
              <w:rPr>
                <w:rFonts w:ascii="Times New Roman" w:hAnsi="Times New Roman" w:cs="Times New Roman"/>
                <w:noProof/>
                <w:webHidden/>
                <w:sz w:val="28"/>
                <w:szCs w:val="28"/>
              </w:rPr>
              <w:t>9</w:t>
            </w:r>
            <w:r w:rsidRPr="00EA0839">
              <w:rPr>
                <w:rFonts w:ascii="Times New Roman" w:hAnsi="Times New Roman" w:cs="Times New Roman"/>
                <w:noProof/>
                <w:webHidden/>
                <w:sz w:val="28"/>
                <w:szCs w:val="28"/>
              </w:rPr>
              <w:fldChar w:fldCharType="end"/>
            </w:r>
          </w:hyperlink>
        </w:p>
        <w:p w14:paraId="252BCA02" w14:textId="37910C73" w:rsidR="00654050" w:rsidRPr="00EA0839" w:rsidRDefault="00654050" w:rsidP="00EA0839">
          <w:pPr>
            <w:pStyle w:val="TOC3"/>
            <w:tabs>
              <w:tab w:val="right" w:leader="dot" w:pos="9350"/>
            </w:tabs>
            <w:ind w:left="2160" w:hanging="720"/>
            <w:rPr>
              <w:rFonts w:ascii="Times New Roman" w:eastAsiaTheme="minorEastAsia" w:hAnsi="Times New Roman" w:cs="Times New Roman"/>
              <w:noProof/>
              <w:sz w:val="28"/>
              <w:szCs w:val="28"/>
            </w:rPr>
          </w:pPr>
          <w:hyperlink w:anchor="_Toc239144082" w:history="1">
            <w:r w:rsidRPr="00EA0839">
              <w:rPr>
                <w:rStyle w:val="Hyperlink"/>
                <w:rFonts w:ascii="Times New Roman" w:hAnsi="Times New Roman" w:cs="Times New Roman"/>
                <w:noProof/>
                <w:sz w:val="28"/>
                <w:szCs w:val="28"/>
              </w:rPr>
              <w:t xml:space="preserve">5. </w:t>
            </w:r>
            <w:r w:rsidRPr="00EA0839">
              <w:rPr>
                <w:rFonts w:ascii="Times New Roman" w:eastAsiaTheme="minorEastAsia" w:hAnsi="Times New Roman" w:cs="Times New Roman"/>
                <w:noProof/>
                <w:sz w:val="28"/>
                <w:szCs w:val="28"/>
              </w:rPr>
              <w:tab/>
            </w:r>
            <w:r w:rsidRPr="00EA0839">
              <w:rPr>
                <w:rStyle w:val="Hyperlink"/>
                <w:rFonts w:ascii="Times New Roman" w:hAnsi="Times New Roman" w:cs="Times New Roman"/>
                <w:noProof/>
                <w:sz w:val="28"/>
                <w:szCs w:val="28"/>
              </w:rPr>
              <w:t>In the Alternative: Even If Taint Is Assumed, Discovery Was Inevitable.</w:t>
            </w:r>
            <w:r w:rsidRPr="00EA0839">
              <w:rPr>
                <w:rFonts w:ascii="Times New Roman" w:hAnsi="Times New Roman" w:cs="Times New Roman"/>
                <w:noProof/>
                <w:webHidden/>
                <w:sz w:val="28"/>
                <w:szCs w:val="28"/>
              </w:rPr>
              <w:tab/>
            </w:r>
            <w:r w:rsidRPr="00EA0839">
              <w:rPr>
                <w:rFonts w:ascii="Times New Roman" w:hAnsi="Times New Roman" w:cs="Times New Roman"/>
                <w:noProof/>
                <w:webHidden/>
                <w:sz w:val="28"/>
                <w:szCs w:val="28"/>
              </w:rPr>
              <w:fldChar w:fldCharType="begin"/>
            </w:r>
            <w:r w:rsidRPr="00EA0839">
              <w:rPr>
                <w:rFonts w:ascii="Times New Roman" w:hAnsi="Times New Roman" w:cs="Times New Roman"/>
                <w:noProof/>
                <w:webHidden/>
                <w:sz w:val="28"/>
                <w:szCs w:val="28"/>
              </w:rPr>
              <w:instrText xml:space="preserve"> PAGEREF _Toc239144082 \h </w:instrText>
            </w:r>
            <w:r w:rsidRPr="00EA0839">
              <w:rPr>
                <w:rFonts w:ascii="Times New Roman" w:hAnsi="Times New Roman" w:cs="Times New Roman"/>
                <w:noProof/>
                <w:webHidden/>
                <w:sz w:val="28"/>
                <w:szCs w:val="28"/>
              </w:rPr>
            </w:r>
            <w:r w:rsidRPr="00EA0839">
              <w:rPr>
                <w:rFonts w:ascii="Times New Roman" w:hAnsi="Times New Roman" w:cs="Times New Roman"/>
                <w:noProof/>
                <w:webHidden/>
                <w:sz w:val="28"/>
                <w:szCs w:val="28"/>
              </w:rPr>
              <w:fldChar w:fldCharType="separate"/>
            </w:r>
            <w:r w:rsidRPr="00EA0839">
              <w:rPr>
                <w:rFonts w:ascii="Times New Roman" w:hAnsi="Times New Roman" w:cs="Times New Roman"/>
                <w:noProof/>
                <w:webHidden/>
                <w:sz w:val="28"/>
                <w:szCs w:val="28"/>
              </w:rPr>
              <w:t>10</w:t>
            </w:r>
            <w:r w:rsidRPr="00EA0839">
              <w:rPr>
                <w:rFonts w:ascii="Times New Roman" w:hAnsi="Times New Roman" w:cs="Times New Roman"/>
                <w:noProof/>
                <w:webHidden/>
                <w:sz w:val="28"/>
                <w:szCs w:val="28"/>
              </w:rPr>
              <w:fldChar w:fldCharType="end"/>
            </w:r>
          </w:hyperlink>
        </w:p>
        <w:p w14:paraId="1BF1650D" w14:textId="13B8710F" w:rsidR="00654050" w:rsidRPr="00EA0839" w:rsidRDefault="00654050" w:rsidP="00EA0839">
          <w:pPr>
            <w:pStyle w:val="TOC2"/>
            <w:tabs>
              <w:tab w:val="right" w:leader="dot" w:pos="9350"/>
            </w:tabs>
            <w:ind w:left="1440" w:hanging="720"/>
            <w:rPr>
              <w:rFonts w:ascii="Times New Roman" w:eastAsiaTheme="minorEastAsia" w:hAnsi="Times New Roman" w:cs="Times New Roman"/>
              <w:b w:val="0"/>
              <w:bCs w:val="0"/>
              <w:noProof/>
              <w:sz w:val="28"/>
              <w:szCs w:val="28"/>
            </w:rPr>
          </w:pPr>
          <w:hyperlink w:anchor="_Toc239144083" w:history="1">
            <w:r w:rsidRPr="00EA0839">
              <w:rPr>
                <w:rStyle w:val="Hyperlink"/>
                <w:rFonts w:ascii="Times New Roman" w:hAnsi="Times New Roman" w:cs="Times New Roman"/>
                <w:noProof/>
                <w:sz w:val="28"/>
                <w:szCs w:val="28"/>
              </w:rPr>
              <w:t xml:space="preserve">B. </w:t>
            </w:r>
            <w:r w:rsidRPr="00EA0839">
              <w:rPr>
                <w:rFonts w:ascii="Times New Roman" w:eastAsiaTheme="minorEastAsia" w:hAnsi="Times New Roman" w:cs="Times New Roman"/>
                <w:b w:val="0"/>
                <w:bCs w:val="0"/>
                <w:noProof/>
                <w:sz w:val="28"/>
                <w:szCs w:val="28"/>
              </w:rPr>
              <w:tab/>
            </w:r>
            <w:r w:rsidRPr="00EA0839">
              <w:rPr>
                <w:rStyle w:val="Hyperlink"/>
                <w:rFonts w:ascii="Times New Roman" w:hAnsi="Times New Roman" w:cs="Times New Roman"/>
                <w:noProof/>
                <w:sz w:val="28"/>
                <w:szCs w:val="28"/>
              </w:rPr>
              <w:t>The United States’s Subpoena Duces Tecum of Maddox Armana Should Not Be Quashed.</w:t>
            </w:r>
            <w:r w:rsidRPr="00EA0839">
              <w:rPr>
                <w:rFonts w:ascii="Times New Roman" w:hAnsi="Times New Roman" w:cs="Times New Roman"/>
                <w:noProof/>
                <w:webHidden/>
                <w:sz w:val="28"/>
                <w:szCs w:val="28"/>
              </w:rPr>
              <w:tab/>
            </w:r>
            <w:r w:rsidRPr="00EA0839">
              <w:rPr>
                <w:rFonts w:ascii="Times New Roman" w:hAnsi="Times New Roman" w:cs="Times New Roman"/>
                <w:noProof/>
                <w:webHidden/>
                <w:sz w:val="28"/>
                <w:szCs w:val="28"/>
              </w:rPr>
              <w:fldChar w:fldCharType="begin"/>
            </w:r>
            <w:r w:rsidRPr="00EA0839">
              <w:rPr>
                <w:rFonts w:ascii="Times New Roman" w:hAnsi="Times New Roman" w:cs="Times New Roman"/>
                <w:noProof/>
                <w:webHidden/>
                <w:sz w:val="28"/>
                <w:szCs w:val="28"/>
              </w:rPr>
              <w:instrText xml:space="preserve"> PAGEREF _Toc239144083 \h </w:instrText>
            </w:r>
            <w:r w:rsidRPr="00EA0839">
              <w:rPr>
                <w:rFonts w:ascii="Times New Roman" w:hAnsi="Times New Roman" w:cs="Times New Roman"/>
                <w:noProof/>
                <w:webHidden/>
                <w:sz w:val="28"/>
                <w:szCs w:val="28"/>
              </w:rPr>
            </w:r>
            <w:r w:rsidRPr="00EA0839">
              <w:rPr>
                <w:rFonts w:ascii="Times New Roman" w:hAnsi="Times New Roman" w:cs="Times New Roman"/>
                <w:noProof/>
                <w:webHidden/>
                <w:sz w:val="28"/>
                <w:szCs w:val="28"/>
              </w:rPr>
              <w:fldChar w:fldCharType="separate"/>
            </w:r>
            <w:r w:rsidRPr="00EA0839">
              <w:rPr>
                <w:rFonts w:ascii="Times New Roman" w:hAnsi="Times New Roman" w:cs="Times New Roman"/>
                <w:noProof/>
                <w:webHidden/>
                <w:sz w:val="28"/>
                <w:szCs w:val="28"/>
              </w:rPr>
              <w:t>11</w:t>
            </w:r>
            <w:r w:rsidRPr="00EA0839">
              <w:rPr>
                <w:rFonts w:ascii="Times New Roman" w:hAnsi="Times New Roman" w:cs="Times New Roman"/>
                <w:noProof/>
                <w:webHidden/>
                <w:sz w:val="28"/>
                <w:szCs w:val="28"/>
              </w:rPr>
              <w:fldChar w:fldCharType="end"/>
            </w:r>
          </w:hyperlink>
        </w:p>
        <w:p w14:paraId="16BE71A7" w14:textId="21DE49B2" w:rsidR="00654050" w:rsidRPr="00EA0839" w:rsidRDefault="00654050" w:rsidP="00EA0839">
          <w:pPr>
            <w:pStyle w:val="TOC3"/>
            <w:tabs>
              <w:tab w:val="right" w:leader="dot" w:pos="9350"/>
            </w:tabs>
            <w:ind w:left="2160" w:hanging="720"/>
            <w:rPr>
              <w:rFonts w:ascii="Times New Roman" w:eastAsiaTheme="minorEastAsia" w:hAnsi="Times New Roman" w:cs="Times New Roman"/>
              <w:noProof/>
              <w:sz w:val="28"/>
              <w:szCs w:val="28"/>
            </w:rPr>
          </w:pPr>
          <w:hyperlink w:anchor="_Toc239144084" w:history="1">
            <w:r w:rsidRPr="00EA0839">
              <w:rPr>
                <w:rStyle w:val="Hyperlink"/>
                <w:rFonts w:ascii="Times New Roman" w:hAnsi="Times New Roman" w:cs="Times New Roman"/>
                <w:noProof/>
                <w:sz w:val="28"/>
                <w:szCs w:val="28"/>
              </w:rPr>
              <w:t xml:space="preserve">1. </w:t>
            </w:r>
            <w:r w:rsidRPr="00EA0839">
              <w:rPr>
                <w:rFonts w:ascii="Times New Roman" w:eastAsiaTheme="minorEastAsia" w:hAnsi="Times New Roman" w:cs="Times New Roman"/>
                <w:noProof/>
                <w:sz w:val="28"/>
                <w:szCs w:val="28"/>
              </w:rPr>
              <w:tab/>
            </w:r>
            <w:r w:rsidRPr="00EA0839">
              <w:rPr>
                <w:rStyle w:val="Hyperlink"/>
                <w:rFonts w:ascii="Times New Roman" w:hAnsi="Times New Roman" w:cs="Times New Roman"/>
                <w:noProof/>
                <w:sz w:val="28"/>
                <w:szCs w:val="28"/>
              </w:rPr>
              <w:t>The Purpose of the Criminal Rules of Procedure Would Be Frustrated by Quashing This Subpoena.</w:t>
            </w:r>
            <w:r w:rsidRPr="00EA0839">
              <w:rPr>
                <w:rFonts w:ascii="Times New Roman" w:hAnsi="Times New Roman" w:cs="Times New Roman"/>
                <w:noProof/>
                <w:webHidden/>
                <w:sz w:val="28"/>
                <w:szCs w:val="28"/>
              </w:rPr>
              <w:tab/>
            </w:r>
            <w:r w:rsidRPr="00EA0839">
              <w:rPr>
                <w:rFonts w:ascii="Times New Roman" w:hAnsi="Times New Roman" w:cs="Times New Roman"/>
                <w:noProof/>
                <w:webHidden/>
                <w:sz w:val="28"/>
                <w:szCs w:val="28"/>
              </w:rPr>
              <w:fldChar w:fldCharType="begin"/>
            </w:r>
            <w:r w:rsidRPr="00EA0839">
              <w:rPr>
                <w:rFonts w:ascii="Times New Roman" w:hAnsi="Times New Roman" w:cs="Times New Roman"/>
                <w:noProof/>
                <w:webHidden/>
                <w:sz w:val="28"/>
                <w:szCs w:val="28"/>
              </w:rPr>
              <w:instrText xml:space="preserve"> PAGEREF _Toc239144084 \h </w:instrText>
            </w:r>
            <w:r w:rsidRPr="00EA0839">
              <w:rPr>
                <w:rFonts w:ascii="Times New Roman" w:hAnsi="Times New Roman" w:cs="Times New Roman"/>
                <w:noProof/>
                <w:webHidden/>
                <w:sz w:val="28"/>
                <w:szCs w:val="28"/>
              </w:rPr>
            </w:r>
            <w:r w:rsidRPr="00EA0839">
              <w:rPr>
                <w:rFonts w:ascii="Times New Roman" w:hAnsi="Times New Roman" w:cs="Times New Roman"/>
                <w:noProof/>
                <w:webHidden/>
                <w:sz w:val="28"/>
                <w:szCs w:val="28"/>
              </w:rPr>
              <w:fldChar w:fldCharType="separate"/>
            </w:r>
            <w:r w:rsidRPr="00EA0839">
              <w:rPr>
                <w:rFonts w:ascii="Times New Roman" w:hAnsi="Times New Roman" w:cs="Times New Roman"/>
                <w:noProof/>
                <w:webHidden/>
                <w:sz w:val="28"/>
                <w:szCs w:val="28"/>
              </w:rPr>
              <w:t>12</w:t>
            </w:r>
            <w:r w:rsidRPr="00EA0839">
              <w:rPr>
                <w:rFonts w:ascii="Times New Roman" w:hAnsi="Times New Roman" w:cs="Times New Roman"/>
                <w:noProof/>
                <w:webHidden/>
                <w:sz w:val="28"/>
                <w:szCs w:val="28"/>
              </w:rPr>
              <w:fldChar w:fldCharType="end"/>
            </w:r>
          </w:hyperlink>
        </w:p>
        <w:p w14:paraId="231AC38D" w14:textId="00256D0A" w:rsidR="00654050" w:rsidRPr="00EA0839" w:rsidRDefault="00654050" w:rsidP="00EA0839">
          <w:pPr>
            <w:pStyle w:val="TOC3"/>
            <w:tabs>
              <w:tab w:val="right" w:leader="dot" w:pos="9350"/>
            </w:tabs>
            <w:ind w:left="2160" w:hanging="720"/>
            <w:rPr>
              <w:rFonts w:ascii="Times New Roman" w:eastAsiaTheme="minorEastAsia" w:hAnsi="Times New Roman" w:cs="Times New Roman"/>
              <w:noProof/>
              <w:sz w:val="28"/>
              <w:szCs w:val="28"/>
            </w:rPr>
          </w:pPr>
          <w:hyperlink w:anchor="_Toc239144085" w:history="1">
            <w:r w:rsidRPr="00EA0839">
              <w:rPr>
                <w:rStyle w:val="Hyperlink"/>
                <w:rFonts w:ascii="Times New Roman" w:hAnsi="Times New Roman" w:cs="Times New Roman"/>
                <w:noProof/>
                <w:sz w:val="28"/>
                <w:szCs w:val="28"/>
              </w:rPr>
              <w:t xml:space="preserve">2. </w:t>
            </w:r>
            <w:r w:rsidRPr="00EA0839">
              <w:rPr>
                <w:rFonts w:ascii="Times New Roman" w:eastAsiaTheme="minorEastAsia" w:hAnsi="Times New Roman" w:cs="Times New Roman"/>
                <w:noProof/>
                <w:sz w:val="28"/>
                <w:szCs w:val="28"/>
              </w:rPr>
              <w:tab/>
            </w:r>
            <w:r w:rsidRPr="00EA0839">
              <w:rPr>
                <w:rStyle w:val="Hyperlink"/>
                <w:rFonts w:ascii="Times New Roman" w:hAnsi="Times New Roman" w:cs="Times New Roman"/>
                <w:noProof/>
                <w:sz w:val="28"/>
                <w:szCs w:val="28"/>
              </w:rPr>
              <w:t>The Work Product Protection is Overcome by the Government’s Substantial Need for the Records.</w:t>
            </w:r>
            <w:r w:rsidRPr="00EA0839">
              <w:rPr>
                <w:rFonts w:ascii="Times New Roman" w:hAnsi="Times New Roman" w:cs="Times New Roman"/>
                <w:noProof/>
                <w:webHidden/>
                <w:sz w:val="28"/>
                <w:szCs w:val="28"/>
              </w:rPr>
              <w:tab/>
            </w:r>
            <w:r w:rsidRPr="00EA0839">
              <w:rPr>
                <w:rFonts w:ascii="Times New Roman" w:hAnsi="Times New Roman" w:cs="Times New Roman"/>
                <w:noProof/>
                <w:webHidden/>
                <w:sz w:val="28"/>
                <w:szCs w:val="28"/>
              </w:rPr>
              <w:fldChar w:fldCharType="begin"/>
            </w:r>
            <w:r w:rsidRPr="00EA0839">
              <w:rPr>
                <w:rFonts w:ascii="Times New Roman" w:hAnsi="Times New Roman" w:cs="Times New Roman"/>
                <w:noProof/>
                <w:webHidden/>
                <w:sz w:val="28"/>
                <w:szCs w:val="28"/>
              </w:rPr>
              <w:instrText xml:space="preserve"> PAGEREF _Toc239144085 \h </w:instrText>
            </w:r>
            <w:r w:rsidRPr="00EA0839">
              <w:rPr>
                <w:rFonts w:ascii="Times New Roman" w:hAnsi="Times New Roman" w:cs="Times New Roman"/>
                <w:noProof/>
                <w:webHidden/>
                <w:sz w:val="28"/>
                <w:szCs w:val="28"/>
              </w:rPr>
            </w:r>
            <w:r w:rsidRPr="00EA0839">
              <w:rPr>
                <w:rFonts w:ascii="Times New Roman" w:hAnsi="Times New Roman" w:cs="Times New Roman"/>
                <w:noProof/>
                <w:webHidden/>
                <w:sz w:val="28"/>
                <w:szCs w:val="28"/>
              </w:rPr>
              <w:fldChar w:fldCharType="separate"/>
            </w:r>
            <w:r w:rsidRPr="00EA0839">
              <w:rPr>
                <w:rFonts w:ascii="Times New Roman" w:hAnsi="Times New Roman" w:cs="Times New Roman"/>
                <w:noProof/>
                <w:webHidden/>
                <w:sz w:val="28"/>
                <w:szCs w:val="28"/>
              </w:rPr>
              <w:t>13</w:t>
            </w:r>
            <w:r w:rsidRPr="00EA0839">
              <w:rPr>
                <w:rFonts w:ascii="Times New Roman" w:hAnsi="Times New Roman" w:cs="Times New Roman"/>
                <w:noProof/>
                <w:webHidden/>
                <w:sz w:val="28"/>
                <w:szCs w:val="28"/>
              </w:rPr>
              <w:fldChar w:fldCharType="end"/>
            </w:r>
          </w:hyperlink>
        </w:p>
        <w:p w14:paraId="54CCAE52" w14:textId="1DE9115D" w:rsidR="00654050" w:rsidRPr="00EA0839" w:rsidRDefault="00654050" w:rsidP="00EA0839">
          <w:pPr>
            <w:pStyle w:val="TOC3"/>
            <w:tabs>
              <w:tab w:val="right" w:leader="dot" w:pos="9350"/>
            </w:tabs>
            <w:ind w:left="2160" w:hanging="720"/>
            <w:rPr>
              <w:rFonts w:ascii="Times New Roman" w:eastAsiaTheme="minorEastAsia" w:hAnsi="Times New Roman" w:cs="Times New Roman"/>
              <w:noProof/>
              <w:sz w:val="28"/>
              <w:szCs w:val="28"/>
            </w:rPr>
          </w:pPr>
          <w:hyperlink w:anchor="_Toc239144086" w:history="1">
            <w:r w:rsidRPr="00EA0839">
              <w:rPr>
                <w:rStyle w:val="Hyperlink"/>
                <w:rFonts w:ascii="Times New Roman" w:hAnsi="Times New Roman" w:cs="Times New Roman"/>
                <w:noProof/>
                <w:sz w:val="28"/>
                <w:szCs w:val="28"/>
              </w:rPr>
              <w:t xml:space="preserve">3. </w:t>
            </w:r>
            <w:r w:rsidRPr="00EA0839">
              <w:rPr>
                <w:rFonts w:ascii="Times New Roman" w:eastAsiaTheme="minorEastAsia" w:hAnsi="Times New Roman" w:cs="Times New Roman"/>
                <w:noProof/>
                <w:sz w:val="28"/>
                <w:szCs w:val="28"/>
              </w:rPr>
              <w:tab/>
            </w:r>
            <w:r w:rsidRPr="00EA0839">
              <w:rPr>
                <w:rStyle w:val="Hyperlink"/>
                <w:rFonts w:ascii="Times New Roman" w:hAnsi="Times New Roman" w:cs="Times New Roman"/>
                <w:noProof/>
                <w:sz w:val="28"/>
                <w:szCs w:val="28"/>
              </w:rPr>
              <w:t>The Government Has a Substantial Need for the Fact Work Product Contained in the Records.</w:t>
            </w:r>
            <w:r w:rsidRPr="00EA0839">
              <w:rPr>
                <w:rFonts w:ascii="Times New Roman" w:hAnsi="Times New Roman" w:cs="Times New Roman"/>
                <w:noProof/>
                <w:webHidden/>
                <w:sz w:val="28"/>
                <w:szCs w:val="28"/>
              </w:rPr>
              <w:tab/>
            </w:r>
            <w:r w:rsidRPr="00EA0839">
              <w:rPr>
                <w:rFonts w:ascii="Times New Roman" w:hAnsi="Times New Roman" w:cs="Times New Roman"/>
                <w:noProof/>
                <w:webHidden/>
                <w:sz w:val="28"/>
                <w:szCs w:val="28"/>
              </w:rPr>
              <w:fldChar w:fldCharType="begin"/>
            </w:r>
            <w:r w:rsidRPr="00EA0839">
              <w:rPr>
                <w:rFonts w:ascii="Times New Roman" w:hAnsi="Times New Roman" w:cs="Times New Roman"/>
                <w:noProof/>
                <w:webHidden/>
                <w:sz w:val="28"/>
                <w:szCs w:val="28"/>
              </w:rPr>
              <w:instrText xml:space="preserve"> PAGEREF _Toc239144086 \h </w:instrText>
            </w:r>
            <w:r w:rsidRPr="00EA0839">
              <w:rPr>
                <w:rFonts w:ascii="Times New Roman" w:hAnsi="Times New Roman" w:cs="Times New Roman"/>
                <w:noProof/>
                <w:webHidden/>
                <w:sz w:val="28"/>
                <w:szCs w:val="28"/>
              </w:rPr>
            </w:r>
            <w:r w:rsidRPr="00EA0839">
              <w:rPr>
                <w:rFonts w:ascii="Times New Roman" w:hAnsi="Times New Roman" w:cs="Times New Roman"/>
                <w:noProof/>
                <w:webHidden/>
                <w:sz w:val="28"/>
                <w:szCs w:val="28"/>
              </w:rPr>
              <w:fldChar w:fldCharType="separate"/>
            </w:r>
            <w:r w:rsidRPr="00EA0839">
              <w:rPr>
                <w:rFonts w:ascii="Times New Roman" w:hAnsi="Times New Roman" w:cs="Times New Roman"/>
                <w:noProof/>
                <w:webHidden/>
                <w:sz w:val="28"/>
                <w:szCs w:val="28"/>
              </w:rPr>
              <w:t>17</w:t>
            </w:r>
            <w:r w:rsidRPr="00EA0839">
              <w:rPr>
                <w:rFonts w:ascii="Times New Roman" w:hAnsi="Times New Roman" w:cs="Times New Roman"/>
                <w:noProof/>
                <w:webHidden/>
                <w:sz w:val="28"/>
                <w:szCs w:val="28"/>
              </w:rPr>
              <w:fldChar w:fldCharType="end"/>
            </w:r>
          </w:hyperlink>
        </w:p>
        <w:p w14:paraId="4B485F2C" w14:textId="266A1607" w:rsidR="00654050" w:rsidRPr="00EA0839" w:rsidRDefault="00654050" w:rsidP="00EA0839">
          <w:pPr>
            <w:pStyle w:val="TOC3"/>
            <w:tabs>
              <w:tab w:val="right" w:leader="dot" w:pos="9350"/>
            </w:tabs>
            <w:ind w:left="2160" w:hanging="720"/>
            <w:rPr>
              <w:rFonts w:ascii="Times New Roman" w:eastAsiaTheme="minorEastAsia" w:hAnsi="Times New Roman" w:cs="Times New Roman"/>
              <w:noProof/>
              <w:sz w:val="28"/>
              <w:szCs w:val="28"/>
            </w:rPr>
          </w:pPr>
          <w:hyperlink w:anchor="_Toc239144087" w:history="1">
            <w:r w:rsidRPr="00EA0839">
              <w:rPr>
                <w:rStyle w:val="Hyperlink"/>
                <w:rFonts w:ascii="Times New Roman" w:hAnsi="Times New Roman" w:cs="Times New Roman"/>
                <w:noProof/>
                <w:sz w:val="28"/>
                <w:szCs w:val="28"/>
              </w:rPr>
              <w:t xml:space="preserve">4. </w:t>
            </w:r>
            <w:r w:rsidRPr="00EA0839">
              <w:rPr>
                <w:rFonts w:ascii="Times New Roman" w:eastAsiaTheme="minorEastAsia" w:hAnsi="Times New Roman" w:cs="Times New Roman"/>
                <w:noProof/>
                <w:sz w:val="28"/>
                <w:szCs w:val="28"/>
              </w:rPr>
              <w:tab/>
            </w:r>
            <w:r w:rsidRPr="00EA0839">
              <w:rPr>
                <w:rStyle w:val="Hyperlink"/>
                <w:rFonts w:ascii="Times New Roman" w:hAnsi="Times New Roman" w:cs="Times New Roman"/>
                <w:noProof/>
                <w:sz w:val="28"/>
                <w:szCs w:val="28"/>
              </w:rPr>
              <w:t>The Government Has Extreme Necessity for the Opinion Work-Product Contained in the Records.</w:t>
            </w:r>
            <w:r w:rsidRPr="00EA0839">
              <w:rPr>
                <w:rFonts w:ascii="Times New Roman" w:hAnsi="Times New Roman" w:cs="Times New Roman"/>
                <w:noProof/>
                <w:webHidden/>
                <w:sz w:val="28"/>
                <w:szCs w:val="28"/>
              </w:rPr>
              <w:tab/>
            </w:r>
            <w:r w:rsidRPr="00EA0839">
              <w:rPr>
                <w:rFonts w:ascii="Times New Roman" w:hAnsi="Times New Roman" w:cs="Times New Roman"/>
                <w:noProof/>
                <w:webHidden/>
                <w:sz w:val="28"/>
                <w:szCs w:val="28"/>
              </w:rPr>
              <w:fldChar w:fldCharType="begin"/>
            </w:r>
            <w:r w:rsidRPr="00EA0839">
              <w:rPr>
                <w:rFonts w:ascii="Times New Roman" w:hAnsi="Times New Roman" w:cs="Times New Roman"/>
                <w:noProof/>
                <w:webHidden/>
                <w:sz w:val="28"/>
                <w:szCs w:val="28"/>
              </w:rPr>
              <w:instrText xml:space="preserve"> PAGEREF _Toc239144087 \h </w:instrText>
            </w:r>
            <w:r w:rsidRPr="00EA0839">
              <w:rPr>
                <w:rFonts w:ascii="Times New Roman" w:hAnsi="Times New Roman" w:cs="Times New Roman"/>
                <w:noProof/>
                <w:webHidden/>
                <w:sz w:val="28"/>
                <w:szCs w:val="28"/>
              </w:rPr>
            </w:r>
            <w:r w:rsidRPr="00EA0839">
              <w:rPr>
                <w:rFonts w:ascii="Times New Roman" w:hAnsi="Times New Roman" w:cs="Times New Roman"/>
                <w:noProof/>
                <w:webHidden/>
                <w:sz w:val="28"/>
                <w:szCs w:val="28"/>
              </w:rPr>
              <w:fldChar w:fldCharType="separate"/>
            </w:r>
            <w:r w:rsidRPr="00EA0839">
              <w:rPr>
                <w:rFonts w:ascii="Times New Roman" w:hAnsi="Times New Roman" w:cs="Times New Roman"/>
                <w:noProof/>
                <w:webHidden/>
                <w:sz w:val="28"/>
                <w:szCs w:val="28"/>
              </w:rPr>
              <w:t>18</w:t>
            </w:r>
            <w:r w:rsidRPr="00EA0839">
              <w:rPr>
                <w:rFonts w:ascii="Times New Roman" w:hAnsi="Times New Roman" w:cs="Times New Roman"/>
                <w:noProof/>
                <w:webHidden/>
                <w:sz w:val="28"/>
                <w:szCs w:val="28"/>
              </w:rPr>
              <w:fldChar w:fldCharType="end"/>
            </w:r>
          </w:hyperlink>
        </w:p>
        <w:p w14:paraId="3277FD97" w14:textId="6342E761" w:rsidR="00654050" w:rsidRPr="00EA0839" w:rsidRDefault="00654050" w:rsidP="00EA0839">
          <w:pPr>
            <w:pStyle w:val="TOC1"/>
            <w:tabs>
              <w:tab w:val="clear" w:pos="560"/>
            </w:tabs>
            <w:ind w:left="720" w:hanging="720"/>
            <w:rPr>
              <w:rFonts w:eastAsiaTheme="minorEastAsia"/>
              <w:noProof/>
            </w:rPr>
          </w:pPr>
          <w:hyperlink w:anchor="_Toc239144088" w:history="1">
            <w:r w:rsidRPr="00EA0839">
              <w:rPr>
                <w:rStyle w:val="Hyperlink"/>
                <w:rFonts w:ascii="Times New Roman" w:hAnsi="Times New Roman" w:cs="Times New Roman"/>
                <w:i w:val="0"/>
                <w:iCs w:val="0"/>
                <w:noProof/>
                <w:sz w:val="28"/>
                <w:szCs w:val="28"/>
              </w:rPr>
              <w:t xml:space="preserve">IV. </w:t>
            </w:r>
            <w:r w:rsidRPr="00EA0839">
              <w:rPr>
                <w:rFonts w:eastAsiaTheme="minorEastAsia"/>
                <w:noProof/>
              </w:rPr>
              <w:tab/>
            </w:r>
            <w:r w:rsidRPr="00EA0839">
              <w:rPr>
                <w:rStyle w:val="Hyperlink"/>
                <w:rFonts w:ascii="Times New Roman" w:hAnsi="Times New Roman" w:cs="Times New Roman"/>
                <w:i w:val="0"/>
                <w:iCs w:val="0"/>
                <w:noProof/>
                <w:sz w:val="28"/>
                <w:szCs w:val="28"/>
              </w:rPr>
              <w:t>CONCLUSION WITH PRAYER FOR RELIEF</w:t>
            </w:r>
            <w:r w:rsidRPr="00EA0839">
              <w:rPr>
                <w:noProof/>
                <w:webHidden/>
              </w:rPr>
              <w:tab/>
            </w:r>
            <w:r w:rsidRPr="00EA0839">
              <w:rPr>
                <w:noProof/>
                <w:webHidden/>
              </w:rPr>
              <w:fldChar w:fldCharType="begin"/>
            </w:r>
            <w:r w:rsidRPr="00EA0839">
              <w:rPr>
                <w:noProof/>
                <w:webHidden/>
              </w:rPr>
              <w:instrText xml:space="preserve"> PAGEREF _Toc239144088 \h </w:instrText>
            </w:r>
            <w:r w:rsidRPr="00EA0839">
              <w:rPr>
                <w:noProof/>
                <w:webHidden/>
              </w:rPr>
            </w:r>
            <w:r w:rsidRPr="00EA0839">
              <w:rPr>
                <w:noProof/>
                <w:webHidden/>
              </w:rPr>
              <w:fldChar w:fldCharType="separate"/>
            </w:r>
            <w:r w:rsidRPr="00EA0839">
              <w:rPr>
                <w:noProof/>
                <w:webHidden/>
              </w:rPr>
              <w:t>19</w:t>
            </w:r>
            <w:r w:rsidRPr="00EA0839">
              <w:rPr>
                <w:noProof/>
                <w:webHidden/>
              </w:rPr>
              <w:fldChar w:fldCharType="end"/>
            </w:r>
          </w:hyperlink>
        </w:p>
        <w:p w14:paraId="1438EAB7" w14:textId="40486532" w:rsidR="00654050" w:rsidRPr="00BF5772" w:rsidRDefault="00654050">
          <w:r w:rsidRPr="00BF5772">
            <w:rPr>
              <w:b/>
              <w:bCs/>
              <w:noProof/>
            </w:rPr>
            <w:fldChar w:fldCharType="end"/>
          </w:r>
        </w:p>
      </w:sdtContent>
    </w:sdt>
    <w:p w14:paraId="465CF4EC" w14:textId="77777777" w:rsidR="00064C63" w:rsidRPr="00BF5772" w:rsidRDefault="00064C63" w:rsidP="00064C63">
      <w:r w:rsidRPr="00BF5772">
        <w:br w:type="page"/>
      </w:r>
    </w:p>
    <w:p w14:paraId="59182D3C" w14:textId="1457E656" w:rsidR="00064C63" w:rsidRPr="00BF5772" w:rsidRDefault="00064C63" w:rsidP="00BF5772">
      <w:pPr>
        <w:jc w:val="center"/>
        <w:rPr>
          <w:b/>
          <w:bCs/>
        </w:rPr>
      </w:pPr>
      <w:r w:rsidRPr="00BF5772">
        <w:rPr>
          <w:b/>
          <w:bCs/>
        </w:rPr>
        <w:lastRenderedPageBreak/>
        <w:t>TABLE OF AUTHORITIES</w:t>
      </w:r>
    </w:p>
    <w:p w14:paraId="448CE6EA" w14:textId="77777777" w:rsidR="00BF5772" w:rsidRPr="00BF5772" w:rsidRDefault="00BF5772">
      <w:pPr>
        <w:pStyle w:val="TOAHeading"/>
        <w:tabs>
          <w:tab w:val="right" w:leader="dot" w:pos="9350"/>
        </w:tabs>
        <w:rPr>
          <w:rFonts w:ascii="Times New Roman" w:eastAsiaTheme="minorEastAsia" w:hAnsi="Times New Roman" w:cs="Times New Roman"/>
          <w:b/>
          <w:bCs/>
          <w:noProof/>
          <w:sz w:val="28"/>
          <w:szCs w:val="28"/>
        </w:rPr>
      </w:pPr>
      <w:r w:rsidRPr="00BF5772">
        <w:rPr>
          <w:rFonts w:ascii="Times New Roman" w:hAnsi="Times New Roman" w:cs="Times New Roman"/>
          <w:sz w:val="28"/>
          <w:szCs w:val="28"/>
        </w:rPr>
        <w:fldChar w:fldCharType="begin"/>
      </w:r>
      <w:r w:rsidRPr="00BF5772">
        <w:rPr>
          <w:rFonts w:ascii="Times New Roman" w:hAnsi="Times New Roman" w:cs="Times New Roman"/>
          <w:sz w:val="28"/>
          <w:szCs w:val="28"/>
        </w:rPr>
        <w:instrText xml:space="preserve"> TOA \h \c "1" \p </w:instrText>
      </w:r>
      <w:r w:rsidRPr="00BF5772">
        <w:rPr>
          <w:rFonts w:ascii="Times New Roman" w:hAnsi="Times New Roman" w:cs="Times New Roman"/>
          <w:sz w:val="28"/>
          <w:szCs w:val="28"/>
        </w:rPr>
        <w:fldChar w:fldCharType="separate"/>
      </w:r>
      <w:r w:rsidRPr="00BF5772">
        <w:rPr>
          <w:rFonts w:ascii="Times New Roman" w:hAnsi="Times New Roman" w:cs="Times New Roman"/>
          <w:noProof/>
          <w:sz w:val="28"/>
          <w:szCs w:val="28"/>
        </w:rPr>
        <w:t>Cases</w:t>
      </w:r>
    </w:p>
    <w:p w14:paraId="097E0AA1" w14:textId="75BEE09D" w:rsidR="00BF5772" w:rsidRPr="00BF5772" w:rsidRDefault="00BF5772">
      <w:pPr>
        <w:pStyle w:val="TableofAuthorities"/>
        <w:tabs>
          <w:tab w:val="right" w:leader="dot" w:pos="9350"/>
        </w:tabs>
        <w:rPr>
          <w:rFonts w:ascii="Times New Roman" w:hAnsi="Times New Roman" w:cs="Times New Roman"/>
          <w:noProof/>
          <w:sz w:val="28"/>
          <w:szCs w:val="28"/>
        </w:rPr>
      </w:pPr>
      <w:r w:rsidRPr="00BF5772">
        <w:rPr>
          <w:rFonts w:ascii="Times New Roman" w:hAnsi="Times New Roman" w:cs="Times New Roman"/>
          <w:i/>
          <w:iCs/>
          <w:noProof/>
          <w:color w:val="000000"/>
          <w:sz w:val="28"/>
          <w:szCs w:val="28"/>
        </w:rPr>
        <w:t>Green v. Baca</w:t>
      </w:r>
      <w:r w:rsidRPr="00BF5772">
        <w:rPr>
          <w:rFonts w:ascii="Times New Roman" w:hAnsi="Times New Roman" w:cs="Times New Roman"/>
          <w:noProof/>
          <w:color w:val="000000"/>
          <w:sz w:val="28"/>
          <w:szCs w:val="28"/>
        </w:rPr>
        <w:t>, 226 F.R.D. 624 (C.D. Cal. 2005)</w:t>
      </w:r>
      <w:r w:rsidRPr="00BF5772">
        <w:rPr>
          <w:rFonts w:ascii="Times New Roman" w:hAnsi="Times New Roman" w:cs="Times New Roman"/>
          <w:noProof/>
          <w:sz w:val="28"/>
          <w:szCs w:val="28"/>
        </w:rPr>
        <w:tab/>
        <w:t>16</w:t>
      </w:r>
    </w:p>
    <w:p w14:paraId="4A39F92C" w14:textId="0EA6D1D9" w:rsidR="00BF5772" w:rsidRPr="00BF5772" w:rsidRDefault="00BF5772" w:rsidP="00BF5772">
      <w:pPr>
        <w:pStyle w:val="TableofAuthorities"/>
        <w:tabs>
          <w:tab w:val="right" w:leader="dot" w:pos="9350"/>
        </w:tabs>
        <w:rPr>
          <w:rFonts w:ascii="Times New Roman" w:hAnsi="Times New Roman" w:cs="Times New Roman"/>
          <w:noProof/>
          <w:sz w:val="28"/>
          <w:szCs w:val="28"/>
        </w:rPr>
      </w:pPr>
      <w:r w:rsidRPr="00BF5772">
        <w:rPr>
          <w:rFonts w:ascii="Times New Roman" w:hAnsi="Times New Roman" w:cs="Times New Roman"/>
          <w:i/>
          <w:iCs/>
          <w:noProof/>
          <w:color w:val="000000"/>
          <w:sz w:val="28"/>
          <w:szCs w:val="28"/>
        </w:rPr>
        <w:t>Hickman v. Taylor</w:t>
      </w:r>
      <w:r w:rsidRPr="00BF5772">
        <w:rPr>
          <w:rFonts w:ascii="Times New Roman" w:hAnsi="Times New Roman" w:cs="Times New Roman"/>
          <w:noProof/>
          <w:color w:val="000000"/>
          <w:sz w:val="28"/>
          <w:szCs w:val="28"/>
        </w:rPr>
        <w:t>, 329 U.S. 495 (1947).</w:t>
      </w:r>
      <w:r w:rsidRPr="00BF5772">
        <w:rPr>
          <w:rFonts w:ascii="Times New Roman" w:hAnsi="Times New Roman" w:cs="Times New Roman"/>
          <w:noProof/>
          <w:sz w:val="28"/>
          <w:szCs w:val="28"/>
        </w:rPr>
        <w:tab/>
        <w:t>14, 15, 19</w:t>
      </w:r>
    </w:p>
    <w:p w14:paraId="436A78F6" w14:textId="77777777" w:rsidR="00BF5772" w:rsidRPr="00BF5772" w:rsidRDefault="00BF5772">
      <w:pPr>
        <w:pStyle w:val="TableofAuthorities"/>
        <w:tabs>
          <w:tab w:val="right" w:leader="dot" w:pos="9350"/>
        </w:tabs>
        <w:rPr>
          <w:rFonts w:ascii="Times New Roman" w:hAnsi="Times New Roman" w:cs="Times New Roman"/>
          <w:noProof/>
          <w:sz w:val="28"/>
          <w:szCs w:val="28"/>
        </w:rPr>
      </w:pPr>
      <w:r w:rsidRPr="00BF5772">
        <w:rPr>
          <w:rFonts w:ascii="Times New Roman" w:hAnsi="Times New Roman" w:cs="Times New Roman"/>
          <w:i/>
          <w:iCs/>
          <w:noProof/>
          <w:color w:val="000000"/>
          <w:sz w:val="28"/>
          <w:szCs w:val="28"/>
        </w:rPr>
        <w:t>In re Grand Jury Investigation</w:t>
      </w:r>
      <w:r w:rsidRPr="00BF5772">
        <w:rPr>
          <w:rFonts w:ascii="Times New Roman" w:hAnsi="Times New Roman" w:cs="Times New Roman"/>
          <w:noProof/>
          <w:color w:val="000000"/>
          <w:sz w:val="28"/>
          <w:szCs w:val="28"/>
        </w:rPr>
        <w:t>, 412 F. Supp. 943 (E.D. Pa. 1976)</w:t>
      </w:r>
      <w:r w:rsidRPr="00BF5772">
        <w:rPr>
          <w:rFonts w:ascii="Times New Roman" w:hAnsi="Times New Roman" w:cs="Times New Roman"/>
          <w:noProof/>
          <w:sz w:val="28"/>
          <w:szCs w:val="28"/>
        </w:rPr>
        <w:tab/>
        <w:t>15</w:t>
      </w:r>
    </w:p>
    <w:p w14:paraId="66AF513A" w14:textId="502B0584" w:rsidR="00BF5772" w:rsidRPr="00BF5772" w:rsidRDefault="00BF5772">
      <w:pPr>
        <w:pStyle w:val="TableofAuthorities"/>
        <w:tabs>
          <w:tab w:val="right" w:leader="dot" w:pos="9350"/>
        </w:tabs>
        <w:rPr>
          <w:rFonts w:ascii="Times New Roman" w:hAnsi="Times New Roman" w:cs="Times New Roman"/>
          <w:noProof/>
          <w:sz w:val="28"/>
          <w:szCs w:val="28"/>
        </w:rPr>
      </w:pPr>
      <w:r w:rsidRPr="00BF5772">
        <w:rPr>
          <w:rFonts w:ascii="Times New Roman" w:hAnsi="Times New Roman" w:cs="Times New Roman"/>
          <w:i/>
          <w:iCs/>
          <w:noProof/>
          <w:sz w:val="28"/>
          <w:szCs w:val="28"/>
        </w:rPr>
        <w:t>Kastigar v. United States</w:t>
      </w:r>
      <w:r w:rsidRPr="00BF5772">
        <w:rPr>
          <w:rFonts w:ascii="Times New Roman" w:hAnsi="Times New Roman" w:cs="Times New Roman"/>
          <w:noProof/>
          <w:sz w:val="28"/>
          <w:szCs w:val="28"/>
        </w:rPr>
        <w:t>, 406 U.S. 441 (1972)</w:t>
      </w:r>
      <w:r w:rsidRPr="00BF5772">
        <w:rPr>
          <w:rFonts w:ascii="Times New Roman" w:hAnsi="Times New Roman" w:cs="Times New Roman"/>
          <w:noProof/>
          <w:sz w:val="28"/>
          <w:szCs w:val="28"/>
        </w:rPr>
        <w:tab/>
        <w:t>6</w:t>
      </w:r>
    </w:p>
    <w:p w14:paraId="6ECC126E" w14:textId="1A9E312E" w:rsidR="00BF5772" w:rsidRPr="00BF5772" w:rsidRDefault="00BF5772">
      <w:pPr>
        <w:pStyle w:val="TableofAuthorities"/>
        <w:tabs>
          <w:tab w:val="right" w:leader="dot" w:pos="9350"/>
        </w:tabs>
        <w:rPr>
          <w:rFonts w:ascii="Times New Roman" w:hAnsi="Times New Roman" w:cs="Times New Roman"/>
          <w:noProof/>
          <w:sz w:val="28"/>
          <w:szCs w:val="28"/>
        </w:rPr>
      </w:pPr>
      <w:r w:rsidRPr="00BF5772">
        <w:rPr>
          <w:rFonts w:ascii="Times New Roman" w:hAnsi="Times New Roman" w:cs="Times New Roman"/>
          <w:i/>
          <w:iCs/>
          <w:noProof/>
          <w:sz w:val="28"/>
          <w:szCs w:val="28"/>
        </w:rPr>
        <w:t>Nix v. Williams</w:t>
      </w:r>
      <w:r w:rsidRPr="00BF5772">
        <w:rPr>
          <w:rFonts w:ascii="Times New Roman" w:hAnsi="Times New Roman" w:cs="Times New Roman"/>
          <w:noProof/>
          <w:sz w:val="28"/>
          <w:szCs w:val="28"/>
        </w:rPr>
        <w:t>, 467 U.S. 431 (1984).</w:t>
      </w:r>
      <w:r w:rsidRPr="00BF5772">
        <w:rPr>
          <w:rFonts w:ascii="Times New Roman" w:hAnsi="Times New Roman" w:cs="Times New Roman"/>
          <w:noProof/>
          <w:sz w:val="28"/>
          <w:szCs w:val="28"/>
        </w:rPr>
        <w:tab/>
        <w:t>11</w:t>
      </w:r>
    </w:p>
    <w:p w14:paraId="238974C1" w14:textId="759C32FF" w:rsidR="00BF5772" w:rsidRPr="00BF5772" w:rsidRDefault="00BF5772" w:rsidP="00BF5772">
      <w:pPr>
        <w:pStyle w:val="TableofAuthorities"/>
        <w:tabs>
          <w:tab w:val="right" w:leader="dot" w:pos="9350"/>
        </w:tabs>
        <w:rPr>
          <w:rFonts w:ascii="Times New Roman" w:hAnsi="Times New Roman" w:cs="Times New Roman"/>
          <w:noProof/>
          <w:sz w:val="28"/>
          <w:szCs w:val="28"/>
        </w:rPr>
      </w:pPr>
      <w:r w:rsidRPr="00BF5772">
        <w:rPr>
          <w:rFonts w:ascii="Times New Roman" w:hAnsi="Times New Roman" w:cs="Times New Roman"/>
          <w:i/>
          <w:iCs/>
          <w:noProof/>
          <w:color w:val="000000"/>
          <w:sz w:val="28"/>
          <w:szCs w:val="28"/>
        </w:rPr>
        <w:t>Parks v. United States</w:t>
      </w:r>
      <w:r w:rsidRPr="00BF5772">
        <w:rPr>
          <w:rFonts w:ascii="Times New Roman" w:hAnsi="Times New Roman" w:cs="Times New Roman"/>
          <w:noProof/>
          <w:color w:val="000000"/>
          <w:sz w:val="28"/>
          <w:szCs w:val="28"/>
        </w:rPr>
        <w:t>, 451 A.2d 591, 6089 (D.C. 1982)</w:t>
      </w:r>
      <w:r w:rsidRPr="00BF5772">
        <w:rPr>
          <w:rFonts w:ascii="Times New Roman" w:hAnsi="Times New Roman" w:cs="Times New Roman"/>
          <w:noProof/>
          <w:sz w:val="28"/>
          <w:szCs w:val="28"/>
        </w:rPr>
        <w:tab/>
        <w:t>passim</w:t>
      </w:r>
    </w:p>
    <w:p w14:paraId="25EC0989" w14:textId="16084024" w:rsidR="00BF5772" w:rsidRPr="00BF5772" w:rsidRDefault="00BF5772">
      <w:pPr>
        <w:pStyle w:val="TableofAuthorities"/>
        <w:tabs>
          <w:tab w:val="right" w:leader="dot" w:pos="9350"/>
        </w:tabs>
        <w:rPr>
          <w:rFonts w:ascii="Times New Roman" w:hAnsi="Times New Roman" w:cs="Times New Roman"/>
          <w:noProof/>
          <w:sz w:val="28"/>
          <w:szCs w:val="28"/>
        </w:rPr>
      </w:pPr>
      <w:r w:rsidRPr="00BF5772">
        <w:rPr>
          <w:rFonts w:ascii="Times New Roman" w:hAnsi="Times New Roman" w:cs="Times New Roman"/>
          <w:i/>
          <w:iCs/>
          <w:noProof/>
          <w:sz w:val="28"/>
          <w:szCs w:val="28"/>
        </w:rPr>
        <w:t>States v. Hampton</w:t>
      </w:r>
      <w:r w:rsidRPr="00BF5772">
        <w:rPr>
          <w:rFonts w:ascii="Times New Roman" w:hAnsi="Times New Roman" w:cs="Times New Roman"/>
          <w:noProof/>
          <w:sz w:val="28"/>
          <w:szCs w:val="28"/>
        </w:rPr>
        <w:t>, 775 F.2d 1479 (11th Cir. 1985)</w:t>
      </w:r>
      <w:r w:rsidRPr="00BF5772">
        <w:rPr>
          <w:rFonts w:ascii="Times New Roman" w:hAnsi="Times New Roman" w:cs="Times New Roman"/>
          <w:noProof/>
          <w:sz w:val="28"/>
          <w:szCs w:val="28"/>
        </w:rPr>
        <w:tab/>
        <w:t>8</w:t>
      </w:r>
    </w:p>
    <w:p w14:paraId="6B36A51C" w14:textId="31A94ED4" w:rsidR="00BF5772" w:rsidRPr="00BF5772" w:rsidRDefault="00BF5772">
      <w:pPr>
        <w:pStyle w:val="TableofAuthorities"/>
        <w:tabs>
          <w:tab w:val="right" w:leader="dot" w:pos="9350"/>
        </w:tabs>
        <w:rPr>
          <w:rFonts w:ascii="Times New Roman" w:hAnsi="Times New Roman" w:cs="Times New Roman"/>
          <w:noProof/>
          <w:sz w:val="28"/>
          <w:szCs w:val="28"/>
        </w:rPr>
      </w:pPr>
      <w:r w:rsidRPr="00BF5772">
        <w:rPr>
          <w:rFonts w:ascii="Times New Roman" w:hAnsi="Times New Roman" w:cs="Times New Roman"/>
          <w:i/>
          <w:iCs/>
          <w:noProof/>
          <w:sz w:val="28"/>
          <w:szCs w:val="28"/>
        </w:rPr>
        <w:t>United States v. Byrd</w:t>
      </w:r>
      <w:r w:rsidRPr="00BF5772">
        <w:rPr>
          <w:rFonts w:ascii="Times New Roman" w:hAnsi="Times New Roman" w:cs="Times New Roman"/>
          <w:noProof/>
          <w:sz w:val="28"/>
          <w:szCs w:val="28"/>
        </w:rPr>
        <w:t>, 765 F.2d 1524 (11th Cir. 1985)</w:t>
      </w:r>
      <w:r w:rsidRPr="00BF5772">
        <w:rPr>
          <w:rFonts w:ascii="Times New Roman" w:hAnsi="Times New Roman" w:cs="Times New Roman"/>
          <w:noProof/>
          <w:sz w:val="28"/>
          <w:szCs w:val="28"/>
        </w:rPr>
        <w:tab/>
        <w:t>7</w:t>
      </w:r>
    </w:p>
    <w:p w14:paraId="2A6902EF" w14:textId="560709E3" w:rsidR="00BF5772" w:rsidRPr="00BF5772" w:rsidRDefault="00BF5772">
      <w:pPr>
        <w:pStyle w:val="TableofAuthorities"/>
        <w:tabs>
          <w:tab w:val="right" w:leader="dot" w:pos="9350"/>
        </w:tabs>
        <w:rPr>
          <w:rFonts w:ascii="Times New Roman" w:hAnsi="Times New Roman" w:cs="Times New Roman"/>
          <w:noProof/>
          <w:sz w:val="28"/>
          <w:szCs w:val="28"/>
        </w:rPr>
      </w:pPr>
      <w:r w:rsidRPr="00BF5772">
        <w:rPr>
          <w:rFonts w:ascii="Times New Roman" w:hAnsi="Times New Roman" w:cs="Times New Roman"/>
          <w:i/>
          <w:iCs/>
          <w:noProof/>
          <w:sz w:val="28"/>
          <w:szCs w:val="28"/>
        </w:rPr>
        <w:t>United States v. Cozzi</w:t>
      </w:r>
      <w:r w:rsidRPr="00BF5772">
        <w:rPr>
          <w:rFonts w:ascii="Times New Roman" w:hAnsi="Times New Roman" w:cs="Times New Roman"/>
          <w:noProof/>
          <w:sz w:val="28"/>
          <w:szCs w:val="28"/>
        </w:rPr>
        <w:t>, 613 F.3d 725 (7th Cir. 2010)</w:t>
      </w:r>
      <w:r w:rsidRPr="00BF5772">
        <w:rPr>
          <w:rFonts w:ascii="Times New Roman" w:hAnsi="Times New Roman" w:cs="Times New Roman"/>
          <w:noProof/>
          <w:sz w:val="28"/>
          <w:szCs w:val="28"/>
        </w:rPr>
        <w:tab/>
        <w:t>9</w:t>
      </w:r>
    </w:p>
    <w:p w14:paraId="19A2438C" w14:textId="487B57C1" w:rsidR="00BF5772" w:rsidRPr="00BF5772" w:rsidRDefault="00BF5772">
      <w:pPr>
        <w:pStyle w:val="TableofAuthorities"/>
        <w:tabs>
          <w:tab w:val="right" w:leader="dot" w:pos="9350"/>
        </w:tabs>
        <w:rPr>
          <w:rFonts w:ascii="Times New Roman" w:hAnsi="Times New Roman" w:cs="Times New Roman"/>
          <w:noProof/>
          <w:sz w:val="28"/>
          <w:szCs w:val="28"/>
        </w:rPr>
      </w:pPr>
      <w:r w:rsidRPr="00BF5772">
        <w:rPr>
          <w:rFonts w:ascii="Times New Roman" w:hAnsi="Times New Roman" w:cs="Times New Roman"/>
          <w:i/>
          <w:iCs/>
          <w:noProof/>
          <w:sz w:val="28"/>
          <w:szCs w:val="28"/>
        </w:rPr>
        <w:t>United States v. Crowson</w:t>
      </w:r>
      <w:r w:rsidRPr="00BF5772">
        <w:rPr>
          <w:rFonts w:ascii="Times New Roman" w:hAnsi="Times New Roman" w:cs="Times New Roman"/>
          <w:noProof/>
          <w:sz w:val="28"/>
          <w:szCs w:val="28"/>
        </w:rPr>
        <w:t>, 828 F.2d 1427 (9th Cir. 1987)</w:t>
      </w:r>
      <w:r w:rsidRPr="00BF5772">
        <w:rPr>
          <w:rFonts w:ascii="Times New Roman" w:hAnsi="Times New Roman" w:cs="Times New Roman"/>
          <w:noProof/>
          <w:sz w:val="28"/>
          <w:szCs w:val="28"/>
        </w:rPr>
        <w:tab/>
        <w:t>8</w:t>
      </w:r>
    </w:p>
    <w:p w14:paraId="01061899" w14:textId="34F62F5A" w:rsidR="00BF5772" w:rsidRPr="00BF5772" w:rsidRDefault="00BF5772">
      <w:pPr>
        <w:pStyle w:val="TableofAuthorities"/>
        <w:tabs>
          <w:tab w:val="right" w:leader="dot" w:pos="9350"/>
        </w:tabs>
        <w:rPr>
          <w:rFonts w:ascii="Times New Roman" w:hAnsi="Times New Roman" w:cs="Times New Roman"/>
          <w:noProof/>
          <w:sz w:val="28"/>
          <w:szCs w:val="28"/>
        </w:rPr>
      </w:pPr>
      <w:r w:rsidRPr="00BF5772">
        <w:rPr>
          <w:rFonts w:ascii="Times New Roman" w:hAnsi="Times New Roman" w:cs="Times New Roman"/>
          <w:i/>
          <w:iCs/>
          <w:noProof/>
          <w:sz w:val="28"/>
          <w:szCs w:val="28"/>
        </w:rPr>
        <w:t>United States v. Harris</w:t>
      </w:r>
      <w:r w:rsidRPr="00BF5772">
        <w:rPr>
          <w:rFonts w:ascii="Times New Roman" w:hAnsi="Times New Roman" w:cs="Times New Roman"/>
          <w:noProof/>
          <w:sz w:val="28"/>
          <w:szCs w:val="28"/>
        </w:rPr>
        <w:t>, 973 F.2d 333 (4th Cir. 1992)</w:t>
      </w:r>
      <w:r w:rsidRPr="00BF5772">
        <w:rPr>
          <w:rFonts w:ascii="Times New Roman" w:hAnsi="Times New Roman" w:cs="Times New Roman"/>
          <w:noProof/>
          <w:sz w:val="28"/>
          <w:szCs w:val="28"/>
        </w:rPr>
        <w:tab/>
        <w:t>10</w:t>
      </w:r>
    </w:p>
    <w:p w14:paraId="61EA44AD" w14:textId="256AEC16" w:rsidR="00BF5772" w:rsidRPr="00BF5772" w:rsidRDefault="00BF5772">
      <w:pPr>
        <w:pStyle w:val="TableofAuthorities"/>
        <w:tabs>
          <w:tab w:val="right" w:leader="dot" w:pos="9350"/>
        </w:tabs>
        <w:rPr>
          <w:rFonts w:ascii="Times New Roman" w:hAnsi="Times New Roman" w:cs="Times New Roman"/>
          <w:noProof/>
          <w:sz w:val="28"/>
          <w:szCs w:val="28"/>
        </w:rPr>
      </w:pPr>
      <w:r w:rsidRPr="00BF5772">
        <w:rPr>
          <w:rFonts w:ascii="Times New Roman" w:hAnsi="Times New Roman" w:cs="Times New Roman"/>
          <w:i/>
          <w:iCs/>
          <w:noProof/>
          <w:sz w:val="28"/>
          <w:szCs w:val="28"/>
        </w:rPr>
        <w:t>United States v. Hubbell</w:t>
      </w:r>
      <w:r w:rsidRPr="00BF5772">
        <w:rPr>
          <w:rFonts w:ascii="Times New Roman" w:hAnsi="Times New Roman" w:cs="Times New Roman"/>
          <w:noProof/>
          <w:sz w:val="28"/>
          <w:szCs w:val="28"/>
        </w:rPr>
        <w:t>, 530 U.S. 27 (2000).</w:t>
      </w:r>
      <w:r w:rsidRPr="00BF5772">
        <w:rPr>
          <w:rFonts w:ascii="Times New Roman" w:hAnsi="Times New Roman" w:cs="Times New Roman"/>
          <w:noProof/>
          <w:sz w:val="28"/>
          <w:szCs w:val="28"/>
        </w:rPr>
        <w:tab/>
        <w:t>10</w:t>
      </w:r>
    </w:p>
    <w:p w14:paraId="7359894C" w14:textId="556056A4" w:rsidR="00BF5772" w:rsidRPr="00BF5772" w:rsidRDefault="00BF5772">
      <w:pPr>
        <w:pStyle w:val="TableofAuthorities"/>
        <w:tabs>
          <w:tab w:val="right" w:leader="dot" w:pos="9350"/>
        </w:tabs>
        <w:rPr>
          <w:rFonts w:ascii="Times New Roman" w:hAnsi="Times New Roman" w:cs="Times New Roman"/>
          <w:noProof/>
          <w:sz w:val="28"/>
          <w:szCs w:val="28"/>
        </w:rPr>
      </w:pPr>
      <w:r w:rsidRPr="00BF5772">
        <w:rPr>
          <w:rFonts w:ascii="Times New Roman" w:hAnsi="Times New Roman" w:cs="Times New Roman"/>
          <w:i/>
          <w:iCs/>
          <w:noProof/>
          <w:sz w:val="28"/>
          <w:szCs w:val="28"/>
        </w:rPr>
        <w:t>United States v. McDaniel</w:t>
      </w:r>
      <w:r w:rsidRPr="00BF5772">
        <w:rPr>
          <w:rFonts w:ascii="Times New Roman" w:hAnsi="Times New Roman" w:cs="Times New Roman"/>
          <w:noProof/>
          <w:sz w:val="28"/>
          <w:szCs w:val="28"/>
        </w:rPr>
        <w:t>, 482 F.2d 305 (8th Cir. 1973)</w:t>
      </w:r>
      <w:r w:rsidRPr="00BF5772">
        <w:rPr>
          <w:rFonts w:ascii="Times New Roman" w:hAnsi="Times New Roman" w:cs="Times New Roman"/>
          <w:noProof/>
          <w:sz w:val="28"/>
          <w:szCs w:val="28"/>
        </w:rPr>
        <w:tab/>
        <w:t>9</w:t>
      </w:r>
    </w:p>
    <w:p w14:paraId="21F31D42" w14:textId="2BE90B41" w:rsidR="00BF5772" w:rsidRPr="00BF5772" w:rsidRDefault="00BF5772" w:rsidP="00BF5772">
      <w:pPr>
        <w:pStyle w:val="TableofAuthorities"/>
        <w:tabs>
          <w:tab w:val="right" w:leader="dot" w:pos="9350"/>
        </w:tabs>
        <w:rPr>
          <w:rFonts w:ascii="Times New Roman" w:hAnsi="Times New Roman" w:cs="Times New Roman"/>
          <w:noProof/>
          <w:sz w:val="28"/>
          <w:szCs w:val="28"/>
        </w:rPr>
      </w:pPr>
      <w:r w:rsidRPr="00BF5772">
        <w:rPr>
          <w:rFonts w:ascii="Times New Roman" w:hAnsi="Times New Roman" w:cs="Times New Roman"/>
          <w:i/>
          <w:iCs/>
          <w:noProof/>
          <w:color w:val="000000"/>
          <w:sz w:val="28"/>
          <w:szCs w:val="28"/>
        </w:rPr>
        <w:t>United States v. Nobles,</w:t>
      </w:r>
      <w:r w:rsidRPr="00BF5772">
        <w:rPr>
          <w:rFonts w:ascii="Times New Roman" w:hAnsi="Times New Roman" w:cs="Times New Roman"/>
          <w:noProof/>
          <w:color w:val="000000"/>
          <w:sz w:val="28"/>
          <w:szCs w:val="28"/>
        </w:rPr>
        <w:t xml:space="preserve"> 422 U.S. 225 (1975)</w:t>
      </w:r>
      <w:r w:rsidRPr="00BF5772">
        <w:rPr>
          <w:rFonts w:ascii="Times New Roman" w:hAnsi="Times New Roman" w:cs="Times New Roman"/>
          <w:noProof/>
          <w:sz w:val="28"/>
          <w:szCs w:val="28"/>
        </w:rPr>
        <w:tab/>
        <w:t>14</w:t>
      </w:r>
    </w:p>
    <w:p w14:paraId="4CF515DB" w14:textId="07694608" w:rsidR="00BF5772" w:rsidRPr="00BF5772" w:rsidRDefault="00BF5772">
      <w:pPr>
        <w:pStyle w:val="TableofAuthorities"/>
        <w:tabs>
          <w:tab w:val="right" w:leader="dot" w:pos="9350"/>
        </w:tabs>
        <w:rPr>
          <w:rFonts w:ascii="Times New Roman" w:hAnsi="Times New Roman" w:cs="Times New Roman"/>
          <w:noProof/>
          <w:sz w:val="28"/>
          <w:szCs w:val="28"/>
        </w:rPr>
      </w:pPr>
      <w:r w:rsidRPr="00BF5772">
        <w:rPr>
          <w:rFonts w:ascii="Times New Roman" w:hAnsi="Times New Roman" w:cs="Times New Roman"/>
          <w:i/>
          <w:iCs/>
          <w:noProof/>
          <w:color w:val="000000" w:themeColor="text1"/>
          <w:sz w:val="28"/>
          <w:szCs w:val="28"/>
          <w:bdr w:val="none" w:sz="0" w:space="0" w:color="auto" w:frame="1"/>
        </w:rPr>
        <w:t>United States v. North</w:t>
      </w:r>
      <w:r w:rsidRPr="00BF5772">
        <w:rPr>
          <w:rFonts w:ascii="Times New Roman" w:hAnsi="Times New Roman" w:cs="Times New Roman"/>
          <w:noProof/>
          <w:color w:val="000000" w:themeColor="text1"/>
          <w:sz w:val="28"/>
          <w:szCs w:val="28"/>
          <w:bdr w:val="none" w:sz="0" w:space="0" w:color="auto" w:frame="1"/>
        </w:rPr>
        <w:t>, 910 F.2d 843 (1990)</w:t>
      </w:r>
      <w:r w:rsidRPr="00BF5772">
        <w:rPr>
          <w:rFonts w:ascii="Times New Roman" w:hAnsi="Times New Roman" w:cs="Times New Roman"/>
          <w:noProof/>
          <w:sz w:val="28"/>
          <w:szCs w:val="28"/>
        </w:rPr>
        <w:tab/>
        <w:t>8</w:t>
      </w:r>
    </w:p>
    <w:p w14:paraId="715445F3" w14:textId="4F980FD1" w:rsidR="00BF5772" w:rsidRPr="00BF5772" w:rsidRDefault="00BF5772">
      <w:pPr>
        <w:pStyle w:val="TableofAuthorities"/>
        <w:tabs>
          <w:tab w:val="right" w:leader="dot" w:pos="9350"/>
        </w:tabs>
        <w:rPr>
          <w:rFonts w:ascii="Times New Roman" w:hAnsi="Times New Roman" w:cs="Times New Roman"/>
          <w:noProof/>
          <w:sz w:val="28"/>
          <w:szCs w:val="28"/>
        </w:rPr>
      </w:pPr>
      <w:r w:rsidRPr="00BF5772">
        <w:rPr>
          <w:rFonts w:ascii="Times New Roman" w:hAnsi="Times New Roman" w:cs="Times New Roman"/>
          <w:i/>
          <w:iCs/>
          <w:noProof/>
          <w:sz w:val="28"/>
          <w:szCs w:val="28"/>
        </w:rPr>
        <w:t>United States v. Pantone</w:t>
      </w:r>
      <w:r w:rsidRPr="00BF5772">
        <w:rPr>
          <w:rFonts w:ascii="Times New Roman" w:hAnsi="Times New Roman" w:cs="Times New Roman"/>
          <w:noProof/>
          <w:sz w:val="28"/>
          <w:szCs w:val="28"/>
        </w:rPr>
        <w:t>, 634 F.2d 716 (3d Cir. 1980)</w:t>
      </w:r>
      <w:r w:rsidRPr="00BF5772">
        <w:rPr>
          <w:rFonts w:ascii="Times New Roman" w:hAnsi="Times New Roman" w:cs="Times New Roman"/>
          <w:noProof/>
          <w:sz w:val="28"/>
          <w:szCs w:val="28"/>
        </w:rPr>
        <w:tab/>
        <w:t>8</w:t>
      </w:r>
    </w:p>
    <w:p w14:paraId="490C81D9" w14:textId="7EDD49D0" w:rsidR="00BF5772" w:rsidRPr="00BF5772" w:rsidRDefault="00BF5772">
      <w:pPr>
        <w:pStyle w:val="TableofAuthorities"/>
        <w:tabs>
          <w:tab w:val="right" w:leader="dot" w:pos="9350"/>
        </w:tabs>
        <w:rPr>
          <w:rFonts w:ascii="Times New Roman" w:hAnsi="Times New Roman" w:cs="Times New Roman"/>
          <w:noProof/>
          <w:sz w:val="28"/>
          <w:szCs w:val="28"/>
        </w:rPr>
      </w:pPr>
      <w:r w:rsidRPr="00BF5772">
        <w:rPr>
          <w:rFonts w:ascii="Times New Roman" w:hAnsi="Times New Roman" w:cs="Times New Roman"/>
          <w:i/>
          <w:iCs/>
          <w:noProof/>
          <w:sz w:val="28"/>
          <w:szCs w:val="28"/>
        </w:rPr>
        <w:t>United States v. Serrano</w:t>
      </w:r>
      <w:r w:rsidRPr="00BF5772">
        <w:rPr>
          <w:rFonts w:ascii="Times New Roman" w:hAnsi="Times New Roman" w:cs="Times New Roman"/>
          <w:noProof/>
          <w:sz w:val="28"/>
          <w:szCs w:val="28"/>
        </w:rPr>
        <w:t>, 870 F.2d 1 (1st Cir. 1989).</w:t>
      </w:r>
      <w:r w:rsidRPr="00BF5772">
        <w:rPr>
          <w:rFonts w:ascii="Times New Roman" w:hAnsi="Times New Roman" w:cs="Times New Roman"/>
          <w:noProof/>
          <w:sz w:val="28"/>
          <w:szCs w:val="28"/>
        </w:rPr>
        <w:tab/>
        <w:t>9</w:t>
      </w:r>
    </w:p>
    <w:p w14:paraId="5CDA5DC7" w14:textId="1144B81D" w:rsidR="00BF5772" w:rsidRPr="00BF5772" w:rsidRDefault="00BF5772" w:rsidP="00BF5772">
      <w:pPr>
        <w:pStyle w:val="TableofAuthorities"/>
        <w:tabs>
          <w:tab w:val="right" w:leader="dot" w:pos="9350"/>
        </w:tabs>
        <w:rPr>
          <w:rFonts w:ascii="Times New Roman" w:hAnsi="Times New Roman" w:cs="Times New Roman"/>
          <w:noProof/>
          <w:sz w:val="28"/>
          <w:szCs w:val="28"/>
        </w:rPr>
      </w:pPr>
      <w:r w:rsidRPr="00BF5772">
        <w:rPr>
          <w:rFonts w:ascii="Times New Roman" w:hAnsi="Times New Roman" w:cs="Times New Roman"/>
          <w:i/>
          <w:iCs/>
          <w:noProof/>
          <w:color w:val="000000"/>
          <w:sz w:val="28"/>
          <w:szCs w:val="28"/>
        </w:rPr>
        <w:t>United States v. Simmons</w:t>
      </w:r>
      <w:r w:rsidRPr="00BF5772">
        <w:rPr>
          <w:rFonts w:ascii="Times New Roman" w:hAnsi="Times New Roman" w:cs="Times New Roman"/>
          <w:noProof/>
          <w:color w:val="000000"/>
          <w:sz w:val="28"/>
          <w:szCs w:val="28"/>
        </w:rPr>
        <w:t>, 515 F. Supp. 3d 1359 (M.D. Ga. 2021)</w:t>
      </w:r>
      <w:r w:rsidRPr="00BF5772">
        <w:rPr>
          <w:rFonts w:ascii="Times New Roman" w:hAnsi="Times New Roman" w:cs="Times New Roman"/>
          <w:noProof/>
          <w:sz w:val="28"/>
          <w:szCs w:val="28"/>
        </w:rPr>
        <w:tab/>
        <w:t>13</w:t>
      </w:r>
    </w:p>
    <w:p w14:paraId="66885510" w14:textId="3AC7CD04" w:rsidR="00BF5772" w:rsidRPr="00BF5772" w:rsidRDefault="00BF5772" w:rsidP="00BF5772">
      <w:pPr>
        <w:pStyle w:val="TableofAuthorities"/>
        <w:tabs>
          <w:tab w:val="right" w:leader="dot" w:pos="9350"/>
        </w:tabs>
        <w:rPr>
          <w:rFonts w:ascii="Times New Roman" w:hAnsi="Times New Roman" w:cs="Times New Roman"/>
          <w:noProof/>
          <w:sz w:val="28"/>
          <w:szCs w:val="28"/>
        </w:rPr>
      </w:pPr>
      <w:r w:rsidRPr="00BF5772">
        <w:rPr>
          <w:rFonts w:ascii="Times New Roman" w:hAnsi="Times New Roman" w:cs="Times New Roman"/>
          <w:i/>
          <w:iCs/>
          <w:noProof/>
          <w:sz w:val="28"/>
          <w:szCs w:val="28"/>
        </w:rPr>
        <w:t>United States v. Streck</w:t>
      </w:r>
      <w:r w:rsidRPr="00BF5772">
        <w:rPr>
          <w:rFonts w:ascii="Times New Roman" w:hAnsi="Times New Roman" w:cs="Times New Roman"/>
          <w:noProof/>
          <w:sz w:val="28"/>
          <w:szCs w:val="28"/>
        </w:rPr>
        <w:t>, 958 F.2d 141 (6th Cir. 1992)</w:t>
      </w:r>
      <w:r w:rsidRPr="00BF5772">
        <w:rPr>
          <w:rFonts w:ascii="Times New Roman" w:hAnsi="Times New Roman" w:cs="Times New Roman"/>
          <w:noProof/>
          <w:sz w:val="28"/>
          <w:szCs w:val="28"/>
        </w:rPr>
        <w:tab/>
        <w:t>11</w:t>
      </w:r>
    </w:p>
    <w:p w14:paraId="67E6BAB8" w14:textId="77777777" w:rsidR="00BF5772" w:rsidRPr="00BF5772" w:rsidRDefault="00BF5772">
      <w:pPr>
        <w:pStyle w:val="TOAHeading"/>
        <w:tabs>
          <w:tab w:val="right" w:leader="dot" w:pos="9350"/>
        </w:tabs>
        <w:rPr>
          <w:rFonts w:ascii="Times New Roman" w:eastAsiaTheme="minorEastAsia" w:hAnsi="Times New Roman" w:cs="Times New Roman"/>
          <w:b/>
          <w:bCs/>
          <w:noProof/>
          <w:sz w:val="28"/>
          <w:szCs w:val="28"/>
        </w:rPr>
      </w:pPr>
      <w:r w:rsidRPr="00BF5772">
        <w:rPr>
          <w:rFonts w:ascii="Times New Roman" w:hAnsi="Times New Roman" w:cs="Times New Roman"/>
          <w:sz w:val="28"/>
          <w:szCs w:val="28"/>
        </w:rPr>
        <w:fldChar w:fldCharType="end"/>
      </w:r>
      <w:r w:rsidRPr="00BF5772">
        <w:rPr>
          <w:rFonts w:ascii="Times New Roman" w:hAnsi="Times New Roman" w:cs="Times New Roman"/>
          <w:sz w:val="28"/>
          <w:szCs w:val="28"/>
        </w:rPr>
        <w:fldChar w:fldCharType="begin"/>
      </w:r>
      <w:r w:rsidRPr="00BF5772">
        <w:rPr>
          <w:rFonts w:ascii="Times New Roman" w:hAnsi="Times New Roman" w:cs="Times New Roman"/>
          <w:sz w:val="28"/>
          <w:szCs w:val="28"/>
        </w:rPr>
        <w:instrText xml:space="preserve"> TOA \h \c "3" \p </w:instrText>
      </w:r>
      <w:r w:rsidRPr="00BF5772">
        <w:rPr>
          <w:rFonts w:ascii="Times New Roman" w:hAnsi="Times New Roman" w:cs="Times New Roman"/>
          <w:sz w:val="28"/>
          <w:szCs w:val="28"/>
        </w:rPr>
        <w:fldChar w:fldCharType="separate"/>
      </w:r>
      <w:r w:rsidRPr="00BF5772">
        <w:rPr>
          <w:rFonts w:ascii="Times New Roman" w:hAnsi="Times New Roman" w:cs="Times New Roman"/>
          <w:noProof/>
          <w:sz w:val="28"/>
          <w:szCs w:val="28"/>
        </w:rPr>
        <w:t>Other Authorities</w:t>
      </w:r>
    </w:p>
    <w:p w14:paraId="1996207A" w14:textId="77777777" w:rsidR="00BF5772" w:rsidRPr="00BF5772" w:rsidRDefault="00BF5772">
      <w:pPr>
        <w:pStyle w:val="TableofAuthorities"/>
        <w:tabs>
          <w:tab w:val="right" w:leader="dot" w:pos="9350"/>
        </w:tabs>
        <w:rPr>
          <w:rFonts w:ascii="Times New Roman" w:hAnsi="Times New Roman" w:cs="Times New Roman"/>
          <w:noProof/>
          <w:sz w:val="28"/>
          <w:szCs w:val="28"/>
        </w:rPr>
      </w:pPr>
      <w:r w:rsidRPr="00BF5772">
        <w:rPr>
          <w:rFonts w:ascii="Times New Roman" w:hAnsi="Times New Roman" w:cs="Times New Roman"/>
          <w:noProof/>
          <w:sz w:val="28"/>
          <w:szCs w:val="28"/>
        </w:rPr>
        <w:t xml:space="preserve">Walsh &amp; Rowland, </w:t>
      </w:r>
      <w:r w:rsidRPr="00BF5772">
        <w:rPr>
          <w:rFonts w:ascii="Times New Roman" w:hAnsi="Times New Roman" w:cs="Times New Roman"/>
          <w:i/>
          <w:iCs/>
          <w:noProof/>
          <w:sz w:val="28"/>
          <w:szCs w:val="28"/>
        </w:rPr>
        <w:t>The Inevitable Discovery Exception to the Exclusionary Rule and Compelled Testimony</w:t>
      </w:r>
      <w:r w:rsidRPr="00BF5772">
        <w:rPr>
          <w:rFonts w:ascii="Times New Roman" w:hAnsi="Times New Roman" w:cs="Times New Roman"/>
          <w:noProof/>
          <w:sz w:val="28"/>
          <w:szCs w:val="28"/>
        </w:rPr>
        <w:t>, 23 Seton Hall L. Rev. 967, 990 (1993).</w:t>
      </w:r>
      <w:r w:rsidRPr="00BF5772">
        <w:rPr>
          <w:rFonts w:ascii="Times New Roman" w:hAnsi="Times New Roman" w:cs="Times New Roman"/>
          <w:noProof/>
          <w:sz w:val="28"/>
          <w:szCs w:val="28"/>
        </w:rPr>
        <w:tab/>
        <w:t>11</w:t>
      </w:r>
    </w:p>
    <w:p w14:paraId="7337A51A" w14:textId="77777777" w:rsidR="00BF5772" w:rsidRPr="00BF5772" w:rsidRDefault="00BF5772">
      <w:pPr>
        <w:pStyle w:val="TOAHeading"/>
        <w:tabs>
          <w:tab w:val="right" w:leader="dot" w:pos="9350"/>
        </w:tabs>
        <w:rPr>
          <w:rFonts w:ascii="Times New Roman" w:eastAsiaTheme="minorEastAsia" w:hAnsi="Times New Roman" w:cs="Times New Roman"/>
          <w:b/>
          <w:bCs/>
          <w:noProof/>
          <w:sz w:val="28"/>
          <w:szCs w:val="28"/>
        </w:rPr>
      </w:pPr>
      <w:r w:rsidRPr="00BF5772">
        <w:rPr>
          <w:rFonts w:ascii="Times New Roman" w:hAnsi="Times New Roman" w:cs="Times New Roman"/>
          <w:sz w:val="28"/>
          <w:szCs w:val="28"/>
        </w:rPr>
        <w:fldChar w:fldCharType="end"/>
      </w:r>
      <w:r w:rsidRPr="00BF5772">
        <w:rPr>
          <w:rFonts w:ascii="Times New Roman" w:hAnsi="Times New Roman" w:cs="Times New Roman"/>
          <w:sz w:val="28"/>
          <w:szCs w:val="28"/>
        </w:rPr>
        <w:fldChar w:fldCharType="begin"/>
      </w:r>
      <w:r w:rsidRPr="00BF5772">
        <w:rPr>
          <w:rFonts w:ascii="Times New Roman" w:hAnsi="Times New Roman" w:cs="Times New Roman"/>
          <w:sz w:val="28"/>
          <w:szCs w:val="28"/>
        </w:rPr>
        <w:instrText xml:space="preserve"> TOA \h \c "4" \p </w:instrText>
      </w:r>
      <w:r w:rsidRPr="00BF5772">
        <w:rPr>
          <w:rFonts w:ascii="Times New Roman" w:hAnsi="Times New Roman" w:cs="Times New Roman"/>
          <w:sz w:val="28"/>
          <w:szCs w:val="28"/>
        </w:rPr>
        <w:fldChar w:fldCharType="separate"/>
      </w:r>
      <w:r w:rsidRPr="00BF5772">
        <w:rPr>
          <w:rFonts w:ascii="Times New Roman" w:hAnsi="Times New Roman" w:cs="Times New Roman"/>
          <w:noProof/>
          <w:sz w:val="28"/>
          <w:szCs w:val="28"/>
        </w:rPr>
        <w:t>Rules</w:t>
      </w:r>
    </w:p>
    <w:p w14:paraId="166747B8" w14:textId="745518EA" w:rsidR="00BF5772" w:rsidRPr="00BF5772" w:rsidRDefault="00BF5772" w:rsidP="00BF5772">
      <w:pPr>
        <w:pStyle w:val="TableofAuthorities"/>
        <w:tabs>
          <w:tab w:val="right" w:leader="dot" w:pos="9350"/>
        </w:tabs>
        <w:rPr>
          <w:rFonts w:ascii="Times New Roman" w:hAnsi="Times New Roman" w:cs="Times New Roman"/>
          <w:noProof/>
          <w:sz w:val="28"/>
          <w:szCs w:val="28"/>
        </w:rPr>
      </w:pPr>
      <w:r w:rsidRPr="00BF5772">
        <w:rPr>
          <w:rFonts w:ascii="Times New Roman" w:hAnsi="Times New Roman" w:cs="Times New Roman"/>
          <w:noProof/>
          <w:color w:val="000000"/>
          <w:sz w:val="28"/>
          <w:szCs w:val="28"/>
        </w:rPr>
        <w:t>Fed. R. Crim. P. 2</w:t>
      </w:r>
      <w:r w:rsidRPr="00BF5772">
        <w:rPr>
          <w:rFonts w:ascii="Times New Roman" w:hAnsi="Times New Roman" w:cs="Times New Roman"/>
          <w:noProof/>
          <w:sz w:val="28"/>
          <w:szCs w:val="28"/>
        </w:rPr>
        <w:tab/>
        <w:t>12</w:t>
      </w:r>
    </w:p>
    <w:p w14:paraId="38C5D347" w14:textId="55C8E0DC" w:rsidR="00BF5772" w:rsidRPr="00BF5772" w:rsidRDefault="00BF5772">
      <w:pPr>
        <w:pStyle w:val="TableofAuthorities"/>
        <w:tabs>
          <w:tab w:val="right" w:leader="dot" w:pos="9350"/>
        </w:tabs>
        <w:rPr>
          <w:rFonts w:ascii="Times New Roman" w:hAnsi="Times New Roman" w:cs="Times New Roman"/>
          <w:noProof/>
          <w:sz w:val="28"/>
          <w:szCs w:val="28"/>
        </w:rPr>
      </w:pPr>
      <w:r w:rsidRPr="00BF5772">
        <w:rPr>
          <w:rFonts w:ascii="Times New Roman" w:hAnsi="Times New Roman" w:cs="Times New Roman"/>
          <w:noProof/>
          <w:color w:val="000000"/>
          <w:sz w:val="28"/>
          <w:szCs w:val="28"/>
        </w:rPr>
        <w:t>Fed. R. Crim. P. 16</w:t>
      </w:r>
      <w:r w:rsidRPr="00BF5772">
        <w:rPr>
          <w:rFonts w:ascii="Times New Roman" w:hAnsi="Times New Roman" w:cs="Times New Roman"/>
          <w:noProof/>
          <w:sz w:val="28"/>
          <w:szCs w:val="28"/>
        </w:rPr>
        <w:tab/>
        <w:t>13</w:t>
      </w:r>
    </w:p>
    <w:p w14:paraId="184715CD" w14:textId="77777777" w:rsidR="00BF5772" w:rsidRPr="00BF5772" w:rsidRDefault="00BF5772">
      <w:pPr>
        <w:pStyle w:val="TableofAuthorities"/>
        <w:tabs>
          <w:tab w:val="right" w:leader="dot" w:pos="9350"/>
        </w:tabs>
        <w:rPr>
          <w:rFonts w:ascii="Times New Roman" w:hAnsi="Times New Roman" w:cs="Times New Roman"/>
          <w:noProof/>
          <w:sz w:val="28"/>
          <w:szCs w:val="28"/>
        </w:rPr>
      </w:pPr>
      <w:r w:rsidRPr="00BF5772">
        <w:rPr>
          <w:rFonts w:ascii="Times New Roman" w:hAnsi="Times New Roman" w:cs="Times New Roman"/>
          <w:noProof/>
          <w:color w:val="000000"/>
          <w:sz w:val="28"/>
          <w:szCs w:val="28"/>
        </w:rPr>
        <w:t>Fed. R. Crim. P. 17.</w:t>
      </w:r>
      <w:r w:rsidRPr="00BF5772">
        <w:rPr>
          <w:rFonts w:ascii="Times New Roman" w:hAnsi="Times New Roman" w:cs="Times New Roman"/>
          <w:noProof/>
          <w:sz w:val="28"/>
          <w:szCs w:val="28"/>
        </w:rPr>
        <w:tab/>
        <w:t>1, 13</w:t>
      </w:r>
    </w:p>
    <w:p w14:paraId="2256C94E" w14:textId="49F2EDB0" w:rsidR="00064C63" w:rsidRPr="00BF5772" w:rsidRDefault="00BF5772" w:rsidP="00064C63">
      <w:pPr>
        <w:sectPr w:rsidR="00064C63" w:rsidRPr="00BF5772" w:rsidSect="00654050">
          <w:footerReference w:type="default" r:id="rId10"/>
          <w:pgSz w:w="12240" w:h="15840"/>
          <w:pgMar w:top="1440" w:right="1440" w:bottom="1440" w:left="1440" w:header="720" w:footer="720" w:gutter="0"/>
          <w:pgNumType w:fmt="lowerRoman" w:start="1"/>
          <w:cols w:space="720"/>
          <w:docGrid w:linePitch="360"/>
        </w:sectPr>
      </w:pPr>
      <w:r w:rsidRPr="00BF5772">
        <w:fldChar w:fldCharType="end"/>
      </w:r>
    </w:p>
    <w:p w14:paraId="13BF0606" w14:textId="18CC9872" w:rsidR="00064C63" w:rsidRPr="00BF5772" w:rsidRDefault="00064C63" w:rsidP="00064C63">
      <w:pPr>
        <w:pStyle w:val="Heading1"/>
        <w:jc w:val="center"/>
      </w:pPr>
      <w:bookmarkStart w:id="0" w:name="_Toc239144074"/>
      <w:r w:rsidRPr="00BF5772">
        <w:lastRenderedPageBreak/>
        <w:t xml:space="preserve">I. </w:t>
      </w:r>
      <w:r w:rsidRPr="00BF5772">
        <w:tab/>
        <w:t>INTRODUCTION WITH REQUEST FOR RELIEF</w:t>
      </w:r>
      <w:bookmarkEnd w:id="0"/>
    </w:p>
    <w:p w14:paraId="43277F6E" w14:textId="77777777" w:rsidR="00064C63" w:rsidRPr="00BF5772" w:rsidRDefault="00064C63" w:rsidP="00064C63">
      <w:pPr>
        <w:spacing w:after="0" w:line="480" w:lineRule="auto"/>
        <w:ind w:firstLine="720"/>
      </w:pPr>
      <w:r w:rsidRPr="00BF5772">
        <w:t xml:space="preserve">The record tells a clear story. Every piece of evidence the Government intends to use against Emily Calloway came from sources wholly independent of her immunized testimony. The employee roster, Agent Nolan’s to-do list, and the priority list all existed before Calloway said a word. Agent Nolan never received the immunized testimony. Sinclair, lead prosecutor on the Donovan case, ceased all involvement erecting a wall to keep the immunized information from Nolan. </w:t>
      </w:r>
    </w:p>
    <w:p w14:paraId="5D50834A" w14:textId="77777777" w:rsidR="00064C63" w:rsidRPr="00BF5772" w:rsidRDefault="00064C63" w:rsidP="00064C63">
      <w:pPr>
        <w:spacing w:after="0" w:line="480" w:lineRule="auto"/>
        <w:ind w:firstLine="720"/>
      </w:pPr>
      <w:r w:rsidRPr="00BF5772">
        <w:t>The Government meets its burden on two independent bases. First, the evidence derives from a wholly independent source. Second, even if this Court assumes the investigation was influenced, the evidence would inevitably have been discovered through the investigation. The motion to suppress should be denied.</w:t>
      </w:r>
    </w:p>
    <w:p w14:paraId="7CB69206" w14:textId="16498B80" w:rsidR="00064C63" w:rsidRPr="00BF5772" w:rsidRDefault="00064C63" w:rsidP="00064C63">
      <w:pPr>
        <w:spacing w:after="0" w:line="480" w:lineRule="auto"/>
        <w:ind w:firstLine="720"/>
        <w:textAlignment w:val="baseline"/>
        <w:rPr>
          <w:color w:val="000000"/>
        </w:rPr>
      </w:pPr>
      <w:r w:rsidRPr="00BF5772">
        <w:rPr>
          <w:color w:val="000000"/>
        </w:rPr>
        <w:t>Rule 17 of the Federal Rules of Criminal Procedure grants this Court authority to quash or modify a subpoena only if compliance would be oppressive or unreasonable. Fed. R. Crim. P. 17.</w:t>
      </w:r>
      <w:r w:rsidR="00654050" w:rsidRPr="00BF5772">
        <w:rPr>
          <w:color w:val="000000"/>
        </w:rPr>
        <w:fldChar w:fldCharType="begin"/>
      </w:r>
      <w:r w:rsidR="00654050" w:rsidRPr="00BF5772">
        <w:instrText xml:space="preserve"> TA \l "</w:instrText>
      </w:r>
      <w:r w:rsidR="00654050" w:rsidRPr="00BF5772">
        <w:rPr>
          <w:color w:val="000000"/>
        </w:rPr>
        <w:instrText>Fed. R. Crim. P. 17.</w:instrText>
      </w:r>
      <w:r w:rsidR="00654050" w:rsidRPr="00BF5772">
        <w:instrText xml:space="preserve">" \s "Fed. R. Crim. P. 17." \c 4 </w:instrText>
      </w:r>
      <w:r w:rsidR="00654050" w:rsidRPr="00BF5772">
        <w:rPr>
          <w:color w:val="000000"/>
        </w:rPr>
        <w:fldChar w:fldCharType="end"/>
      </w:r>
      <w:r w:rsidRPr="00BF5772">
        <w:rPr>
          <w:color w:val="000000"/>
        </w:rPr>
        <w:t xml:space="preserve"> When applicable, invocation of the work-product privilege can satisfy the ‘oppressive or unreasonable’ requirement of the rule. The work-product privilege may be invoked when a party is requested to produce documents produced by the party’s attorney, or the attorney’s agent, in anticipation of litigation. </w:t>
      </w:r>
    </w:p>
    <w:p w14:paraId="030CE931" w14:textId="77777777" w:rsidR="00064C63" w:rsidRPr="00BF5772" w:rsidRDefault="00064C63" w:rsidP="00064C63">
      <w:pPr>
        <w:spacing w:after="0" w:line="480" w:lineRule="auto"/>
        <w:ind w:firstLine="720"/>
        <w:textAlignment w:val="baseline"/>
        <w:rPr>
          <w:color w:val="000000"/>
        </w:rPr>
      </w:pPr>
      <w:r w:rsidRPr="00BF5772">
        <w:rPr>
          <w:color w:val="000000"/>
        </w:rPr>
        <w:t xml:space="preserve">However, this doctrine is not without exception or categories of protection. Relevant to this dispute, the substantial need exception to the work-product </w:t>
      </w:r>
      <w:r w:rsidRPr="00BF5772">
        <w:rPr>
          <w:color w:val="000000"/>
        </w:rPr>
        <w:lastRenderedPageBreak/>
        <w:t xml:space="preserve">doctrine overcomes a claim of privilege upon showing of necessity and undue burden in obtaining a substantial equivalent. While the case law is clear that substantial need overcomes work-product protection for fact work product, there is a split regarding opinion work product. We urge the court to adopt a more liberal approach to opinion work product to align with the doctrine's purpose. Here, judicial fairness requires denial of the Motion to Quash as the document in question, the records from Armana’s interview of Seton, falls within the substantial need and undue hardship exception to the work-product doctrine. </w:t>
      </w:r>
    </w:p>
    <w:p w14:paraId="215ABDC4" w14:textId="77777777" w:rsidR="00064C63" w:rsidRPr="00BF5772" w:rsidRDefault="00064C63" w:rsidP="00064C63">
      <w:pPr>
        <w:spacing w:after="0" w:line="480" w:lineRule="auto"/>
        <w:ind w:firstLine="720"/>
        <w:textAlignment w:val="baseline"/>
        <w:rPr>
          <w:color w:val="000000"/>
        </w:rPr>
      </w:pPr>
      <w:r w:rsidRPr="00BF5772">
        <w:rPr>
          <w:color w:val="000000"/>
        </w:rPr>
        <w:t xml:space="preserve">Additionally, public policy concerns about preserving our adversarial system and maintaining orderly litigation support and disclosure of records. The Supreme Court in </w:t>
      </w:r>
      <w:r w:rsidRPr="00BF5772">
        <w:rPr>
          <w:i/>
          <w:iCs/>
          <w:color w:val="000000"/>
        </w:rPr>
        <w:t>Nobles</w:t>
      </w:r>
      <w:r w:rsidRPr="00BF5772">
        <w:rPr>
          <w:color w:val="000000"/>
        </w:rPr>
        <w:t xml:space="preserve"> extended the civil work-product doctrine to criminal cases, and with it, the policy rationale for the doctrine. Our adversarial systems functions through transparency and orderly litigation, this is best maintained through disclosure of factual discovery. Here, transparency and orderly litigation is maintained by denial of the motion to quash</w:t>
      </w:r>
    </w:p>
    <w:p w14:paraId="12869C27" w14:textId="1454AC08" w:rsidR="00064C63" w:rsidRPr="00BF5772" w:rsidRDefault="00064C63" w:rsidP="00064C63">
      <w:pPr>
        <w:spacing w:after="0" w:line="480" w:lineRule="auto"/>
        <w:ind w:firstLine="720"/>
        <w:textAlignment w:val="baseline"/>
        <w:rPr>
          <w:color w:val="000000"/>
        </w:rPr>
      </w:pPr>
      <w:r w:rsidRPr="00BF5772">
        <w:rPr>
          <w:color w:val="000000"/>
        </w:rPr>
        <w:t xml:space="preserve">We urge the Court to align with both the policy and purpose of the Federal Rules of Criminal Procedure and fellow circuits in adopting the more liberal approach to opinion work product and deny the request for work product privilege and ultimately deny the Defendant’s Motion to Quash the Subpoena Duces Tecum of Maddox Armana. </w:t>
      </w:r>
    </w:p>
    <w:p w14:paraId="6FCF065E" w14:textId="1399892C" w:rsidR="00064C63" w:rsidRPr="00BF5772" w:rsidRDefault="00064C63" w:rsidP="00064C63">
      <w:pPr>
        <w:spacing w:after="0" w:line="480" w:lineRule="auto"/>
        <w:ind w:firstLine="720"/>
        <w:textAlignment w:val="baseline"/>
        <w:rPr>
          <w:color w:val="000000"/>
        </w:rPr>
      </w:pPr>
      <w:r w:rsidRPr="00BF5772">
        <w:rPr>
          <w:color w:val="000000"/>
        </w:rPr>
        <w:lastRenderedPageBreak/>
        <w:t xml:space="preserve">This Court should deny the Defendant’s claim for work-product privilege over the records of the February 15, 2024, interview of Sierra Seton, conducted by the defense’s private investigator, Maddox Armana, and thereby deny the Defendant’s Motion to Quash. Judicial fairness results from equal footing in access to evidence. Adherence to the Federal Rules of Criminal Procedure and case law precedent ensures that. </w:t>
      </w:r>
    </w:p>
    <w:p w14:paraId="2121DF6F" w14:textId="7F4D6C17" w:rsidR="00064C63" w:rsidRPr="00BF5772" w:rsidRDefault="00064C63" w:rsidP="00064C63">
      <w:pPr>
        <w:pStyle w:val="Heading1"/>
        <w:jc w:val="center"/>
      </w:pPr>
      <w:bookmarkStart w:id="1" w:name="_Toc239144075"/>
      <w:r w:rsidRPr="00BF5772">
        <w:t xml:space="preserve">II. </w:t>
      </w:r>
      <w:r w:rsidRPr="00BF5772">
        <w:tab/>
        <w:t>STATEMENT OF FACTS</w:t>
      </w:r>
      <w:bookmarkEnd w:id="1"/>
    </w:p>
    <w:p w14:paraId="2838BB82" w14:textId="4AEADC2A" w:rsidR="00064C63" w:rsidRPr="00BF5772" w:rsidRDefault="00064C63" w:rsidP="00064C63">
      <w:pPr>
        <w:spacing w:after="0" w:line="480" w:lineRule="auto"/>
        <w:ind w:firstLine="720"/>
      </w:pPr>
      <w:r w:rsidRPr="00BF5772">
        <w:t>The underlying issues arise out of an investigation into alleged financial crimes committed by the defendant, Emily Calloway, and her business partner, Saint Donovan, in managing the Silver Palms resort in Gulf Haven, Florida. In October 2023, Daniel Blake reported a suspected fraud scheme to the FBI, with initial documents containing Kennedy Parker’s name. Blake was murdered on December 12, 2023. In February 2024, the Government subpoenaed the Silver Palms Resort employee roster (Ex. 10), which listed over one hundred employees. Nolan Dep. at 267-72. SA Nolan conducted initial interviews (Ex. 11), but no witness had knowledge of the scheme. Sinclair Dep. at 410-30. Knowing it would take months to work through the roster Nolan’s team got to work. Nolan Dep. at 276-87.</w:t>
      </w:r>
    </w:p>
    <w:p w14:paraId="237E2619" w14:textId="7A316928" w:rsidR="00064C63" w:rsidRPr="00BF5772" w:rsidRDefault="00064C63" w:rsidP="00064C63">
      <w:pPr>
        <w:spacing w:after="0" w:line="480" w:lineRule="auto"/>
        <w:ind w:firstLine="720"/>
      </w:pPr>
      <w:r w:rsidRPr="00BF5772">
        <w:t xml:space="preserve">On August 22, 2024, the Government established a formal, written wall protocol (Ex. 15) to separate Sinclair’s team, prosecuting Donovan, from Nolan's </w:t>
      </w:r>
      <w:r w:rsidRPr="00BF5772">
        <w:lastRenderedPageBreak/>
        <w:t>investigative team. Sinclair Dep. at 547-51. Between August 23 and August 27, Nolan created a to-do list (Ex. 16) and a priority list (Ex. 17) ranking Silver Palms employees by shift frequency during 2023. Nolan Dep. at 230-40; 244-53. Nolan testified he documented these steps intentionally, before any compelled testimony occurred. Nolan Dep. at 244-53.</w:t>
      </w:r>
    </w:p>
    <w:p w14:paraId="5B7D852D" w14:textId="58C25BA3" w:rsidR="00064C63" w:rsidRPr="00BF5772" w:rsidRDefault="00064C63" w:rsidP="00064C63">
      <w:pPr>
        <w:spacing w:after="0" w:line="480" w:lineRule="auto"/>
        <w:ind w:firstLine="720"/>
      </w:pPr>
      <w:r w:rsidRPr="00BF5772">
        <w:t xml:space="preserve">On August 23, 2024, the court issued the immunity order compelling Calloway's testimony (Ex. 12) under 18 U.S.C. §§ 6002-6003. Sinclair Dep. at 527-40. Calloway testified at a proffer session on August 28, 2024, after both lists were made including Kennedy Parker’s statements, then publicly at Saint Donovan's trial from October 7 through October 24, 2024. Sinclair Dep. at 591-98. </w:t>
      </w:r>
    </w:p>
    <w:p w14:paraId="5F71EFEE" w14:textId="269E67F8" w:rsidR="00064C63" w:rsidRPr="00BF5772" w:rsidRDefault="00064C63" w:rsidP="00064C63">
      <w:pPr>
        <w:spacing w:after="0" w:line="480" w:lineRule="auto"/>
        <w:ind w:firstLine="720"/>
      </w:pPr>
      <w:r w:rsidRPr="00BF5772">
        <w:t xml:space="preserve">Nolan interviewed four employees before reaching Kennedy Parker from the priority list, moving down from most frequent to least. Nolan Dep. at 302-05. On October 31, 2024, Nolan interviewed Kennedy Parker, who was number seven on the priority list. Nolan Dep. at 347-49; Ex. 17. Parker described an argument between Daniel Blake and Emily Calloway that Parker personally witnessed on December 10, 2023. Parker Dep. at 176-94. Parker also disclosed that Calloway asked Parker to move a box marked "Coastal" to a storage unit on December 20, 2023. Parker Dep. at 244-80. Parker did not report the incident at the time because it seemed like nothing. Parker Dep. at 288-91. Parker signed a statement (Ex. 18), and the subsequent warrant search of the storage unit produced the warehouse </w:t>
      </w:r>
      <w:r w:rsidRPr="00BF5772">
        <w:lastRenderedPageBreak/>
        <w:t>evidence (Ex. 19). Nolan Dep. at 350-64. Both Parker’s testimony and the warehouse evidence is what the Defendant seeks to suppress.</w:t>
      </w:r>
    </w:p>
    <w:p w14:paraId="3101C2B8" w14:textId="4CEEC689" w:rsidR="00064C63" w:rsidRPr="00BF5772" w:rsidRDefault="00064C63" w:rsidP="00064C63">
      <w:pPr>
        <w:spacing w:after="0" w:line="480" w:lineRule="auto"/>
        <w:ind w:firstLine="720"/>
      </w:pPr>
      <w:r w:rsidRPr="00BF5772">
        <w:t xml:space="preserve">Shortly after Donovan’s arrest in January of 2024, defense counsel for Calloway hired Maddox Armana. Armana Dep. at 33-38. Armana was brought on to investigate the financial structure of the companies the government had linked to Calloway in anticipation of Calloway’s arrest and prosecution. </w:t>
      </w:r>
      <w:r w:rsidRPr="00BF5772">
        <w:rPr>
          <w:i/>
          <w:iCs/>
        </w:rPr>
        <w:t>Id</w:t>
      </w:r>
      <w:r w:rsidRPr="00BF5772">
        <w:t xml:space="preserve">. at 40-45. In his investigation, he came across the company Coastal Event Solutions and its former operations manager, Sierra Seton. </w:t>
      </w:r>
      <w:r w:rsidRPr="00BF5772">
        <w:rPr>
          <w:i/>
          <w:iCs/>
        </w:rPr>
        <w:t>Id</w:t>
      </w:r>
      <w:r w:rsidRPr="00BF5772">
        <w:t xml:space="preserve">. at 53-58. After extensive searching and numerous dead ends, Armana tracked Seton down to a modest apartment in a coastal town a few hours away from Gulf Haven. </w:t>
      </w:r>
      <w:r w:rsidRPr="00BF5772">
        <w:rPr>
          <w:i/>
          <w:iCs/>
        </w:rPr>
        <w:t>Id</w:t>
      </w:r>
      <w:r w:rsidRPr="00BF5772">
        <w:t xml:space="preserve">. at 81-83. </w:t>
      </w:r>
    </w:p>
    <w:p w14:paraId="2B97D0E1" w14:textId="50BB9E31" w:rsidR="00064C63" w:rsidRPr="00BF5772" w:rsidRDefault="00064C63" w:rsidP="00064C63">
      <w:pPr>
        <w:spacing w:after="0" w:line="480" w:lineRule="auto"/>
      </w:pPr>
      <w:r w:rsidRPr="00BF5772">
        <w:tab/>
        <w:t xml:space="preserve">Armana approached Seton in her apartment on February 15, 2024. </w:t>
      </w:r>
      <w:r w:rsidRPr="00BF5772">
        <w:rPr>
          <w:i/>
          <w:iCs/>
        </w:rPr>
        <w:t>Id</w:t>
      </w:r>
      <w:r w:rsidRPr="00BF5772">
        <w:t xml:space="preserve">. at 146. Seton and Armana were the only two present when Seton gave Armana an interview about </w:t>
      </w:r>
      <w:proofErr w:type="spellStart"/>
      <w:r w:rsidRPr="00BF5772">
        <w:t>Coastal’s</w:t>
      </w:r>
      <w:proofErr w:type="spellEnd"/>
      <w:r w:rsidRPr="00BF5772">
        <w:t xml:space="preserve"> operations, related personnel, and how money was moved through the company. </w:t>
      </w:r>
      <w:r w:rsidRPr="00BF5772">
        <w:rPr>
          <w:i/>
          <w:iCs/>
        </w:rPr>
        <w:t>Id</w:t>
      </w:r>
      <w:r w:rsidRPr="00BF5772">
        <w:t xml:space="preserve">. at 127-128. Armana did not tape-record the interview; he typed contemporaneous notes. </w:t>
      </w:r>
      <w:r w:rsidRPr="00BF5772">
        <w:rPr>
          <w:i/>
          <w:iCs/>
        </w:rPr>
        <w:t>Id</w:t>
      </w:r>
      <w:r w:rsidRPr="00BF5772">
        <w:t xml:space="preserve">. at 111-114; </w:t>
      </w:r>
      <w:r w:rsidRPr="00BF5772">
        <w:rPr>
          <w:i/>
          <w:iCs/>
        </w:rPr>
        <w:t>Id</w:t>
      </w:r>
      <w:r w:rsidRPr="00BF5772">
        <w:t xml:space="preserve">. at 121. Armana testified that these notes included the body of the document that detailed the factual account as Seton told it to him during their interview. </w:t>
      </w:r>
      <w:r w:rsidRPr="00BF5772">
        <w:rPr>
          <w:i/>
          <w:iCs/>
        </w:rPr>
        <w:t>Id</w:t>
      </w:r>
      <w:r w:rsidRPr="00BF5772">
        <w:t xml:space="preserve">. at 140. The notes also included red-inked text reflecting Armana’s own thoughts, follow-ups, questions, and theories. </w:t>
      </w:r>
      <w:r w:rsidRPr="00BF5772">
        <w:rPr>
          <w:i/>
          <w:iCs/>
        </w:rPr>
        <w:t>Id</w:t>
      </w:r>
      <w:r w:rsidRPr="00BF5772">
        <w:t xml:space="preserve">. at 141-143. </w:t>
      </w:r>
    </w:p>
    <w:p w14:paraId="7A351EE0" w14:textId="37839772" w:rsidR="00064C63" w:rsidRPr="00BF5772" w:rsidRDefault="00064C63" w:rsidP="00064C63">
      <w:pPr>
        <w:spacing w:after="0" w:line="480" w:lineRule="auto"/>
      </w:pPr>
      <w:r w:rsidRPr="00BF5772">
        <w:lastRenderedPageBreak/>
        <w:tab/>
        <w:t xml:space="preserve">Just after the interview with Armana, Seton fled the country to Spain with Ky Chandler, </w:t>
      </w:r>
      <w:proofErr w:type="spellStart"/>
      <w:r w:rsidRPr="00BF5772">
        <w:t>Coastal’s</w:t>
      </w:r>
      <w:proofErr w:type="spellEnd"/>
      <w:r w:rsidRPr="00BF5772">
        <w:t xml:space="preserve"> registered agent. </w:t>
      </w:r>
      <w:r w:rsidRPr="00BF5772">
        <w:rPr>
          <w:i/>
          <w:iCs/>
        </w:rPr>
        <w:t>Id</w:t>
      </w:r>
      <w:r w:rsidRPr="00BF5772">
        <w:t xml:space="preserve">. at 146-148. Despite extensive efforts to search databases, search for new addresses, and monitor potential re-entry into the country, Seton has been untraceable since. </w:t>
      </w:r>
      <w:r w:rsidRPr="00BF5772">
        <w:rPr>
          <w:i/>
          <w:iCs/>
        </w:rPr>
        <w:t>Id</w:t>
      </w:r>
      <w:r w:rsidRPr="00BF5772">
        <w:t xml:space="preserve">. at 151-159. Seton fled the country and vanished, completely unreachable. </w:t>
      </w:r>
      <w:r w:rsidRPr="00BF5772">
        <w:rPr>
          <w:i/>
          <w:iCs/>
        </w:rPr>
        <w:t>Id</w:t>
      </w:r>
      <w:r w:rsidRPr="00BF5772">
        <w:t xml:space="preserve">. </w:t>
      </w:r>
    </w:p>
    <w:p w14:paraId="115CD270" w14:textId="7F436556" w:rsidR="00064C63" w:rsidRPr="00BF5772" w:rsidRDefault="00064C63" w:rsidP="00064C63">
      <w:pPr>
        <w:spacing w:after="0" w:line="480" w:lineRule="auto"/>
      </w:pPr>
      <w:r w:rsidRPr="00BF5772">
        <w:tab/>
        <w:t xml:space="preserve">Armana has since testified that Seton was the only individual who could speak to the information she divulged to Armana about the structure of Coastal. </w:t>
      </w:r>
      <w:r w:rsidRPr="00BF5772">
        <w:rPr>
          <w:i/>
          <w:iCs/>
        </w:rPr>
        <w:t>Id</w:t>
      </w:r>
      <w:r w:rsidRPr="00BF5772">
        <w:t xml:space="preserve">. at 160-163. Armana also asserted that, based on his extensive investigation, no other source, aside from his own interview records, contains the information he learned from Seton. </w:t>
      </w:r>
      <w:r w:rsidRPr="00BF5772">
        <w:rPr>
          <w:i/>
          <w:iCs/>
        </w:rPr>
        <w:t>Id</w:t>
      </w:r>
      <w:r w:rsidRPr="00BF5772">
        <w:t xml:space="preserve">. at 164-168. </w:t>
      </w:r>
    </w:p>
    <w:p w14:paraId="540158C4" w14:textId="2E339863" w:rsidR="00064C63" w:rsidRPr="00BF5772" w:rsidRDefault="00064C63" w:rsidP="00064C63">
      <w:pPr>
        <w:pStyle w:val="Heading1"/>
        <w:jc w:val="center"/>
      </w:pPr>
      <w:bookmarkStart w:id="2" w:name="_Toc239144076"/>
      <w:r w:rsidRPr="00BF5772">
        <w:t xml:space="preserve">III. </w:t>
      </w:r>
      <w:r w:rsidRPr="00BF5772">
        <w:tab/>
        <w:t>ARGUMENT</w:t>
      </w:r>
      <w:bookmarkEnd w:id="2"/>
    </w:p>
    <w:p w14:paraId="43D4B3E7" w14:textId="21DFA194" w:rsidR="00064C63" w:rsidRPr="00BF5772" w:rsidRDefault="00064C63" w:rsidP="00064C63">
      <w:pPr>
        <w:pStyle w:val="Heading2"/>
        <w:ind w:left="720" w:hanging="720"/>
      </w:pPr>
      <w:bookmarkStart w:id="3" w:name="_Toc239144077"/>
      <w:r w:rsidRPr="00BF5772">
        <w:t xml:space="preserve">A. </w:t>
      </w:r>
      <w:r w:rsidRPr="00BF5772">
        <w:tab/>
        <w:t xml:space="preserve">The Government Met the </w:t>
      </w:r>
      <w:r w:rsidRPr="00BF5772">
        <w:rPr>
          <w:i/>
          <w:iCs/>
        </w:rPr>
        <w:t>Kastigar</w:t>
      </w:r>
      <w:r w:rsidRPr="00BF5772">
        <w:t xml:space="preserve"> Standard and the Evidence Should Not Be Suppressed.</w:t>
      </w:r>
      <w:bookmarkEnd w:id="3"/>
      <w:r w:rsidRPr="00BF5772">
        <w:t xml:space="preserve"> </w:t>
      </w:r>
    </w:p>
    <w:p w14:paraId="52067E28" w14:textId="3549D518" w:rsidR="00064C63" w:rsidRPr="00BF5772" w:rsidRDefault="00064C63" w:rsidP="00064C63">
      <w:pPr>
        <w:spacing w:line="480" w:lineRule="auto"/>
        <w:ind w:firstLine="720"/>
      </w:pPr>
      <w:r w:rsidRPr="00BF5772">
        <w:t xml:space="preserve">When the Government compels testimony under a grant of immunity, </w:t>
      </w:r>
      <w:r w:rsidRPr="00BF5772">
        <w:rPr>
          <w:i/>
          <w:iCs/>
        </w:rPr>
        <w:t>Kastigar</w:t>
      </w:r>
      <w:r w:rsidRPr="00BF5772">
        <w:t xml:space="preserve"> requires a total prohibition on use of that testimony and its fruits. </w:t>
      </w:r>
      <w:r w:rsidRPr="00BF5772">
        <w:rPr>
          <w:i/>
          <w:iCs/>
        </w:rPr>
        <w:t>Kastigar v. United States</w:t>
      </w:r>
      <w:r w:rsidRPr="00BF5772">
        <w:t>, 406 U.S. 441, 453 (1972)</w:t>
      </w:r>
      <w:r w:rsidR="00654050" w:rsidRPr="00BF5772">
        <w:fldChar w:fldCharType="begin"/>
      </w:r>
      <w:r w:rsidR="00654050" w:rsidRPr="00BF5772">
        <w:instrText xml:space="preserve"> TA \l "</w:instrText>
      </w:r>
      <w:r w:rsidR="00654050" w:rsidRPr="00BF5772">
        <w:rPr>
          <w:i/>
          <w:iCs/>
        </w:rPr>
        <w:instrText>Kastigar v. United States</w:instrText>
      </w:r>
      <w:r w:rsidR="00654050" w:rsidRPr="00BF5772">
        <w:instrText xml:space="preserve">, 406 U.S. 441, 453 (1972)" \s "Kastigar v. United States, 406 U.S. 441 (1972)" \c 1 </w:instrText>
      </w:r>
      <w:r w:rsidR="00654050" w:rsidRPr="00BF5772">
        <w:fldChar w:fldCharType="end"/>
      </w:r>
      <w:r w:rsidRPr="00BF5772">
        <w:t xml:space="preserve">. The Government bears a heavy burden proving that all evidence it proposes to use was derived from sources wholly independent of the compelled testimony. </w:t>
      </w:r>
      <w:r w:rsidRPr="00BF5772">
        <w:rPr>
          <w:i/>
          <w:iCs/>
        </w:rPr>
        <w:t>Id.</w:t>
      </w:r>
      <w:r w:rsidRPr="00BF5772">
        <w:t xml:space="preserve"> at 460</w:t>
      </w:r>
      <w:r w:rsidR="00654050" w:rsidRPr="00BF5772">
        <w:fldChar w:fldCharType="begin"/>
      </w:r>
      <w:r w:rsidR="00654050" w:rsidRPr="00BF5772">
        <w:instrText xml:space="preserve"> TA \s "Kastigar v. United States, 406 U.S. 441 (1972)" </w:instrText>
      </w:r>
      <w:r w:rsidR="00654050" w:rsidRPr="00BF5772">
        <w:fldChar w:fldCharType="end"/>
      </w:r>
      <w:r w:rsidRPr="00BF5772">
        <w:t>. That burden is not insurmountable, and the record here overcomes that burden.</w:t>
      </w:r>
    </w:p>
    <w:p w14:paraId="76FCD706" w14:textId="777D1933" w:rsidR="00064C63" w:rsidRPr="00BF5772" w:rsidRDefault="00064C63" w:rsidP="00064C63">
      <w:pPr>
        <w:spacing w:line="480" w:lineRule="auto"/>
        <w:ind w:firstLine="720"/>
      </w:pPr>
      <w:r w:rsidRPr="00BF5772">
        <w:t xml:space="preserve">The Fourteenth Circuit has not addressed the scope of </w:t>
      </w:r>
      <w:r w:rsidRPr="00BF5772">
        <w:rPr>
          <w:i/>
          <w:iCs/>
        </w:rPr>
        <w:t>Kastigar</w:t>
      </w:r>
      <w:r w:rsidRPr="00BF5772">
        <w:t xml:space="preserve">'s protections. Persuasive authority from sister circuits confirm that the Government satisfies its </w:t>
      </w:r>
      <w:r w:rsidRPr="00BF5772">
        <w:lastRenderedPageBreak/>
        <w:t xml:space="preserve">burden where the record demonstrates pre-existing investigative leads, documented protocols, and untainted witness accounts. Notably in cases like this, the Government is not required to negate all possibility of a tainted investigation, but by a preponderance of the evidence. </w:t>
      </w:r>
      <w:r w:rsidRPr="00BF5772">
        <w:rPr>
          <w:i/>
          <w:iCs/>
        </w:rPr>
        <w:t>United States v. Byrd</w:t>
      </w:r>
      <w:r w:rsidRPr="00BF5772">
        <w:t>, 765 F.2d 1524, 1529 (11th Cir. 1985)</w:t>
      </w:r>
      <w:r w:rsidR="00654050" w:rsidRPr="00BF5772">
        <w:fldChar w:fldCharType="begin"/>
      </w:r>
      <w:r w:rsidR="00654050" w:rsidRPr="00BF5772">
        <w:instrText xml:space="preserve"> TA \l "</w:instrText>
      </w:r>
      <w:r w:rsidR="00654050" w:rsidRPr="00BF5772">
        <w:rPr>
          <w:i/>
          <w:iCs/>
        </w:rPr>
        <w:instrText>United States v. Byrd</w:instrText>
      </w:r>
      <w:r w:rsidR="00654050" w:rsidRPr="00BF5772">
        <w:instrText xml:space="preserve">, 765 F.2d 1524, 1529 (11th Cir. 1985)" \s "United States v. Byrd, 765 F.2d 1524, 1529 (11th Cir. 1985)" \c 1 </w:instrText>
      </w:r>
      <w:r w:rsidR="00654050" w:rsidRPr="00BF5772">
        <w:fldChar w:fldCharType="end"/>
      </w:r>
      <w:r w:rsidRPr="00BF5772">
        <w:t>.</w:t>
      </w:r>
    </w:p>
    <w:p w14:paraId="730DFE11" w14:textId="6002EB9E" w:rsidR="00064C63" w:rsidRPr="00BF5772" w:rsidRDefault="00064C63" w:rsidP="007D09C4">
      <w:pPr>
        <w:pStyle w:val="Heading3"/>
      </w:pPr>
      <w:bookmarkStart w:id="4" w:name="_Toc239144078"/>
      <w:r w:rsidRPr="00BF5772">
        <w:t xml:space="preserve">1. </w:t>
      </w:r>
      <w:r w:rsidRPr="00BF5772">
        <w:tab/>
        <w:t>The Pre-Testimony Record Proves Wholly Independent Origin</w:t>
      </w:r>
      <w:bookmarkEnd w:id="4"/>
    </w:p>
    <w:p w14:paraId="7AD8C3C4" w14:textId="6874370F" w:rsidR="00064C63" w:rsidRPr="00BF5772" w:rsidRDefault="00064C63" w:rsidP="00064C63">
      <w:pPr>
        <w:spacing w:line="480" w:lineRule="auto"/>
        <w:ind w:firstLine="720"/>
      </w:pPr>
      <w:r w:rsidRPr="00BF5772">
        <w:t xml:space="preserve">The timeline is undisputed. The employee roster (Ex. 10) was subpoenaed in February 2024, six months before Calloway testified. Nolan Dep. at 267-72. SA Nolan created his to-do list (Ex. 16) and priority list (Ex. 17) between August 23 and August 27, 2024. Nolan Dep. at 230-40; 244-53. Calloway's proffer did not occur until August 28. </w:t>
      </w:r>
    </w:p>
    <w:p w14:paraId="25D387BD" w14:textId="5CC31846" w:rsidR="00064C63" w:rsidRPr="00BF5772" w:rsidRDefault="00064C63" w:rsidP="00654050">
      <w:pPr>
        <w:spacing w:line="480" w:lineRule="auto"/>
        <w:ind w:firstLine="720"/>
      </w:pPr>
      <w:r w:rsidRPr="00BF5772">
        <w:t xml:space="preserve">The priority list ranked employees by shift frequency. Nolan Dep. at 267-72. The ranking was objective, and not dependent on any testimony from Calloway. The record establishes that the investigative path leading to Parker existed before Calloway's testimony began. Kennedy Parker was number seven on the priority list (Ex. 17), appearing on the staffing schedules (Ex. 1D) in the documents initially provided by Daniel Blake. The business records that placed Parker on the list existed independently of any testimony. </w:t>
      </w:r>
    </w:p>
    <w:p w14:paraId="391FAF6E" w14:textId="7A7B6CFD" w:rsidR="00064C63" w:rsidRPr="00BF5772" w:rsidRDefault="00064C63" w:rsidP="007D09C4">
      <w:pPr>
        <w:pStyle w:val="Heading3"/>
      </w:pPr>
      <w:bookmarkStart w:id="5" w:name="_Toc239144079"/>
      <w:r w:rsidRPr="00BF5772">
        <w:t xml:space="preserve">2. </w:t>
      </w:r>
      <w:r w:rsidRPr="00BF5772">
        <w:tab/>
        <w:t>The Wall Protocol Insulated the Investigation</w:t>
      </w:r>
      <w:bookmarkEnd w:id="5"/>
    </w:p>
    <w:p w14:paraId="0F99E7D4" w14:textId="71E82EB1" w:rsidR="00064C63" w:rsidRPr="00BF5772" w:rsidRDefault="00064C63" w:rsidP="00064C63">
      <w:pPr>
        <w:spacing w:line="480" w:lineRule="auto"/>
        <w:ind w:firstLine="720"/>
      </w:pPr>
      <w:r w:rsidRPr="00BF5772">
        <w:lastRenderedPageBreak/>
        <w:t xml:space="preserve">The wall protocol (Ex. 15) was formal, written, and established on August 22, 2024, before any compelled testimony. Sinclair Dep. at 547-51. Once the wall went up, Sinclair ceased all involvement in investigative decisions regarding the Calloway case. Sinclair Dep. at 576-78. Nolan testified that he never received any immunized testimony, directly or indirectly. Nolan Dep. at 220-27. Wall protocols such as this are common for cases to ensure the </w:t>
      </w:r>
      <w:r w:rsidRPr="00BF5772">
        <w:rPr>
          <w:i/>
          <w:iCs/>
        </w:rPr>
        <w:t xml:space="preserve">Kastigar </w:t>
      </w:r>
      <w:r w:rsidRPr="00BF5772">
        <w:rPr>
          <w:color w:val="000000" w:themeColor="text1"/>
        </w:rPr>
        <w:t xml:space="preserve">standards. </w:t>
      </w:r>
      <w:r w:rsidRPr="00BF5772">
        <w:rPr>
          <w:i/>
          <w:iCs/>
          <w:color w:val="000000" w:themeColor="text1"/>
          <w:bdr w:val="none" w:sz="0" w:space="0" w:color="auto" w:frame="1"/>
        </w:rPr>
        <w:t>United States v. North</w:t>
      </w:r>
      <w:r w:rsidRPr="00BF5772">
        <w:rPr>
          <w:color w:val="000000" w:themeColor="text1"/>
          <w:bdr w:val="none" w:sz="0" w:space="0" w:color="auto" w:frame="1"/>
        </w:rPr>
        <w:t>, 285 U.S. App. D.C. 343, 910 F.2d 843, 859 (1990)</w:t>
      </w:r>
      <w:r w:rsidR="00654050" w:rsidRPr="00BF5772">
        <w:rPr>
          <w:color w:val="000000" w:themeColor="text1"/>
          <w:bdr w:val="none" w:sz="0" w:space="0" w:color="auto" w:frame="1"/>
        </w:rPr>
        <w:fldChar w:fldCharType="begin"/>
      </w:r>
      <w:r w:rsidR="00654050" w:rsidRPr="00BF5772">
        <w:instrText xml:space="preserve"> TA \l "</w:instrText>
      </w:r>
      <w:r w:rsidR="00654050" w:rsidRPr="00BF5772">
        <w:rPr>
          <w:i/>
          <w:iCs/>
          <w:color w:val="000000" w:themeColor="text1"/>
          <w:bdr w:val="none" w:sz="0" w:space="0" w:color="auto" w:frame="1"/>
        </w:rPr>
        <w:instrText>United States v. North</w:instrText>
      </w:r>
      <w:r w:rsidR="00654050" w:rsidRPr="00BF5772">
        <w:rPr>
          <w:color w:val="000000" w:themeColor="text1"/>
          <w:bdr w:val="none" w:sz="0" w:space="0" w:color="auto" w:frame="1"/>
        </w:rPr>
        <w:instrText>, 285 U.S. App. D.C. 343, 910 F.2d 843, 859 (1990)</w:instrText>
      </w:r>
      <w:r w:rsidR="00654050" w:rsidRPr="00BF5772">
        <w:instrText xml:space="preserve">" \s "United States v. North, 285 U.S. App. D.C. 343, 910 F.2d 843, 859 (1990)" \c 1 </w:instrText>
      </w:r>
      <w:r w:rsidR="00654050" w:rsidRPr="00BF5772">
        <w:rPr>
          <w:color w:val="000000" w:themeColor="text1"/>
          <w:bdr w:val="none" w:sz="0" w:space="0" w:color="auto" w:frame="1"/>
        </w:rPr>
        <w:fldChar w:fldCharType="end"/>
      </w:r>
      <w:r w:rsidRPr="00BF5772">
        <w:rPr>
          <w:color w:val="000000" w:themeColor="text1"/>
        </w:rPr>
        <w:t xml:space="preserve">. </w:t>
      </w:r>
      <w:r w:rsidRPr="00BF5772">
        <w:t xml:space="preserve">The Eleventh Circuit has emphasized that where the Government follows “reliable procedures for segregating the immunized testimony and its fruits from officials pursuing any subsequent investigations,” the </w:t>
      </w:r>
      <w:r w:rsidRPr="00BF5772">
        <w:rPr>
          <w:i/>
          <w:iCs/>
        </w:rPr>
        <w:t>Kastigar</w:t>
      </w:r>
      <w:r w:rsidRPr="00BF5772">
        <w:t xml:space="preserve"> burden is practically satisfied. </w:t>
      </w:r>
      <w:r w:rsidRPr="00BF5772">
        <w:rPr>
          <w:i/>
          <w:iCs/>
        </w:rPr>
        <w:t>United States v. Hampton</w:t>
      </w:r>
      <w:r w:rsidRPr="00BF5772">
        <w:t>, 775 F.2d 1479, 1490 (11th Cir. 1985)</w:t>
      </w:r>
      <w:r w:rsidR="00654050" w:rsidRPr="00BF5772">
        <w:fldChar w:fldCharType="begin"/>
      </w:r>
      <w:r w:rsidR="00654050" w:rsidRPr="00BF5772">
        <w:instrText xml:space="preserve"> TA \l "</w:instrText>
      </w:r>
      <w:r w:rsidR="00654050" w:rsidRPr="00BF5772">
        <w:rPr>
          <w:i/>
          <w:iCs/>
        </w:rPr>
        <w:instrText>States v. Hampton</w:instrText>
      </w:r>
      <w:r w:rsidR="00654050" w:rsidRPr="00BF5772">
        <w:instrText xml:space="preserve">, 775 F.2d 1479, 1490 (11th Cir. 1985)" \s "States v. Hampton, 775 F.2d 1479, 1490 (11th Cir. 1985)" \c 1 </w:instrText>
      </w:r>
      <w:r w:rsidR="00654050" w:rsidRPr="00BF5772">
        <w:fldChar w:fldCharType="end"/>
      </w:r>
      <w:r w:rsidRPr="00BF5772">
        <w:t>. The Government here did exactly that</w:t>
      </w:r>
      <w:r w:rsidRPr="00BF5772">
        <w:rPr>
          <w:i/>
          <w:iCs/>
        </w:rPr>
        <w:t>.</w:t>
      </w:r>
    </w:p>
    <w:p w14:paraId="1E5F73D4" w14:textId="3230DDAD" w:rsidR="00064C63" w:rsidRPr="00BF5772" w:rsidRDefault="00064C63" w:rsidP="00064C63">
      <w:pPr>
        <w:spacing w:line="480" w:lineRule="auto"/>
        <w:ind w:firstLine="720"/>
      </w:pPr>
      <w:r w:rsidRPr="00BF5772">
        <w:t xml:space="preserve">Social contact is not a breach, both Sinclair and Nolan testified under oath that they did not discuss the case during the wall period. Sinclair Dep. at 579-87; Nolan Dep. at 328-32. The question under </w:t>
      </w:r>
      <w:r w:rsidRPr="00BF5772">
        <w:rPr>
          <w:i/>
          <w:iCs/>
        </w:rPr>
        <w:t>Kastigar</w:t>
      </w:r>
      <w:r w:rsidRPr="00BF5772">
        <w:t xml:space="preserve"> is whether immunized testimony was communicated, and the record says it was not. </w:t>
      </w:r>
      <w:r w:rsidRPr="00BF5772">
        <w:rPr>
          <w:i/>
          <w:iCs/>
        </w:rPr>
        <w:t>See also United States v. Crowson</w:t>
      </w:r>
      <w:r w:rsidRPr="00BF5772">
        <w:t>, 828 F.2d 1427, 1430-32 (9th Cir. 1987)</w:t>
      </w:r>
      <w:r w:rsidR="00BF5772" w:rsidRPr="00BF5772">
        <w:fldChar w:fldCharType="begin"/>
      </w:r>
      <w:r w:rsidR="00BF5772" w:rsidRPr="00BF5772">
        <w:instrText xml:space="preserve"> TA \l "</w:instrText>
      </w:r>
      <w:r w:rsidR="00BF5772" w:rsidRPr="00BF5772">
        <w:rPr>
          <w:i/>
          <w:iCs/>
        </w:rPr>
        <w:instrText>United States v. Crowson</w:instrText>
      </w:r>
      <w:r w:rsidR="00BF5772" w:rsidRPr="00BF5772">
        <w:instrText xml:space="preserve">, 828 F.2d 1427, 1430-32 (9th Cir. 1987)" \s "United States v. Crowson, 828 F.2d 1427, 1430-32 (9th Cir. 1987)" \c 1 </w:instrText>
      </w:r>
      <w:r w:rsidR="00BF5772" w:rsidRPr="00BF5772">
        <w:fldChar w:fldCharType="end"/>
      </w:r>
      <w:r w:rsidRPr="00BF5772">
        <w:t xml:space="preserve"> (declining to adopt a per se rule requiring withdrawal of prosecutors exposed to immunized testimony); </w:t>
      </w:r>
      <w:r w:rsidRPr="00BF5772">
        <w:rPr>
          <w:i/>
          <w:iCs/>
        </w:rPr>
        <w:t>United States v. Pantone</w:t>
      </w:r>
      <w:r w:rsidRPr="00BF5772">
        <w:t>, 634 F.2d 716, 720 (3d Cir. 1980)</w:t>
      </w:r>
      <w:r w:rsidR="00BF5772" w:rsidRPr="00BF5772">
        <w:fldChar w:fldCharType="begin"/>
      </w:r>
      <w:r w:rsidR="00BF5772" w:rsidRPr="00BF5772">
        <w:instrText xml:space="preserve"> TA \l "</w:instrText>
      </w:r>
      <w:r w:rsidR="00BF5772" w:rsidRPr="00BF5772">
        <w:rPr>
          <w:i/>
          <w:iCs/>
        </w:rPr>
        <w:instrText>United States v. Pantone</w:instrText>
      </w:r>
      <w:r w:rsidR="00BF5772" w:rsidRPr="00BF5772">
        <w:instrText xml:space="preserve">, 634 F.2d 716, 720 (3d Cir. 1980)" \s "United States v. Pantone, 634 F.2d 716, 720 (3d Cir. 1980)" \c 1 </w:instrText>
      </w:r>
      <w:r w:rsidR="00BF5772" w:rsidRPr="00BF5772">
        <w:fldChar w:fldCharType="end"/>
      </w:r>
      <w:r w:rsidRPr="00BF5772">
        <w:t xml:space="preserve"> (mere access to </w:t>
      </w:r>
      <w:r w:rsidRPr="00BF5772">
        <w:lastRenderedPageBreak/>
        <w:t xml:space="preserve">immunized testimony does not prevent the Government from meeting its </w:t>
      </w:r>
      <w:r w:rsidRPr="00BF5772">
        <w:rPr>
          <w:i/>
          <w:iCs/>
        </w:rPr>
        <w:t>Kastigar</w:t>
      </w:r>
      <w:r w:rsidRPr="00BF5772">
        <w:t xml:space="preserve"> burden).</w:t>
      </w:r>
    </w:p>
    <w:p w14:paraId="4EEB4E40" w14:textId="32FA7CE3" w:rsidR="00064C63" w:rsidRPr="00BF5772" w:rsidRDefault="00064C63" w:rsidP="007D09C4">
      <w:pPr>
        <w:pStyle w:val="Heading3"/>
      </w:pPr>
      <w:bookmarkStart w:id="6" w:name="_Toc239144080"/>
      <w:r w:rsidRPr="00BF5772">
        <w:t xml:space="preserve">3. </w:t>
      </w:r>
      <w:r w:rsidRPr="00BF5772">
        <w:tab/>
        <w:t>Parker's Account Is Based on Firsthand Observation</w:t>
      </w:r>
      <w:bookmarkEnd w:id="6"/>
    </w:p>
    <w:p w14:paraId="3425DCF8" w14:textId="57E66A48" w:rsidR="00064C63" w:rsidRPr="00BF5772" w:rsidRDefault="00064C63" w:rsidP="00064C63">
      <w:pPr>
        <w:spacing w:line="480" w:lineRule="auto"/>
        <w:ind w:firstLine="720"/>
      </w:pPr>
      <w:r w:rsidRPr="00BF5772">
        <w:t>Parker witnessed the Christmas party argument at the Silver Palms Christmas party on December 10, 2023, Calloway then asked Parker to move a box marked "Coastal" to a storage unit on December 20, 2023. Parker Dep. at 244-80. Parker did not report either event at the time because they seemed unremarkable. Parker Dep. at 288-91.</w:t>
      </w:r>
    </w:p>
    <w:p w14:paraId="2B9AE944" w14:textId="1301860A" w:rsidR="00064C63" w:rsidRPr="00BF5772" w:rsidRDefault="00064C63" w:rsidP="00064C63">
      <w:pPr>
        <w:spacing w:line="480" w:lineRule="auto"/>
        <w:ind w:firstLine="720"/>
      </w:pPr>
      <w:r w:rsidRPr="00BF5772">
        <w:t xml:space="preserve">This is not a case like </w:t>
      </w:r>
      <w:r w:rsidRPr="00BF5772">
        <w:rPr>
          <w:i/>
          <w:iCs/>
        </w:rPr>
        <w:t>United States v. McDaniel</w:t>
      </w:r>
      <w:r w:rsidRPr="00BF5772">
        <w:t xml:space="preserve">, where the prosecutor who heard immunized testimony made the charging decisions. </w:t>
      </w:r>
      <w:r w:rsidRPr="00BF5772">
        <w:rPr>
          <w:i/>
          <w:iCs/>
        </w:rPr>
        <w:t>United States v. McDaniel</w:t>
      </w:r>
      <w:r w:rsidRPr="00BF5772">
        <w:t>, 482 F.2d 305, 311 (8th Cir. 1973)</w:t>
      </w:r>
      <w:r w:rsidR="00BF5772" w:rsidRPr="00BF5772">
        <w:fldChar w:fldCharType="begin"/>
      </w:r>
      <w:r w:rsidR="00BF5772" w:rsidRPr="00BF5772">
        <w:instrText xml:space="preserve"> TA \l "</w:instrText>
      </w:r>
      <w:r w:rsidR="00BF5772" w:rsidRPr="00BF5772">
        <w:rPr>
          <w:i/>
          <w:iCs/>
        </w:rPr>
        <w:instrText>United States v. McDaniel</w:instrText>
      </w:r>
      <w:r w:rsidR="00BF5772" w:rsidRPr="00BF5772">
        <w:instrText xml:space="preserve">, 482 F.2d 305, 311 (8th Cir. 1973)" \s "United States v. McDaniel, 482 F.2d 305, 311 (8th Cir. 1973)" \c 1 </w:instrText>
      </w:r>
      <w:r w:rsidR="00BF5772" w:rsidRPr="00BF5772">
        <w:fldChar w:fldCharType="end"/>
      </w:r>
      <w:r w:rsidRPr="00BF5772">
        <w:t xml:space="preserve">. Here, the witness's account predates the testimony by months and is rooted in events the witness personally observed meaning the testimony is not tainted. </w:t>
      </w:r>
      <w:r w:rsidRPr="00BF5772">
        <w:rPr>
          <w:i/>
          <w:iCs/>
        </w:rPr>
        <w:t>United States v. Cozzi</w:t>
      </w:r>
      <w:r w:rsidRPr="00BF5772">
        <w:t>, 613 F.3d 725, 731 (7th Cir. 2010)</w:t>
      </w:r>
      <w:r w:rsidR="00BF5772" w:rsidRPr="00BF5772">
        <w:fldChar w:fldCharType="begin"/>
      </w:r>
      <w:r w:rsidR="00BF5772" w:rsidRPr="00BF5772">
        <w:instrText xml:space="preserve"> TA \l "</w:instrText>
      </w:r>
      <w:r w:rsidR="00BF5772" w:rsidRPr="00BF5772">
        <w:rPr>
          <w:i/>
          <w:iCs/>
        </w:rPr>
        <w:instrText>United States v. Cozzi</w:instrText>
      </w:r>
      <w:r w:rsidR="00BF5772" w:rsidRPr="00BF5772">
        <w:instrText xml:space="preserve">, 613 F.3d 725, 731 (7th Cir. 2010)" \s "United States v. Cozzi, 613 F.3d 725, 731 (7th Cir. 2010)" \c 1 </w:instrText>
      </w:r>
      <w:r w:rsidR="00BF5772" w:rsidRPr="00BF5772">
        <w:fldChar w:fldCharType="end"/>
      </w:r>
      <w:r w:rsidRPr="00BF5772">
        <w:t xml:space="preserve"> (witness testimony based on independent personal knowledge does not become tainted merely because compelled testimony covered similar ground). The First Circuit reached the same conclusion in </w:t>
      </w:r>
      <w:r w:rsidRPr="00BF5772">
        <w:rPr>
          <w:i/>
          <w:iCs/>
        </w:rPr>
        <w:t>United States v. Serrano</w:t>
      </w:r>
      <w:r w:rsidRPr="00BF5772">
        <w:t xml:space="preserve">, rejecting the notion that the Government’s purpose under </w:t>
      </w:r>
      <w:r w:rsidRPr="00BF5772">
        <w:rPr>
          <w:i/>
          <w:iCs/>
        </w:rPr>
        <w:t>Kastigar</w:t>
      </w:r>
      <w:r w:rsidRPr="00BF5772">
        <w:t xml:space="preserve"> is “automatically frustrated by the government’s mere exposure to immunized testimony.” </w:t>
      </w:r>
      <w:r w:rsidRPr="00BF5772">
        <w:rPr>
          <w:i/>
          <w:iCs/>
        </w:rPr>
        <w:t>United States v. Serrano</w:t>
      </w:r>
      <w:r w:rsidRPr="00BF5772">
        <w:t>, 870 F.2d 1, 17 (1st Cir. 1989).</w:t>
      </w:r>
      <w:r w:rsidR="00BF5772" w:rsidRPr="00BF5772">
        <w:fldChar w:fldCharType="begin"/>
      </w:r>
      <w:r w:rsidR="00BF5772" w:rsidRPr="00BF5772">
        <w:instrText xml:space="preserve"> TA \l "</w:instrText>
      </w:r>
      <w:r w:rsidR="00BF5772" w:rsidRPr="00BF5772">
        <w:rPr>
          <w:i/>
          <w:iCs/>
        </w:rPr>
        <w:instrText>United States v. Serrano</w:instrText>
      </w:r>
      <w:r w:rsidR="00BF5772" w:rsidRPr="00BF5772">
        <w:instrText xml:space="preserve">, 870 F.2d 1, 17 (1st Cir. 1989)." \s "United States v. Serrano, 870 F.2d 1, 17 (1st Cir. 1989)." \c 1 </w:instrText>
      </w:r>
      <w:r w:rsidR="00BF5772" w:rsidRPr="00BF5772">
        <w:fldChar w:fldCharType="end"/>
      </w:r>
    </w:p>
    <w:p w14:paraId="70F3A101" w14:textId="7E0A7F50" w:rsidR="00064C63" w:rsidRPr="00BF5772" w:rsidRDefault="00064C63" w:rsidP="007D09C4">
      <w:pPr>
        <w:pStyle w:val="Heading3"/>
      </w:pPr>
      <w:bookmarkStart w:id="7" w:name="_Toc239144081"/>
      <w:r w:rsidRPr="00BF5772">
        <w:t xml:space="preserve">4. </w:t>
      </w:r>
      <w:r w:rsidRPr="00BF5772">
        <w:tab/>
        <w:t>The Warehouse Evidence Flows from a Clean Source</w:t>
      </w:r>
      <w:bookmarkEnd w:id="7"/>
    </w:p>
    <w:p w14:paraId="4D749242" w14:textId="094F4323" w:rsidR="00064C63" w:rsidRPr="00BF5772" w:rsidRDefault="00064C63" w:rsidP="00064C63">
      <w:pPr>
        <w:spacing w:line="480" w:lineRule="auto"/>
        <w:ind w:firstLine="720"/>
      </w:pPr>
      <w:r w:rsidRPr="00BF5772">
        <w:lastRenderedPageBreak/>
        <w:t>The chain from Parker to the warehouse is clean. Parker was on a pre-existing list, was interviewed in sequence after four other employees, and provided a firsthand account that led to the storage unit. Parker Dep. at 244-80. Nolan confirmed the location, obtained a warrant, and recovered the evidence (Ex. 19). Nolan Dep. at 350-64. Every link in that chain traces back to the employee roster and the priority list, not to anything Calloway said under immunity.</w:t>
      </w:r>
    </w:p>
    <w:p w14:paraId="75A20593" w14:textId="68677F95" w:rsidR="007D09C4" w:rsidRPr="00BF5772" w:rsidRDefault="00064C63" w:rsidP="00654050">
      <w:pPr>
        <w:spacing w:line="480" w:lineRule="auto"/>
        <w:ind w:firstLine="720"/>
      </w:pPr>
      <w:r w:rsidRPr="00BF5772">
        <w:t xml:space="preserve">This case is distinguishable from </w:t>
      </w:r>
      <w:r w:rsidRPr="00BF5772">
        <w:rPr>
          <w:i/>
          <w:iCs/>
        </w:rPr>
        <w:t>United States v. Hubbell</w:t>
      </w:r>
      <w:r w:rsidRPr="00BF5772">
        <w:t xml:space="preserve">, where the Government could not show it knew about the documents at issue without the compelled testimony. </w:t>
      </w:r>
      <w:r w:rsidRPr="00BF5772">
        <w:rPr>
          <w:i/>
          <w:iCs/>
        </w:rPr>
        <w:t>United States v. Hubbell</w:t>
      </w:r>
      <w:r w:rsidRPr="00BF5772">
        <w:t>, 530 U.S. 27, 41-45 (2000).</w:t>
      </w:r>
      <w:r w:rsidR="00BF5772" w:rsidRPr="00BF5772">
        <w:fldChar w:fldCharType="begin"/>
      </w:r>
      <w:r w:rsidR="00BF5772" w:rsidRPr="00BF5772">
        <w:instrText xml:space="preserve"> TA \l "</w:instrText>
      </w:r>
      <w:r w:rsidR="00BF5772" w:rsidRPr="00BF5772">
        <w:rPr>
          <w:i/>
          <w:iCs/>
        </w:rPr>
        <w:instrText>United States v. Hubbell</w:instrText>
      </w:r>
      <w:r w:rsidR="00BF5772" w:rsidRPr="00BF5772">
        <w:instrText xml:space="preserve">, 530 U.S. 27, 41-45 (2000)." \s "United States v. Hubbell, 530 U.S. 27, 41-45 (2000)." \c 1 </w:instrText>
      </w:r>
      <w:r w:rsidR="00BF5772" w:rsidRPr="00BF5772">
        <w:fldChar w:fldCharType="end"/>
      </w:r>
      <w:r w:rsidRPr="00BF5772">
        <w:t xml:space="preserve"> Here, the Government knew about Parker from the beginning of Daniel Blake’s concerns, and from the roster and about the priority ranking from objective shift data. The warehouse evidence flows from Parker's independent account, not from any act of testimonial production by Calloway. </w:t>
      </w:r>
      <w:r w:rsidRPr="00BF5772">
        <w:rPr>
          <w:i/>
          <w:iCs/>
        </w:rPr>
        <w:t>See also United States v. Harris</w:t>
      </w:r>
      <w:r w:rsidRPr="00BF5772">
        <w:t>, 973 F.2d 333, 336 (4th Cir. 1992)</w:t>
      </w:r>
      <w:r w:rsidR="00BF5772" w:rsidRPr="00BF5772">
        <w:fldChar w:fldCharType="begin"/>
      </w:r>
      <w:r w:rsidR="00BF5772" w:rsidRPr="00BF5772">
        <w:instrText xml:space="preserve"> TA \l "</w:instrText>
      </w:r>
      <w:r w:rsidR="00BF5772" w:rsidRPr="00BF5772">
        <w:rPr>
          <w:i/>
          <w:iCs/>
        </w:rPr>
        <w:instrText>United States v. Harris</w:instrText>
      </w:r>
      <w:r w:rsidR="00BF5772" w:rsidRPr="00BF5772">
        <w:instrText xml:space="preserve">, 973 F.2d 333, 336 (4th Cir. 1992)" \s "United States v. Harris, 973 F.2d 333, 336 (4th Cir. 1992)" \c 1 </w:instrText>
      </w:r>
      <w:r w:rsidR="00BF5772" w:rsidRPr="00BF5772">
        <w:fldChar w:fldCharType="end"/>
      </w:r>
      <w:r w:rsidRPr="00BF5772">
        <w:t xml:space="preserve"> (the Government's evidence of independent source is sufficient where documented investigative steps predate the compelled testimony). The Government erected a wall, followed protocol, and urges this Court not to suppress the wholly independent evidence.</w:t>
      </w:r>
    </w:p>
    <w:p w14:paraId="1FD079FB" w14:textId="4644D3ED" w:rsidR="00064C63" w:rsidRPr="00BF5772" w:rsidRDefault="007D09C4" w:rsidP="007D09C4">
      <w:pPr>
        <w:pStyle w:val="Heading3"/>
      </w:pPr>
      <w:bookmarkStart w:id="8" w:name="_Toc239144082"/>
      <w:r w:rsidRPr="00BF5772">
        <w:t xml:space="preserve">5. </w:t>
      </w:r>
      <w:r w:rsidRPr="00BF5772">
        <w:tab/>
      </w:r>
      <w:r w:rsidR="00064C63" w:rsidRPr="00BF5772">
        <w:t>In the Alternative: Even If Taint Is Assumed, Discovery Was Inevitable</w:t>
      </w:r>
      <w:r w:rsidRPr="00BF5772">
        <w:t>.</w:t>
      </w:r>
      <w:bookmarkEnd w:id="8"/>
    </w:p>
    <w:p w14:paraId="11E4660B" w14:textId="42628B8B" w:rsidR="00064C63" w:rsidRPr="00BF5772" w:rsidRDefault="00064C63" w:rsidP="00064C63">
      <w:pPr>
        <w:spacing w:line="480" w:lineRule="auto"/>
        <w:ind w:firstLine="720"/>
      </w:pPr>
      <w:r w:rsidRPr="00BF5772">
        <w:t xml:space="preserve">Even if this Court finds some taint, the evidence should not be suppressed. Under the inevitable discovery doctrine, evidence is admissible if the Government </w:t>
      </w:r>
      <w:r w:rsidRPr="00BF5772">
        <w:lastRenderedPageBreak/>
        <w:t xml:space="preserve">proves by a preponderance that it would have been discovered through lawful means independent of the tainted source. </w:t>
      </w:r>
      <w:r w:rsidRPr="00BF5772">
        <w:rPr>
          <w:i/>
          <w:iCs/>
        </w:rPr>
        <w:t>Nix v. Williams</w:t>
      </w:r>
      <w:r w:rsidRPr="00BF5772">
        <w:t>, 467 U.S. 431, 444 (1984).</w:t>
      </w:r>
      <w:r w:rsidR="00BF5772" w:rsidRPr="00BF5772">
        <w:fldChar w:fldCharType="begin"/>
      </w:r>
      <w:r w:rsidR="00BF5772" w:rsidRPr="00BF5772">
        <w:instrText xml:space="preserve"> TA \l "</w:instrText>
      </w:r>
      <w:r w:rsidR="00BF5772" w:rsidRPr="00BF5772">
        <w:rPr>
          <w:i/>
          <w:iCs/>
        </w:rPr>
        <w:instrText>Nix v. Williams</w:instrText>
      </w:r>
      <w:r w:rsidR="00BF5772" w:rsidRPr="00BF5772">
        <w:instrText xml:space="preserve">, 467 U.S. 431, 444 (1984)." \s "Nix v. Williams, 467 U.S. 431, 444 (1984)." \c 1 </w:instrText>
      </w:r>
      <w:r w:rsidR="00BF5772" w:rsidRPr="00BF5772">
        <w:fldChar w:fldCharType="end"/>
      </w:r>
      <w:r w:rsidRPr="00BF5772">
        <w:t xml:space="preserve"> The record supports inevitable discovery. Parker was number seven on a list of over one hundred employees. Nolan Dep. at 267-72; Ex. 17. Nolan had already completed four interviews and was proceeding in order. Nolan Dep. at 302-05. Parker's turn was coming regardless of what happened in any courtroom.</w:t>
      </w:r>
    </w:p>
    <w:p w14:paraId="291A4F2E" w14:textId="3F0F37A6" w:rsidR="00064C63" w:rsidRPr="00BF5772" w:rsidRDefault="00064C63" w:rsidP="007D09C4">
      <w:pPr>
        <w:spacing w:line="480" w:lineRule="auto"/>
        <w:ind w:firstLine="720"/>
      </w:pPr>
      <w:r w:rsidRPr="00BF5772">
        <w:t>Once interviewed, Parker disclosed the same firsthand account, those memories trace to December 2023, not to Calloway's testimony.</w:t>
      </w:r>
      <w:r w:rsidRPr="00BF5772">
        <w:rPr>
          <w:i/>
          <w:iCs/>
        </w:rPr>
        <w:t xml:space="preserve"> United States v. Streck</w:t>
      </w:r>
      <w:r w:rsidRPr="00BF5772">
        <w:t>, 958 F.2d 141, 145 (6th Cir. 1992)</w:t>
      </w:r>
      <w:r w:rsidR="00BF5772" w:rsidRPr="00BF5772">
        <w:fldChar w:fldCharType="begin"/>
      </w:r>
      <w:r w:rsidR="00BF5772" w:rsidRPr="00BF5772">
        <w:instrText xml:space="preserve"> TA \l ".</w:instrText>
      </w:r>
      <w:r w:rsidR="00BF5772" w:rsidRPr="00BF5772">
        <w:rPr>
          <w:i/>
          <w:iCs/>
        </w:rPr>
        <w:instrText xml:space="preserve"> United States v. Streck</w:instrText>
      </w:r>
      <w:r w:rsidR="00BF5772" w:rsidRPr="00BF5772">
        <w:instrText xml:space="preserve">, 958 F.2d 141, 145 (6th Cir. 1992)" \s ". United States v. Streck, 958 F.2d 141, 145 (6th Cir. 1992)" \c 1 </w:instrText>
      </w:r>
      <w:r w:rsidR="00BF5772" w:rsidRPr="00BF5772">
        <w:fldChar w:fldCharType="end"/>
      </w:r>
      <w:r w:rsidRPr="00BF5772">
        <w:t xml:space="preserve"> (inevitable discovery applies where the investigation was already headed toward the evidence through independent means). Walsh &amp; Rowland observe that inevitable discovery stands on its "strongest footing" when the Government can point to an active, ongoing investigation that would have uncovered the evidence absent the tainted source. Walsh &amp; Rowland, </w:t>
      </w:r>
      <w:r w:rsidRPr="00BF5772">
        <w:rPr>
          <w:i/>
          <w:iCs/>
        </w:rPr>
        <w:t>The Inevitable Discovery Exception to the Exclusionary Rule and Compelled Testimony</w:t>
      </w:r>
      <w:r w:rsidRPr="00BF5772">
        <w:t>, 23 Seton Hall L. Rev. 967, 990 (1993).</w:t>
      </w:r>
      <w:r w:rsidR="00BF5772" w:rsidRPr="00BF5772">
        <w:fldChar w:fldCharType="begin"/>
      </w:r>
      <w:r w:rsidR="00BF5772" w:rsidRPr="00BF5772">
        <w:instrText xml:space="preserve"> TA \l "Walsh &amp; Rowland, </w:instrText>
      </w:r>
      <w:r w:rsidR="00BF5772" w:rsidRPr="00BF5772">
        <w:rPr>
          <w:i/>
          <w:iCs/>
        </w:rPr>
        <w:instrText>The Inevitable Discovery Exception to the Exclusionary Rule and Compelled Testimony</w:instrText>
      </w:r>
      <w:r w:rsidR="00BF5772" w:rsidRPr="00BF5772">
        <w:instrText xml:space="preserve">, 23 Seton Hall L. Rev. 967, 990 (1993)." \s "Walsh &amp; Rowland, The Inevitable Discovery Exception to the Exclusionary Rule and Compelled Testimony, 23 Seton Hall L. Rev. 967, 990 (1993)." \c 3 </w:instrText>
      </w:r>
      <w:r w:rsidR="00BF5772" w:rsidRPr="00BF5772">
        <w:fldChar w:fldCharType="end"/>
      </w:r>
      <w:r w:rsidRPr="00BF5772">
        <w:t xml:space="preserve"> The list existed. The sequence was underway. Discovery was inevitable. Suppression here would punish the Government for not only running an untainted </w:t>
      </w:r>
      <w:proofErr w:type="gramStart"/>
      <w:r w:rsidRPr="00BF5772">
        <w:t>investigation, but</w:t>
      </w:r>
      <w:proofErr w:type="gramEnd"/>
      <w:r w:rsidRPr="00BF5772">
        <w:t xml:space="preserve"> further punish the Government for information they were already following.</w:t>
      </w:r>
    </w:p>
    <w:p w14:paraId="53AC4E3A" w14:textId="5D01C605" w:rsidR="007D09C4" w:rsidRPr="00BF5772" w:rsidRDefault="007D09C4" w:rsidP="007D09C4">
      <w:pPr>
        <w:pStyle w:val="Heading2"/>
        <w:ind w:left="720" w:hanging="720"/>
      </w:pPr>
      <w:bookmarkStart w:id="9" w:name="_Toc239144083"/>
      <w:r w:rsidRPr="00BF5772">
        <w:t xml:space="preserve">B. </w:t>
      </w:r>
      <w:r w:rsidRPr="00BF5772">
        <w:tab/>
        <w:t>The United States’s Subpoena Duces Tecum of Maddox Armana Should Not Be Quashed.</w:t>
      </w:r>
      <w:bookmarkEnd w:id="9"/>
      <w:r w:rsidRPr="00BF5772">
        <w:t xml:space="preserve"> </w:t>
      </w:r>
    </w:p>
    <w:p w14:paraId="7324174C" w14:textId="610F8625" w:rsidR="007D09C4" w:rsidRPr="00BF5772" w:rsidRDefault="007D09C4" w:rsidP="007D09C4">
      <w:pPr>
        <w:spacing w:line="480" w:lineRule="auto"/>
        <w:ind w:firstLine="720"/>
      </w:pPr>
      <w:r w:rsidRPr="00BF5772">
        <w:lastRenderedPageBreak/>
        <w:t xml:space="preserve">Quashing this subpoena would gut the very purpose the Federal Rules of Criminal Procedure exist to </w:t>
      </w:r>
      <w:proofErr w:type="gramStart"/>
      <w:r w:rsidRPr="00BF5772">
        <w:t>serve:</w:t>
      </w:r>
      <w:proofErr w:type="gramEnd"/>
      <w:r w:rsidRPr="00BF5772">
        <w:t xml:space="preserve"> fairness, simplicity, and the just resolution of criminal disputes. With Seton having vanished and Armana's notes standing as the only surviving record of her firsthand account of </w:t>
      </w:r>
      <w:proofErr w:type="spellStart"/>
      <w:r w:rsidRPr="00BF5772">
        <w:t>Coastal's</w:t>
      </w:r>
      <w:proofErr w:type="spellEnd"/>
      <w:r w:rsidRPr="00BF5772">
        <w:t xml:space="preserve"> inner workings, denying the government access to this evidence would not create an unreasonable disparity between the parties and would make proving the case against Calloway impossible.</w:t>
      </w:r>
    </w:p>
    <w:p w14:paraId="343BDE8C" w14:textId="20E3E7E8" w:rsidR="007D09C4" w:rsidRPr="00BF5772" w:rsidRDefault="007D09C4" w:rsidP="007D09C4">
      <w:pPr>
        <w:pStyle w:val="Heading3"/>
      </w:pPr>
      <w:bookmarkStart w:id="10" w:name="_Toc239144084"/>
      <w:r w:rsidRPr="00BF5772">
        <w:t xml:space="preserve">1. </w:t>
      </w:r>
      <w:r w:rsidRPr="00BF5772">
        <w:tab/>
        <w:t xml:space="preserve">The </w:t>
      </w:r>
      <w:r w:rsidR="00654050" w:rsidRPr="00BF5772">
        <w:t xml:space="preserve">Purpose of the </w:t>
      </w:r>
      <w:r w:rsidRPr="00BF5772">
        <w:t>Criminal Rules</w:t>
      </w:r>
      <w:r w:rsidR="00654050" w:rsidRPr="00BF5772">
        <w:t xml:space="preserve"> of </w:t>
      </w:r>
      <w:r w:rsidRPr="00BF5772">
        <w:t xml:space="preserve">Procedure </w:t>
      </w:r>
      <w:r w:rsidR="00654050" w:rsidRPr="00BF5772">
        <w:t>Would Be Frustrated by Quashing This Subpoena</w:t>
      </w:r>
      <w:r w:rsidRPr="00BF5772">
        <w:t>.</w:t>
      </w:r>
      <w:bookmarkEnd w:id="10"/>
      <w:r w:rsidRPr="00BF5772">
        <w:t xml:space="preserve"> </w:t>
      </w:r>
    </w:p>
    <w:p w14:paraId="77D56F4E" w14:textId="7F9F3840" w:rsidR="007D09C4" w:rsidRPr="00BF5772" w:rsidRDefault="007D09C4" w:rsidP="007D09C4">
      <w:pPr>
        <w:pStyle w:val="NormalWeb"/>
        <w:spacing w:before="0" w:beforeAutospacing="0" w:after="0" w:afterAutospacing="0" w:line="480" w:lineRule="auto"/>
        <w:ind w:firstLine="720"/>
        <w:rPr>
          <w:color w:val="000000"/>
          <w:sz w:val="28"/>
          <w:szCs w:val="28"/>
        </w:rPr>
      </w:pPr>
      <w:r w:rsidRPr="00BF5772">
        <w:rPr>
          <w:color w:val="000000"/>
          <w:sz w:val="28"/>
          <w:szCs w:val="28"/>
        </w:rPr>
        <w:t>The Federal Rules of Criminal Procedure are in place to ensure judicial fairness in the resolution of all criminal disputes. The rules are designed to “provide for the just determination of every criminal proceeding, to secure simplicity in procedure and fairness in administration, and to eliminate unjustifiable expense and delay." Fed. R. Crim. P. 2</w:t>
      </w:r>
      <w:r w:rsidR="00BF5772" w:rsidRPr="00BF5772">
        <w:rPr>
          <w:color w:val="000000"/>
          <w:sz w:val="28"/>
          <w:szCs w:val="28"/>
        </w:rPr>
        <w:fldChar w:fldCharType="begin"/>
      </w:r>
      <w:r w:rsidR="00BF5772" w:rsidRPr="00BF5772">
        <w:instrText xml:space="preserve"> TA \l "</w:instrText>
      </w:r>
      <w:r w:rsidR="00BF5772" w:rsidRPr="00BF5772">
        <w:rPr>
          <w:color w:val="000000"/>
          <w:sz w:val="28"/>
          <w:szCs w:val="28"/>
        </w:rPr>
        <w:instrText>Fed. R. Crim. P. 2</w:instrText>
      </w:r>
      <w:r w:rsidR="00BF5772" w:rsidRPr="00BF5772">
        <w:instrText xml:space="preserve">" \s "Fed. R. Crim. P. 2" \c 4 </w:instrText>
      </w:r>
      <w:r w:rsidR="00BF5772" w:rsidRPr="00BF5772">
        <w:rPr>
          <w:color w:val="000000"/>
          <w:sz w:val="28"/>
          <w:szCs w:val="28"/>
        </w:rPr>
        <w:fldChar w:fldCharType="end"/>
      </w:r>
      <w:r w:rsidRPr="00BF5772">
        <w:rPr>
          <w:color w:val="000000"/>
          <w:sz w:val="28"/>
          <w:szCs w:val="28"/>
        </w:rPr>
        <w:t xml:space="preserve">. This lays out the scope of our adversarial system and supports the fundamental principle of judicial fairness in our judicial system. </w:t>
      </w:r>
    </w:p>
    <w:p w14:paraId="521C0A5B" w14:textId="77777777" w:rsidR="007D09C4" w:rsidRPr="00BF5772" w:rsidRDefault="007D09C4" w:rsidP="007D09C4">
      <w:pPr>
        <w:pStyle w:val="NormalWeb"/>
        <w:spacing w:before="0" w:beforeAutospacing="0" w:after="0" w:afterAutospacing="0" w:line="480" w:lineRule="auto"/>
        <w:ind w:firstLine="720"/>
        <w:rPr>
          <w:color w:val="000000"/>
          <w:sz w:val="28"/>
          <w:szCs w:val="28"/>
        </w:rPr>
      </w:pPr>
      <w:r w:rsidRPr="00BF5772">
        <w:rPr>
          <w:color w:val="000000"/>
          <w:sz w:val="28"/>
          <w:szCs w:val="28"/>
        </w:rPr>
        <w:t xml:space="preserve">Here, just as with every party, Calleway must be held to the rules. Without holding defendants to these rules, a precedent of unreasonable disparity between the prosecution and defendants is created. This undermines the purpose of the rules and of our adversarial system. The government must be given a reasonable chance at discovery to uphold the fairness in the administration of justice. </w:t>
      </w:r>
    </w:p>
    <w:p w14:paraId="18C62B0A" w14:textId="0A3E7672" w:rsidR="007D09C4" w:rsidRPr="00BF5772" w:rsidRDefault="007D09C4" w:rsidP="007D09C4">
      <w:pPr>
        <w:pStyle w:val="NormalWeb"/>
        <w:spacing w:before="0" w:beforeAutospacing="0" w:after="0" w:afterAutospacing="0" w:line="480" w:lineRule="auto"/>
        <w:ind w:firstLine="720"/>
        <w:rPr>
          <w:color w:val="000000"/>
          <w:sz w:val="28"/>
          <w:szCs w:val="28"/>
        </w:rPr>
      </w:pPr>
      <w:r w:rsidRPr="00BF5772">
        <w:rPr>
          <w:color w:val="000000"/>
          <w:sz w:val="28"/>
          <w:szCs w:val="28"/>
        </w:rPr>
        <w:lastRenderedPageBreak/>
        <w:t xml:space="preserve">Disparity in access to essential discovery undermines the purpose of the work-product doctrine. The Court in Hickman recognized that a crucial ideal of our adversarial system relies on the principle that ‘each party is entitled to the benefit of each discrete evidentiary fact’” </w:t>
      </w:r>
      <w:r w:rsidRPr="00BF5772">
        <w:rPr>
          <w:i/>
          <w:iCs/>
          <w:color w:val="000000"/>
          <w:sz w:val="28"/>
          <w:szCs w:val="28"/>
        </w:rPr>
        <w:t>Parks v. United States</w:t>
      </w:r>
      <w:r w:rsidRPr="00BF5772">
        <w:rPr>
          <w:color w:val="000000"/>
          <w:sz w:val="28"/>
          <w:szCs w:val="28"/>
        </w:rPr>
        <w:t>, 451 A.2d 591, 6089</w:t>
      </w:r>
      <w:r w:rsidR="00BF5772" w:rsidRPr="00BF5772">
        <w:rPr>
          <w:color w:val="000000"/>
          <w:sz w:val="28"/>
          <w:szCs w:val="28"/>
        </w:rPr>
        <w:t xml:space="preserve"> </w:t>
      </w:r>
      <w:r w:rsidRPr="00BF5772">
        <w:rPr>
          <w:color w:val="000000"/>
          <w:sz w:val="28"/>
          <w:szCs w:val="28"/>
        </w:rPr>
        <w:t>(D.C. 1982)</w:t>
      </w:r>
      <w:r w:rsidR="00BF5772" w:rsidRPr="00BF5772">
        <w:rPr>
          <w:color w:val="000000"/>
          <w:sz w:val="28"/>
          <w:szCs w:val="28"/>
        </w:rPr>
        <w:fldChar w:fldCharType="begin"/>
      </w:r>
      <w:r w:rsidR="00BF5772" w:rsidRPr="00BF5772">
        <w:instrText xml:space="preserve"> TA \l "</w:instrText>
      </w:r>
      <w:r w:rsidR="00BF5772" w:rsidRPr="00BF5772">
        <w:rPr>
          <w:i/>
          <w:iCs/>
          <w:color w:val="000000"/>
          <w:sz w:val="28"/>
          <w:szCs w:val="28"/>
        </w:rPr>
        <w:instrText>Parks v. United States</w:instrText>
      </w:r>
      <w:r w:rsidR="00BF5772" w:rsidRPr="00BF5772">
        <w:rPr>
          <w:color w:val="000000"/>
          <w:sz w:val="28"/>
          <w:szCs w:val="28"/>
        </w:rPr>
        <w:instrText>, 451 A.2d 591, 6089 (D.C. 1982)</w:instrText>
      </w:r>
      <w:r w:rsidR="00BF5772" w:rsidRPr="00BF5772">
        <w:instrText xml:space="preserve">" \s "Parks v. United States, 451 A.2d 591, 6089 (D.C. 1982)" \c 4 </w:instrText>
      </w:r>
      <w:r w:rsidR="00BF5772" w:rsidRPr="00BF5772">
        <w:rPr>
          <w:color w:val="000000"/>
          <w:sz w:val="28"/>
          <w:szCs w:val="28"/>
        </w:rPr>
        <w:fldChar w:fldCharType="end"/>
      </w:r>
      <w:r w:rsidRPr="00BF5772">
        <w:rPr>
          <w:color w:val="000000"/>
          <w:sz w:val="28"/>
          <w:szCs w:val="28"/>
        </w:rPr>
        <w:t xml:space="preserve">. Here, denial of the prosecution of the evidentiary material contained in the only records, an interview of Seton, by quashing this subpoena would frustrate this purpose. </w:t>
      </w:r>
    </w:p>
    <w:p w14:paraId="056DDA48" w14:textId="13F4DEFC" w:rsidR="007D09C4" w:rsidRPr="00BF5772" w:rsidRDefault="007D09C4" w:rsidP="007D09C4">
      <w:pPr>
        <w:pStyle w:val="Heading3"/>
      </w:pPr>
      <w:bookmarkStart w:id="11" w:name="_Toc239144085"/>
      <w:r w:rsidRPr="00BF5772">
        <w:t xml:space="preserve">2. </w:t>
      </w:r>
      <w:r w:rsidRPr="00BF5772">
        <w:tab/>
        <w:t xml:space="preserve">The Work Product </w:t>
      </w:r>
      <w:r w:rsidR="00654050" w:rsidRPr="00BF5772">
        <w:t>Protection</w:t>
      </w:r>
      <w:r w:rsidRPr="00BF5772">
        <w:t xml:space="preserve"> is</w:t>
      </w:r>
      <w:r w:rsidR="00654050" w:rsidRPr="00BF5772">
        <w:t xml:space="preserve"> O</w:t>
      </w:r>
      <w:r w:rsidRPr="00BF5772">
        <w:t xml:space="preserve">vercome by the </w:t>
      </w:r>
      <w:r w:rsidR="00654050" w:rsidRPr="00BF5772">
        <w:t>Government’s Substantial</w:t>
      </w:r>
      <w:r w:rsidRPr="00BF5772">
        <w:t xml:space="preserve"> </w:t>
      </w:r>
      <w:r w:rsidR="00654050" w:rsidRPr="00BF5772">
        <w:t>N</w:t>
      </w:r>
      <w:r w:rsidRPr="00BF5772">
        <w:t>eed for the</w:t>
      </w:r>
      <w:r w:rsidR="00654050" w:rsidRPr="00BF5772">
        <w:t xml:space="preserve"> R</w:t>
      </w:r>
      <w:r w:rsidRPr="00BF5772">
        <w:t>ecords.</w:t>
      </w:r>
      <w:bookmarkEnd w:id="11"/>
      <w:r w:rsidRPr="00BF5772">
        <w:t xml:space="preserve"> </w:t>
      </w:r>
    </w:p>
    <w:p w14:paraId="625B9FBF" w14:textId="648D60F9" w:rsidR="007D09C4" w:rsidRPr="00BF5772" w:rsidRDefault="007D09C4" w:rsidP="007D09C4">
      <w:pPr>
        <w:pStyle w:val="NormalWeb"/>
        <w:spacing w:before="0" w:beforeAutospacing="0" w:after="0" w:afterAutospacing="0" w:line="480" w:lineRule="auto"/>
        <w:ind w:firstLine="720"/>
        <w:rPr>
          <w:color w:val="000000"/>
          <w:sz w:val="28"/>
          <w:szCs w:val="28"/>
        </w:rPr>
      </w:pPr>
      <w:r w:rsidRPr="00BF5772">
        <w:rPr>
          <w:color w:val="000000"/>
          <w:sz w:val="28"/>
          <w:szCs w:val="28"/>
        </w:rPr>
        <w:t>The Federal Rules of Criminal Procedure 17 grant this Court its authority to modify or quash a Rule 16 subpoena upon a showing of oppression or unreasonableness. Fed. R. Crim. P. 17</w:t>
      </w:r>
      <w:r w:rsidR="00BF5772" w:rsidRPr="00BF5772">
        <w:rPr>
          <w:color w:val="000000"/>
          <w:sz w:val="28"/>
          <w:szCs w:val="28"/>
        </w:rPr>
        <w:fldChar w:fldCharType="begin"/>
      </w:r>
      <w:r w:rsidR="00BF5772" w:rsidRPr="00BF5772">
        <w:instrText xml:space="preserve"> TA \s "Fed. R. Crim. P. 17." </w:instrText>
      </w:r>
      <w:r w:rsidR="00BF5772" w:rsidRPr="00BF5772">
        <w:rPr>
          <w:color w:val="000000"/>
          <w:sz w:val="28"/>
          <w:szCs w:val="28"/>
        </w:rPr>
        <w:fldChar w:fldCharType="end"/>
      </w:r>
      <w:r w:rsidRPr="00BF5772">
        <w:rPr>
          <w:color w:val="000000"/>
          <w:sz w:val="28"/>
          <w:szCs w:val="28"/>
        </w:rPr>
        <w:t>; Fed. R. Crim. P. 16</w:t>
      </w:r>
      <w:r w:rsidR="00BF5772" w:rsidRPr="00BF5772">
        <w:rPr>
          <w:color w:val="000000"/>
          <w:sz w:val="28"/>
          <w:szCs w:val="28"/>
        </w:rPr>
        <w:fldChar w:fldCharType="begin"/>
      </w:r>
      <w:r w:rsidR="00BF5772" w:rsidRPr="00BF5772">
        <w:instrText xml:space="preserve"> TA \l "</w:instrText>
      </w:r>
      <w:r w:rsidR="00BF5772" w:rsidRPr="00BF5772">
        <w:rPr>
          <w:color w:val="000000"/>
          <w:sz w:val="28"/>
          <w:szCs w:val="28"/>
        </w:rPr>
        <w:instrText>Fed. R. Crim. P. 16</w:instrText>
      </w:r>
      <w:r w:rsidR="00BF5772" w:rsidRPr="00BF5772">
        <w:instrText xml:space="preserve">" \s "Fed. R. Crim. P. 16" \c 4 </w:instrText>
      </w:r>
      <w:r w:rsidR="00BF5772" w:rsidRPr="00BF5772">
        <w:rPr>
          <w:color w:val="000000"/>
          <w:sz w:val="28"/>
          <w:szCs w:val="28"/>
        </w:rPr>
        <w:fldChar w:fldCharType="end"/>
      </w:r>
      <w:r w:rsidRPr="00BF5772">
        <w:rPr>
          <w:color w:val="000000"/>
          <w:sz w:val="28"/>
          <w:szCs w:val="28"/>
        </w:rPr>
        <w:t xml:space="preserve">. The Rule does not explicitly define ‘oppression or unreasonableness’; however, extensive case law has interpreted the term as one of common sense. This commonsense meaning includes the production of privileged material. </w:t>
      </w:r>
      <w:r w:rsidRPr="00BF5772">
        <w:rPr>
          <w:i/>
          <w:iCs/>
          <w:color w:val="000000"/>
          <w:sz w:val="28"/>
          <w:szCs w:val="28"/>
        </w:rPr>
        <w:t>United States v. Simmons</w:t>
      </w:r>
      <w:r w:rsidRPr="00BF5772">
        <w:rPr>
          <w:color w:val="000000"/>
          <w:sz w:val="28"/>
          <w:szCs w:val="28"/>
        </w:rPr>
        <w:t>, 515 F. Supp. 3d 1359 (M.D. Ga. 2021)</w:t>
      </w:r>
      <w:r w:rsidR="00BF5772" w:rsidRPr="00BF5772">
        <w:rPr>
          <w:color w:val="000000"/>
          <w:sz w:val="28"/>
          <w:szCs w:val="28"/>
        </w:rPr>
        <w:fldChar w:fldCharType="begin"/>
      </w:r>
      <w:r w:rsidR="00BF5772" w:rsidRPr="00BF5772">
        <w:instrText xml:space="preserve"> TA \l "</w:instrText>
      </w:r>
      <w:r w:rsidR="00BF5772" w:rsidRPr="00BF5772">
        <w:rPr>
          <w:i/>
          <w:iCs/>
          <w:color w:val="000000"/>
          <w:sz w:val="28"/>
          <w:szCs w:val="28"/>
        </w:rPr>
        <w:instrText>United States v. Simmons</w:instrText>
      </w:r>
      <w:r w:rsidR="00BF5772" w:rsidRPr="00BF5772">
        <w:rPr>
          <w:color w:val="000000"/>
          <w:sz w:val="28"/>
          <w:szCs w:val="28"/>
        </w:rPr>
        <w:instrText>, 515 F. Supp. 3d 1359 (M.D. Ga. 2021)</w:instrText>
      </w:r>
      <w:r w:rsidR="00BF5772" w:rsidRPr="00BF5772">
        <w:instrText xml:space="preserve">" \s "United States v. Simmons, 515 F. Supp. 3d 1359 (M.D. Ga. 2021)" \c 4 </w:instrText>
      </w:r>
      <w:r w:rsidR="00BF5772" w:rsidRPr="00BF5772">
        <w:rPr>
          <w:color w:val="000000"/>
          <w:sz w:val="28"/>
          <w:szCs w:val="28"/>
        </w:rPr>
        <w:fldChar w:fldCharType="end"/>
      </w:r>
      <w:r w:rsidRPr="00BF5772">
        <w:rPr>
          <w:color w:val="000000"/>
          <w:sz w:val="28"/>
          <w:szCs w:val="28"/>
        </w:rPr>
        <w:t xml:space="preserve">. Here, the Defendant claims that the subpoenaed records fall within the work-product privilege. This requires this Court to determine privilege over the records before quashing. The Defendant is unable to make out a showing of privilege as the records fall within the substantial need or undue burden exception to the work-product privilege. </w:t>
      </w:r>
    </w:p>
    <w:p w14:paraId="4843E195" w14:textId="3181E251" w:rsidR="007D09C4" w:rsidRPr="00BF5772" w:rsidRDefault="007D09C4" w:rsidP="007D09C4">
      <w:pPr>
        <w:pStyle w:val="NormalWeb"/>
        <w:spacing w:before="0" w:beforeAutospacing="0" w:after="0" w:afterAutospacing="0" w:line="480" w:lineRule="auto"/>
        <w:ind w:firstLine="720"/>
        <w:rPr>
          <w:color w:val="000000"/>
          <w:sz w:val="28"/>
          <w:szCs w:val="28"/>
        </w:rPr>
      </w:pPr>
      <w:r w:rsidRPr="00BF5772">
        <w:rPr>
          <w:color w:val="000000"/>
          <w:sz w:val="28"/>
          <w:szCs w:val="28"/>
        </w:rPr>
        <w:lastRenderedPageBreak/>
        <w:t xml:space="preserve">This Court may deny a motion to quash based on a claim of work-product privilege if there is a showing of necessity or undue hardship. The Supreme Court in </w:t>
      </w:r>
      <w:r w:rsidRPr="00BF5772">
        <w:rPr>
          <w:i/>
          <w:iCs/>
          <w:color w:val="000000"/>
          <w:sz w:val="28"/>
          <w:szCs w:val="28"/>
        </w:rPr>
        <w:t>Nobles</w:t>
      </w:r>
      <w:r w:rsidRPr="00BF5772">
        <w:rPr>
          <w:color w:val="000000"/>
          <w:sz w:val="28"/>
          <w:szCs w:val="28"/>
        </w:rPr>
        <w:t xml:space="preserve"> recognized both the applicability and importance of the work-product doctrine in criminal law, thereby extending the landmark decision in </w:t>
      </w:r>
      <w:r w:rsidRPr="00BF5772">
        <w:rPr>
          <w:i/>
          <w:iCs/>
          <w:color w:val="000000"/>
          <w:sz w:val="28"/>
          <w:szCs w:val="28"/>
        </w:rPr>
        <w:t>Hickman</w:t>
      </w:r>
      <w:r w:rsidRPr="00BF5772">
        <w:rPr>
          <w:color w:val="000000"/>
          <w:sz w:val="28"/>
          <w:szCs w:val="28"/>
        </w:rPr>
        <w:t xml:space="preserve"> from civil disputes to criminal litigation. </w:t>
      </w:r>
      <w:r w:rsidRPr="00BF5772">
        <w:rPr>
          <w:i/>
          <w:iCs/>
          <w:color w:val="000000"/>
          <w:sz w:val="28"/>
          <w:szCs w:val="28"/>
        </w:rPr>
        <w:t>United States v. Nobles,</w:t>
      </w:r>
      <w:r w:rsidRPr="00BF5772">
        <w:rPr>
          <w:color w:val="000000"/>
          <w:sz w:val="28"/>
          <w:szCs w:val="28"/>
        </w:rPr>
        <w:t xml:space="preserve"> 422 U.S. 225 (1975)</w:t>
      </w:r>
      <w:r w:rsidR="00BF5772" w:rsidRPr="00BF5772">
        <w:rPr>
          <w:color w:val="000000"/>
          <w:sz w:val="28"/>
          <w:szCs w:val="28"/>
        </w:rPr>
        <w:fldChar w:fldCharType="begin"/>
      </w:r>
      <w:r w:rsidR="00BF5772" w:rsidRPr="00BF5772">
        <w:instrText xml:space="preserve"> TA \l "</w:instrText>
      </w:r>
      <w:r w:rsidR="00BF5772" w:rsidRPr="00BF5772">
        <w:rPr>
          <w:i/>
          <w:iCs/>
          <w:color w:val="000000"/>
          <w:sz w:val="28"/>
          <w:szCs w:val="28"/>
        </w:rPr>
        <w:instrText>United States v. Nobles,</w:instrText>
      </w:r>
      <w:r w:rsidR="00BF5772" w:rsidRPr="00BF5772">
        <w:rPr>
          <w:color w:val="000000"/>
          <w:sz w:val="28"/>
          <w:szCs w:val="28"/>
        </w:rPr>
        <w:instrText xml:space="preserve"> 422 U.S. 225 (1975)</w:instrText>
      </w:r>
      <w:r w:rsidR="00BF5772" w:rsidRPr="00BF5772">
        <w:instrText xml:space="preserve">" \s "United States v. Nobles, 422 U.S. 225 (1975)" \c 4 </w:instrText>
      </w:r>
      <w:r w:rsidR="00BF5772" w:rsidRPr="00BF5772">
        <w:rPr>
          <w:color w:val="000000"/>
          <w:sz w:val="28"/>
          <w:szCs w:val="28"/>
        </w:rPr>
        <w:fldChar w:fldCharType="end"/>
      </w:r>
      <w:r w:rsidRPr="00BF5772">
        <w:rPr>
          <w:color w:val="000000"/>
          <w:sz w:val="28"/>
          <w:szCs w:val="28"/>
        </w:rPr>
        <w:t xml:space="preserve">. The doctrine requires the party seeking to enforce the privilege to establish that an attorney or its agent prepared the requested materials in anticipation of litigation, absent a showing of necessity or undue hardship. See </w:t>
      </w:r>
      <w:r w:rsidRPr="00BF5772">
        <w:rPr>
          <w:i/>
          <w:iCs/>
          <w:color w:val="000000"/>
          <w:sz w:val="28"/>
          <w:szCs w:val="28"/>
        </w:rPr>
        <w:t>Hickman v. Taylor</w:t>
      </w:r>
      <w:r w:rsidRPr="00BF5772">
        <w:rPr>
          <w:color w:val="000000"/>
          <w:sz w:val="28"/>
          <w:szCs w:val="28"/>
        </w:rPr>
        <w:t>, 329 U.S. 495 (1947).</w:t>
      </w:r>
      <w:r w:rsidR="00BF5772" w:rsidRPr="00BF5772">
        <w:rPr>
          <w:color w:val="000000"/>
          <w:sz w:val="28"/>
          <w:szCs w:val="28"/>
        </w:rPr>
        <w:fldChar w:fldCharType="begin"/>
      </w:r>
      <w:r w:rsidR="00BF5772" w:rsidRPr="00BF5772">
        <w:instrText xml:space="preserve"> TA \l "</w:instrText>
      </w:r>
      <w:r w:rsidR="00BF5772" w:rsidRPr="00BF5772">
        <w:rPr>
          <w:i/>
          <w:iCs/>
          <w:color w:val="000000"/>
          <w:sz w:val="28"/>
          <w:szCs w:val="28"/>
        </w:rPr>
        <w:instrText>Hickman v. Taylor</w:instrText>
      </w:r>
      <w:r w:rsidR="00BF5772" w:rsidRPr="00BF5772">
        <w:rPr>
          <w:color w:val="000000"/>
          <w:sz w:val="28"/>
          <w:szCs w:val="28"/>
        </w:rPr>
        <w:instrText>, 329 U.S. 495 (1947).</w:instrText>
      </w:r>
      <w:r w:rsidR="00BF5772" w:rsidRPr="00BF5772">
        <w:instrText xml:space="preserve">" \s "Hickman v. Taylor, 329 U.S. 495 (1947)." \c 4 </w:instrText>
      </w:r>
      <w:r w:rsidR="00BF5772" w:rsidRPr="00BF5772">
        <w:rPr>
          <w:color w:val="000000"/>
          <w:sz w:val="28"/>
          <w:szCs w:val="28"/>
        </w:rPr>
        <w:fldChar w:fldCharType="end"/>
      </w:r>
      <w:r w:rsidRPr="00BF5772">
        <w:rPr>
          <w:color w:val="000000"/>
          <w:sz w:val="28"/>
          <w:szCs w:val="28"/>
        </w:rPr>
        <w:t xml:space="preserve"> The originally civil doctrine of work-product privilege has been extended to criminal litigation and applies to the present criminal evidentiary dispute. </w:t>
      </w:r>
    </w:p>
    <w:p w14:paraId="1580F06B" w14:textId="66F60294" w:rsidR="007D09C4" w:rsidRPr="00BF5772" w:rsidRDefault="007D09C4" w:rsidP="007D09C4">
      <w:pPr>
        <w:pStyle w:val="NormalWeb"/>
        <w:spacing w:before="0" w:beforeAutospacing="0" w:after="0" w:afterAutospacing="0" w:line="480" w:lineRule="auto"/>
        <w:ind w:firstLine="720"/>
        <w:rPr>
          <w:color w:val="000000"/>
          <w:sz w:val="28"/>
          <w:szCs w:val="28"/>
        </w:rPr>
      </w:pPr>
      <w:r w:rsidRPr="00BF5772">
        <w:rPr>
          <w:color w:val="000000"/>
          <w:sz w:val="28"/>
          <w:szCs w:val="28"/>
        </w:rPr>
        <w:t xml:space="preserve">A distinction exists between opinion and fact work product. Fact work-product exists where the requested materials contain no mental impressions, conclusions, opinions, or legal theories of the attorney or attorney’s agent. </w:t>
      </w:r>
      <w:r w:rsidRPr="00BF5772">
        <w:rPr>
          <w:i/>
          <w:iCs/>
          <w:color w:val="000000"/>
          <w:sz w:val="28"/>
          <w:szCs w:val="28"/>
        </w:rPr>
        <w:t>Parks</w:t>
      </w:r>
      <w:r w:rsidR="00BF5772" w:rsidRPr="00BF5772">
        <w:rPr>
          <w:i/>
          <w:iCs/>
          <w:color w:val="000000"/>
          <w:sz w:val="28"/>
          <w:szCs w:val="28"/>
        </w:rPr>
        <w:t xml:space="preserve">, </w:t>
      </w:r>
      <w:r w:rsidRPr="00BF5772">
        <w:rPr>
          <w:color w:val="000000"/>
          <w:sz w:val="28"/>
          <w:szCs w:val="28"/>
        </w:rPr>
        <w:t xml:space="preserve">451 A.2d </w:t>
      </w:r>
      <w:r w:rsidR="00BF5772" w:rsidRPr="00BF5772">
        <w:rPr>
          <w:color w:val="000000"/>
          <w:sz w:val="28"/>
          <w:szCs w:val="28"/>
        </w:rPr>
        <w:t xml:space="preserve">at </w:t>
      </w:r>
      <w:r w:rsidRPr="00BF5772">
        <w:rPr>
          <w:color w:val="000000"/>
          <w:sz w:val="28"/>
          <w:szCs w:val="28"/>
        </w:rPr>
        <w:t>608</w:t>
      </w:r>
      <w:r w:rsidR="00BF5772" w:rsidRPr="00BF5772">
        <w:rPr>
          <w:color w:val="000000"/>
          <w:sz w:val="28"/>
          <w:szCs w:val="28"/>
        </w:rPr>
        <w:fldChar w:fldCharType="begin"/>
      </w:r>
      <w:r w:rsidR="00BF5772" w:rsidRPr="00BF5772">
        <w:instrText xml:space="preserve"> TA \s "Parks v. United States, 451 A.2d 591, 6089 (D.C. 1982)" </w:instrText>
      </w:r>
      <w:r w:rsidR="00BF5772" w:rsidRPr="00BF5772">
        <w:rPr>
          <w:color w:val="000000"/>
          <w:sz w:val="28"/>
          <w:szCs w:val="28"/>
        </w:rPr>
        <w:fldChar w:fldCharType="end"/>
      </w:r>
      <w:r w:rsidRPr="00BF5772">
        <w:rPr>
          <w:color w:val="000000"/>
          <w:sz w:val="28"/>
          <w:szCs w:val="28"/>
        </w:rPr>
        <w:t xml:space="preserve">. Opinion work product contains “fruits of the attorney’s [or agent’s] mental processes”. </w:t>
      </w:r>
      <w:r w:rsidRPr="00BF5772">
        <w:rPr>
          <w:i/>
          <w:iCs/>
          <w:color w:val="000000"/>
          <w:sz w:val="28"/>
          <w:szCs w:val="28"/>
        </w:rPr>
        <w:t>Id</w:t>
      </w:r>
      <w:r w:rsidR="00BF5772" w:rsidRPr="00BF5772">
        <w:rPr>
          <w:i/>
          <w:iCs/>
          <w:color w:val="000000"/>
          <w:sz w:val="28"/>
          <w:szCs w:val="28"/>
        </w:rPr>
        <w:fldChar w:fldCharType="begin"/>
      </w:r>
      <w:r w:rsidR="00BF5772" w:rsidRPr="00BF5772">
        <w:instrText xml:space="preserve"> TA \s "Parks v. United States, 451 A.2d 591, 6089 (D.C. 1982)" </w:instrText>
      </w:r>
      <w:r w:rsidR="00BF5772" w:rsidRPr="00BF5772">
        <w:rPr>
          <w:i/>
          <w:iCs/>
          <w:color w:val="000000"/>
          <w:sz w:val="28"/>
          <w:szCs w:val="28"/>
        </w:rPr>
        <w:fldChar w:fldCharType="end"/>
      </w:r>
      <w:r w:rsidRPr="00BF5772">
        <w:rPr>
          <w:color w:val="000000"/>
          <w:sz w:val="28"/>
          <w:szCs w:val="28"/>
        </w:rPr>
        <w:t xml:space="preserve">.  Case law agrees that a showing of substantial need and an inability without undue hardship to obtain the substantial equivalent of the material by other means can overcome the work-product privilege. The Supreme Court acknowledged the possibility that situations may arise in which “production might be justified where the witnesses are no longer available or can be reached </w:t>
      </w:r>
      <w:r w:rsidRPr="00BF5772">
        <w:rPr>
          <w:color w:val="000000"/>
          <w:sz w:val="28"/>
          <w:szCs w:val="28"/>
        </w:rPr>
        <w:lastRenderedPageBreak/>
        <w:t xml:space="preserve">only with difficulty.” </w:t>
      </w:r>
      <w:r w:rsidRPr="00BF5772">
        <w:rPr>
          <w:i/>
          <w:iCs/>
          <w:color w:val="000000"/>
          <w:sz w:val="28"/>
          <w:szCs w:val="28"/>
        </w:rPr>
        <w:t>Hickman v. Taylor</w:t>
      </w:r>
      <w:r w:rsidRPr="00BF5772">
        <w:rPr>
          <w:color w:val="000000"/>
          <w:sz w:val="28"/>
          <w:szCs w:val="28"/>
        </w:rPr>
        <w:t>, 329 U.S. 495, 511 (1947)</w:t>
      </w:r>
      <w:r w:rsidR="00BF5772" w:rsidRPr="00BF5772">
        <w:rPr>
          <w:color w:val="000000"/>
          <w:sz w:val="28"/>
          <w:szCs w:val="28"/>
        </w:rPr>
        <w:fldChar w:fldCharType="begin"/>
      </w:r>
      <w:r w:rsidR="00BF5772" w:rsidRPr="00BF5772">
        <w:instrText xml:space="preserve"> TA \s "Hickman v. Taylor, 329 U.S. 495 (1947)." </w:instrText>
      </w:r>
      <w:r w:rsidR="00BF5772" w:rsidRPr="00BF5772">
        <w:rPr>
          <w:color w:val="000000"/>
          <w:sz w:val="28"/>
          <w:szCs w:val="28"/>
        </w:rPr>
        <w:fldChar w:fldCharType="end"/>
      </w:r>
      <w:r w:rsidRPr="00BF5772">
        <w:rPr>
          <w:color w:val="000000"/>
          <w:sz w:val="28"/>
          <w:szCs w:val="28"/>
        </w:rPr>
        <w:t xml:space="preserve">. Here, the body of the document that Maddox testified was a “factual account as Sierra gave it” to Maddox is but a representation of the witness's oral statements, not Maddox’s mental impressions, conclusions, opinions, or legal theories, which constitute factual work product. Armana Dep. </w:t>
      </w:r>
      <w:r w:rsidR="00654050" w:rsidRPr="00BF5772">
        <w:rPr>
          <w:color w:val="000000"/>
          <w:sz w:val="28"/>
          <w:szCs w:val="28"/>
        </w:rPr>
        <w:t xml:space="preserve">at </w:t>
      </w:r>
      <w:r w:rsidRPr="00BF5772">
        <w:rPr>
          <w:color w:val="000000"/>
          <w:sz w:val="28"/>
          <w:szCs w:val="28"/>
        </w:rPr>
        <w:t xml:space="preserve">140-143. The red ink that Maddox stated was his “thoughts, follow-ups, questions, and theories” falls under the opinion work-product category. </w:t>
      </w:r>
      <w:r w:rsidRPr="00BF5772">
        <w:rPr>
          <w:i/>
          <w:iCs/>
          <w:color w:val="000000"/>
          <w:sz w:val="28"/>
          <w:szCs w:val="28"/>
        </w:rPr>
        <w:t>Id</w:t>
      </w:r>
      <w:r w:rsidRPr="00BF5772">
        <w:rPr>
          <w:color w:val="000000"/>
          <w:sz w:val="28"/>
          <w:szCs w:val="28"/>
        </w:rPr>
        <w:t xml:space="preserve">. </w:t>
      </w:r>
    </w:p>
    <w:p w14:paraId="6F518B98" w14:textId="3841DD5F" w:rsidR="007D09C4" w:rsidRPr="00BF5772" w:rsidRDefault="007D09C4" w:rsidP="007D09C4">
      <w:pPr>
        <w:pStyle w:val="NormalWeb"/>
        <w:spacing w:before="0" w:beforeAutospacing="0" w:after="0" w:afterAutospacing="0" w:line="480" w:lineRule="auto"/>
        <w:ind w:firstLine="720"/>
        <w:rPr>
          <w:color w:val="000000"/>
          <w:sz w:val="28"/>
          <w:szCs w:val="28"/>
        </w:rPr>
      </w:pPr>
      <w:r w:rsidRPr="00BF5772">
        <w:rPr>
          <w:color w:val="000000"/>
          <w:sz w:val="28"/>
          <w:szCs w:val="28"/>
        </w:rPr>
        <w:t xml:space="preserve">There is a split in authority regarding opinion work product. The extreme necessity test has emerged from the case law supporting the disclosure of opinion work product intermixed with fact work product. Some courts have followed a rigid, no-exceptions rule regarding the nondisclosure of opinion work product. See </w:t>
      </w:r>
      <w:r w:rsidRPr="00BF5772">
        <w:rPr>
          <w:i/>
          <w:iCs/>
          <w:color w:val="000000"/>
          <w:sz w:val="28"/>
          <w:szCs w:val="28"/>
        </w:rPr>
        <w:t>In re Grand Jury Investigation</w:t>
      </w:r>
      <w:r w:rsidRPr="00BF5772">
        <w:rPr>
          <w:color w:val="000000"/>
          <w:sz w:val="28"/>
          <w:szCs w:val="28"/>
        </w:rPr>
        <w:t>, 412 F. Supp. 943 (E.D. Pa. 1976)</w:t>
      </w:r>
      <w:r w:rsidR="00BF5772" w:rsidRPr="00BF5772">
        <w:rPr>
          <w:color w:val="000000"/>
          <w:sz w:val="28"/>
          <w:szCs w:val="28"/>
        </w:rPr>
        <w:fldChar w:fldCharType="begin"/>
      </w:r>
      <w:r w:rsidR="00BF5772" w:rsidRPr="00BF5772">
        <w:instrText xml:space="preserve"> TA \l "</w:instrText>
      </w:r>
      <w:r w:rsidR="00BF5772" w:rsidRPr="00BF5772">
        <w:rPr>
          <w:i/>
          <w:iCs/>
          <w:color w:val="000000"/>
          <w:sz w:val="28"/>
          <w:szCs w:val="28"/>
        </w:rPr>
        <w:instrText>In re Grand Jury Investigation</w:instrText>
      </w:r>
      <w:r w:rsidR="00BF5772" w:rsidRPr="00BF5772">
        <w:rPr>
          <w:color w:val="000000"/>
          <w:sz w:val="28"/>
          <w:szCs w:val="28"/>
        </w:rPr>
        <w:instrText>, 412 F. Supp. 943 (E.D. Pa. 1976)</w:instrText>
      </w:r>
      <w:r w:rsidR="00BF5772" w:rsidRPr="00BF5772">
        <w:instrText xml:space="preserve">" \s "In re Grand Jury Investigation, 412 F. Supp. 943 (E.D. Pa. 1976)" \c 1 </w:instrText>
      </w:r>
      <w:r w:rsidR="00BF5772" w:rsidRPr="00BF5772">
        <w:rPr>
          <w:color w:val="000000"/>
          <w:sz w:val="28"/>
          <w:szCs w:val="28"/>
        </w:rPr>
        <w:fldChar w:fldCharType="end"/>
      </w:r>
      <w:r w:rsidRPr="00BF5772">
        <w:rPr>
          <w:color w:val="000000"/>
          <w:sz w:val="28"/>
          <w:szCs w:val="28"/>
        </w:rPr>
        <w:t xml:space="preserve">. The DC court of appeals explains that once it is established that there is a mix of opinion and fact work product, courts examine the material to determine which part is fact and which is opinion, applying the substantial need and the extreme necessity test to each part, respectively. </w:t>
      </w:r>
      <w:r w:rsidRPr="00BF5772">
        <w:rPr>
          <w:i/>
          <w:iCs/>
          <w:color w:val="000000"/>
          <w:sz w:val="28"/>
          <w:szCs w:val="28"/>
        </w:rPr>
        <w:t>Park</w:t>
      </w:r>
      <w:r w:rsidR="00BF5772" w:rsidRPr="00BF5772">
        <w:rPr>
          <w:i/>
          <w:iCs/>
          <w:color w:val="000000"/>
          <w:sz w:val="28"/>
          <w:szCs w:val="28"/>
        </w:rPr>
        <w:t>s</w:t>
      </w:r>
      <w:r w:rsidRPr="00BF5772">
        <w:rPr>
          <w:color w:val="000000"/>
          <w:sz w:val="28"/>
          <w:szCs w:val="28"/>
        </w:rPr>
        <w:t xml:space="preserve">, 451 A.2d </w:t>
      </w:r>
      <w:r w:rsidR="00BF5772" w:rsidRPr="00BF5772">
        <w:rPr>
          <w:color w:val="000000"/>
          <w:sz w:val="28"/>
          <w:szCs w:val="28"/>
        </w:rPr>
        <w:t>at</w:t>
      </w:r>
      <w:r w:rsidRPr="00BF5772">
        <w:rPr>
          <w:color w:val="000000"/>
          <w:sz w:val="28"/>
          <w:szCs w:val="28"/>
        </w:rPr>
        <w:t xml:space="preserve"> 608</w:t>
      </w:r>
      <w:r w:rsidR="00BF5772" w:rsidRPr="00BF5772">
        <w:rPr>
          <w:color w:val="000000"/>
          <w:sz w:val="28"/>
          <w:szCs w:val="28"/>
        </w:rPr>
        <w:fldChar w:fldCharType="begin"/>
      </w:r>
      <w:r w:rsidR="00BF5772" w:rsidRPr="00BF5772">
        <w:instrText xml:space="preserve"> TA \s "Parks v. United States, 451 A.2d 591, 6089 (D.C. 1982)" </w:instrText>
      </w:r>
      <w:r w:rsidR="00BF5772" w:rsidRPr="00BF5772">
        <w:rPr>
          <w:color w:val="000000"/>
          <w:sz w:val="28"/>
          <w:szCs w:val="28"/>
        </w:rPr>
        <w:fldChar w:fldCharType="end"/>
      </w:r>
      <w:r w:rsidRPr="00BF5772">
        <w:rPr>
          <w:color w:val="000000"/>
          <w:sz w:val="28"/>
          <w:szCs w:val="28"/>
        </w:rPr>
        <w:t xml:space="preserve">. Some courts have also adopted the requirement that “Opinion work product, including the mental impressions, conclusions, opinions, or legal theories of an attorney, is entitled to nearly absolute protection, and is only discoverable upon a showing of ‘necessity and unavailability by other means’”. </w:t>
      </w:r>
      <w:r w:rsidRPr="00BF5772">
        <w:rPr>
          <w:i/>
          <w:iCs/>
          <w:color w:val="000000"/>
          <w:sz w:val="28"/>
          <w:szCs w:val="28"/>
        </w:rPr>
        <w:t>Green v. Baca</w:t>
      </w:r>
      <w:r w:rsidRPr="00BF5772">
        <w:rPr>
          <w:color w:val="000000"/>
          <w:sz w:val="28"/>
          <w:szCs w:val="28"/>
        </w:rPr>
        <w:t xml:space="preserve">, 226 F.R.D. 624, 652 (C.D. Cal. </w:t>
      </w:r>
      <w:r w:rsidRPr="00BF5772">
        <w:rPr>
          <w:color w:val="000000"/>
          <w:sz w:val="28"/>
          <w:szCs w:val="28"/>
        </w:rPr>
        <w:lastRenderedPageBreak/>
        <w:t>2005)</w:t>
      </w:r>
      <w:r w:rsidR="00BF5772" w:rsidRPr="00BF5772">
        <w:rPr>
          <w:color w:val="000000"/>
          <w:sz w:val="28"/>
          <w:szCs w:val="28"/>
        </w:rPr>
        <w:fldChar w:fldCharType="begin"/>
      </w:r>
      <w:r w:rsidR="00BF5772" w:rsidRPr="00BF5772">
        <w:instrText xml:space="preserve"> TA \l "</w:instrText>
      </w:r>
      <w:r w:rsidR="00BF5772" w:rsidRPr="00BF5772">
        <w:rPr>
          <w:i/>
          <w:iCs/>
          <w:color w:val="000000"/>
          <w:sz w:val="28"/>
          <w:szCs w:val="28"/>
        </w:rPr>
        <w:instrText>Green v. Baca</w:instrText>
      </w:r>
      <w:r w:rsidR="00BF5772" w:rsidRPr="00BF5772">
        <w:rPr>
          <w:color w:val="000000"/>
          <w:sz w:val="28"/>
          <w:szCs w:val="28"/>
        </w:rPr>
        <w:instrText>, 226 F.R.D. 624, 652 (C.D. Cal. 2005)</w:instrText>
      </w:r>
      <w:r w:rsidR="00BF5772" w:rsidRPr="00BF5772">
        <w:instrText xml:space="preserve">" \s "Green v. Baca, 226 F.R.D. 624, 652 (C.D. Cal. 2005)" \c 1 </w:instrText>
      </w:r>
      <w:r w:rsidR="00BF5772" w:rsidRPr="00BF5772">
        <w:rPr>
          <w:color w:val="000000"/>
          <w:sz w:val="28"/>
          <w:szCs w:val="28"/>
        </w:rPr>
        <w:fldChar w:fldCharType="end"/>
      </w:r>
      <w:r w:rsidRPr="00BF5772">
        <w:rPr>
          <w:color w:val="000000"/>
          <w:sz w:val="28"/>
          <w:szCs w:val="28"/>
        </w:rPr>
        <w:t xml:space="preserve">. Only if the work product is blended should courts apply the extreme necessity test to the entire document. </w:t>
      </w:r>
      <w:r w:rsidRPr="00BF5772">
        <w:rPr>
          <w:i/>
          <w:iCs/>
          <w:color w:val="000000"/>
          <w:sz w:val="28"/>
          <w:szCs w:val="28"/>
        </w:rPr>
        <w:t>Parks</w:t>
      </w:r>
      <w:r w:rsidRPr="00BF5772">
        <w:rPr>
          <w:color w:val="000000"/>
          <w:sz w:val="28"/>
          <w:szCs w:val="28"/>
        </w:rPr>
        <w:t xml:space="preserve">, 451 A.2d </w:t>
      </w:r>
      <w:r w:rsidR="00BF5772" w:rsidRPr="00BF5772">
        <w:rPr>
          <w:color w:val="000000"/>
          <w:sz w:val="28"/>
          <w:szCs w:val="28"/>
        </w:rPr>
        <w:t>at</w:t>
      </w:r>
      <w:r w:rsidRPr="00BF5772">
        <w:rPr>
          <w:color w:val="000000"/>
          <w:sz w:val="28"/>
          <w:szCs w:val="28"/>
        </w:rPr>
        <w:t xml:space="preserve"> 608</w:t>
      </w:r>
      <w:r w:rsidR="00BF5772" w:rsidRPr="00BF5772">
        <w:rPr>
          <w:color w:val="000000"/>
          <w:sz w:val="28"/>
          <w:szCs w:val="28"/>
        </w:rPr>
        <w:fldChar w:fldCharType="begin"/>
      </w:r>
      <w:r w:rsidR="00BF5772" w:rsidRPr="00BF5772">
        <w:instrText xml:space="preserve"> TA \s "Parks v. United States, 451 A.2d 591, 6089 (D.C. 1982)" </w:instrText>
      </w:r>
      <w:r w:rsidR="00BF5772" w:rsidRPr="00BF5772">
        <w:rPr>
          <w:color w:val="000000"/>
          <w:sz w:val="28"/>
          <w:szCs w:val="28"/>
        </w:rPr>
        <w:fldChar w:fldCharType="end"/>
      </w:r>
      <w:r w:rsidRPr="00BF5772">
        <w:rPr>
          <w:color w:val="000000"/>
          <w:sz w:val="28"/>
          <w:szCs w:val="28"/>
        </w:rPr>
        <w:t xml:space="preserve">. Here, the document is clearly delineated between opinion and fact work-product, as Maddox has testified that the two are differentiated by the body of the document and his notes in red ink, as previously discussed. Armana Dep. </w:t>
      </w:r>
      <w:r w:rsidR="00654050" w:rsidRPr="00BF5772">
        <w:rPr>
          <w:color w:val="000000"/>
          <w:sz w:val="28"/>
          <w:szCs w:val="28"/>
        </w:rPr>
        <w:t xml:space="preserve">at </w:t>
      </w:r>
      <w:r w:rsidRPr="00BF5772">
        <w:rPr>
          <w:color w:val="000000"/>
          <w:sz w:val="28"/>
          <w:szCs w:val="28"/>
        </w:rPr>
        <w:t>140-143</w:t>
      </w:r>
    </w:p>
    <w:p w14:paraId="48E96599" w14:textId="5C4C1F17" w:rsidR="007D09C4" w:rsidRPr="00BF5772" w:rsidRDefault="007D09C4" w:rsidP="007D09C4">
      <w:pPr>
        <w:pStyle w:val="NormalWeb"/>
        <w:spacing w:before="0" w:beforeAutospacing="0" w:after="0" w:afterAutospacing="0" w:line="480" w:lineRule="auto"/>
        <w:ind w:firstLine="720"/>
        <w:rPr>
          <w:color w:val="000000"/>
          <w:sz w:val="28"/>
          <w:szCs w:val="28"/>
        </w:rPr>
      </w:pPr>
      <w:r w:rsidRPr="00BF5772">
        <w:rPr>
          <w:color w:val="000000"/>
          <w:sz w:val="28"/>
          <w:szCs w:val="28"/>
        </w:rPr>
        <w:t xml:space="preserve">If the material is admissible, it necessarily meets the extreme necessity test. The District Court of Columbia explained what is necessary to meet both the substantial need and extreme necessity tests as follows: </w:t>
      </w:r>
    </w:p>
    <w:p w14:paraId="49CE11C9" w14:textId="77777777" w:rsidR="00654050" w:rsidRPr="00BF5772" w:rsidRDefault="007D09C4" w:rsidP="007D09C4">
      <w:pPr>
        <w:pStyle w:val="NormalWeb"/>
        <w:spacing w:before="0" w:beforeAutospacing="0" w:after="0" w:afterAutospacing="0" w:line="480" w:lineRule="auto"/>
        <w:ind w:left="720" w:right="720"/>
        <w:rPr>
          <w:color w:val="000000"/>
          <w:sz w:val="28"/>
          <w:szCs w:val="28"/>
        </w:rPr>
      </w:pPr>
      <w:r w:rsidRPr="00BF5772">
        <w:rPr>
          <w:color w:val="000000"/>
          <w:sz w:val="28"/>
          <w:szCs w:val="28"/>
        </w:rPr>
        <w:t>“Where an attorney's work product, sought at trial, contains admissible evidentiary facts, the seeking party has, by definition, a "substantial need" for the material</w:t>
      </w:r>
      <w:r w:rsidR="00654050" w:rsidRPr="00BF5772">
        <w:rPr>
          <w:color w:val="000000"/>
          <w:sz w:val="28"/>
          <w:szCs w:val="28"/>
        </w:rPr>
        <w:t xml:space="preserve">… </w:t>
      </w:r>
      <w:r w:rsidRPr="00BF5772">
        <w:rPr>
          <w:color w:val="000000"/>
          <w:sz w:val="28"/>
          <w:szCs w:val="28"/>
        </w:rPr>
        <w:t xml:space="preserve">Moreover, if the facts are altogether mixed with opinion work product but nonetheless constitute admissible evidence (as determined by the court's in camera inspection), the "extreme necessity" test also will have been met, on the ground that a party is entitled to the benefit of each discrete evidentiary fact.” </w:t>
      </w:r>
    </w:p>
    <w:p w14:paraId="32C21587" w14:textId="2113B4E3" w:rsidR="007D09C4" w:rsidRPr="00BF5772" w:rsidRDefault="007D09C4" w:rsidP="00654050">
      <w:pPr>
        <w:pStyle w:val="NormalWeb"/>
        <w:spacing w:before="0" w:beforeAutospacing="0" w:after="0" w:afterAutospacing="0" w:line="480" w:lineRule="auto"/>
        <w:ind w:right="720"/>
        <w:rPr>
          <w:color w:val="000000"/>
          <w:sz w:val="28"/>
          <w:szCs w:val="28"/>
        </w:rPr>
      </w:pPr>
      <w:r w:rsidRPr="00BF5772">
        <w:rPr>
          <w:i/>
          <w:iCs/>
          <w:color w:val="000000"/>
          <w:sz w:val="28"/>
          <w:szCs w:val="28"/>
        </w:rPr>
        <w:t>Parks</w:t>
      </w:r>
      <w:r w:rsidRPr="00BF5772">
        <w:rPr>
          <w:color w:val="000000"/>
          <w:sz w:val="28"/>
          <w:szCs w:val="28"/>
        </w:rPr>
        <w:t xml:space="preserve">, 451 A.2d </w:t>
      </w:r>
      <w:r w:rsidR="00BF5772" w:rsidRPr="00BF5772">
        <w:rPr>
          <w:color w:val="000000"/>
          <w:sz w:val="28"/>
          <w:szCs w:val="28"/>
        </w:rPr>
        <w:t>at</w:t>
      </w:r>
      <w:r w:rsidRPr="00BF5772">
        <w:rPr>
          <w:color w:val="000000"/>
          <w:sz w:val="28"/>
          <w:szCs w:val="28"/>
        </w:rPr>
        <w:t xml:space="preserve"> 609</w:t>
      </w:r>
      <w:r w:rsidR="00BF5772" w:rsidRPr="00BF5772">
        <w:rPr>
          <w:color w:val="000000"/>
          <w:sz w:val="28"/>
          <w:szCs w:val="28"/>
        </w:rPr>
        <w:fldChar w:fldCharType="begin"/>
      </w:r>
      <w:r w:rsidR="00BF5772" w:rsidRPr="00BF5772">
        <w:instrText xml:space="preserve"> TA \s "Parks v. United States, 451 A.2d 591, 6089 (D.C. 1982)" </w:instrText>
      </w:r>
      <w:r w:rsidR="00BF5772" w:rsidRPr="00BF5772">
        <w:rPr>
          <w:color w:val="000000"/>
          <w:sz w:val="28"/>
          <w:szCs w:val="28"/>
        </w:rPr>
        <w:fldChar w:fldCharType="end"/>
      </w:r>
      <w:r w:rsidRPr="00BF5772">
        <w:rPr>
          <w:color w:val="000000"/>
          <w:sz w:val="28"/>
          <w:szCs w:val="28"/>
        </w:rPr>
        <w:t>.</w:t>
      </w:r>
      <w:r w:rsidR="00654050" w:rsidRPr="00BF5772">
        <w:rPr>
          <w:color w:val="000000"/>
          <w:sz w:val="28"/>
          <w:szCs w:val="28"/>
        </w:rPr>
        <w:t xml:space="preserve"> </w:t>
      </w:r>
      <w:r w:rsidRPr="00BF5772">
        <w:rPr>
          <w:color w:val="000000"/>
          <w:sz w:val="28"/>
          <w:szCs w:val="28"/>
        </w:rPr>
        <w:t xml:space="preserve">The testimony of Armana indicates that there is a combination of factual and opinion work product. This work product distinguishes between factual and opinion statements using ink color. </w:t>
      </w:r>
      <w:r w:rsidRPr="00BF5772">
        <w:rPr>
          <w:color w:val="000000"/>
          <w:sz w:val="28"/>
          <w:szCs w:val="28"/>
        </w:rPr>
        <w:lastRenderedPageBreak/>
        <w:t xml:space="preserve">Armana Dep. </w:t>
      </w:r>
      <w:r w:rsidR="00654050" w:rsidRPr="00BF5772">
        <w:rPr>
          <w:color w:val="000000"/>
          <w:sz w:val="28"/>
          <w:szCs w:val="28"/>
        </w:rPr>
        <w:t xml:space="preserve">at </w:t>
      </w:r>
      <w:r w:rsidRPr="00BF5772">
        <w:rPr>
          <w:color w:val="000000"/>
          <w:sz w:val="28"/>
          <w:szCs w:val="28"/>
        </w:rPr>
        <w:t xml:space="preserve">140-143. This calls the Court to take the bifurcated approach when evaluating the admissibility of the work product. </w:t>
      </w:r>
    </w:p>
    <w:p w14:paraId="5AC0AFA9" w14:textId="1848AA66" w:rsidR="007D09C4" w:rsidRPr="00BF5772" w:rsidRDefault="007D09C4" w:rsidP="007D09C4">
      <w:pPr>
        <w:pStyle w:val="Heading3"/>
      </w:pPr>
      <w:bookmarkStart w:id="12" w:name="_Toc239144086"/>
      <w:r w:rsidRPr="00BF5772">
        <w:t xml:space="preserve">3. </w:t>
      </w:r>
      <w:r w:rsidRPr="00BF5772">
        <w:tab/>
        <w:t xml:space="preserve">The </w:t>
      </w:r>
      <w:r w:rsidR="00654050" w:rsidRPr="00BF5772">
        <w:t>Government Has a Substantial Need for the Fact Work Product Contained in the Records</w:t>
      </w:r>
      <w:r w:rsidRPr="00BF5772">
        <w:t>.</w:t>
      </w:r>
      <w:bookmarkEnd w:id="12"/>
      <w:r w:rsidRPr="00BF5772">
        <w:t xml:space="preserve"> </w:t>
      </w:r>
    </w:p>
    <w:p w14:paraId="2D1FDB82" w14:textId="77777777" w:rsidR="007D09C4" w:rsidRPr="00BF5772" w:rsidRDefault="007D09C4" w:rsidP="00654050">
      <w:pPr>
        <w:pStyle w:val="NormalWeb"/>
        <w:spacing w:before="0" w:beforeAutospacing="0" w:after="0" w:afterAutospacing="0" w:line="480" w:lineRule="auto"/>
        <w:ind w:left="360" w:firstLine="360"/>
        <w:rPr>
          <w:color w:val="000000"/>
          <w:sz w:val="28"/>
          <w:szCs w:val="28"/>
        </w:rPr>
      </w:pPr>
      <w:r w:rsidRPr="00BF5772">
        <w:rPr>
          <w:color w:val="000000"/>
          <w:sz w:val="28"/>
          <w:szCs w:val="28"/>
        </w:rPr>
        <w:t>The government has a substantial need for the body of the notes taken during</w:t>
      </w:r>
    </w:p>
    <w:p w14:paraId="3A34E065" w14:textId="616CAB97" w:rsidR="007D09C4" w:rsidRPr="00BF5772" w:rsidRDefault="007D09C4" w:rsidP="007D09C4">
      <w:pPr>
        <w:pStyle w:val="NormalWeb"/>
        <w:spacing w:before="0" w:beforeAutospacing="0" w:after="0" w:afterAutospacing="0" w:line="480" w:lineRule="auto"/>
        <w:rPr>
          <w:color w:val="000000"/>
          <w:sz w:val="28"/>
          <w:szCs w:val="28"/>
        </w:rPr>
      </w:pPr>
      <w:r w:rsidRPr="00BF5772">
        <w:rPr>
          <w:color w:val="000000"/>
          <w:sz w:val="28"/>
          <w:szCs w:val="28"/>
        </w:rPr>
        <w:t xml:space="preserve">Sierra Seton’s interview with Maddox Armana. As the court explained in </w:t>
      </w:r>
      <w:r w:rsidRPr="00BF5772">
        <w:rPr>
          <w:i/>
          <w:iCs/>
          <w:color w:val="000000"/>
          <w:sz w:val="28"/>
          <w:szCs w:val="28"/>
        </w:rPr>
        <w:t>Parks,</w:t>
      </w:r>
      <w:r w:rsidRPr="00BF5772">
        <w:rPr>
          <w:color w:val="000000"/>
          <w:sz w:val="28"/>
          <w:szCs w:val="28"/>
        </w:rPr>
        <w:t xml:space="preserve"> the substantial need is met when there are admissible evidentiary facts. </w:t>
      </w:r>
      <w:r w:rsidRPr="00BF5772">
        <w:rPr>
          <w:i/>
          <w:iCs/>
          <w:color w:val="000000"/>
          <w:sz w:val="28"/>
          <w:szCs w:val="28"/>
        </w:rPr>
        <w:t>Parks v. United States</w:t>
      </w:r>
      <w:r w:rsidRPr="00BF5772">
        <w:rPr>
          <w:color w:val="000000"/>
          <w:sz w:val="28"/>
          <w:szCs w:val="28"/>
        </w:rPr>
        <w:t xml:space="preserve">, 451 A.2d 591, 609 (D.C. 1982). These notes contain a record of statements by an individual with firsthand knowledge of how Coastal operated from the inside. Armana Dep. </w:t>
      </w:r>
      <w:r w:rsidR="00654050" w:rsidRPr="00BF5772">
        <w:rPr>
          <w:color w:val="000000"/>
          <w:sz w:val="28"/>
          <w:szCs w:val="28"/>
        </w:rPr>
        <w:t xml:space="preserve">at </w:t>
      </w:r>
      <w:r w:rsidRPr="00BF5772">
        <w:rPr>
          <w:color w:val="000000"/>
          <w:sz w:val="28"/>
          <w:szCs w:val="28"/>
        </w:rPr>
        <w:t xml:space="preserve">86-91. Establishing how this company operated is material to the government’s case against Calloway, as it is alleged to be where she hid her share of the money. </w:t>
      </w:r>
    </w:p>
    <w:p w14:paraId="19915830" w14:textId="46622911" w:rsidR="007D09C4" w:rsidRPr="00BF5772" w:rsidRDefault="007D09C4" w:rsidP="007D09C4">
      <w:pPr>
        <w:pStyle w:val="NormalWeb"/>
        <w:spacing w:before="0" w:beforeAutospacing="0" w:after="0" w:afterAutospacing="0" w:line="480" w:lineRule="auto"/>
        <w:rPr>
          <w:color w:val="000000"/>
          <w:sz w:val="28"/>
          <w:szCs w:val="28"/>
        </w:rPr>
      </w:pPr>
      <w:r w:rsidRPr="00BF5772">
        <w:rPr>
          <w:color w:val="000000"/>
          <w:sz w:val="28"/>
          <w:szCs w:val="28"/>
        </w:rPr>
        <w:tab/>
        <w:t xml:space="preserve">Seton's unavailability imposes an undue burden on the prosecution in obtaining substantially equivalent evidence. Take Armana at his word; there is no one else who can provide the information Seton provided him, nor is there any other source that contains the same information he learned from Seton. </w:t>
      </w:r>
      <w:r w:rsidRPr="00BF5772">
        <w:rPr>
          <w:i/>
          <w:iCs/>
          <w:color w:val="000000"/>
          <w:sz w:val="28"/>
          <w:szCs w:val="28"/>
        </w:rPr>
        <w:t>Id</w:t>
      </w:r>
      <w:r w:rsidRPr="00BF5772">
        <w:rPr>
          <w:color w:val="000000"/>
          <w:sz w:val="28"/>
          <w:szCs w:val="28"/>
        </w:rPr>
        <w:t xml:space="preserve">. at 160-168. He has sworn under oath that his “notes are the only place that account still exists.” </w:t>
      </w:r>
      <w:r w:rsidRPr="00BF5772">
        <w:rPr>
          <w:i/>
          <w:iCs/>
          <w:color w:val="000000"/>
          <w:sz w:val="28"/>
          <w:szCs w:val="28"/>
        </w:rPr>
        <w:t>Id.</w:t>
      </w:r>
      <w:r w:rsidRPr="00BF5772">
        <w:rPr>
          <w:color w:val="000000"/>
          <w:sz w:val="28"/>
          <w:szCs w:val="28"/>
        </w:rPr>
        <w:t xml:space="preserve"> at 167-168. This does not merely impose an undue burden on the prosecution in obtaining substantially equivalent evidence; it creates an impossible task of finding evidence that does not otherwise exist. This exceeds the </w:t>
      </w:r>
      <w:r w:rsidRPr="00BF5772">
        <w:rPr>
          <w:color w:val="000000"/>
          <w:sz w:val="28"/>
          <w:szCs w:val="28"/>
        </w:rPr>
        <w:lastRenderedPageBreak/>
        <w:t xml:space="preserve">government’s burden to show substantial need and undue burden and creates a necessity for the disclosure of the records. </w:t>
      </w:r>
    </w:p>
    <w:p w14:paraId="77F0E693" w14:textId="66B03B82" w:rsidR="007D09C4" w:rsidRPr="00BF5772" w:rsidRDefault="007D09C4" w:rsidP="007D09C4">
      <w:pPr>
        <w:pStyle w:val="Heading3"/>
      </w:pPr>
      <w:bookmarkStart w:id="13" w:name="_Toc239144087"/>
      <w:r w:rsidRPr="00BF5772">
        <w:t xml:space="preserve">4. </w:t>
      </w:r>
      <w:r w:rsidRPr="00BF5772">
        <w:tab/>
        <w:t xml:space="preserve">The </w:t>
      </w:r>
      <w:r w:rsidR="00654050" w:rsidRPr="00BF5772">
        <w:t>Government Has Extreme Necessity for the Opinion Work-Product Contained in the Records</w:t>
      </w:r>
      <w:r w:rsidRPr="00BF5772">
        <w:t>.</w:t>
      </w:r>
      <w:bookmarkEnd w:id="13"/>
      <w:r w:rsidRPr="00BF5772">
        <w:t xml:space="preserve"> </w:t>
      </w:r>
    </w:p>
    <w:p w14:paraId="6FCA9DFE" w14:textId="211BAECD" w:rsidR="007D09C4" w:rsidRPr="00BF5772" w:rsidRDefault="007D09C4" w:rsidP="00654050">
      <w:pPr>
        <w:pStyle w:val="NormalWeb"/>
        <w:spacing w:before="0" w:beforeAutospacing="0" w:after="0" w:afterAutospacing="0" w:line="480" w:lineRule="auto"/>
        <w:ind w:firstLine="720"/>
        <w:rPr>
          <w:color w:val="000000"/>
          <w:sz w:val="28"/>
          <w:szCs w:val="28"/>
        </w:rPr>
      </w:pPr>
      <w:r w:rsidRPr="00BF5772">
        <w:rPr>
          <w:color w:val="000000"/>
          <w:sz w:val="28"/>
          <w:szCs w:val="28"/>
        </w:rPr>
        <w:t xml:space="preserve">The opinion work product meets the extreme necessity test. The </w:t>
      </w:r>
      <w:r w:rsidRPr="00BF5772">
        <w:rPr>
          <w:i/>
          <w:iCs/>
          <w:color w:val="000000"/>
          <w:sz w:val="28"/>
          <w:szCs w:val="28"/>
        </w:rPr>
        <w:t>Parks</w:t>
      </w:r>
      <w:r w:rsidRPr="00BF5772">
        <w:rPr>
          <w:color w:val="000000"/>
          <w:sz w:val="28"/>
          <w:szCs w:val="28"/>
        </w:rPr>
        <w:t xml:space="preserve"> court went further to explain that “where an attorney's work product, sought at trial, contains admissible evidentiary facts, the seeking party has, by definition, a ‘substantial need’ for the material.” </w:t>
      </w:r>
      <w:r w:rsidRPr="00BF5772">
        <w:rPr>
          <w:i/>
          <w:iCs/>
          <w:color w:val="000000"/>
          <w:sz w:val="28"/>
          <w:szCs w:val="28"/>
        </w:rPr>
        <w:t>Parks</w:t>
      </w:r>
      <w:r w:rsidRPr="00BF5772">
        <w:rPr>
          <w:color w:val="000000"/>
          <w:sz w:val="28"/>
          <w:szCs w:val="28"/>
        </w:rPr>
        <w:t xml:space="preserve">, 451 A.2d </w:t>
      </w:r>
      <w:r w:rsidR="00654050" w:rsidRPr="00BF5772">
        <w:rPr>
          <w:color w:val="000000"/>
          <w:sz w:val="28"/>
          <w:szCs w:val="28"/>
        </w:rPr>
        <w:t>at</w:t>
      </w:r>
      <w:r w:rsidRPr="00BF5772">
        <w:rPr>
          <w:color w:val="000000"/>
          <w:sz w:val="28"/>
          <w:szCs w:val="28"/>
        </w:rPr>
        <w:t xml:space="preserve"> 609</w:t>
      </w:r>
      <w:r w:rsidR="00BF5772" w:rsidRPr="00BF5772">
        <w:rPr>
          <w:color w:val="000000"/>
          <w:sz w:val="28"/>
          <w:szCs w:val="28"/>
        </w:rPr>
        <w:fldChar w:fldCharType="begin"/>
      </w:r>
      <w:r w:rsidR="00BF5772" w:rsidRPr="00BF5772">
        <w:instrText xml:space="preserve"> TA \s "Parks v. United States, 451 A.2d 591, 6089 (D.C. 1982)" </w:instrText>
      </w:r>
      <w:r w:rsidR="00BF5772" w:rsidRPr="00BF5772">
        <w:rPr>
          <w:color w:val="000000"/>
          <w:sz w:val="28"/>
          <w:szCs w:val="28"/>
        </w:rPr>
        <w:fldChar w:fldCharType="end"/>
      </w:r>
      <w:r w:rsidRPr="00BF5772">
        <w:rPr>
          <w:color w:val="000000"/>
          <w:sz w:val="28"/>
          <w:szCs w:val="28"/>
        </w:rPr>
        <w:t xml:space="preserve">. Moreover, if the facts are altogether mixed with opinion work product but nonetheless constitute admissible evidence (as determined by the court's in camera inspection), the “extreme necessity” test also will have been met, on the ground that a party is entitled to the benefit of each discrete evidentiary fact.” </w:t>
      </w:r>
      <w:r w:rsidR="00654050" w:rsidRPr="00BF5772">
        <w:rPr>
          <w:i/>
          <w:iCs/>
          <w:color w:val="000000"/>
          <w:sz w:val="28"/>
          <w:szCs w:val="28"/>
        </w:rPr>
        <w:t>Id</w:t>
      </w:r>
      <w:r w:rsidR="00BF5772" w:rsidRPr="00BF5772">
        <w:rPr>
          <w:i/>
          <w:iCs/>
          <w:color w:val="000000"/>
          <w:sz w:val="28"/>
          <w:szCs w:val="28"/>
        </w:rPr>
        <w:fldChar w:fldCharType="begin"/>
      </w:r>
      <w:r w:rsidR="00BF5772" w:rsidRPr="00BF5772">
        <w:instrText xml:space="preserve"> TA \s "Parks v. United States, 451 A.2d 591, 6089 (D.C. 1982)" </w:instrText>
      </w:r>
      <w:r w:rsidR="00BF5772" w:rsidRPr="00BF5772">
        <w:rPr>
          <w:i/>
          <w:iCs/>
          <w:color w:val="000000"/>
          <w:sz w:val="28"/>
          <w:szCs w:val="28"/>
        </w:rPr>
        <w:fldChar w:fldCharType="end"/>
      </w:r>
      <w:r w:rsidRPr="00BF5772">
        <w:rPr>
          <w:color w:val="000000"/>
          <w:sz w:val="28"/>
          <w:szCs w:val="28"/>
        </w:rPr>
        <w:t xml:space="preserve">. Here, the contents of the records are both fact and opinion work product separated by the body and the red ink, as previously discussed. The extreme necessity test has been met because the same factual circumstances that satisfied the substantial need test regarding the factual work product also satisfy the extreme necessity test. Maddox has testified that the information and leads contained in the records are the only place to find this evidentiary material. Armana Dep. </w:t>
      </w:r>
      <w:r w:rsidR="00654050" w:rsidRPr="00BF5772">
        <w:rPr>
          <w:color w:val="000000"/>
          <w:sz w:val="28"/>
          <w:szCs w:val="28"/>
        </w:rPr>
        <w:t xml:space="preserve">at </w:t>
      </w:r>
      <w:r w:rsidRPr="00BF5772">
        <w:rPr>
          <w:color w:val="000000"/>
          <w:sz w:val="28"/>
          <w:szCs w:val="28"/>
        </w:rPr>
        <w:t xml:space="preserve">166-168. Maddox’s notes are likely necessary to understand the context of the facts given and the witness’s posture and credibility. </w:t>
      </w:r>
    </w:p>
    <w:p w14:paraId="52125DD2" w14:textId="1AC4334C" w:rsidR="007D09C4" w:rsidRPr="00BF5772" w:rsidRDefault="007D09C4" w:rsidP="00654050">
      <w:pPr>
        <w:pStyle w:val="NormalWeb"/>
        <w:spacing w:before="0" w:beforeAutospacing="0" w:after="0" w:afterAutospacing="0" w:line="480" w:lineRule="auto"/>
        <w:ind w:firstLine="720"/>
        <w:rPr>
          <w:color w:val="000000"/>
          <w:sz w:val="28"/>
          <w:szCs w:val="28"/>
        </w:rPr>
      </w:pPr>
      <w:r w:rsidRPr="00BF5772">
        <w:rPr>
          <w:color w:val="000000"/>
          <w:sz w:val="28"/>
          <w:szCs w:val="28"/>
        </w:rPr>
        <w:lastRenderedPageBreak/>
        <w:t xml:space="preserve">Seton’s unavailability creates extreme necessity. The Supreme Court in Hickman recognized that disclosure of a memorandum or an attorney’s mental impressions “might be justified where the witnesses are no longer available or can be reached only with difficulty.” </w:t>
      </w:r>
      <w:r w:rsidRPr="00BF5772">
        <w:rPr>
          <w:i/>
          <w:iCs/>
          <w:color w:val="000000"/>
          <w:sz w:val="28"/>
          <w:szCs w:val="28"/>
        </w:rPr>
        <w:t>Hickman v. Taylor</w:t>
      </w:r>
      <w:r w:rsidRPr="00BF5772">
        <w:rPr>
          <w:color w:val="000000"/>
          <w:sz w:val="28"/>
          <w:szCs w:val="28"/>
        </w:rPr>
        <w:t>, 329 U.S. 495, 511 (1947).</w:t>
      </w:r>
      <w:r w:rsidR="00BF5772" w:rsidRPr="00BF5772">
        <w:rPr>
          <w:color w:val="000000"/>
          <w:sz w:val="28"/>
          <w:szCs w:val="28"/>
        </w:rPr>
        <w:fldChar w:fldCharType="begin"/>
      </w:r>
      <w:r w:rsidR="00BF5772" w:rsidRPr="00BF5772">
        <w:instrText xml:space="preserve"> TA \s "Hickman v. Taylor, 329 U.S. 495 (1947)." </w:instrText>
      </w:r>
      <w:r w:rsidR="00BF5772" w:rsidRPr="00BF5772">
        <w:rPr>
          <w:color w:val="000000"/>
          <w:sz w:val="28"/>
          <w:szCs w:val="28"/>
        </w:rPr>
        <w:fldChar w:fldCharType="end"/>
      </w:r>
      <w:r w:rsidRPr="00BF5772">
        <w:rPr>
          <w:color w:val="000000"/>
          <w:sz w:val="28"/>
          <w:szCs w:val="28"/>
        </w:rPr>
        <w:t xml:space="preserve"> The Court in </w:t>
      </w:r>
      <w:r w:rsidRPr="00BF5772">
        <w:rPr>
          <w:i/>
          <w:iCs/>
          <w:color w:val="000000"/>
          <w:sz w:val="28"/>
          <w:szCs w:val="28"/>
        </w:rPr>
        <w:t>Hickman</w:t>
      </w:r>
      <w:r w:rsidRPr="00BF5772">
        <w:rPr>
          <w:color w:val="000000"/>
          <w:sz w:val="28"/>
          <w:szCs w:val="28"/>
        </w:rPr>
        <w:t xml:space="preserve"> acknowledged that the factual circumstances it was analyzing did not warrant such disclosure, as the witness could still be deposed. However, here, Seton has fled the country and has been untraceable, even after extensive searches by Armana, who has already had contact with her. Armana Dep. </w:t>
      </w:r>
      <w:r w:rsidR="00654050" w:rsidRPr="00BF5772">
        <w:rPr>
          <w:color w:val="000000"/>
          <w:sz w:val="28"/>
          <w:szCs w:val="28"/>
        </w:rPr>
        <w:t xml:space="preserve">at </w:t>
      </w:r>
      <w:r w:rsidRPr="00BF5772">
        <w:rPr>
          <w:color w:val="000000"/>
          <w:sz w:val="28"/>
          <w:szCs w:val="28"/>
        </w:rPr>
        <w:t xml:space="preserve">146-159. Seton is no longer available for </w:t>
      </w:r>
      <w:r w:rsidR="00654050" w:rsidRPr="00BF5772">
        <w:rPr>
          <w:color w:val="000000"/>
          <w:sz w:val="28"/>
          <w:szCs w:val="28"/>
        </w:rPr>
        <w:t>deposition and</w:t>
      </w:r>
      <w:r w:rsidRPr="00BF5772">
        <w:rPr>
          <w:color w:val="000000"/>
          <w:sz w:val="28"/>
          <w:szCs w:val="28"/>
        </w:rPr>
        <w:t xml:space="preserve"> given that she fled the country immediately after being interviewed in this case, she is likely hostile to further contact. </w:t>
      </w:r>
      <w:r w:rsidRPr="00BF5772">
        <w:rPr>
          <w:i/>
          <w:iCs/>
          <w:color w:val="000000"/>
          <w:sz w:val="28"/>
          <w:szCs w:val="28"/>
        </w:rPr>
        <w:t>Id</w:t>
      </w:r>
      <w:r w:rsidRPr="00BF5772">
        <w:rPr>
          <w:color w:val="000000"/>
          <w:sz w:val="28"/>
          <w:szCs w:val="28"/>
        </w:rPr>
        <w:t xml:space="preserve">. This creates an extreme necessity for the government to have access to the factual findings contained in the records of an interview with a witness who holds vital information about the scheme in which the Defendant is being prosecuted. </w:t>
      </w:r>
    </w:p>
    <w:p w14:paraId="5EFF9F2A" w14:textId="19ADB86D" w:rsidR="00064C63" w:rsidRPr="00BF5772" w:rsidRDefault="00064C63" w:rsidP="00064C63">
      <w:pPr>
        <w:pStyle w:val="Heading1"/>
        <w:jc w:val="center"/>
      </w:pPr>
      <w:bookmarkStart w:id="14" w:name="_Toc239144088"/>
      <w:r w:rsidRPr="00BF5772">
        <w:t xml:space="preserve">IV. </w:t>
      </w:r>
      <w:r w:rsidRPr="00BF5772">
        <w:tab/>
        <w:t>CONCLUSION WITH PRAYER FOR RELIEF</w:t>
      </w:r>
      <w:bookmarkEnd w:id="14"/>
    </w:p>
    <w:p w14:paraId="528B5C37" w14:textId="14542B01" w:rsidR="007D09C4" w:rsidRPr="00BF5772" w:rsidRDefault="007D09C4" w:rsidP="00654050">
      <w:pPr>
        <w:spacing w:after="0" w:line="480" w:lineRule="auto"/>
        <w:ind w:firstLine="720"/>
      </w:pPr>
      <w:r w:rsidRPr="00BF5772">
        <w:t xml:space="preserve">The record is clear. The employee roster, the priority list, and Nolan's documented investigative steps all predate Calloway’s testimony. The wall protocol insulated the investigation. Kennedy Parker's account is rooted in firsthand observation. And even if this Court assumes some measure of taint, the inevitable </w:t>
      </w:r>
      <w:r w:rsidRPr="00BF5772">
        <w:lastRenderedPageBreak/>
        <w:t>discovery doctrine independently should justify the independence. The United States respectfully requests that this Court deny Defendant's Motion to Suppress.</w:t>
      </w:r>
    </w:p>
    <w:p w14:paraId="4D52D88F" w14:textId="099D5ADA" w:rsidR="007D09C4" w:rsidRPr="00BF5772" w:rsidRDefault="007D09C4" w:rsidP="00654050">
      <w:pPr>
        <w:spacing w:after="0" w:line="480" w:lineRule="auto"/>
        <w:rPr>
          <w:color w:val="000000"/>
        </w:rPr>
      </w:pPr>
      <w:r w:rsidRPr="00BF5772">
        <w:tab/>
        <w:t>Further, t</w:t>
      </w:r>
      <w:r w:rsidRPr="00BF5772">
        <w:rPr>
          <w:color w:val="000000"/>
        </w:rPr>
        <w:t xml:space="preserve">o grant the Defendant’s Motion to Quash is to guarantee equality in the evidentiary posture of the parties. This would create a precedent of inequality in our adversarial system that would frustrate the purpose of both the Federal Rules of Criminal Procedure and the work-product doctrine. The prosecution prays that this Court deny the motion to quash and require the disclosure of the records of Maddox Armana’s interview with Sierra Seton. </w:t>
      </w:r>
    </w:p>
    <w:p w14:paraId="0AEA6586" w14:textId="77777777" w:rsidR="00654050" w:rsidRPr="00BF5772" w:rsidRDefault="00654050" w:rsidP="00BF5772">
      <w:pPr>
        <w:spacing w:after="0" w:line="480" w:lineRule="auto"/>
      </w:pPr>
      <w:r w:rsidRPr="00BF5772">
        <w:t xml:space="preserve">Date: September 1, 2026 </w:t>
      </w:r>
      <w:r w:rsidRPr="00BF5772">
        <w:tab/>
      </w:r>
      <w:r w:rsidRPr="00BF5772">
        <w:tab/>
      </w:r>
      <w:r w:rsidRPr="00BF5772">
        <w:tab/>
        <w:t xml:space="preserve">Respectfully Submitted, </w:t>
      </w:r>
    </w:p>
    <w:p w14:paraId="5D457389" w14:textId="77777777" w:rsidR="00654050" w:rsidRPr="00BF5772" w:rsidRDefault="00654050" w:rsidP="00BF5772">
      <w:pPr>
        <w:spacing w:after="0" w:line="480" w:lineRule="auto"/>
        <w:ind w:left="4320"/>
      </w:pPr>
      <w:r w:rsidRPr="00BF5772">
        <w:t>TEAM 301</w:t>
      </w:r>
    </w:p>
    <w:p w14:paraId="4C6E2EE7" w14:textId="77777777" w:rsidR="00654050" w:rsidRPr="00BF5772" w:rsidRDefault="00654050" w:rsidP="00BF5772">
      <w:pPr>
        <w:spacing w:after="0" w:line="480" w:lineRule="auto"/>
        <w:ind w:left="4320"/>
        <w:rPr>
          <w:u w:val="single"/>
        </w:rPr>
      </w:pPr>
      <w:r w:rsidRPr="00BF5772">
        <w:t xml:space="preserve">By: </w:t>
      </w:r>
      <w:r w:rsidRPr="00BF5772">
        <w:rPr>
          <w:u w:val="single"/>
        </w:rPr>
        <w:t>/s/ Team 301</w:t>
      </w:r>
    </w:p>
    <w:p w14:paraId="2456A1F5" w14:textId="538E48F7" w:rsidR="00064C63" w:rsidRPr="00654050" w:rsidRDefault="00654050" w:rsidP="00955D23">
      <w:pPr>
        <w:spacing w:after="0" w:line="480" w:lineRule="auto"/>
        <w:ind w:left="4320"/>
      </w:pPr>
      <w:r w:rsidRPr="00BF5772">
        <w:t>Counsel for the Prosecution</w:t>
      </w:r>
    </w:p>
    <w:sectPr w:rsidR="00064C63" w:rsidRPr="00654050" w:rsidSect="00654050">
      <w:footerReference w:type="default" r:id="rId11"/>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CB01E8" w14:textId="77777777" w:rsidR="009B152D" w:rsidRDefault="009B152D" w:rsidP="00064C63">
      <w:r>
        <w:separator/>
      </w:r>
    </w:p>
  </w:endnote>
  <w:endnote w:type="continuationSeparator" w:id="0">
    <w:p w14:paraId="43AE8296" w14:textId="77777777" w:rsidR="009B152D" w:rsidRDefault="009B152D" w:rsidP="00064C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0682630"/>
      <w:docPartObj>
        <w:docPartGallery w:val="Page Numbers (Bottom of Page)"/>
        <w:docPartUnique/>
      </w:docPartObj>
    </w:sdtPr>
    <w:sdtEndPr>
      <w:rPr>
        <w:rStyle w:val="PageNumber"/>
      </w:rPr>
    </w:sdtEndPr>
    <w:sdtContent>
      <w:p w14:paraId="031A1D4E" w14:textId="6CC04C6E" w:rsidR="00654050" w:rsidRDefault="00654050" w:rsidP="00AD615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B488FF0" w14:textId="77777777" w:rsidR="00654050" w:rsidRDefault="006540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4A9E7" w14:textId="77777777" w:rsidR="00620694" w:rsidRPr="005D08DC" w:rsidRDefault="00620694" w:rsidP="00064C63">
    <w:pPr>
      <w:pStyle w:val="Footer"/>
    </w:pPr>
    <w:r w:rsidRPr="005D08DC">
      <w:t xml:space="preserve">Page </w:t>
    </w:r>
    <w:r w:rsidRPr="005D08DC">
      <w:fldChar w:fldCharType="begin"/>
    </w:r>
    <w:r w:rsidRPr="005D08DC">
      <w:instrText xml:space="preserve"> PAGE </w:instrText>
    </w:r>
    <w:r w:rsidRPr="005D08DC">
      <w:fldChar w:fldCharType="separate"/>
    </w:r>
    <w:r w:rsidRPr="005D08DC">
      <w:rPr>
        <w:noProof/>
      </w:rPr>
      <w:t>1</w:t>
    </w:r>
    <w:r w:rsidRPr="005D08DC">
      <w:fldChar w:fldCharType="end"/>
    </w:r>
    <w:r w:rsidRPr="005D08DC">
      <w:t xml:space="preserve"> of </w:t>
    </w:r>
    <w:fldSimple w:instr=" NUMPAGES ">
      <w:r w:rsidRPr="005D08DC">
        <w:rPr>
          <w:noProof/>
        </w:rP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48292084"/>
      <w:docPartObj>
        <w:docPartGallery w:val="Page Numbers (Bottom of Page)"/>
        <w:docPartUnique/>
      </w:docPartObj>
    </w:sdtPr>
    <w:sdtEndPr>
      <w:rPr>
        <w:rStyle w:val="PageNumber"/>
      </w:rPr>
    </w:sdtEndPr>
    <w:sdtContent>
      <w:p w14:paraId="02867A59" w14:textId="4E833B65" w:rsidR="00654050" w:rsidRDefault="00654050" w:rsidP="00AD615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sdtContent>
  </w:sdt>
  <w:p w14:paraId="042C3B1A" w14:textId="55549908" w:rsidR="00654050" w:rsidRPr="005D08DC" w:rsidRDefault="00654050" w:rsidP="00064C6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7C213" w14:textId="7D4D2911" w:rsidR="00EF262D" w:rsidRPr="005D08DC" w:rsidRDefault="00654050" w:rsidP="00EF262D">
    <w:pPr>
      <w:pStyle w:val="Footer"/>
      <w:jc w:val="center"/>
    </w:pPr>
    <w:r w:rsidRPr="005D08DC">
      <w:t xml:space="preserve">Page </w:t>
    </w:r>
    <w:r w:rsidRPr="005D08DC">
      <w:fldChar w:fldCharType="begin"/>
    </w:r>
    <w:r w:rsidRPr="005D08DC">
      <w:instrText xml:space="preserve"> PAGE </w:instrText>
    </w:r>
    <w:r w:rsidRPr="005D08DC">
      <w:fldChar w:fldCharType="separate"/>
    </w:r>
    <w:r w:rsidRPr="005D08DC">
      <w:rPr>
        <w:noProof/>
      </w:rPr>
      <w:t>1</w:t>
    </w:r>
    <w:r w:rsidRPr="005D08DC">
      <w:fldChar w:fldCharType="end"/>
    </w:r>
    <w:r w:rsidRPr="005D08DC">
      <w:t xml:space="preserve"> of </w:t>
    </w:r>
    <w:r w:rsidR="00EF262D">
      <w:t>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7B3B1C" w14:textId="77777777" w:rsidR="009B152D" w:rsidRDefault="009B152D" w:rsidP="00064C63">
      <w:r>
        <w:separator/>
      </w:r>
    </w:p>
  </w:footnote>
  <w:footnote w:type="continuationSeparator" w:id="0">
    <w:p w14:paraId="51152DC1" w14:textId="77777777" w:rsidR="009B152D" w:rsidRDefault="009B152D" w:rsidP="00064C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02261" w14:textId="569D895F" w:rsidR="00064C63" w:rsidRPr="00064C63" w:rsidRDefault="00064C63" w:rsidP="00064C63">
    <w:pPr>
      <w:pStyle w:val="Header"/>
    </w:pPr>
    <w:r w:rsidRPr="00064C63">
      <w:t>Team 301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069DB"/>
    <w:multiLevelType w:val="hybridMultilevel"/>
    <w:tmpl w:val="D6BA4340"/>
    <w:lvl w:ilvl="0" w:tplc="9B06C89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2A0B09"/>
    <w:multiLevelType w:val="hybridMultilevel"/>
    <w:tmpl w:val="24F06992"/>
    <w:lvl w:ilvl="0" w:tplc="F97EEFF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B57C79"/>
    <w:multiLevelType w:val="hybridMultilevel"/>
    <w:tmpl w:val="341A3E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7B19A5"/>
    <w:multiLevelType w:val="hybridMultilevel"/>
    <w:tmpl w:val="C2245768"/>
    <w:lvl w:ilvl="0" w:tplc="F1563AF2">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CD2BD5"/>
    <w:multiLevelType w:val="hybridMultilevel"/>
    <w:tmpl w:val="C6E26CCC"/>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E87ACF"/>
    <w:multiLevelType w:val="hybridMultilevel"/>
    <w:tmpl w:val="0CAC81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842FA2"/>
    <w:multiLevelType w:val="hybridMultilevel"/>
    <w:tmpl w:val="E2DA644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9414A50"/>
    <w:multiLevelType w:val="hybridMultilevel"/>
    <w:tmpl w:val="2F60F464"/>
    <w:lvl w:ilvl="0" w:tplc="41AA8A3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D210D95"/>
    <w:multiLevelType w:val="hybridMultilevel"/>
    <w:tmpl w:val="4044EDA4"/>
    <w:lvl w:ilvl="0" w:tplc="D5B4DA32">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24B2552"/>
    <w:multiLevelType w:val="hybridMultilevel"/>
    <w:tmpl w:val="9B882A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164E67"/>
    <w:multiLevelType w:val="hybridMultilevel"/>
    <w:tmpl w:val="889C3EB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59139E1"/>
    <w:multiLevelType w:val="hybridMultilevel"/>
    <w:tmpl w:val="EFAC6420"/>
    <w:lvl w:ilvl="0" w:tplc="A126B47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76E2BC3"/>
    <w:multiLevelType w:val="hybridMultilevel"/>
    <w:tmpl w:val="F4B69786"/>
    <w:lvl w:ilvl="0" w:tplc="64A6AF60">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748635C"/>
    <w:multiLevelType w:val="hybridMultilevel"/>
    <w:tmpl w:val="BC524696"/>
    <w:lvl w:ilvl="0" w:tplc="ABA6A1CC">
      <w:start w:val="1"/>
      <w:numFmt w:val="upperRoman"/>
      <w:lvlText w:val="%1."/>
      <w:lvlJc w:val="left"/>
      <w:pPr>
        <w:ind w:left="720" w:hanging="72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127816952">
    <w:abstractNumId w:val="11"/>
  </w:num>
  <w:num w:numId="2" w16cid:durableId="1393230690">
    <w:abstractNumId w:val="3"/>
  </w:num>
  <w:num w:numId="3" w16cid:durableId="90249409">
    <w:abstractNumId w:val="8"/>
  </w:num>
  <w:num w:numId="4" w16cid:durableId="188109666">
    <w:abstractNumId w:val="7"/>
  </w:num>
  <w:num w:numId="5" w16cid:durableId="124206415">
    <w:abstractNumId w:val="9"/>
  </w:num>
  <w:num w:numId="6" w16cid:durableId="1426153144">
    <w:abstractNumId w:val="6"/>
  </w:num>
  <w:num w:numId="7" w16cid:durableId="882445859">
    <w:abstractNumId w:val="1"/>
  </w:num>
  <w:num w:numId="8" w16cid:durableId="1461221545">
    <w:abstractNumId w:val="0"/>
  </w:num>
  <w:num w:numId="9" w16cid:durableId="2096970245">
    <w:abstractNumId w:val="5"/>
  </w:num>
  <w:num w:numId="10" w16cid:durableId="1418868000">
    <w:abstractNumId w:val="12"/>
  </w:num>
  <w:num w:numId="11" w16cid:durableId="455761104">
    <w:abstractNumId w:val="13"/>
  </w:num>
  <w:num w:numId="12" w16cid:durableId="765463315">
    <w:abstractNumId w:val="2"/>
  </w:num>
  <w:num w:numId="13" w16cid:durableId="1900356267">
    <w:abstractNumId w:val="10"/>
  </w:num>
  <w:num w:numId="14" w16cid:durableId="16606198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371A"/>
    <w:rsid w:val="00064C63"/>
    <w:rsid w:val="00370755"/>
    <w:rsid w:val="0046117E"/>
    <w:rsid w:val="004C31F1"/>
    <w:rsid w:val="005C1117"/>
    <w:rsid w:val="00620694"/>
    <w:rsid w:val="00654050"/>
    <w:rsid w:val="007D09C4"/>
    <w:rsid w:val="00934640"/>
    <w:rsid w:val="00955D23"/>
    <w:rsid w:val="009B152D"/>
    <w:rsid w:val="009D1088"/>
    <w:rsid w:val="00A30FC9"/>
    <w:rsid w:val="00A64C65"/>
    <w:rsid w:val="00B6721E"/>
    <w:rsid w:val="00B91E4A"/>
    <w:rsid w:val="00BF5772"/>
    <w:rsid w:val="00C02655"/>
    <w:rsid w:val="00D0192E"/>
    <w:rsid w:val="00DB14FD"/>
    <w:rsid w:val="00DB2FCD"/>
    <w:rsid w:val="00E01646"/>
    <w:rsid w:val="00E3215F"/>
    <w:rsid w:val="00EA0839"/>
    <w:rsid w:val="00EA371A"/>
    <w:rsid w:val="00EF262D"/>
    <w:rsid w:val="00FE374F"/>
    <w:rsid w:val="00FF5139"/>
    <w:rsid w:val="00FF7C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AF6C5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4C63"/>
    <w:rPr>
      <w:rFonts w:ascii="Times New Roman" w:hAnsi="Times New Roman" w:cs="Times New Roman"/>
      <w:sz w:val="28"/>
      <w:szCs w:val="28"/>
    </w:rPr>
  </w:style>
  <w:style w:type="paragraph" w:styleId="Heading1">
    <w:name w:val="heading 1"/>
    <w:basedOn w:val="Normal"/>
    <w:next w:val="Normal"/>
    <w:link w:val="Heading1Char"/>
    <w:uiPriority w:val="9"/>
    <w:qFormat/>
    <w:rsid w:val="00064C63"/>
    <w:pPr>
      <w:outlineLvl w:val="0"/>
    </w:pPr>
    <w:rPr>
      <w:b/>
      <w:bCs/>
    </w:rPr>
  </w:style>
  <w:style w:type="paragraph" w:styleId="Heading2">
    <w:name w:val="heading 2"/>
    <w:basedOn w:val="Normal"/>
    <w:next w:val="Normal"/>
    <w:link w:val="Heading2Char"/>
    <w:uiPriority w:val="9"/>
    <w:unhideWhenUsed/>
    <w:qFormat/>
    <w:rsid w:val="00064C63"/>
    <w:pPr>
      <w:outlineLvl w:val="1"/>
    </w:pPr>
    <w:rPr>
      <w:b/>
      <w:bCs/>
    </w:rPr>
  </w:style>
  <w:style w:type="paragraph" w:styleId="Heading3">
    <w:name w:val="heading 3"/>
    <w:basedOn w:val="Normal"/>
    <w:next w:val="Normal"/>
    <w:link w:val="Heading3Char"/>
    <w:uiPriority w:val="9"/>
    <w:unhideWhenUsed/>
    <w:qFormat/>
    <w:rsid w:val="007D09C4"/>
    <w:pPr>
      <w:spacing w:line="240" w:lineRule="auto"/>
      <w:ind w:left="720" w:hanging="720"/>
      <w:outlineLvl w:val="2"/>
    </w:pPr>
    <w:rPr>
      <w:i/>
      <w:iCs/>
    </w:rPr>
  </w:style>
  <w:style w:type="paragraph" w:styleId="Heading4">
    <w:name w:val="heading 4"/>
    <w:basedOn w:val="Normal"/>
    <w:next w:val="Normal"/>
    <w:link w:val="Heading4Char"/>
    <w:uiPriority w:val="9"/>
    <w:semiHidden/>
    <w:unhideWhenUsed/>
    <w:qFormat/>
    <w:rsid w:val="00EA371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A371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A37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37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37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37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4C63"/>
    <w:rPr>
      <w:rFonts w:ascii="Times New Roman" w:hAnsi="Times New Roman" w:cs="Times New Roman"/>
      <w:b/>
      <w:bCs/>
      <w:sz w:val="28"/>
      <w:szCs w:val="28"/>
    </w:rPr>
  </w:style>
  <w:style w:type="character" w:customStyle="1" w:styleId="Heading2Char">
    <w:name w:val="Heading 2 Char"/>
    <w:basedOn w:val="DefaultParagraphFont"/>
    <w:link w:val="Heading2"/>
    <w:uiPriority w:val="9"/>
    <w:rsid w:val="00064C63"/>
    <w:rPr>
      <w:rFonts w:ascii="Times New Roman" w:hAnsi="Times New Roman" w:cs="Times New Roman"/>
      <w:b/>
      <w:bCs/>
      <w:sz w:val="28"/>
      <w:szCs w:val="28"/>
    </w:rPr>
  </w:style>
  <w:style w:type="character" w:customStyle="1" w:styleId="Heading3Char">
    <w:name w:val="Heading 3 Char"/>
    <w:basedOn w:val="DefaultParagraphFont"/>
    <w:link w:val="Heading3"/>
    <w:uiPriority w:val="9"/>
    <w:rsid w:val="007D09C4"/>
    <w:rPr>
      <w:rFonts w:ascii="Times New Roman" w:hAnsi="Times New Roman" w:cs="Times New Roman"/>
      <w:i/>
      <w:iCs/>
      <w:sz w:val="28"/>
      <w:szCs w:val="28"/>
    </w:rPr>
  </w:style>
  <w:style w:type="character" w:customStyle="1" w:styleId="Heading4Char">
    <w:name w:val="Heading 4 Char"/>
    <w:basedOn w:val="DefaultParagraphFont"/>
    <w:link w:val="Heading4"/>
    <w:uiPriority w:val="9"/>
    <w:semiHidden/>
    <w:rsid w:val="00EA371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A371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A37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37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37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371A"/>
    <w:rPr>
      <w:rFonts w:eastAsiaTheme="majorEastAsia" w:cstheme="majorBidi"/>
      <w:color w:val="272727" w:themeColor="text1" w:themeTint="D8"/>
    </w:rPr>
  </w:style>
  <w:style w:type="paragraph" w:styleId="Title">
    <w:name w:val="Title"/>
    <w:basedOn w:val="Normal"/>
    <w:next w:val="Normal"/>
    <w:link w:val="TitleChar"/>
    <w:uiPriority w:val="10"/>
    <w:qFormat/>
    <w:rsid w:val="00EA37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37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371A"/>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EA37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371A"/>
    <w:pPr>
      <w:spacing w:before="160"/>
      <w:jc w:val="center"/>
    </w:pPr>
    <w:rPr>
      <w:i/>
      <w:iCs/>
      <w:color w:val="404040" w:themeColor="text1" w:themeTint="BF"/>
    </w:rPr>
  </w:style>
  <w:style w:type="character" w:customStyle="1" w:styleId="QuoteChar">
    <w:name w:val="Quote Char"/>
    <w:basedOn w:val="DefaultParagraphFont"/>
    <w:link w:val="Quote"/>
    <w:uiPriority w:val="29"/>
    <w:rsid w:val="00EA371A"/>
    <w:rPr>
      <w:i/>
      <w:iCs/>
      <w:color w:val="404040" w:themeColor="text1" w:themeTint="BF"/>
    </w:rPr>
  </w:style>
  <w:style w:type="paragraph" w:styleId="ListParagraph">
    <w:name w:val="List Paragraph"/>
    <w:basedOn w:val="Normal"/>
    <w:uiPriority w:val="34"/>
    <w:qFormat/>
    <w:rsid w:val="00EA371A"/>
    <w:pPr>
      <w:ind w:left="720"/>
      <w:contextualSpacing/>
    </w:pPr>
  </w:style>
  <w:style w:type="character" w:styleId="IntenseEmphasis">
    <w:name w:val="Intense Emphasis"/>
    <w:basedOn w:val="DefaultParagraphFont"/>
    <w:uiPriority w:val="21"/>
    <w:qFormat/>
    <w:rsid w:val="00EA371A"/>
    <w:rPr>
      <w:i/>
      <w:iCs/>
      <w:color w:val="2F5496" w:themeColor="accent1" w:themeShade="BF"/>
    </w:rPr>
  </w:style>
  <w:style w:type="paragraph" w:styleId="IntenseQuote">
    <w:name w:val="Intense Quote"/>
    <w:basedOn w:val="Normal"/>
    <w:next w:val="Normal"/>
    <w:link w:val="IntenseQuoteChar"/>
    <w:uiPriority w:val="30"/>
    <w:qFormat/>
    <w:rsid w:val="00EA371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A371A"/>
    <w:rPr>
      <w:i/>
      <w:iCs/>
      <w:color w:val="2F5496" w:themeColor="accent1" w:themeShade="BF"/>
    </w:rPr>
  </w:style>
  <w:style w:type="character" w:styleId="IntenseReference">
    <w:name w:val="Intense Reference"/>
    <w:basedOn w:val="DefaultParagraphFont"/>
    <w:uiPriority w:val="32"/>
    <w:qFormat/>
    <w:rsid w:val="00EA371A"/>
    <w:rPr>
      <w:b/>
      <w:bCs/>
      <w:smallCaps/>
      <w:color w:val="2F5496" w:themeColor="accent1" w:themeShade="BF"/>
      <w:spacing w:val="5"/>
    </w:rPr>
  </w:style>
  <w:style w:type="paragraph" w:styleId="Header">
    <w:name w:val="header"/>
    <w:basedOn w:val="Normal"/>
    <w:link w:val="HeaderChar"/>
    <w:uiPriority w:val="99"/>
    <w:unhideWhenUsed/>
    <w:rsid w:val="006206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0694"/>
  </w:style>
  <w:style w:type="paragraph" w:styleId="Footer">
    <w:name w:val="footer"/>
    <w:basedOn w:val="Normal"/>
    <w:link w:val="FooterChar"/>
    <w:uiPriority w:val="99"/>
    <w:unhideWhenUsed/>
    <w:rsid w:val="006206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0694"/>
  </w:style>
  <w:style w:type="paragraph" w:styleId="Revision">
    <w:name w:val="Revision"/>
    <w:hidden/>
    <w:uiPriority w:val="99"/>
    <w:semiHidden/>
    <w:rsid w:val="00064C63"/>
    <w:pPr>
      <w:spacing w:after="0" w:line="240" w:lineRule="auto"/>
    </w:pPr>
    <w:rPr>
      <w:rFonts w:ascii="Times New Roman" w:hAnsi="Times New Roman" w:cs="Times New Roman"/>
      <w:sz w:val="28"/>
      <w:szCs w:val="28"/>
    </w:rPr>
  </w:style>
  <w:style w:type="paragraph" w:styleId="NormalWeb">
    <w:name w:val="Normal (Web)"/>
    <w:basedOn w:val="Normal"/>
    <w:uiPriority w:val="99"/>
    <w:unhideWhenUsed/>
    <w:rsid w:val="007D09C4"/>
    <w:pPr>
      <w:spacing w:before="100" w:beforeAutospacing="1" w:after="100" w:afterAutospacing="1" w:line="240" w:lineRule="auto"/>
    </w:pPr>
    <w:rPr>
      <w:rFonts w:eastAsia="Times New Roman"/>
      <w:kern w:val="0"/>
      <w:sz w:val="24"/>
      <w:szCs w:val="24"/>
      <w14:ligatures w14:val="none"/>
    </w:rPr>
  </w:style>
  <w:style w:type="character" w:styleId="PageNumber">
    <w:name w:val="page number"/>
    <w:basedOn w:val="DefaultParagraphFont"/>
    <w:uiPriority w:val="99"/>
    <w:semiHidden/>
    <w:unhideWhenUsed/>
    <w:rsid w:val="00654050"/>
  </w:style>
  <w:style w:type="paragraph" w:styleId="TOCHeading">
    <w:name w:val="TOC Heading"/>
    <w:basedOn w:val="Heading1"/>
    <w:next w:val="Normal"/>
    <w:uiPriority w:val="39"/>
    <w:unhideWhenUsed/>
    <w:qFormat/>
    <w:rsid w:val="00654050"/>
    <w:pPr>
      <w:keepNext/>
      <w:keepLines/>
      <w:spacing w:before="480" w:after="0" w:line="276" w:lineRule="auto"/>
      <w:outlineLvl w:val="9"/>
    </w:pPr>
    <w:rPr>
      <w:rFonts w:asciiTheme="majorHAnsi" w:eastAsiaTheme="majorEastAsia" w:hAnsiTheme="majorHAnsi" w:cstheme="majorBidi"/>
      <w:color w:val="2F5496" w:themeColor="accent1" w:themeShade="BF"/>
      <w:kern w:val="0"/>
      <w14:ligatures w14:val="none"/>
    </w:rPr>
  </w:style>
  <w:style w:type="paragraph" w:styleId="TOC1">
    <w:name w:val="toc 1"/>
    <w:basedOn w:val="Normal"/>
    <w:next w:val="Normal"/>
    <w:autoRedefine/>
    <w:uiPriority w:val="39"/>
    <w:unhideWhenUsed/>
    <w:rsid w:val="00EA0839"/>
    <w:pPr>
      <w:tabs>
        <w:tab w:val="left" w:pos="560"/>
        <w:tab w:val="right" w:leader="dot" w:pos="9350"/>
      </w:tabs>
      <w:spacing w:before="120" w:after="0"/>
    </w:pPr>
    <w:rPr>
      <w:rFonts w:asciiTheme="minorHAnsi" w:hAnsiTheme="minorHAnsi" w:cstheme="minorHAnsi"/>
      <w:b/>
      <w:bCs/>
      <w:i/>
      <w:iCs/>
      <w:sz w:val="24"/>
      <w:szCs w:val="24"/>
    </w:rPr>
  </w:style>
  <w:style w:type="paragraph" w:styleId="TOC2">
    <w:name w:val="toc 2"/>
    <w:basedOn w:val="Normal"/>
    <w:next w:val="Normal"/>
    <w:autoRedefine/>
    <w:uiPriority w:val="39"/>
    <w:unhideWhenUsed/>
    <w:rsid w:val="00654050"/>
    <w:pPr>
      <w:spacing w:before="120" w:after="0"/>
      <w:ind w:left="280"/>
    </w:pPr>
    <w:rPr>
      <w:rFonts w:asciiTheme="minorHAnsi" w:hAnsiTheme="minorHAnsi" w:cstheme="minorHAnsi"/>
      <w:b/>
      <w:bCs/>
      <w:sz w:val="22"/>
      <w:szCs w:val="22"/>
    </w:rPr>
  </w:style>
  <w:style w:type="paragraph" w:styleId="TOC3">
    <w:name w:val="toc 3"/>
    <w:basedOn w:val="Normal"/>
    <w:next w:val="Normal"/>
    <w:autoRedefine/>
    <w:uiPriority w:val="39"/>
    <w:unhideWhenUsed/>
    <w:rsid w:val="00654050"/>
    <w:pPr>
      <w:spacing w:after="0"/>
      <w:ind w:left="560"/>
    </w:pPr>
    <w:rPr>
      <w:rFonts w:asciiTheme="minorHAnsi" w:hAnsiTheme="minorHAnsi" w:cstheme="minorHAnsi"/>
      <w:sz w:val="20"/>
      <w:szCs w:val="20"/>
    </w:rPr>
  </w:style>
  <w:style w:type="character" w:styleId="Hyperlink">
    <w:name w:val="Hyperlink"/>
    <w:basedOn w:val="DefaultParagraphFont"/>
    <w:uiPriority w:val="99"/>
    <w:unhideWhenUsed/>
    <w:rsid w:val="00654050"/>
    <w:rPr>
      <w:color w:val="0563C1" w:themeColor="hyperlink"/>
      <w:u w:val="single"/>
    </w:rPr>
  </w:style>
  <w:style w:type="paragraph" w:styleId="TOC4">
    <w:name w:val="toc 4"/>
    <w:basedOn w:val="Normal"/>
    <w:next w:val="Normal"/>
    <w:autoRedefine/>
    <w:uiPriority w:val="39"/>
    <w:semiHidden/>
    <w:unhideWhenUsed/>
    <w:rsid w:val="00654050"/>
    <w:pPr>
      <w:spacing w:after="0"/>
      <w:ind w:left="84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654050"/>
    <w:pPr>
      <w:spacing w:after="0"/>
      <w:ind w:left="112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654050"/>
    <w:pPr>
      <w:spacing w:after="0"/>
      <w:ind w:left="14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654050"/>
    <w:pPr>
      <w:spacing w:after="0"/>
      <w:ind w:left="168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654050"/>
    <w:pPr>
      <w:spacing w:after="0"/>
      <w:ind w:left="196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654050"/>
    <w:pPr>
      <w:spacing w:after="0"/>
      <w:ind w:left="2240"/>
    </w:pPr>
    <w:rPr>
      <w:rFonts w:asciiTheme="minorHAnsi" w:hAnsiTheme="minorHAnsi" w:cstheme="minorHAnsi"/>
      <w:sz w:val="20"/>
      <w:szCs w:val="20"/>
    </w:rPr>
  </w:style>
  <w:style w:type="paragraph" w:styleId="TableofAuthorities">
    <w:name w:val="table of authorities"/>
    <w:basedOn w:val="Normal"/>
    <w:next w:val="Normal"/>
    <w:uiPriority w:val="99"/>
    <w:unhideWhenUsed/>
    <w:rsid w:val="00BF5772"/>
    <w:pPr>
      <w:spacing w:after="0"/>
      <w:ind w:left="280" w:hanging="280"/>
    </w:pPr>
    <w:rPr>
      <w:rFonts w:asciiTheme="minorHAnsi" w:hAnsiTheme="minorHAnsi" w:cstheme="minorHAnsi"/>
      <w:sz w:val="20"/>
      <w:szCs w:val="20"/>
    </w:rPr>
  </w:style>
  <w:style w:type="paragraph" w:styleId="TOAHeading">
    <w:name w:val="toa heading"/>
    <w:basedOn w:val="Normal"/>
    <w:next w:val="Normal"/>
    <w:uiPriority w:val="99"/>
    <w:unhideWhenUsed/>
    <w:rsid w:val="00BF5772"/>
    <w:pPr>
      <w:spacing w:before="120" w:after="120"/>
    </w:pPr>
    <w:rPr>
      <w:rFonts w:asciiTheme="minorHAnsi" w:hAnsiTheme="minorHAnsi" w:cstheme="minorHAnsi"/>
      <w:sz w:val="20"/>
      <w:szCs w:val="2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A01D7EFA89344A8F856027092B5075" ma:contentTypeVersion="21" ma:contentTypeDescription="Create a new document." ma:contentTypeScope="" ma:versionID="751ace066f2da9b693ab3f9a40a5a727">
  <xsd:schema xmlns:xsd="http://www.w3.org/2001/XMLSchema" xmlns:xs="http://www.w3.org/2001/XMLSchema" xmlns:p="http://schemas.microsoft.com/office/2006/metadata/properties" xmlns:ns1="http://schemas.microsoft.com/sharepoint/v3" xmlns:ns2="d33c2442-a497-4bf2-8178-c2e517c6367d" xmlns:ns3="57e9c615-4274-4914-b6df-8689fc6b3121" targetNamespace="http://schemas.microsoft.com/office/2006/metadata/properties" ma:root="true" ma:fieldsID="47964fbeece60e05f996b34e1c17b024" ns1:_="" ns2:_="" ns3:_="">
    <xsd:import namespace="http://schemas.microsoft.com/sharepoint/v3"/>
    <xsd:import namespace="d33c2442-a497-4bf2-8178-c2e517c6367d"/>
    <xsd:import namespace="57e9c615-4274-4914-b6df-8689fc6b312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Location"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3:SharedWithUsers" minOccurs="0"/>
                <xsd:element ref="ns3:SharedWithDetails"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3c2442-a497-4bf2-8178-c2e517c636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32881b5-e800-45b5-9690-d88bf9558ae5"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e9c615-4274-4914-b6df-8689fc6b3121"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8f14c491-c4d9-41ef-b7d6-cda1cc50d378}" ma:internalName="TaxCatchAll" ma:showField="CatchAllData" ma:web="57e9c615-4274-4914-b6df-8689fc6b3121">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d33c2442-a497-4bf2-8178-c2e517c6367d">
      <Terms xmlns="http://schemas.microsoft.com/office/infopath/2007/PartnerControls"/>
    </lcf76f155ced4ddcb4097134ff3c332f>
    <_ip_UnifiedCompliancePolicyProperties xmlns="http://schemas.microsoft.com/sharepoint/v3" xsi:nil="true"/>
    <TaxCatchAll xmlns="57e9c615-4274-4914-b6df-8689fc6b3121" xsi:nil="true"/>
  </documentManagement>
</p:properties>
</file>

<file path=customXml/itemProps1.xml><?xml version="1.0" encoding="utf-8"?>
<ds:datastoreItem xmlns:ds="http://schemas.openxmlformats.org/officeDocument/2006/customXml" ds:itemID="{46706E3E-CEEE-4EDC-B03E-D3E355C53FCF}"/>
</file>

<file path=customXml/itemProps2.xml><?xml version="1.0" encoding="utf-8"?>
<ds:datastoreItem xmlns:ds="http://schemas.openxmlformats.org/officeDocument/2006/customXml" ds:itemID="{129606B6-696A-4D5F-8CD1-00CCFA4409D9}"/>
</file>

<file path=customXml/itemProps3.xml><?xml version="1.0" encoding="utf-8"?>
<ds:datastoreItem xmlns:ds="http://schemas.openxmlformats.org/officeDocument/2006/customXml" ds:itemID="{039AE99C-455B-470F-A67E-B3B6CBBBF97C}"/>
</file>

<file path=docProps/app.xml><?xml version="1.0" encoding="utf-8"?>
<Properties xmlns="http://schemas.openxmlformats.org/officeDocument/2006/extended-properties" xmlns:vt="http://schemas.openxmlformats.org/officeDocument/2006/docPropsVTypes">
  <Template>Normal.dotm</Template>
  <TotalTime>0</TotalTime>
  <Pages>23</Pages>
  <Words>5290</Words>
  <Characters>30156</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2026-09-09T00:28:00Z</dcterms:created>
  <dcterms:modified xsi:type="dcterms:W3CDTF">2026-09-09T00:28:00Z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0x010100E5A01D7EFA89344A8F856027092B5075</vt:lpwstr>
  </property>
</Properties>
</file>