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 xml:space="preserve"> </w:t>
      </w:r>
    </w:p>
    <w:p w14:paraId="00000002"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Case No. 2025-CF-00417</w:t>
      </w:r>
    </w:p>
    <w:p w14:paraId="00000003"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________________________________________________________</w:t>
      </w:r>
    </w:p>
    <w:p w14:paraId="00000004" w14:textId="77777777" w:rsidR="00BA3C3A" w:rsidRPr="00387A53" w:rsidRDefault="00827724" w:rsidP="00C2118B">
      <w:pPr>
        <w:spacing w:after="0" w:line="240" w:lineRule="auto"/>
        <w:ind w:firstLine="0"/>
        <w:jc w:val="center"/>
        <w:rPr>
          <w:rFonts w:ascii="Times New Roman" w:hAnsi="Times New Roman" w:cs="Times New Roman"/>
          <w:sz w:val="32"/>
          <w:szCs w:val="32"/>
        </w:rPr>
      </w:pPr>
      <w:r w:rsidRPr="00387A53">
        <w:rPr>
          <w:rFonts w:ascii="Times New Roman" w:hAnsi="Times New Roman" w:cs="Times New Roman"/>
          <w:sz w:val="32"/>
          <w:szCs w:val="32"/>
        </w:rPr>
        <w:t>United States District Court</w:t>
      </w:r>
    </w:p>
    <w:p w14:paraId="00000005" w14:textId="77777777" w:rsidR="00BA3C3A" w:rsidRPr="00387A53" w:rsidRDefault="00827724" w:rsidP="00C2118B">
      <w:pPr>
        <w:spacing w:after="0" w:line="240" w:lineRule="auto"/>
        <w:ind w:firstLine="0"/>
        <w:jc w:val="center"/>
        <w:rPr>
          <w:rFonts w:ascii="Times New Roman" w:hAnsi="Times New Roman" w:cs="Times New Roman"/>
          <w:sz w:val="32"/>
          <w:szCs w:val="32"/>
        </w:rPr>
      </w:pPr>
      <w:r w:rsidRPr="00387A53">
        <w:rPr>
          <w:rFonts w:ascii="Times New Roman" w:hAnsi="Times New Roman" w:cs="Times New Roman"/>
          <w:sz w:val="32"/>
          <w:szCs w:val="32"/>
        </w:rPr>
        <w:t>Fourteenth Judicial District</w:t>
      </w:r>
    </w:p>
    <w:p w14:paraId="00000006"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________________________________________________________</w:t>
      </w:r>
    </w:p>
    <w:p w14:paraId="00000007" w14:textId="77777777" w:rsidR="00BA3C3A" w:rsidRPr="00735A9B" w:rsidRDefault="00827724" w:rsidP="00735A9B">
      <w:pPr>
        <w:spacing w:after="0"/>
        <w:ind w:firstLine="0"/>
        <w:jc w:val="center"/>
        <w:rPr>
          <w:rFonts w:ascii="Times New Roman" w:hAnsi="Times New Roman" w:cs="Times New Roman"/>
          <w:b/>
          <w:bCs/>
          <w:sz w:val="26"/>
          <w:szCs w:val="26"/>
        </w:rPr>
      </w:pPr>
      <w:r w:rsidRPr="00735A9B">
        <w:rPr>
          <w:rFonts w:ascii="Times New Roman" w:hAnsi="Times New Roman" w:cs="Times New Roman"/>
          <w:b/>
          <w:bCs/>
          <w:sz w:val="26"/>
          <w:szCs w:val="26"/>
        </w:rPr>
        <w:t xml:space="preserve"> </w:t>
      </w:r>
    </w:p>
    <w:p w14:paraId="00000008" w14:textId="77777777" w:rsidR="00BA3C3A" w:rsidRPr="00735A9B" w:rsidRDefault="00827724" w:rsidP="00735A9B">
      <w:pPr>
        <w:spacing w:after="0"/>
        <w:ind w:firstLine="0"/>
        <w:jc w:val="center"/>
        <w:rPr>
          <w:rFonts w:ascii="Times New Roman" w:hAnsi="Times New Roman" w:cs="Times New Roman"/>
          <w:b/>
          <w:bCs/>
          <w:sz w:val="26"/>
          <w:szCs w:val="26"/>
        </w:rPr>
      </w:pPr>
      <w:r w:rsidRPr="00735A9B">
        <w:rPr>
          <w:rFonts w:ascii="Times New Roman" w:hAnsi="Times New Roman" w:cs="Times New Roman"/>
          <w:b/>
          <w:bCs/>
          <w:sz w:val="26"/>
          <w:szCs w:val="26"/>
        </w:rPr>
        <w:t xml:space="preserve"> </w:t>
      </w:r>
    </w:p>
    <w:p w14:paraId="00000009" w14:textId="77777777" w:rsidR="00BA3C3A" w:rsidRPr="00735A9B" w:rsidRDefault="00827724" w:rsidP="00735A9B">
      <w:pPr>
        <w:spacing w:after="0"/>
        <w:ind w:firstLine="0"/>
        <w:jc w:val="center"/>
        <w:rPr>
          <w:rFonts w:ascii="Times New Roman" w:hAnsi="Times New Roman" w:cs="Times New Roman"/>
          <w:b/>
          <w:bCs/>
          <w:sz w:val="26"/>
          <w:szCs w:val="26"/>
        </w:rPr>
      </w:pPr>
      <w:r w:rsidRPr="00735A9B">
        <w:rPr>
          <w:rFonts w:ascii="Times New Roman" w:hAnsi="Times New Roman" w:cs="Times New Roman"/>
          <w:b/>
          <w:bCs/>
          <w:sz w:val="26"/>
          <w:szCs w:val="26"/>
        </w:rPr>
        <w:t>UNITED STATES OF AMERICA</w:t>
      </w:r>
    </w:p>
    <w:p w14:paraId="0000000A" w14:textId="77777777" w:rsidR="00BA3C3A" w:rsidRPr="00735A9B" w:rsidRDefault="00827724" w:rsidP="00735A9B">
      <w:pPr>
        <w:spacing w:after="0"/>
        <w:ind w:firstLine="0"/>
        <w:jc w:val="center"/>
        <w:rPr>
          <w:rFonts w:ascii="Times New Roman" w:hAnsi="Times New Roman" w:cs="Times New Roman"/>
          <w:b/>
          <w:bCs/>
          <w:sz w:val="26"/>
          <w:szCs w:val="26"/>
        </w:rPr>
      </w:pPr>
      <w:r w:rsidRPr="00735A9B">
        <w:rPr>
          <w:rFonts w:ascii="Times New Roman" w:hAnsi="Times New Roman" w:cs="Times New Roman"/>
          <w:b/>
          <w:bCs/>
          <w:sz w:val="26"/>
          <w:szCs w:val="26"/>
        </w:rPr>
        <w:t>v.</w:t>
      </w:r>
    </w:p>
    <w:p w14:paraId="0000000B" w14:textId="77777777" w:rsidR="00BA3C3A" w:rsidRPr="00735A9B" w:rsidRDefault="00827724" w:rsidP="00735A9B">
      <w:pPr>
        <w:spacing w:after="0"/>
        <w:ind w:firstLine="0"/>
        <w:jc w:val="center"/>
        <w:rPr>
          <w:rFonts w:ascii="Times New Roman" w:hAnsi="Times New Roman" w:cs="Times New Roman"/>
          <w:b/>
          <w:bCs/>
          <w:sz w:val="26"/>
          <w:szCs w:val="26"/>
        </w:rPr>
      </w:pPr>
      <w:r w:rsidRPr="00735A9B">
        <w:rPr>
          <w:rFonts w:ascii="Times New Roman" w:hAnsi="Times New Roman" w:cs="Times New Roman"/>
          <w:b/>
          <w:bCs/>
          <w:sz w:val="26"/>
          <w:szCs w:val="26"/>
        </w:rPr>
        <w:t>EMILY CALLOWAY</w:t>
      </w:r>
    </w:p>
    <w:p w14:paraId="0000000C"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 xml:space="preserve"> </w:t>
      </w:r>
    </w:p>
    <w:p w14:paraId="0000000D"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 xml:space="preserve"> </w:t>
      </w:r>
    </w:p>
    <w:p w14:paraId="0000000E"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__________________________________________________________________</w:t>
      </w:r>
    </w:p>
    <w:p w14:paraId="0000000F"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MOVANT’S MEMORANDUM OF LAW</w:t>
      </w:r>
    </w:p>
    <w:p w14:paraId="00000010" w14:textId="77777777" w:rsidR="00BA3C3A" w:rsidRPr="00735A9B" w:rsidRDefault="00827724" w:rsidP="00735A9B">
      <w:pPr>
        <w:spacing w:after="0"/>
        <w:ind w:firstLine="0"/>
        <w:jc w:val="center"/>
        <w:rPr>
          <w:rFonts w:ascii="Times New Roman" w:hAnsi="Times New Roman" w:cs="Times New Roman"/>
          <w:sz w:val="26"/>
          <w:szCs w:val="26"/>
        </w:rPr>
      </w:pPr>
      <w:r w:rsidRPr="00735A9B">
        <w:rPr>
          <w:rFonts w:ascii="Times New Roman" w:hAnsi="Times New Roman" w:cs="Times New Roman"/>
          <w:sz w:val="26"/>
          <w:szCs w:val="26"/>
        </w:rPr>
        <w:t>__________________________________________________________________</w:t>
      </w:r>
    </w:p>
    <w:p w14:paraId="00000011" w14:textId="77777777" w:rsidR="00BA3C3A" w:rsidRPr="00735A9B" w:rsidRDefault="00827724" w:rsidP="00735A9B">
      <w:pPr>
        <w:spacing w:after="0"/>
        <w:ind w:left="5760" w:firstLine="0"/>
        <w:rPr>
          <w:rFonts w:ascii="Times New Roman" w:hAnsi="Times New Roman" w:cs="Times New Roman"/>
          <w:sz w:val="26"/>
          <w:szCs w:val="26"/>
        </w:rPr>
      </w:pPr>
      <w:r w:rsidRPr="00735A9B">
        <w:rPr>
          <w:rFonts w:ascii="Times New Roman" w:hAnsi="Times New Roman" w:cs="Times New Roman"/>
          <w:sz w:val="26"/>
          <w:szCs w:val="26"/>
        </w:rPr>
        <w:t xml:space="preserve"> </w:t>
      </w:r>
    </w:p>
    <w:p w14:paraId="00000012" w14:textId="77777777" w:rsidR="00BA3C3A" w:rsidRPr="00735A9B" w:rsidRDefault="00827724" w:rsidP="00735A9B">
      <w:pPr>
        <w:spacing w:after="0"/>
        <w:ind w:left="5760" w:firstLine="0"/>
        <w:rPr>
          <w:rFonts w:ascii="Times New Roman" w:hAnsi="Times New Roman" w:cs="Times New Roman"/>
          <w:sz w:val="26"/>
          <w:szCs w:val="26"/>
        </w:rPr>
      </w:pPr>
      <w:r w:rsidRPr="00735A9B">
        <w:rPr>
          <w:rFonts w:ascii="Times New Roman" w:hAnsi="Times New Roman" w:cs="Times New Roman"/>
          <w:sz w:val="26"/>
          <w:szCs w:val="26"/>
        </w:rPr>
        <w:t>Team 301</w:t>
      </w:r>
    </w:p>
    <w:p w14:paraId="2D7B2A9C" w14:textId="4DE40A11" w:rsidR="00387A53" w:rsidRDefault="00827724" w:rsidP="00387A53">
      <w:pPr>
        <w:spacing w:after="0"/>
        <w:ind w:left="5760" w:firstLine="0"/>
        <w:rPr>
          <w:rFonts w:ascii="Times New Roman" w:hAnsi="Times New Roman" w:cs="Times New Roman"/>
          <w:sz w:val="26"/>
          <w:szCs w:val="26"/>
        </w:rPr>
        <w:sectPr w:rsidR="00387A53" w:rsidSect="00387A53">
          <w:footerReference w:type="even" r:id="rId6"/>
          <w:footerReference w:type="default" r:id="rId7"/>
          <w:headerReference w:type="first" r:id="rId8"/>
          <w:footerReference w:type="first" r:id="rId9"/>
          <w:pgSz w:w="12240" w:h="15840"/>
          <w:pgMar w:top="1440" w:right="1440" w:bottom="1440" w:left="1440" w:header="720" w:footer="720" w:gutter="0"/>
          <w:pgNumType w:fmt="lowerRoman" w:start="1"/>
          <w:cols w:space="720"/>
          <w:titlePg/>
        </w:sectPr>
      </w:pPr>
      <w:r w:rsidRPr="00735A9B">
        <w:rPr>
          <w:rFonts w:ascii="Times New Roman" w:hAnsi="Times New Roman" w:cs="Times New Roman"/>
          <w:sz w:val="26"/>
          <w:szCs w:val="26"/>
        </w:rPr>
        <w:t>Counsel for Defendant</w:t>
      </w:r>
      <w:bookmarkStart w:id="0" w:name="_jkxrx0v5pmcv" w:colFirst="0" w:colLast="0"/>
      <w:bookmarkEnd w:id="0"/>
    </w:p>
    <w:p w14:paraId="00000015" w14:textId="77777777" w:rsidR="00BA3C3A" w:rsidRDefault="00827724" w:rsidP="00387A53">
      <w:pPr>
        <w:pStyle w:val="Heading1"/>
        <w:spacing w:after="0" w:line="240" w:lineRule="auto"/>
        <w:ind w:left="0" w:firstLine="0"/>
        <w:jc w:val="center"/>
        <w:rPr>
          <w:rFonts w:ascii="Times New Roman" w:hAnsi="Times New Roman" w:cs="Times New Roman"/>
          <w:sz w:val="26"/>
          <w:szCs w:val="26"/>
        </w:rPr>
      </w:pPr>
      <w:bookmarkStart w:id="1" w:name="_Toc239095272"/>
      <w:r w:rsidRPr="00735A9B">
        <w:rPr>
          <w:rFonts w:ascii="Times New Roman" w:hAnsi="Times New Roman" w:cs="Times New Roman"/>
          <w:sz w:val="26"/>
          <w:szCs w:val="26"/>
        </w:rPr>
        <w:lastRenderedPageBreak/>
        <w:t>TABLE OF CONTENTS</w:t>
      </w:r>
      <w:bookmarkEnd w:id="1"/>
    </w:p>
    <w:p w14:paraId="5CD2B752" w14:textId="77777777" w:rsidR="00387A53" w:rsidRPr="00387A53" w:rsidRDefault="00387A53" w:rsidP="00387A53">
      <w:pPr>
        <w:spacing w:after="0" w:line="240" w:lineRule="auto"/>
      </w:pPr>
    </w:p>
    <w:sdt>
      <w:sdtPr>
        <w:rPr>
          <w:rFonts w:ascii="Times New Roman" w:hAnsi="Times New Roman" w:cs="Times New Roman"/>
          <w:sz w:val="26"/>
          <w:szCs w:val="26"/>
        </w:rPr>
        <w:id w:val="1096292245"/>
        <w:docPartObj>
          <w:docPartGallery w:val="Table of Contents"/>
          <w:docPartUnique/>
        </w:docPartObj>
      </w:sdtPr>
      <w:sdtEndPr/>
      <w:sdtContent>
        <w:p w14:paraId="1E2E80CF" w14:textId="07567DEE" w:rsidR="00735A9B" w:rsidRPr="00735A9B" w:rsidRDefault="00827724" w:rsidP="00387A53">
          <w:pPr>
            <w:pStyle w:val="TOC1"/>
            <w:tabs>
              <w:tab w:val="right" w:leader="dot" w:pos="9350"/>
            </w:tabs>
            <w:spacing w:after="0" w:line="240" w:lineRule="auto"/>
            <w:ind w:firstLine="0"/>
            <w:rPr>
              <w:rFonts w:ascii="Times New Roman" w:eastAsiaTheme="minorEastAsia" w:hAnsi="Times New Roman" w:cs="Times New Roman"/>
              <w:noProof/>
              <w:kern w:val="2"/>
              <w:sz w:val="26"/>
              <w:szCs w:val="26"/>
              <w:lang w:val="en-US"/>
              <w14:ligatures w14:val="standardContextual"/>
            </w:rPr>
          </w:pPr>
          <w:r w:rsidRPr="00735A9B">
            <w:rPr>
              <w:rFonts w:ascii="Times New Roman" w:hAnsi="Times New Roman" w:cs="Times New Roman"/>
              <w:sz w:val="26"/>
              <w:szCs w:val="26"/>
            </w:rPr>
            <w:fldChar w:fldCharType="begin"/>
          </w:r>
          <w:r w:rsidRPr="00735A9B">
            <w:rPr>
              <w:rFonts w:ascii="Times New Roman" w:hAnsi="Times New Roman" w:cs="Times New Roman"/>
              <w:sz w:val="26"/>
              <w:szCs w:val="26"/>
            </w:rPr>
            <w:instrText xml:space="preserve"> TOC \h \u \z \t "Heading 1,1,Heading 2,2,Heading 3,3,Heading 4,4,Heading 5,5,Heading 6,6,"</w:instrText>
          </w:r>
          <w:r w:rsidRPr="00735A9B">
            <w:rPr>
              <w:rFonts w:ascii="Times New Roman" w:hAnsi="Times New Roman" w:cs="Times New Roman"/>
              <w:sz w:val="26"/>
              <w:szCs w:val="26"/>
            </w:rPr>
            <w:fldChar w:fldCharType="separate"/>
          </w:r>
          <w:hyperlink w:anchor="_Toc239095274" w:history="1">
            <w:r w:rsidR="00735A9B" w:rsidRPr="00735A9B">
              <w:rPr>
                <w:rStyle w:val="Hyperlink"/>
                <w:rFonts w:ascii="Times New Roman" w:hAnsi="Times New Roman" w:cs="Times New Roman"/>
                <w:noProof/>
                <w:sz w:val="26"/>
                <w:szCs w:val="26"/>
              </w:rPr>
              <w:t>I. INTRODUCTION</w:t>
            </w:r>
            <w:r w:rsidR="00735A9B" w:rsidRPr="00735A9B">
              <w:rPr>
                <w:rFonts w:ascii="Times New Roman" w:hAnsi="Times New Roman" w:cs="Times New Roman"/>
                <w:noProof/>
                <w:webHidden/>
                <w:sz w:val="26"/>
                <w:szCs w:val="26"/>
              </w:rPr>
              <w:tab/>
            </w:r>
            <w:r w:rsidR="00735A9B" w:rsidRPr="00735A9B">
              <w:rPr>
                <w:rFonts w:ascii="Times New Roman" w:hAnsi="Times New Roman" w:cs="Times New Roman"/>
                <w:noProof/>
                <w:webHidden/>
                <w:sz w:val="26"/>
                <w:szCs w:val="26"/>
              </w:rPr>
              <w:fldChar w:fldCharType="begin"/>
            </w:r>
            <w:r w:rsidR="00735A9B" w:rsidRPr="00735A9B">
              <w:rPr>
                <w:rFonts w:ascii="Times New Roman" w:hAnsi="Times New Roman" w:cs="Times New Roman"/>
                <w:noProof/>
                <w:webHidden/>
                <w:sz w:val="26"/>
                <w:szCs w:val="26"/>
              </w:rPr>
              <w:instrText xml:space="preserve"> PAGEREF _Toc239095274 \h </w:instrText>
            </w:r>
            <w:r w:rsidR="00735A9B" w:rsidRPr="00735A9B">
              <w:rPr>
                <w:rFonts w:ascii="Times New Roman" w:hAnsi="Times New Roman" w:cs="Times New Roman"/>
                <w:noProof/>
                <w:webHidden/>
                <w:sz w:val="26"/>
                <w:szCs w:val="26"/>
              </w:rPr>
            </w:r>
            <w:r w:rsidR="00735A9B" w:rsidRPr="00735A9B">
              <w:rPr>
                <w:rFonts w:ascii="Times New Roman" w:hAnsi="Times New Roman" w:cs="Times New Roman"/>
                <w:noProof/>
                <w:webHidden/>
                <w:sz w:val="26"/>
                <w:szCs w:val="26"/>
              </w:rPr>
              <w:fldChar w:fldCharType="separate"/>
            </w:r>
            <w:r w:rsidR="00735A9B" w:rsidRPr="00735A9B">
              <w:rPr>
                <w:rFonts w:ascii="Times New Roman" w:hAnsi="Times New Roman" w:cs="Times New Roman"/>
                <w:noProof/>
                <w:webHidden/>
                <w:sz w:val="26"/>
                <w:szCs w:val="26"/>
              </w:rPr>
              <w:t>1</w:t>
            </w:r>
            <w:r w:rsidR="00735A9B" w:rsidRPr="00735A9B">
              <w:rPr>
                <w:rFonts w:ascii="Times New Roman" w:hAnsi="Times New Roman" w:cs="Times New Roman"/>
                <w:noProof/>
                <w:webHidden/>
                <w:sz w:val="26"/>
                <w:szCs w:val="26"/>
              </w:rPr>
              <w:fldChar w:fldCharType="end"/>
            </w:r>
          </w:hyperlink>
        </w:p>
        <w:p w14:paraId="79103B25" w14:textId="48028C7B" w:rsidR="00735A9B" w:rsidRPr="00735A9B" w:rsidRDefault="00735A9B" w:rsidP="00387A53">
          <w:pPr>
            <w:pStyle w:val="TOC1"/>
            <w:tabs>
              <w:tab w:val="right" w:leader="dot" w:pos="9350"/>
            </w:tabs>
            <w:spacing w:after="0" w:line="240" w:lineRule="auto"/>
            <w:ind w:firstLine="0"/>
            <w:rPr>
              <w:rFonts w:ascii="Times New Roman" w:eastAsiaTheme="minorEastAsia" w:hAnsi="Times New Roman" w:cs="Times New Roman"/>
              <w:noProof/>
              <w:kern w:val="2"/>
              <w:sz w:val="26"/>
              <w:szCs w:val="26"/>
              <w:lang w:val="en-US"/>
              <w14:ligatures w14:val="standardContextual"/>
            </w:rPr>
          </w:pPr>
          <w:hyperlink w:anchor="_Toc239095275" w:history="1">
            <w:r w:rsidRPr="00735A9B">
              <w:rPr>
                <w:rStyle w:val="Hyperlink"/>
                <w:rFonts w:ascii="Times New Roman" w:hAnsi="Times New Roman" w:cs="Times New Roman"/>
                <w:noProof/>
                <w:sz w:val="26"/>
                <w:szCs w:val="26"/>
              </w:rPr>
              <w:t>II. STATEMENT OF FACTS</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_Toc239095275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2</w:t>
            </w:r>
            <w:r w:rsidRPr="00735A9B">
              <w:rPr>
                <w:rFonts w:ascii="Times New Roman" w:hAnsi="Times New Roman" w:cs="Times New Roman"/>
                <w:noProof/>
                <w:webHidden/>
                <w:sz w:val="26"/>
                <w:szCs w:val="26"/>
              </w:rPr>
              <w:fldChar w:fldCharType="end"/>
            </w:r>
          </w:hyperlink>
        </w:p>
        <w:p w14:paraId="7EB9F240" w14:textId="7902E06D" w:rsidR="00735A9B" w:rsidRPr="00735A9B" w:rsidRDefault="00735A9B" w:rsidP="00387A53">
          <w:pPr>
            <w:pStyle w:val="TOC1"/>
            <w:tabs>
              <w:tab w:val="right" w:leader="dot" w:pos="9350"/>
            </w:tabs>
            <w:spacing w:after="0" w:line="240" w:lineRule="auto"/>
            <w:ind w:firstLine="0"/>
            <w:rPr>
              <w:rFonts w:ascii="Times New Roman" w:eastAsiaTheme="minorEastAsia" w:hAnsi="Times New Roman" w:cs="Times New Roman"/>
              <w:noProof/>
              <w:kern w:val="2"/>
              <w:sz w:val="26"/>
              <w:szCs w:val="26"/>
              <w:lang w:val="en-US"/>
              <w14:ligatures w14:val="standardContextual"/>
            </w:rPr>
          </w:pPr>
          <w:hyperlink w:anchor="_Toc239095276" w:history="1">
            <w:r w:rsidRPr="00735A9B">
              <w:rPr>
                <w:rStyle w:val="Hyperlink"/>
                <w:rFonts w:ascii="Times New Roman" w:hAnsi="Times New Roman" w:cs="Times New Roman"/>
                <w:noProof/>
                <w:sz w:val="26"/>
                <w:szCs w:val="26"/>
              </w:rPr>
              <w:t>III. ARGUMENT</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_Toc239095276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4</w:t>
            </w:r>
            <w:r w:rsidRPr="00735A9B">
              <w:rPr>
                <w:rFonts w:ascii="Times New Roman" w:hAnsi="Times New Roman" w:cs="Times New Roman"/>
                <w:noProof/>
                <w:webHidden/>
                <w:sz w:val="26"/>
                <w:szCs w:val="26"/>
              </w:rPr>
              <w:fldChar w:fldCharType="end"/>
            </w:r>
          </w:hyperlink>
        </w:p>
        <w:p w14:paraId="3E8F6C2C" w14:textId="1249E8B1" w:rsidR="00735A9B" w:rsidRPr="00735A9B" w:rsidRDefault="00735A9B" w:rsidP="00387A53">
          <w:pPr>
            <w:pStyle w:val="TOC2"/>
            <w:rPr>
              <w:rFonts w:eastAsiaTheme="minorEastAsia"/>
              <w:noProof/>
              <w:kern w:val="2"/>
              <w:lang w:val="en-US"/>
              <w14:ligatures w14:val="standardContextual"/>
            </w:rPr>
          </w:pPr>
          <w:hyperlink w:anchor="_Toc239095277" w:history="1">
            <w:r w:rsidRPr="00735A9B">
              <w:rPr>
                <w:rStyle w:val="Hyperlink"/>
                <w:rFonts w:ascii="Times New Roman" w:hAnsi="Times New Roman" w:cs="Times New Roman"/>
                <w:noProof/>
                <w:sz w:val="26"/>
                <w:szCs w:val="26"/>
              </w:rPr>
              <w:t xml:space="preserve">A. </w:t>
            </w:r>
            <w:r w:rsidRPr="00735A9B">
              <w:rPr>
                <w:rFonts w:eastAsiaTheme="minorEastAsia"/>
                <w:noProof/>
                <w:kern w:val="2"/>
                <w:lang w:val="en-US"/>
                <w14:ligatures w14:val="standardContextual"/>
              </w:rPr>
              <w:tab/>
            </w:r>
            <w:r w:rsidRPr="00735A9B">
              <w:rPr>
                <w:rStyle w:val="Hyperlink"/>
                <w:rFonts w:ascii="Times New Roman" w:hAnsi="Times New Roman" w:cs="Times New Roman"/>
                <w:noProof/>
                <w:sz w:val="26"/>
                <w:szCs w:val="26"/>
              </w:rPr>
              <w:t>Evidence discovered by the United States and the testimony of Kennedy Parker should be suppressed because it was obtained in violation of a court order.</w:t>
            </w:r>
            <w:r w:rsidRPr="00735A9B">
              <w:rPr>
                <w:noProof/>
                <w:webHidden/>
              </w:rPr>
              <w:tab/>
            </w:r>
            <w:r w:rsidRPr="00735A9B">
              <w:rPr>
                <w:noProof/>
                <w:webHidden/>
              </w:rPr>
              <w:fldChar w:fldCharType="begin"/>
            </w:r>
            <w:r w:rsidRPr="00735A9B">
              <w:rPr>
                <w:noProof/>
                <w:webHidden/>
              </w:rPr>
              <w:instrText xml:space="preserve"> PAGEREF _Toc239095277 \h </w:instrText>
            </w:r>
            <w:r w:rsidRPr="00735A9B">
              <w:rPr>
                <w:noProof/>
                <w:webHidden/>
              </w:rPr>
            </w:r>
            <w:r w:rsidRPr="00735A9B">
              <w:rPr>
                <w:noProof/>
                <w:webHidden/>
              </w:rPr>
              <w:fldChar w:fldCharType="separate"/>
            </w:r>
            <w:r w:rsidRPr="00735A9B">
              <w:rPr>
                <w:noProof/>
                <w:webHidden/>
              </w:rPr>
              <w:t>4</w:t>
            </w:r>
            <w:r w:rsidRPr="00735A9B">
              <w:rPr>
                <w:noProof/>
                <w:webHidden/>
              </w:rPr>
              <w:fldChar w:fldCharType="end"/>
            </w:r>
          </w:hyperlink>
        </w:p>
        <w:p w14:paraId="1F35B59E" w14:textId="4EE4C454"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78" w:history="1">
            <w:r w:rsidRPr="00735A9B">
              <w:rPr>
                <w:rStyle w:val="Hyperlink"/>
                <w:rFonts w:ascii="Times New Roman" w:hAnsi="Times New Roman" w:cs="Times New Roman"/>
                <w:noProof/>
                <w:sz w:val="26"/>
                <w:szCs w:val="26"/>
              </w:rPr>
              <w:t xml:space="preserve">1.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hAnsi="Times New Roman" w:cs="Times New Roman"/>
                <w:noProof/>
                <w:sz w:val="26"/>
                <w:szCs w:val="26"/>
              </w:rPr>
              <w:t>The Constitutional Protection of the 5th Amendment Creates the Promise of a Wall.</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_Toc239095278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5</w:t>
            </w:r>
            <w:r w:rsidRPr="00735A9B">
              <w:rPr>
                <w:rFonts w:ascii="Times New Roman" w:hAnsi="Times New Roman" w:cs="Times New Roman"/>
                <w:noProof/>
                <w:webHidden/>
                <w:sz w:val="26"/>
                <w:szCs w:val="26"/>
              </w:rPr>
              <w:fldChar w:fldCharType="end"/>
            </w:r>
          </w:hyperlink>
        </w:p>
        <w:p w14:paraId="6A853BDF" w14:textId="4B081737"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79" w:history="1">
            <w:r w:rsidRPr="00735A9B">
              <w:rPr>
                <w:rStyle w:val="Hyperlink"/>
                <w:rFonts w:ascii="Times New Roman" w:hAnsi="Times New Roman" w:cs="Times New Roman"/>
                <w:noProof/>
                <w:sz w:val="26"/>
                <w:szCs w:val="26"/>
              </w:rPr>
              <w:t xml:space="preserve">2.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hAnsi="Times New Roman" w:cs="Times New Roman"/>
                <w:noProof/>
                <w:sz w:val="26"/>
                <w:szCs w:val="26"/>
              </w:rPr>
              <w:t>The Wall Protocol Was Inadequate.</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_Toc239095279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6</w:t>
            </w:r>
            <w:r w:rsidRPr="00735A9B">
              <w:rPr>
                <w:rFonts w:ascii="Times New Roman" w:hAnsi="Times New Roman" w:cs="Times New Roman"/>
                <w:noProof/>
                <w:webHidden/>
                <w:sz w:val="26"/>
                <w:szCs w:val="26"/>
              </w:rPr>
              <w:fldChar w:fldCharType="end"/>
            </w:r>
          </w:hyperlink>
        </w:p>
        <w:p w14:paraId="1456D32C" w14:textId="1EB172AC"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80" w:history="1">
            <w:r w:rsidRPr="00735A9B">
              <w:rPr>
                <w:rStyle w:val="Hyperlink"/>
                <w:rFonts w:ascii="Times New Roman" w:hAnsi="Times New Roman" w:cs="Times New Roman"/>
                <w:noProof/>
                <w:sz w:val="26"/>
                <w:szCs w:val="26"/>
              </w:rPr>
              <w:t xml:space="preserve">3.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eastAsia="Times New Roman" w:hAnsi="Times New Roman" w:cs="Times New Roman"/>
                <w:noProof/>
                <w:sz w:val="26"/>
                <w:szCs w:val="26"/>
              </w:rPr>
              <w:t xml:space="preserve">The Warehouse Evidence </w:t>
            </w:r>
            <w:r w:rsidRPr="00735A9B">
              <w:rPr>
                <w:rStyle w:val="Hyperlink"/>
                <w:rFonts w:ascii="Times New Roman" w:hAnsi="Times New Roman" w:cs="Times New Roman"/>
                <w:noProof/>
                <w:sz w:val="26"/>
                <w:szCs w:val="26"/>
              </w:rPr>
              <w:t>and Parker Testimony Rewards the Faux Wall.</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_Toc239095280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7</w:t>
            </w:r>
            <w:r w:rsidRPr="00735A9B">
              <w:rPr>
                <w:rFonts w:ascii="Times New Roman" w:hAnsi="Times New Roman" w:cs="Times New Roman"/>
                <w:noProof/>
                <w:webHidden/>
                <w:sz w:val="26"/>
                <w:szCs w:val="26"/>
              </w:rPr>
              <w:fldChar w:fldCharType="end"/>
            </w:r>
          </w:hyperlink>
        </w:p>
        <w:p w14:paraId="61F00DCF" w14:textId="2A8CCA14" w:rsidR="00735A9B" w:rsidRPr="00735A9B" w:rsidRDefault="00735A9B" w:rsidP="00387A53">
          <w:pPr>
            <w:pStyle w:val="TOC2"/>
            <w:rPr>
              <w:rFonts w:eastAsiaTheme="minorEastAsia"/>
              <w:noProof/>
              <w:kern w:val="2"/>
              <w:lang w:val="en-US"/>
              <w14:ligatures w14:val="standardContextual"/>
            </w:rPr>
          </w:pPr>
          <w:hyperlink w:anchor="_Toc239095281" w:history="1">
            <w:r w:rsidRPr="00735A9B">
              <w:rPr>
                <w:rStyle w:val="Hyperlink"/>
                <w:rFonts w:ascii="Times New Roman" w:hAnsi="Times New Roman" w:cs="Times New Roman"/>
                <w:noProof/>
                <w:sz w:val="26"/>
                <w:szCs w:val="26"/>
              </w:rPr>
              <w:t xml:space="preserve">B. </w:t>
            </w:r>
            <w:r w:rsidR="00387A53">
              <w:rPr>
                <w:rStyle w:val="Hyperlink"/>
                <w:rFonts w:ascii="Times New Roman" w:hAnsi="Times New Roman" w:cs="Times New Roman"/>
                <w:noProof/>
                <w:sz w:val="26"/>
                <w:szCs w:val="26"/>
              </w:rPr>
              <w:tab/>
            </w:r>
            <w:r w:rsidRPr="00735A9B">
              <w:rPr>
                <w:rStyle w:val="Hyperlink"/>
                <w:rFonts w:ascii="Times New Roman" w:hAnsi="Times New Roman" w:cs="Times New Roman"/>
                <w:noProof/>
                <w:sz w:val="26"/>
                <w:szCs w:val="26"/>
              </w:rPr>
              <w:t>The United States’s Subpoena Duces Tecum on Maddox Armana should be quashed because the records of Armana’s interview of Sierra Seton are protected under the work-product protection.</w:t>
            </w:r>
            <w:r w:rsidRPr="00735A9B">
              <w:rPr>
                <w:noProof/>
                <w:webHidden/>
              </w:rPr>
              <w:tab/>
            </w:r>
            <w:r w:rsidRPr="00735A9B">
              <w:rPr>
                <w:noProof/>
                <w:webHidden/>
              </w:rPr>
              <w:fldChar w:fldCharType="begin"/>
            </w:r>
            <w:r w:rsidRPr="00735A9B">
              <w:rPr>
                <w:noProof/>
                <w:webHidden/>
              </w:rPr>
              <w:instrText xml:space="preserve"> PAGEREF _Toc239095281 \h </w:instrText>
            </w:r>
            <w:r w:rsidRPr="00735A9B">
              <w:rPr>
                <w:noProof/>
                <w:webHidden/>
              </w:rPr>
            </w:r>
            <w:r w:rsidRPr="00735A9B">
              <w:rPr>
                <w:noProof/>
                <w:webHidden/>
              </w:rPr>
              <w:fldChar w:fldCharType="separate"/>
            </w:r>
            <w:r w:rsidRPr="00735A9B">
              <w:rPr>
                <w:noProof/>
                <w:webHidden/>
              </w:rPr>
              <w:t>8</w:t>
            </w:r>
            <w:r w:rsidRPr="00735A9B">
              <w:rPr>
                <w:noProof/>
                <w:webHidden/>
              </w:rPr>
              <w:fldChar w:fldCharType="end"/>
            </w:r>
          </w:hyperlink>
        </w:p>
        <w:p w14:paraId="514E9B56" w14:textId="1D96167C"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82" w:history="1">
            <w:r w:rsidRPr="00735A9B">
              <w:rPr>
                <w:rStyle w:val="Hyperlink"/>
                <w:rFonts w:ascii="Times New Roman" w:hAnsi="Times New Roman" w:cs="Times New Roman"/>
                <w:noProof/>
                <w:sz w:val="26"/>
                <w:szCs w:val="26"/>
              </w:rPr>
              <w:t xml:space="preserve">1.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hAnsi="Times New Roman" w:cs="Times New Roman"/>
                <w:noProof/>
                <w:sz w:val="26"/>
                <w:szCs w:val="26"/>
              </w:rPr>
              <w:t>Maddox Armana is an Agent of the Defendant and, as Such, is Covered By Work Product Protection.</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_Toc239095282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9</w:t>
            </w:r>
            <w:r w:rsidRPr="00735A9B">
              <w:rPr>
                <w:rFonts w:ascii="Times New Roman" w:hAnsi="Times New Roman" w:cs="Times New Roman"/>
                <w:noProof/>
                <w:webHidden/>
                <w:sz w:val="26"/>
                <w:szCs w:val="26"/>
              </w:rPr>
              <w:fldChar w:fldCharType="end"/>
            </w:r>
          </w:hyperlink>
        </w:p>
        <w:p w14:paraId="4FAA039D" w14:textId="112027DE"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83" w:history="1">
            <w:r w:rsidRPr="00735A9B">
              <w:rPr>
                <w:rStyle w:val="Hyperlink"/>
                <w:rFonts w:ascii="Times New Roman" w:hAnsi="Times New Roman" w:cs="Times New Roman"/>
                <w:noProof/>
                <w:sz w:val="26"/>
                <w:szCs w:val="26"/>
              </w:rPr>
              <w:t xml:space="preserve">2.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hAnsi="Times New Roman" w:cs="Times New Roman"/>
                <w:noProof/>
                <w:sz w:val="26"/>
                <w:szCs w:val="26"/>
              </w:rPr>
              <w:t>Armana’s Opinion Work Product Should Not Be Produced.</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_Toc239095283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11</w:t>
            </w:r>
            <w:r w:rsidRPr="00735A9B">
              <w:rPr>
                <w:rFonts w:ascii="Times New Roman" w:hAnsi="Times New Roman" w:cs="Times New Roman"/>
                <w:noProof/>
                <w:webHidden/>
                <w:sz w:val="26"/>
                <w:szCs w:val="26"/>
              </w:rPr>
              <w:fldChar w:fldCharType="end"/>
            </w:r>
          </w:hyperlink>
        </w:p>
        <w:p w14:paraId="485981EA" w14:textId="15D211F9" w:rsidR="00735A9B" w:rsidRPr="00735A9B" w:rsidRDefault="00735A9B" w:rsidP="00735A9B">
          <w:pPr>
            <w:pStyle w:val="TOC3"/>
            <w:tabs>
              <w:tab w:val="right" w:leader="dot" w:pos="9350"/>
            </w:tabs>
            <w:spacing w:after="0" w:line="240" w:lineRule="auto"/>
            <w:ind w:left="2160" w:hanging="720"/>
            <w:rPr>
              <w:rFonts w:ascii="Times New Roman" w:eastAsiaTheme="minorEastAsia" w:hAnsi="Times New Roman" w:cs="Times New Roman"/>
              <w:noProof/>
              <w:kern w:val="2"/>
              <w:sz w:val="26"/>
              <w:szCs w:val="26"/>
              <w:lang w:val="en-US"/>
              <w14:ligatures w14:val="standardContextual"/>
            </w:rPr>
          </w:pPr>
          <w:hyperlink w:anchor="_Toc239095284" w:history="1">
            <w:r w:rsidRPr="00735A9B">
              <w:rPr>
                <w:rStyle w:val="Hyperlink"/>
                <w:rFonts w:ascii="Times New Roman" w:hAnsi="Times New Roman" w:cs="Times New Roman"/>
                <w:noProof/>
                <w:sz w:val="26"/>
                <w:szCs w:val="26"/>
              </w:rPr>
              <w:t xml:space="preserve">3. </w:t>
            </w:r>
            <w:r w:rsidRPr="00735A9B">
              <w:rPr>
                <w:rFonts w:ascii="Times New Roman" w:eastAsiaTheme="minorEastAsia" w:hAnsi="Times New Roman" w:cs="Times New Roman"/>
                <w:noProof/>
                <w:kern w:val="2"/>
                <w:sz w:val="26"/>
                <w:szCs w:val="26"/>
                <w:lang w:val="en-US"/>
                <w14:ligatures w14:val="standardContextual"/>
              </w:rPr>
              <w:tab/>
            </w:r>
            <w:r w:rsidRPr="00735A9B">
              <w:rPr>
                <w:rStyle w:val="Hyperlink"/>
                <w:rFonts w:ascii="Times New Roman" w:hAnsi="Times New Roman" w:cs="Times New Roman"/>
                <w:noProof/>
                <w:sz w:val="26"/>
                <w:szCs w:val="26"/>
              </w:rPr>
              <w:t>The Government Cannot Demonstrate Substantial Need for the Information.</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_Toc239095284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13</w:t>
            </w:r>
            <w:r w:rsidRPr="00735A9B">
              <w:rPr>
                <w:rFonts w:ascii="Times New Roman" w:hAnsi="Times New Roman" w:cs="Times New Roman"/>
                <w:noProof/>
                <w:webHidden/>
                <w:sz w:val="26"/>
                <w:szCs w:val="26"/>
              </w:rPr>
              <w:fldChar w:fldCharType="end"/>
            </w:r>
          </w:hyperlink>
        </w:p>
        <w:p w14:paraId="2CD9CCB8" w14:textId="509A8EE0" w:rsidR="00735A9B" w:rsidRPr="00735A9B" w:rsidRDefault="00735A9B" w:rsidP="00735A9B">
          <w:pPr>
            <w:pStyle w:val="TOC1"/>
            <w:tabs>
              <w:tab w:val="right" w:leader="dot" w:pos="9350"/>
            </w:tabs>
            <w:spacing w:after="0" w:line="240" w:lineRule="auto"/>
            <w:ind w:firstLine="0"/>
            <w:rPr>
              <w:rFonts w:ascii="Times New Roman" w:eastAsiaTheme="minorEastAsia" w:hAnsi="Times New Roman" w:cs="Times New Roman"/>
              <w:noProof/>
              <w:kern w:val="2"/>
              <w:sz w:val="26"/>
              <w:szCs w:val="26"/>
              <w:lang w:val="en-US"/>
              <w14:ligatures w14:val="standardContextual"/>
            </w:rPr>
          </w:pPr>
          <w:hyperlink w:anchor="_Toc239095285" w:history="1">
            <w:r w:rsidRPr="00735A9B">
              <w:rPr>
                <w:rStyle w:val="Hyperlink"/>
                <w:rFonts w:ascii="Times New Roman" w:hAnsi="Times New Roman" w:cs="Times New Roman"/>
                <w:noProof/>
                <w:sz w:val="26"/>
                <w:szCs w:val="26"/>
              </w:rPr>
              <w:t>IV. CONCLUSION AND PRAYER FOR RELIEF</w:t>
            </w:r>
            <w:r w:rsidRPr="00735A9B">
              <w:rPr>
                <w:rFonts w:ascii="Times New Roman" w:hAnsi="Times New Roman" w:cs="Times New Roman"/>
                <w:noProof/>
                <w:webHidden/>
                <w:sz w:val="26"/>
                <w:szCs w:val="26"/>
              </w:rPr>
              <w:tab/>
            </w:r>
            <w:r w:rsidRPr="00735A9B">
              <w:rPr>
                <w:rFonts w:ascii="Times New Roman" w:hAnsi="Times New Roman" w:cs="Times New Roman"/>
                <w:noProof/>
                <w:webHidden/>
                <w:sz w:val="26"/>
                <w:szCs w:val="26"/>
              </w:rPr>
              <w:fldChar w:fldCharType="begin"/>
            </w:r>
            <w:r w:rsidRPr="00735A9B">
              <w:rPr>
                <w:rFonts w:ascii="Times New Roman" w:hAnsi="Times New Roman" w:cs="Times New Roman"/>
                <w:noProof/>
                <w:webHidden/>
                <w:sz w:val="26"/>
                <w:szCs w:val="26"/>
              </w:rPr>
              <w:instrText xml:space="preserve"> PAGEREF _Toc239095285 \h </w:instrText>
            </w:r>
            <w:r w:rsidRPr="00735A9B">
              <w:rPr>
                <w:rFonts w:ascii="Times New Roman" w:hAnsi="Times New Roman" w:cs="Times New Roman"/>
                <w:noProof/>
                <w:webHidden/>
                <w:sz w:val="26"/>
                <w:szCs w:val="26"/>
              </w:rPr>
            </w:r>
            <w:r w:rsidRPr="00735A9B">
              <w:rPr>
                <w:rFonts w:ascii="Times New Roman" w:hAnsi="Times New Roman" w:cs="Times New Roman"/>
                <w:noProof/>
                <w:webHidden/>
                <w:sz w:val="26"/>
                <w:szCs w:val="26"/>
              </w:rPr>
              <w:fldChar w:fldCharType="separate"/>
            </w:r>
            <w:r w:rsidRPr="00735A9B">
              <w:rPr>
                <w:rFonts w:ascii="Times New Roman" w:hAnsi="Times New Roman" w:cs="Times New Roman"/>
                <w:noProof/>
                <w:webHidden/>
                <w:sz w:val="26"/>
                <w:szCs w:val="26"/>
              </w:rPr>
              <w:t>15</w:t>
            </w:r>
            <w:r w:rsidRPr="00735A9B">
              <w:rPr>
                <w:rFonts w:ascii="Times New Roman" w:hAnsi="Times New Roman" w:cs="Times New Roman"/>
                <w:noProof/>
                <w:webHidden/>
                <w:sz w:val="26"/>
                <w:szCs w:val="26"/>
              </w:rPr>
              <w:fldChar w:fldCharType="end"/>
            </w:r>
          </w:hyperlink>
        </w:p>
        <w:p w14:paraId="00000020" w14:textId="3A8F7919" w:rsidR="00BA3C3A" w:rsidRPr="00735A9B" w:rsidRDefault="00827724" w:rsidP="00735A9B">
          <w:pPr>
            <w:widowControl w:val="0"/>
            <w:tabs>
              <w:tab w:val="right" w:leader="dot" w:pos="12000"/>
            </w:tabs>
            <w:spacing w:after="0" w:line="240" w:lineRule="auto"/>
            <w:ind w:firstLine="0"/>
            <w:rPr>
              <w:rFonts w:ascii="Times New Roman" w:hAnsi="Times New Roman" w:cs="Times New Roman"/>
              <w:b/>
              <w:bCs/>
              <w:color w:val="000000"/>
              <w:sz w:val="26"/>
              <w:szCs w:val="26"/>
            </w:rPr>
          </w:pPr>
          <w:r w:rsidRPr="00735A9B">
            <w:rPr>
              <w:rFonts w:ascii="Times New Roman" w:hAnsi="Times New Roman" w:cs="Times New Roman"/>
              <w:sz w:val="26"/>
              <w:szCs w:val="26"/>
            </w:rPr>
            <w:fldChar w:fldCharType="end"/>
          </w:r>
        </w:p>
      </w:sdtContent>
    </w:sdt>
    <w:p w14:paraId="00000021" w14:textId="77777777" w:rsidR="00BA3C3A" w:rsidRPr="00735A9B" w:rsidRDefault="00BA3C3A" w:rsidP="00735A9B">
      <w:pPr>
        <w:pStyle w:val="Heading1"/>
        <w:spacing w:after="0"/>
        <w:ind w:left="0" w:firstLine="0"/>
        <w:rPr>
          <w:rFonts w:ascii="Times New Roman" w:hAnsi="Times New Roman" w:cs="Times New Roman"/>
          <w:sz w:val="26"/>
          <w:szCs w:val="26"/>
        </w:rPr>
      </w:pPr>
      <w:bookmarkStart w:id="2" w:name="_pow05tfygoqo" w:colFirst="0" w:colLast="0"/>
      <w:bookmarkEnd w:id="2"/>
    </w:p>
    <w:p w14:paraId="00000022" w14:textId="77777777" w:rsidR="00BA3C3A" w:rsidRPr="00735A9B" w:rsidRDefault="00BA3C3A" w:rsidP="00735A9B">
      <w:pPr>
        <w:pStyle w:val="Heading1"/>
        <w:spacing w:after="0"/>
        <w:ind w:left="0" w:firstLine="0"/>
        <w:rPr>
          <w:rFonts w:ascii="Times New Roman" w:hAnsi="Times New Roman" w:cs="Times New Roman"/>
          <w:sz w:val="26"/>
          <w:szCs w:val="26"/>
        </w:rPr>
      </w:pPr>
      <w:bookmarkStart w:id="3" w:name="_ohxli0z9kpo9" w:colFirst="0" w:colLast="0"/>
      <w:bookmarkEnd w:id="3"/>
    </w:p>
    <w:p w14:paraId="00000023" w14:textId="77777777"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br w:type="page"/>
      </w:r>
    </w:p>
    <w:p w14:paraId="00000024" w14:textId="77777777" w:rsidR="00BA3C3A" w:rsidRPr="00735A9B" w:rsidRDefault="00827724" w:rsidP="00735A9B">
      <w:pPr>
        <w:pStyle w:val="Heading1"/>
        <w:spacing w:after="0"/>
        <w:ind w:left="0" w:firstLine="0"/>
        <w:jc w:val="center"/>
        <w:rPr>
          <w:rFonts w:ascii="Times New Roman" w:hAnsi="Times New Roman" w:cs="Times New Roman"/>
          <w:sz w:val="26"/>
          <w:szCs w:val="26"/>
        </w:rPr>
      </w:pPr>
      <w:bookmarkStart w:id="4" w:name="_Toc239095273"/>
      <w:r w:rsidRPr="00735A9B">
        <w:rPr>
          <w:rFonts w:ascii="Times New Roman" w:hAnsi="Times New Roman" w:cs="Times New Roman"/>
          <w:sz w:val="26"/>
          <w:szCs w:val="26"/>
        </w:rPr>
        <w:lastRenderedPageBreak/>
        <w:t>TABLE OF AUTHORITIES</w:t>
      </w:r>
      <w:bookmarkEnd w:id="4"/>
    </w:p>
    <w:p w14:paraId="59C4B3AE" w14:textId="77777777" w:rsidR="00735A9B" w:rsidRPr="00735A9B" w:rsidRDefault="00352340" w:rsidP="00735A9B">
      <w:pPr>
        <w:pStyle w:val="TOAHeading"/>
        <w:tabs>
          <w:tab w:val="right" w:leader="dot" w:pos="9350"/>
        </w:tabs>
        <w:spacing w:line="240" w:lineRule="auto"/>
        <w:ind w:firstLine="0"/>
        <w:rPr>
          <w:rFonts w:ascii="Times New Roman" w:eastAsiaTheme="minorEastAsia" w:hAnsi="Times New Roman" w:cs="Times New Roman"/>
          <w:b/>
          <w:bCs/>
          <w:noProof/>
          <w:sz w:val="26"/>
          <w:szCs w:val="26"/>
        </w:rPr>
      </w:pPr>
      <w:r w:rsidRPr="00735A9B">
        <w:rPr>
          <w:rFonts w:ascii="Times New Roman" w:hAnsi="Times New Roman" w:cs="Times New Roman"/>
          <w:sz w:val="26"/>
          <w:szCs w:val="26"/>
        </w:rPr>
        <w:fldChar w:fldCharType="begin"/>
      </w:r>
      <w:r w:rsidRPr="00735A9B">
        <w:rPr>
          <w:rFonts w:ascii="Times New Roman" w:hAnsi="Times New Roman" w:cs="Times New Roman"/>
          <w:sz w:val="26"/>
          <w:szCs w:val="26"/>
        </w:rPr>
        <w:instrText xml:space="preserve"> TOA \h \c "1" \p \f </w:instrText>
      </w:r>
      <w:r w:rsidRPr="00735A9B">
        <w:rPr>
          <w:rFonts w:ascii="Times New Roman" w:hAnsi="Times New Roman" w:cs="Times New Roman"/>
          <w:sz w:val="26"/>
          <w:szCs w:val="26"/>
        </w:rPr>
        <w:fldChar w:fldCharType="separate"/>
      </w:r>
      <w:r w:rsidR="00735A9B" w:rsidRPr="00735A9B">
        <w:rPr>
          <w:rFonts w:ascii="Times New Roman" w:hAnsi="Times New Roman" w:cs="Times New Roman"/>
          <w:noProof/>
          <w:sz w:val="26"/>
          <w:szCs w:val="26"/>
        </w:rPr>
        <w:t>Cases</w:t>
      </w:r>
    </w:p>
    <w:p w14:paraId="5599EECE" w14:textId="205C6C18" w:rsid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Crawford v. Washington, 541 U.S. 36 (2004)</w:t>
      </w:r>
      <w:r w:rsidRPr="00735A9B">
        <w:rPr>
          <w:rFonts w:ascii="Times New Roman" w:hAnsi="Times New Roman" w:cs="Times New Roman"/>
          <w:noProof/>
          <w:sz w:val="26"/>
          <w:szCs w:val="26"/>
        </w:rPr>
        <w:tab/>
        <w:t>14</w:t>
      </w:r>
    </w:p>
    <w:p w14:paraId="6A2E09B4" w14:textId="56C7017A" w:rsidR="00735A9B" w:rsidRPr="00735A9B" w:rsidRDefault="00735A9B" w:rsidP="00541330">
      <w:pPr>
        <w:pStyle w:val="TableofAuthorities"/>
        <w:tabs>
          <w:tab w:val="right" w:leader="dot" w:pos="9350"/>
        </w:tabs>
        <w:spacing w:line="240" w:lineRule="auto"/>
        <w:ind w:left="720" w:hanging="720"/>
        <w:rPr>
          <w:rFonts w:ascii="Times New Roman" w:hAnsi="Times New Roman" w:cs="Times New Roman"/>
          <w:noProof/>
          <w:sz w:val="26"/>
          <w:szCs w:val="26"/>
        </w:rPr>
      </w:pPr>
      <w:r w:rsidRPr="00735A9B">
        <w:rPr>
          <w:rFonts w:ascii="Times New Roman" w:hAnsi="Times New Roman" w:cs="Times New Roman"/>
          <w:noProof/>
          <w:sz w:val="26"/>
          <w:szCs w:val="26"/>
        </w:rPr>
        <w:t>E.I. DuPont de Nemours &amp; Co. v. Kolon Indus., Inc., 269 F.R.D. 600 (E.D.Va.2010).</w:t>
      </w:r>
      <w:r w:rsidRPr="00735A9B">
        <w:rPr>
          <w:rFonts w:ascii="Times New Roman" w:hAnsi="Times New Roman" w:cs="Times New Roman"/>
          <w:noProof/>
          <w:sz w:val="26"/>
          <w:szCs w:val="26"/>
        </w:rPr>
        <w:tab/>
        <w:t>13</w:t>
      </w:r>
    </w:p>
    <w:p w14:paraId="03372306" w14:textId="77777777"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Hickman v. Taylor, 329 U.S. 495 (1947)</w:t>
      </w:r>
      <w:r w:rsidRPr="00735A9B">
        <w:rPr>
          <w:rFonts w:ascii="Times New Roman" w:hAnsi="Times New Roman" w:cs="Times New Roman"/>
          <w:noProof/>
          <w:sz w:val="26"/>
          <w:szCs w:val="26"/>
        </w:rPr>
        <w:tab/>
        <w:t>9, 11, 12</w:t>
      </w:r>
    </w:p>
    <w:p w14:paraId="75474E7B" w14:textId="264091DF"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In re Grand Jury 2021 Subpoenas, 87 F.4th 229 (4th Cir. 2023).</w:t>
      </w:r>
      <w:r w:rsidRPr="00735A9B">
        <w:rPr>
          <w:rFonts w:ascii="Times New Roman" w:hAnsi="Times New Roman" w:cs="Times New Roman"/>
          <w:noProof/>
          <w:sz w:val="26"/>
          <w:szCs w:val="26"/>
        </w:rPr>
        <w:tab/>
        <w:t>11</w:t>
      </w:r>
    </w:p>
    <w:p w14:paraId="4B9AB275" w14:textId="0B9240B3"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Kastigar v. United States, 406 U.S. 441 (1972).</w:t>
      </w:r>
      <w:r w:rsidRPr="00735A9B">
        <w:rPr>
          <w:rFonts w:ascii="Times New Roman" w:hAnsi="Times New Roman" w:cs="Times New Roman"/>
          <w:noProof/>
          <w:sz w:val="26"/>
          <w:szCs w:val="26"/>
        </w:rPr>
        <w:tab/>
        <w:t>1, 5</w:t>
      </w:r>
    </w:p>
    <w:p w14:paraId="55DA714C" w14:textId="77777777"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State v. Carapezza, 293 Kan. 1068, 1076 (2012)</w:t>
      </w:r>
      <w:r w:rsidRPr="00735A9B">
        <w:rPr>
          <w:rFonts w:ascii="Times New Roman" w:hAnsi="Times New Roman" w:cs="Times New Roman"/>
          <w:noProof/>
          <w:sz w:val="26"/>
          <w:szCs w:val="26"/>
        </w:rPr>
        <w:tab/>
        <w:t>7, 8</w:t>
      </w:r>
    </w:p>
    <w:p w14:paraId="38395696" w14:textId="4539033B"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Adlman, 134 F.3d 1194 (2d Cir. 1998)</w:t>
      </w:r>
      <w:r w:rsidRPr="00735A9B">
        <w:rPr>
          <w:rFonts w:ascii="Times New Roman" w:hAnsi="Times New Roman" w:cs="Times New Roman"/>
          <w:noProof/>
          <w:sz w:val="26"/>
          <w:szCs w:val="26"/>
        </w:rPr>
        <w:tab/>
        <w:t>11</w:t>
      </w:r>
    </w:p>
    <w:p w14:paraId="0ABB9A81" w14:textId="7C406C53"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Harris, 973 F.2d 333 (4th Cir. 1992)</w:t>
      </w:r>
      <w:r w:rsidRPr="00735A9B">
        <w:rPr>
          <w:rFonts w:ascii="Times New Roman" w:hAnsi="Times New Roman" w:cs="Times New Roman"/>
          <w:noProof/>
          <w:sz w:val="26"/>
          <w:szCs w:val="26"/>
        </w:rPr>
        <w:tab/>
        <w:t>7</w:t>
      </w:r>
    </w:p>
    <w:p w14:paraId="5A22EA74" w14:textId="0BD5A87A"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Hubbell, 530 U.S. 27 (2000)</w:t>
      </w:r>
      <w:r w:rsidRPr="00735A9B">
        <w:rPr>
          <w:rFonts w:ascii="Times New Roman" w:hAnsi="Times New Roman" w:cs="Times New Roman"/>
          <w:noProof/>
          <w:sz w:val="26"/>
          <w:szCs w:val="26"/>
        </w:rPr>
        <w:tab/>
        <w:t>5, 8</w:t>
      </w:r>
    </w:p>
    <w:p w14:paraId="088948B3" w14:textId="41BB2688"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McDaniel, 482 F.2d 305 (8th Cir. 1973)</w:t>
      </w:r>
      <w:r w:rsidRPr="00735A9B">
        <w:rPr>
          <w:rFonts w:ascii="Times New Roman" w:hAnsi="Times New Roman" w:cs="Times New Roman"/>
          <w:noProof/>
          <w:sz w:val="26"/>
          <w:szCs w:val="26"/>
        </w:rPr>
        <w:tab/>
        <w:t>6</w:t>
      </w:r>
    </w:p>
    <w:p w14:paraId="15B6A55D" w14:textId="77777777"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Nobles, 422 U.S. 225 (1975).</w:t>
      </w:r>
      <w:r w:rsidRPr="00735A9B">
        <w:rPr>
          <w:rFonts w:ascii="Times New Roman" w:hAnsi="Times New Roman" w:cs="Times New Roman"/>
          <w:noProof/>
          <w:sz w:val="26"/>
          <w:szCs w:val="26"/>
        </w:rPr>
        <w:tab/>
        <w:t>9</w:t>
      </w:r>
    </w:p>
    <w:p w14:paraId="1AF2AC51" w14:textId="20221B36"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North, 910 F.2d 843 (D.C. Cir. 1990)</w:t>
      </w:r>
      <w:r w:rsidRPr="00735A9B">
        <w:rPr>
          <w:rFonts w:ascii="Times New Roman" w:hAnsi="Times New Roman" w:cs="Times New Roman"/>
          <w:noProof/>
          <w:sz w:val="26"/>
          <w:szCs w:val="26"/>
        </w:rPr>
        <w:tab/>
        <w:t>5, 6</w:t>
      </w:r>
    </w:p>
    <w:p w14:paraId="6AC9567F" w14:textId="00D306D6"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United States v. Youngman, 48 M.J. 123 (C.A.A.F. 1998)</w:t>
      </w:r>
      <w:r w:rsidRPr="00735A9B">
        <w:rPr>
          <w:rFonts w:ascii="Times New Roman" w:hAnsi="Times New Roman" w:cs="Times New Roman"/>
          <w:noProof/>
          <w:sz w:val="26"/>
          <w:szCs w:val="26"/>
        </w:rPr>
        <w:tab/>
        <w:t>5</w:t>
      </w:r>
    </w:p>
    <w:p w14:paraId="49083362" w14:textId="1E94D09A"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Upjohn Co. v. United States, 449 U.S. 383 (1981)</w:t>
      </w:r>
      <w:r w:rsidRPr="00735A9B">
        <w:rPr>
          <w:rFonts w:ascii="Times New Roman" w:hAnsi="Times New Roman" w:cs="Times New Roman"/>
          <w:noProof/>
          <w:sz w:val="26"/>
          <w:szCs w:val="26"/>
        </w:rPr>
        <w:tab/>
        <w:t>9</w:t>
      </w:r>
    </w:p>
    <w:p w14:paraId="4463708E" w14:textId="77777777" w:rsidR="00735A9B" w:rsidRDefault="00352340" w:rsidP="00735A9B">
      <w:pPr>
        <w:pStyle w:val="TOAHeading"/>
        <w:tabs>
          <w:tab w:val="right" w:leader="dot" w:pos="9350"/>
        </w:tabs>
        <w:spacing w:line="240" w:lineRule="auto"/>
        <w:ind w:firstLine="0"/>
        <w:rPr>
          <w:rFonts w:ascii="Times New Roman" w:hAnsi="Times New Roman" w:cs="Times New Roman"/>
          <w:sz w:val="26"/>
          <w:szCs w:val="26"/>
        </w:rPr>
      </w:pPr>
      <w:r w:rsidRPr="00735A9B">
        <w:rPr>
          <w:rFonts w:ascii="Times New Roman" w:hAnsi="Times New Roman" w:cs="Times New Roman"/>
          <w:sz w:val="26"/>
          <w:szCs w:val="26"/>
        </w:rPr>
        <w:fldChar w:fldCharType="end"/>
      </w:r>
    </w:p>
    <w:p w14:paraId="3BFC47F6" w14:textId="774C4797" w:rsidR="00735A9B" w:rsidRPr="00735A9B" w:rsidRDefault="00352340" w:rsidP="00735A9B">
      <w:pPr>
        <w:pStyle w:val="TOAHeading"/>
        <w:tabs>
          <w:tab w:val="right" w:leader="dot" w:pos="9350"/>
        </w:tabs>
        <w:spacing w:line="240" w:lineRule="auto"/>
        <w:ind w:firstLine="0"/>
        <w:rPr>
          <w:rFonts w:ascii="Times New Roman" w:eastAsiaTheme="minorEastAsia" w:hAnsi="Times New Roman" w:cs="Times New Roman"/>
          <w:b/>
          <w:bCs/>
          <w:noProof/>
          <w:sz w:val="26"/>
          <w:szCs w:val="26"/>
        </w:rPr>
      </w:pPr>
      <w:r w:rsidRPr="00735A9B">
        <w:rPr>
          <w:rFonts w:ascii="Times New Roman" w:hAnsi="Times New Roman" w:cs="Times New Roman"/>
          <w:sz w:val="26"/>
          <w:szCs w:val="26"/>
        </w:rPr>
        <w:fldChar w:fldCharType="begin"/>
      </w:r>
      <w:r w:rsidRPr="00735A9B">
        <w:rPr>
          <w:rFonts w:ascii="Times New Roman" w:hAnsi="Times New Roman" w:cs="Times New Roman"/>
          <w:sz w:val="26"/>
          <w:szCs w:val="26"/>
        </w:rPr>
        <w:instrText xml:space="preserve"> TOA \h \c "4" \p \f </w:instrText>
      </w:r>
      <w:r w:rsidRPr="00735A9B">
        <w:rPr>
          <w:rFonts w:ascii="Times New Roman" w:hAnsi="Times New Roman" w:cs="Times New Roman"/>
          <w:sz w:val="26"/>
          <w:szCs w:val="26"/>
        </w:rPr>
        <w:fldChar w:fldCharType="separate"/>
      </w:r>
      <w:r w:rsidR="00735A9B" w:rsidRPr="00735A9B">
        <w:rPr>
          <w:rFonts w:ascii="Times New Roman" w:hAnsi="Times New Roman" w:cs="Times New Roman"/>
          <w:noProof/>
          <w:sz w:val="26"/>
          <w:szCs w:val="26"/>
        </w:rPr>
        <w:t>Rules</w:t>
      </w:r>
    </w:p>
    <w:p w14:paraId="58617A0A" w14:textId="647C41B7"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Fed. R. Civ. P. 26.</w:t>
      </w:r>
      <w:r w:rsidRPr="00735A9B">
        <w:rPr>
          <w:rFonts w:ascii="Times New Roman" w:hAnsi="Times New Roman" w:cs="Times New Roman"/>
          <w:noProof/>
          <w:sz w:val="26"/>
          <w:szCs w:val="26"/>
        </w:rPr>
        <w:tab/>
        <w:t>13</w:t>
      </w:r>
    </w:p>
    <w:p w14:paraId="2E93AB06" w14:textId="77777777" w:rsidR="00735A9B" w:rsidRPr="00735A9B" w:rsidRDefault="00735A9B" w:rsidP="00735A9B">
      <w:pPr>
        <w:pStyle w:val="TableofAuthorities"/>
        <w:tabs>
          <w:tab w:val="right" w:leader="dot" w:pos="9350"/>
        </w:tabs>
        <w:spacing w:line="240" w:lineRule="auto"/>
        <w:rPr>
          <w:rFonts w:ascii="Times New Roman" w:hAnsi="Times New Roman" w:cs="Times New Roman"/>
          <w:noProof/>
          <w:sz w:val="26"/>
          <w:szCs w:val="26"/>
        </w:rPr>
      </w:pPr>
      <w:r w:rsidRPr="00735A9B">
        <w:rPr>
          <w:rFonts w:ascii="Times New Roman" w:hAnsi="Times New Roman" w:cs="Times New Roman"/>
          <w:noProof/>
          <w:sz w:val="26"/>
          <w:szCs w:val="26"/>
        </w:rPr>
        <w:t>Fed. R. Crim. P. 16</w:t>
      </w:r>
      <w:r w:rsidRPr="00735A9B">
        <w:rPr>
          <w:rFonts w:ascii="Times New Roman" w:hAnsi="Times New Roman" w:cs="Times New Roman"/>
          <w:noProof/>
          <w:sz w:val="26"/>
          <w:szCs w:val="26"/>
        </w:rPr>
        <w:tab/>
        <w:t>1, 9, 10, 12</w:t>
      </w:r>
    </w:p>
    <w:p w14:paraId="6EF25F18" w14:textId="7214D367" w:rsidR="00352340" w:rsidRPr="00735A9B" w:rsidRDefault="00352340" w:rsidP="00735A9B">
      <w:pPr>
        <w:spacing w:after="0" w:line="240" w:lineRule="auto"/>
        <w:ind w:firstLine="0"/>
        <w:rPr>
          <w:rFonts w:ascii="Times New Roman" w:hAnsi="Times New Roman" w:cs="Times New Roman"/>
          <w:sz w:val="26"/>
          <w:szCs w:val="26"/>
        </w:rPr>
      </w:pPr>
      <w:r w:rsidRPr="00735A9B">
        <w:rPr>
          <w:rFonts w:ascii="Times New Roman" w:hAnsi="Times New Roman" w:cs="Times New Roman"/>
          <w:sz w:val="26"/>
          <w:szCs w:val="26"/>
        </w:rPr>
        <w:fldChar w:fldCharType="end"/>
      </w:r>
    </w:p>
    <w:p w14:paraId="00000025" w14:textId="77777777" w:rsidR="00BA3C3A" w:rsidRPr="00735A9B" w:rsidRDefault="00BA3C3A" w:rsidP="00735A9B">
      <w:pPr>
        <w:spacing w:after="0"/>
        <w:rPr>
          <w:rFonts w:ascii="Times New Roman" w:hAnsi="Times New Roman" w:cs="Times New Roman"/>
          <w:sz w:val="26"/>
          <w:szCs w:val="26"/>
        </w:rPr>
        <w:sectPr w:rsidR="00BA3C3A" w:rsidRPr="00735A9B" w:rsidSect="00387A53">
          <w:headerReference w:type="first" r:id="rId10"/>
          <w:footerReference w:type="first" r:id="rId11"/>
          <w:pgSz w:w="12240" w:h="15840"/>
          <w:pgMar w:top="1440" w:right="1440" w:bottom="1440" w:left="1440" w:header="720" w:footer="720" w:gutter="0"/>
          <w:pgNumType w:fmt="lowerRoman" w:start="1"/>
          <w:cols w:space="720"/>
          <w:titlePg/>
          <w:docGrid w:linePitch="326"/>
        </w:sectPr>
      </w:pPr>
    </w:p>
    <w:p w14:paraId="00000026" w14:textId="77777777" w:rsidR="00BA3C3A" w:rsidRPr="00735A9B" w:rsidRDefault="00827724" w:rsidP="00735A9B">
      <w:pPr>
        <w:pStyle w:val="Heading1"/>
        <w:spacing w:after="0"/>
        <w:ind w:left="0" w:firstLine="0"/>
        <w:jc w:val="center"/>
        <w:rPr>
          <w:rFonts w:ascii="Times New Roman" w:hAnsi="Times New Roman" w:cs="Times New Roman"/>
          <w:sz w:val="26"/>
          <w:szCs w:val="26"/>
        </w:rPr>
      </w:pPr>
      <w:bookmarkStart w:id="5" w:name="_Toc239095274"/>
      <w:r w:rsidRPr="00735A9B">
        <w:rPr>
          <w:rFonts w:ascii="Times New Roman" w:hAnsi="Times New Roman" w:cs="Times New Roman"/>
          <w:sz w:val="26"/>
          <w:szCs w:val="26"/>
        </w:rPr>
        <w:lastRenderedPageBreak/>
        <w:t>I. INTRODUCTION</w:t>
      </w:r>
      <w:bookmarkEnd w:id="5"/>
    </w:p>
    <w:p w14:paraId="646E8FAE" w14:textId="1624831B" w:rsidR="00B125A5" w:rsidRPr="00735A9B" w:rsidRDefault="00B125A5" w:rsidP="00735A9B">
      <w:pPr>
        <w:spacing w:after="0"/>
        <w:rPr>
          <w:rFonts w:ascii="Times New Roman" w:hAnsi="Times New Roman" w:cs="Times New Roman"/>
          <w:sz w:val="26"/>
          <w:szCs w:val="26"/>
        </w:rPr>
      </w:pPr>
      <w:r w:rsidRPr="00735A9B">
        <w:rPr>
          <w:rFonts w:ascii="Times New Roman" w:hAnsi="Times New Roman" w:cs="Times New Roman"/>
          <w:i/>
          <w:iCs/>
          <w:sz w:val="26"/>
          <w:szCs w:val="26"/>
        </w:rPr>
        <w:t>Kastigar</w:t>
      </w:r>
      <w:r w:rsidRPr="00735A9B">
        <w:rPr>
          <w:rFonts w:ascii="Times New Roman" w:hAnsi="Times New Roman" w:cs="Times New Roman"/>
          <w:sz w:val="26"/>
          <w:szCs w:val="26"/>
        </w:rPr>
        <w:t xml:space="preserve"> was a promise</w:t>
      </w:r>
      <w:r w:rsidR="00784952">
        <w:rPr>
          <w:rFonts w:ascii="Times New Roman" w:hAnsi="Times New Roman" w:cs="Times New Roman"/>
          <w:sz w:val="26"/>
          <w:szCs w:val="26"/>
        </w:rPr>
        <w:t xml:space="preserve"> that</w:t>
      </w:r>
      <w:r w:rsidRPr="00735A9B">
        <w:rPr>
          <w:rFonts w:ascii="Times New Roman" w:hAnsi="Times New Roman" w:cs="Times New Roman"/>
          <w:sz w:val="26"/>
          <w:szCs w:val="26"/>
        </w:rPr>
        <w:t xml:space="preserve"> when the </w:t>
      </w:r>
      <w:r w:rsidR="00E811B8" w:rsidRPr="00735A9B">
        <w:rPr>
          <w:rFonts w:ascii="Times New Roman" w:hAnsi="Times New Roman" w:cs="Times New Roman"/>
          <w:sz w:val="26"/>
          <w:szCs w:val="26"/>
        </w:rPr>
        <w:t>United States</w:t>
      </w:r>
      <w:r w:rsidRPr="00735A9B">
        <w:rPr>
          <w:rFonts w:ascii="Times New Roman" w:hAnsi="Times New Roman" w:cs="Times New Roman"/>
          <w:sz w:val="26"/>
          <w:szCs w:val="26"/>
        </w:rPr>
        <w:t xml:space="preserve"> compels a citizen to testify under a grant of immunity, the Fifth Amendment demands a prohibition on any use of that testimony, directly or indirectly, in subsequent criminal proceedings. </w:t>
      </w:r>
      <w:r w:rsidRPr="00735A9B">
        <w:rPr>
          <w:rFonts w:ascii="Times New Roman" w:hAnsi="Times New Roman" w:cs="Times New Roman"/>
          <w:i/>
          <w:iCs/>
          <w:sz w:val="26"/>
          <w:szCs w:val="26"/>
        </w:rPr>
        <w:t>Kastigar v. United States</w:t>
      </w:r>
      <w:r w:rsidRPr="00735A9B">
        <w:rPr>
          <w:rFonts w:ascii="Times New Roman" w:hAnsi="Times New Roman" w:cs="Times New Roman"/>
          <w:sz w:val="26"/>
          <w:szCs w:val="26"/>
        </w:rPr>
        <w:t>, 406 U.S. 441, 453 (1972).</w:t>
      </w:r>
      <w:r w:rsidR="00662E1B" w:rsidRPr="00735A9B">
        <w:rPr>
          <w:rFonts w:ascii="Times New Roman" w:hAnsi="Times New Roman" w:cs="Times New Roman"/>
          <w:sz w:val="26"/>
          <w:szCs w:val="26"/>
        </w:rPr>
        <w:fldChar w:fldCharType="begin"/>
      </w:r>
      <w:r w:rsidR="00662E1B" w:rsidRPr="00735A9B">
        <w:rPr>
          <w:rFonts w:ascii="Times New Roman" w:hAnsi="Times New Roman" w:cs="Times New Roman"/>
          <w:sz w:val="26"/>
          <w:szCs w:val="26"/>
        </w:rPr>
        <w:instrText xml:space="preserve"> TA \l "</w:instrText>
      </w:r>
      <w:r w:rsidR="00662E1B" w:rsidRPr="00735A9B">
        <w:rPr>
          <w:rFonts w:ascii="Times New Roman" w:hAnsi="Times New Roman" w:cs="Times New Roman"/>
          <w:i/>
          <w:iCs/>
          <w:sz w:val="26"/>
          <w:szCs w:val="26"/>
        </w:rPr>
        <w:instrText>Kastigar v. United States</w:instrText>
      </w:r>
      <w:r w:rsidR="00662E1B" w:rsidRPr="00735A9B">
        <w:rPr>
          <w:rFonts w:ascii="Times New Roman" w:hAnsi="Times New Roman" w:cs="Times New Roman"/>
          <w:sz w:val="26"/>
          <w:szCs w:val="26"/>
        </w:rPr>
        <w:instrText xml:space="preserve">, 406 U.S. 441, 453 (1972)." \s "Kastigar v. United States, 406 U.S. 441 (1972)" \c 1 </w:instrText>
      </w:r>
      <w:r w:rsidR="00662E1B"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That protection is not a suggestion; it is a constitutional guarantee.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at 459</w:t>
      </w:r>
      <w:r w:rsidR="00662E1B" w:rsidRPr="00735A9B">
        <w:rPr>
          <w:rFonts w:ascii="Times New Roman" w:hAnsi="Times New Roman" w:cs="Times New Roman"/>
          <w:sz w:val="26"/>
          <w:szCs w:val="26"/>
        </w:rPr>
        <w:fldChar w:fldCharType="begin"/>
      </w:r>
      <w:r w:rsidR="00662E1B" w:rsidRPr="00735A9B">
        <w:rPr>
          <w:rFonts w:ascii="Times New Roman" w:hAnsi="Times New Roman" w:cs="Times New Roman"/>
          <w:sz w:val="26"/>
          <w:szCs w:val="26"/>
        </w:rPr>
        <w:instrText xml:space="preserve"> TA \s "Kastigar v. United States, 406 U.S. 441 (1972)" </w:instrText>
      </w:r>
      <w:r w:rsidR="00662E1B" w:rsidRPr="00735A9B">
        <w:rPr>
          <w:rFonts w:ascii="Times New Roman" w:hAnsi="Times New Roman" w:cs="Times New Roman"/>
          <w:sz w:val="26"/>
          <w:szCs w:val="26"/>
        </w:rPr>
        <w:fldChar w:fldCharType="end"/>
      </w:r>
      <w:r w:rsidRPr="00735A9B">
        <w:rPr>
          <w:rFonts w:ascii="Times New Roman" w:hAnsi="Times New Roman" w:cs="Times New Roman"/>
          <w:sz w:val="26"/>
          <w:szCs w:val="26"/>
        </w:rPr>
        <w:t>. The Government</w:t>
      </w:r>
      <w:r w:rsidR="00784952">
        <w:rPr>
          <w:rFonts w:ascii="Times New Roman" w:hAnsi="Times New Roman" w:cs="Times New Roman"/>
          <w:sz w:val="26"/>
          <w:szCs w:val="26"/>
        </w:rPr>
        <w:t xml:space="preserve"> </w:t>
      </w:r>
      <w:r w:rsidRPr="00735A9B">
        <w:rPr>
          <w:rFonts w:ascii="Times New Roman" w:hAnsi="Times New Roman" w:cs="Times New Roman"/>
          <w:sz w:val="26"/>
          <w:szCs w:val="26"/>
        </w:rPr>
        <w:t>broke that promise</w:t>
      </w:r>
      <w:r w:rsidR="00784952">
        <w:rPr>
          <w:rFonts w:ascii="Times New Roman" w:hAnsi="Times New Roman" w:cs="Times New Roman"/>
          <w:sz w:val="26"/>
          <w:szCs w:val="26"/>
        </w:rPr>
        <w:t xml:space="preserve"> in this case</w:t>
      </w:r>
      <w:r w:rsidRPr="00735A9B">
        <w:rPr>
          <w:rFonts w:ascii="Times New Roman" w:hAnsi="Times New Roman" w:cs="Times New Roman"/>
          <w:sz w:val="26"/>
          <w:szCs w:val="26"/>
        </w:rPr>
        <w:t>. Defendant Emily Calloway respectfully moves this Court to suppress all warehouse evidence (Ex. 19) and the testimony of Kennedy Parker as fruit of the Government’s unconstitutional use of immunized testimony.</w:t>
      </w:r>
    </w:p>
    <w:p w14:paraId="00000028" w14:textId="61D4DCE5"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Federal Rule of Criminal Procedure 16(b)(1) mandates a criminal defendant to make certain disclosures to the government. Fed. R. Crim. P. 16</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"Fed. R. Crim. P. 16" \s "Fed. R. Crim. P. 16" \c 4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(b)(1). Among these disclosures are documents and objects within the defendant’s possession, custody, or control that the defendant intends to use at trial, reports of physical or mental examinations and of any scientific test or experiment, and the opinions of expert witnesses.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Expressly shielded from disclosure, however, are “reports, memoranda, or other documents made by the defendant, or the defendant’s attorney or agent, during the case’s investigation or defense.” Fed. R. Crim. P. 16(b)(2)(A).</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"Fed. R. Crim. P. 16"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In this case, the United States seeks to pierce this shield of protection afforded to criminal defendants and obtain information acquired by a private investigator that the defense retained specifically in anticipation of the current prosecution. </w:t>
      </w:r>
      <w:r w:rsidR="00B125A5" w:rsidRPr="00735A9B">
        <w:rPr>
          <w:rFonts w:ascii="Times New Roman" w:hAnsi="Times New Roman" w:cs="Times New Roman"/>
          <w:sz w:val="26"/>
          <w:szCs w:val="26"/>
        </w:rPr>
        <w:t xml:space="preserve">Calloway moves this Court to quash the United States’s Subpoena Duces Tecum of Maddox Armana on the grounds that the information sought is defense work product and, as such, is afforded protection from discovery. </w:t>
      </w:r>
    </w:p>
    <w:p w14:paraId="00000029" w14:textId="77777777" w:rsidR="00BA3C3A" w:rsidRPr="00735A9B" w:rsidRDefault="00827724" w:rsidP="00735A9B">
      <w:pPr>
        <w:pStyle w:val="Heading1"/>
        <w:spacing w:after="0"/>
        <w:ind w:left="0" w:firstLine="0"/>
        <w:jc w:val="center"/>
        <w:rPr>
          <w:rFonts w:ascii="Times New Roman" w:hAnsi="Times New Roman" w:cs="Times New Roman"/>
          <w:sz w:val="26"/>
          <w:szCs w:val="26"/>
        </w:rPr>
      </w:pPr>
      <w:bookmarkStart w:id="6" w:name="_Toc239095275"/>
      <w:r w:rsidRPr="00735A9B">
        <w:rPr>
          <w:rFonts w:ascii="Times New Roman" w:hAnsi="Times New Roman" w:cs="Times New Roman"/>
          <w:sz w:val="26"/>
          <w:szCs w:val="26"/>
        </w:rPr>
        <w:lastRenderedPageBreak/>
        <w:t>II. STATEMENT OF FACTS</w:t>
      </w:r>
      <w:bookmarkEnd w:id="6"/>
    </w:p>
    <w:p w14:paraId="0000002A" w14:textId="76E802E4"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This dispute arises from an ongoing investigation into alleged financial crimes committed by Saint Donovan and the defendant, Emily Calloway, as joint partners in the Silver Palms Resort in Gulf Haven, Florida. In October 2023, federal prosecutors began working with Silver Palms’s accountant, Daniel Blake, to investigate these potential crimes. On December 12, 2023, however, Blake was shot and killed in his office on the property. Investigators quickly linked the crime to Donovan through phone and bank reco</w:t>
      </w:r>
      <w:r w:rsidRPr="00735A9B">
        <w:rPr>
          <w:rFonts w:ascii="Times New Roman" w:hAnsi="Times New Roman" w:cs="Times New Roman"/>
          <w:sz w:val="26"/>
          <w:szCs w:val="26"/>
        </w:rPr>
        <w:t xml:space="preserve">rds. Donovan was tried for homicide and money laundering and was convicted on October 24, 2024. </w:t>
      </w:r>
      <w:r w:rsidR="00B125A5" w:rsidRPr="00735A9B">
        <w:rPr>
          <w:rFonts w:ascii="Times New Roman" w:hAnsi="Times New Roman" w:cs="Times New Roman"/>
          <w:sz w:val="26"/>
          <w:szCs w:val="26"/>
        </w:rPr>
        <w:t>Calloway was compelled to testify in Donovan’s prosecution and was immunized from criminal prosecution arising out of that testimony by court order dated August 23, 2024.</w:t>
      </w:r>
    </w:p>
    <w:p w14:paraId="3F7744E4" w14:textId="24B77B45" w:rsidR="00B125A5" w:rsidRPr="00735A9B" w:rsidRDefault="00B125A5" w:rsidP="00735A9B">
      <w:pPr>
        <w:spacing w:after="0"/>
        <w:rPr>
          <w:rFonts w:ascii="Times New Roman" w:hAnsi="Times New Roman" w:cs="Times New Roman"/>
          <w:sz w:val="26"/>
          <w:szCs w:val="26"/>
        </w:rPr>
      </w:pPr>
      <w:r w:rsidRPr="00735A9B">
        <w:rPr>
          <w:rFonts w:ascii="Times New Roman" w:hAnsi="Times New Roman" w:cs="Times New Roman"/>
          <w:sz w:val="26"/>
          <w:szCs w:val="26"/>
        </w:rPr>
        <w:t>M</w:t>
      </w:r>
      <w:r w:rsidRPr="00735A9B">
        <w:rPr>
          <w:rFonts w:ascii="Times New Roman" w:eastAsia="Times New Roman" w:hAnsi="Times New Roman" w:cs="Times New Roman"/>
          <w:sz w:val="26"/>
          <w:szCs w:val="26"/>
        </w:rPr>
        <w:t xml:space="preserve">onths before Emily Calloway’s immunized testimony, </w:t>
      </w:r>
      <w:r w:rsidR="00E811B8" w:rsidRPr="00735A9B">
        <w:rPr>
          <w:rFonts w:ascii="Times New Roman" w:eastAsia="Times New Roman" w:hAnsi="Times New Roman" w:cs="Times New Roman"/>
          <w:sz w:val="26"/>
          <w:szCs w:val="26"/>
        </w:rPr>
        <w:t xml:space="preserve">however, </w:t>
      </w:r>
      <w:r w:rsidRPr="00735A9B">
        <w:rPr>
          <w:rFonts w:ascii="Times New Roman" w:eastAsia="Times New Roman" w:hAnsi="Times New Roman" w:cs="Times New Roman"/>
          <w:sz w:val="26"/>
          <w:szCs w:val="26"/>
        </w:rPr>
        <w:t>the Government’s investigation into the Coastal Partners matter stalled. Agent Bryce Nolan, the lead case agent, conducted four witness interviews that produced nothing new. Nolan Dep. At 304</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12. The Government possessed an employee roster listing over one hundred potential witnesses (Ex. 10), and Nolan conceded it would take “months” to work through the list. Nolan Dep. at 276</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87. The investigation had no cooperating witnesses. It had no physical evidence linking Calloway to the charged conduct. It was going nowhere.</w:t>
      </w:r>
    </w:p>
    <w:p w14:paraId="5D9ABB96" w14:textId="61B6EFA1" w:rsidR="00B125A5" w:rsidRPr="00735A9B" w:rsidRDefault="00B125A5"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 xml:space="preserve">Then the Government compelled </w:t>
      </w:r>
      <w:r w:rsidRPr="00735A9B">
        <w:rPr>
          <w:rFonts w:ascii="Times New Roman" w:hAnsi="Times New Roman" w:cs="Times New Roman"/>
          <w:sz w:val="26"/>
          <w:szCs w:val="26"/>
        </w:rPr>
        <w:t xml:space="preserve">Emily </w:t>
      </w:r>
      <w:r w:rsidRPr="00735A9B">
        <w:rPr>
          <w:rFonts w:ascii="Times New Roman" w:eastAsia="Times New Roman" w:hAnsi="Times New Roman" w:cs="Times New Roman"/>
          <w:sz w:val="26"/>
          <w:szCs w:val="26"/>
        </w:rPr>
        <w:t>Calloway to testify. Under a grant of immunity (Ex. 12), Calloway provided testimony. The courtroom was open. The press attended and reported on her testimony extensively. Sinclair Dep. at 591</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98; Ex. 14. The Gulf Haven Tribune published detailed accounts of the proceedings, including </w:t>
      </w:r>
      <w:r w:rsidRPr="00735A9B">
        <w:rPr>
          <w:rFonts w:ascii="Times New Roman" w:eastAsia="Times New Roman" w:hAnsi="Times New Roman" w:cs="Times New Roman"/>
          <w:sz w:val="26"/>
          <w:szCs w:val="26"/>
        </w:rPr>
        <w:lastRenderedPageBreak/>
        <w:t xml:space="preserve">Calloway’s testimony about Coastal Partners, </w:t>
      </w:r>
      <w:r w:rsidRPr="00735A9B">
        <w:rPr>
          <w:rFonts w:ascii="Times New Roman" w:hAnsi="Times New Roman" w:cs="Times New Roman"/>
          <w:sz w:val="26"/>
          <w:szCs w:val="26"/>
        </w:rPr>
        <w:t xml:space="preserve">and specifically mentioned Kennedy Parker. </w:t>
      </w:r>
    </w:p>
    <w:p w14:paraId="141B64C1" w14:textId="67E66F54" w:rsidR="00B125A5" w:rsidRPr="00735A9B" w:rsidRDefault="00B125A5"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The Government established a wall protocol (Ex. 15), purportedly designed to insulate the parallel investigation team from the immunized testimony. The wall separated lead prosecutor Tatum Sinclair from case agent</w:t>
      </w:r>
      <w:r w:rsidRPr="00735A9B">
        <w:rPr>
          <w:rFonts w:ascii="Times New Roman" w:hAnsi="Times New Roman" w:cs="Times New Roman"/>
          <w:sz w:val="26"/>
          <w:szCs w:val="26"/>
        </w:rPr>
        <w:t xml:space="preserve"> and friend</w:t>
      </w:r>
      <w:r w:rsidRPr="00735A9B">
        <w:rPr>
          <w:rFonts w:ascii="Times New Roman" w:eastAsia="Times New Roman" w:hAnsi="Times New Roman" w:cs="Times New Roman"/>
          <w:sz w:val="26"/>
          <w:szCs w:val="26"/>
        </w:rPr>
        <w:t xml:space="preserve"> Bryce Nolan. But the wall existed on paper alone</w:t>
      </w:r>
      <w:r w:rsidRPr="00735A9B">
        <w:rPr>
          <w:rFonts w:ascii="Times New Roman" w:hAnsi="Times New Roman" w:cs="Times New Roman"/>
          <w:sz w:val="26"/>
          <w:szCs w:val="26"/>
        </w:rPr>
        <w:t xml:space="preserve"> as both Sinclair and Nolan</w:t>
      </w:r>
      <w:r w:rsidRPr="00735A9B">
        <w:rPr>
          <w:rFonts w:ascii="Times New Roman" w:eastAsia="Times New Roman" w:hAnsi="Times New Roman" w:cs="Times New Roman"/>
          <w:sz w:val="26"/>
          <w:szCs w:val="26"/>
        </w:rPr>
        <w:t xml:space="preserve"> socialized</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throughout the period the wall was supposedly in effect. Sinclair Dep. at 579</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87. The Government’s two critical exhibits</w:t>
      </w:r>
      <w:r w:rsidRPr="00735A9B">
        <w:rPr>
          <w:rFonts w:ascii="Times New Roman" w:hAnsi="Times New Roman" w:cs="Times New Roman"/>
          <w:sz w:val="26"/>
          <w:szCs w:val="26"/>
        </w:rPr>
        <w:t>: Nolan’s</w:t>
      </w:r>
      <w:r w:rsidRPr="00735A9B">
        <w:rPr>
          <w:rFonts w:ascii="Times New Roman" w:eastAsia="Times New Roman" w:hAnsi="Times New Roman" w:cs="Times New Roman"/>
          <w:sz w:val="26"/>
          <w:szCs w:val="26"/>
        </w:rPr>
        <w:t xml:space="preserve"> to-do list (Ex. 16) and priority list (Ex. 17)</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are entirely undated. Nolan Dep. at 273</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75. These exhibits could have been created at any time, including after</w:t>
      </w:r>
      <w:r w:rsidRPr="00735A9B">
        <w:rPr>
          <w:rFonts w:ascii="Times New Roman" w:hAnsi="Times New Roman" w:cs="Times New Roman"/>
          <w:sz w:val="26"/>
          <w:szCs w:val="26"/>
        </w:rPr>
        <w:t xml:space="preserve"> Calloway gave the immunized testimony.</w:t>
      </w:r>
    </w:p>
    <w:p w14:paraId="79F4EBDE" w14:textId="78511E34" w:rsidR="00B125A5" w:rsidRPr="00735A9B" w:rsidRDefault="00B125A5"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One week after Calloway’s public testimony concluded, Nolan interviewed Kennedy Parker for the first time on October 31, 2024</w:t>
      </w:r>
      <w:r w:rsidRPr="00735A9B">
        <w:rPr>
          <w:rFonts w:ascii="Times New Roman" w:hAnsi="Times New Roman" w:cs="Times New Roman"/>
          <w:sz w:val="26"/>
          <w:szCs w:val="26"/>
        </w:rPr>
        <w:t>, after setting up an interview the same day</w:t>
      </w:r>
      <w:r w:rsidRPr="00735A9B">
        <w:rPr>
          <w:rFonts w:ascii="Times New Roman" w:eastAsia="Times New Roman" w:hAnsi="Times New Roman" w:cs="Times New Roman"/>
          <w:sz w:val="26"/>
          <w:szCs w:val="26"/>
        </w:rPr>
        <w:t>. Nolan Dep. at 326</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27. Parker</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a former Coastal Partners employee listed on the same employee roster the Government had possessed for months</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 xml:space="preserve">suddenly </w:t>
      </w:r>
      <w:r w:rsidRPr="00735A9B">
        <w:rPr>
          <w:rFonts w:ascii="Times New Roman" w:hAnsi="Times New Roman" w:cs="Times New Roman"/>
          <w:sz w:val="26"/>
          <w:szCs w:val="26"/>
        </w:rPr>
        <w:t>needed to be interviewed</w:t>
      </w:r>
      <w:r w:rsidRPr="00735A9B">
        <w:rPr>
          <w:rFonts w:ascii="Times New Roman" w:eastAsia="Times New Roman" w:hAnsi="Times New Roman" w:cs="Times New Roman"/>
          <w:sz w:val="26"/>
          <w:szCs w:val="26"/>
        </w:rPr>
        <w:t>. Parker described a Christmas party argument with Calloway (Parker Dep. at 176</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94), claimed to have moved a box of Coastal Partners documents to a storage unit (Parker Dep. at 244</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80), and signed a witness statement (Ex. 18). The </w:t>
      </w:r>
      <w:r w:rsidRPr="00735A9B">
        <w:rPr>
          <w:rFonts w:ascii="Times New Roman" w:hAnsi="Times New Roman" w:cs="Times New Roman"/>
          <w:sz w:val="26"/>
          <w:szCs w:val="26"/>
        </w:rPr>
        <w:t>unit</w:t>
      </w:r>
      <w:r w:rsidRPr="00735A9B">
        <w:rPr>
          <w:rFonts w:ascii="Times New Roman" w:eastAsia="Times New Roman" w:hAnsi="Times New Roman" w:cs="Times New Roman"/>
          <w:sz w:val="26"/>
          <w:szCs w:val="26"/>
        </w:rPr>
        <w:t xml:space="preserve"> search followed, producing the </w:t>
      </w:r>
      <w:r w:rsidRPr="00735A9B">
        <w:rPr>
          <w:rFonts w:ascii="Times New Roman" w:hAnsi="Times New Roman" w:cs="Times New Roman"/>
          <w:sz w:val="26"/>
          <w:szCs w:val="26"/>
        </w:rPr>
        <w:t>central evidence of this prosecution (Ex. 19).</w:t>
      </w:r>
      <w:r w:rsidRPr="00735A9B">
        <w:rPr>
          <w:rFonts w:ascii="Times New Roman" w:eastAsia="Times New Roman" w:hAnsi="Times New Roman" w:cs="Times New Roman"/>
          <w:sz w:val="26"/>
          <w:szCs w:val="26"/>
        </w:rPr>
        <w:t xml:space="preserve"> </w:t>
      </w:r>
      <w:r w:rsidRPr="00735A9B">
        <w:rPr>
          <w:rFonts w:ascii="Times New Roman" w:hAnsi="Times New Roman" w:cs="Times New Roman"/>
          <w:sz w:val="26"/>
          <w:szCs w:val="26"/>
        </w:rPr>
        <w:t>T</w:t>
      </w:r>
      <w:r w:rsidRPr="00735A9B">
        <w:rPr>
          <w:rFonts w:ascii="Times New Roman" w:eastAsia="Times New Roman" w:hAnsi="Times New Roman" w:cs="Times New Roman"/>
          <w:sz w:val="26"/>
          <w:szCs w:val="26"/>
        </w:rPr>
        <w:t xml:space="preserve">he parties </w:t>
      </w:r>
      <w:proofErr w:type="gramStart"/>
      <w:r w:rsidRPr="00735A9B">
        <w:rPr>
          <w:rFonts w:ascii="Times New Roman" w:eastAsia="Times New Roman" w:hAnsi="Times New Roman" w:cs="Times New Roman"/>
          <w:sz w:val="26"/>
          <w:szCs w:val="26"/>
        </w:rPr>
        <w:t>have agreed</w:t>
      </w:r>
      <w:proofErr w:type="gramEnd"/>
      <w:r w:rsidRPr="00735A9B">
        <w:rPr>
          <w:rFonts w:ascii="Times New Roman" w:eastAsia="Times New Roman" w:hAnsi="Times New Roman" w:cs="Times New Roman"/>
          <w:sz w:val="26"/>
          <w:szCs w:val="26"/>
        </w:rPr>
        <w:t xml:space="preserve"> that Parker had been uncooperative before Calloway’s testimony.</w:t>
      </w:r>
      <w:r w:rsidRPr="00735A9B">
        <w:rPr>
          <w:rStyle w:val="FootnoteReference"/>
          <w:rFonts w:ascii="Times New Roman" w:hAnsi="Times New Roman" w:cs="Times New Roman"/>
          <w:sz w:val="26"/>
          <w:szCs w:val="26"/>
        </w:rPr>
        <w:footnoteReference w:id="1"/>
      </w:r>
    </w:p>
    <w:p w14:paraId="0000002C" w14:textId="7AF65756"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lastRenderedPageBreak/>
        <w:t xml:space="preserve">Following the murder of Daniel Blake in December 2023 and </w:t>
      </w:r>
      <w:r w:rsidR="00E811B8" w:rsidRPr="00735A9B">
        <w:rPr>
          <w:rFonts w:ascii="Times New Roman" w:hAnsi="Times New Roman" w:cs="Times New Roman"/>
          <w:sz w:val="26"/>
          <w:szCs w:val="26"/>
        </w:rPr>
        <w:t>Donovan’s</w:t>
      </w:r>
      <w:r w:rsidRPr="00735A9B">
        <w:rPr>
          <w:rFonts w:ascii="Times New Roman" w:hAnsi="Times New Roman" w:cs="Times New Roman"/>
          <w:sz w:val="26"/>
          <w:szCs w:val="26"/>
        </w:rPr>
        <w:t xml:space="preserve"> subsequent arrest, and with the understanding that she would be charged next, Calloway and her attorneys retained Maddox Armana, a licensed private investigator, in January 2024 to aid in the preparation of Calloway’s defense. Armana Dep. at 35–38. In anticipation of charges being filed against her, Calloway sought out Armana’s assistance in developing and preserving the facts surrounding the financial structure at the core of the government’s case. Armana Dep. at 40–45. On February 15, 2024, Armana interv</w:t>
      </w:r>
      <w:r w:rsidRPr="00735A9B">
        <w:rPr>
          <w:rFonts w:ascii="Times New Roman" w:hAnsi="Times New Roman" w:cs="Times New Roman"/>
          <w:sz w:val="26"/>
          <w:szCs w:val="26"/>
        </w:rPr>
        <w:t xml:space="preserve">iewed Sierra Seton, a former operations manager at Coastal Event Solutions, one of the companies involved in the financial structure underlying Donovan’s prosecution. Armana Dep. at 53–58. </w:t>
      </w:r>
      <w:r w:rsidR="00662E1B" w:rsidRPr="00735A9B">
        <w:rPr>
          <w:rFonts w:ascii="Times New Roman" w:hAnsi="Times New Roman" w:cs="Times New Roman"/>
          <w:sz w:val="26"/>
          <w:szCs w:val="26"/>
        </w:rPr>
        <w:t>During</w:t>
      </w:r>
      <w:r w:rsidRPr="00735A9B">
        <w:rPr>
          <w:rFonts w:ascii="Times New Roman" w:hAnsi="Times New Roman" w:cs="Times New Roman"/>
          <w:sz w:val="26"/>
          <w:szCs w:val="26"/>
        </w:rPr>
        <w:t xml:space="preserve"> this unrecorded interview, Armana created contemporaneous typewritten notes combining Seton’s alleged account with Armana’s own thoughts, follow-ups, and theories. Armana Dep. at 111–113, 138–143. In March 2024, Seton fled the country, making her presently unreachable to the parties. Armana Dep. at 146–159. Armana’s documents related to the content and Armana’s mental impressions of the Seton interview have been filed under seal with this Court as Exhibit 21. The United States now seeks to compel Armana, a</w:t>
      </w:r>
      <w:r w:rsidRPr="00735A9B">
        <w:rPr>
          <w:rFonts w:ascii="Times New Roman" w:hAnsi="Times New Roman" w:cs="Times New Roman"/>
          <w:sz w:val="26"/>
          <w:szCs w:val="26"/>
        </w:rPr>
        <w:t xml:space="preserve">n agent of the defense, to produce these documents. </w:t>
      </w:r>
    </w:p>
    <w:p w14:paraId="0000002D" w14:textId="77777777" w:rsidR="00BA3C3A" w:rsidRPr="00735A9B" w:rsidRDefault="00827724" w:rsidP="00735A9B">
      <w:pPr>
        <w:pStyle w:val="Heading1"/>
        <w:spacing w:after="0"/>
        <w:ind w:left="0" w:firstLine="0"/>
        <w:jc w:val="center"/>
        <w:rPr>
          <w:rFonts w:ascii="Times New Roman" w:hAnsi="Times New Roman" w:cs="Times New Roman"/>
          <w:sz w:val="26"/>
          <w:szCs w:val="26"/>
        </w:rPr>
      </w:pPr>
      <w:bookmarkStart w:id="7" w:name="_Toc239095276"/>
      <w:r w:rsidRPr="00735A9B">
        <w:rPr>
          <w:rFonts w:ascii="Times New Roman" w:hAnsi="Times New Roman" w:cs="Times New Roman"/>
          <w:sz w:val="26"/>
          <w:szCs w:val="26"/>
        </w:rPr>
        <w:t>III. ARGUMENT</w:t>
      </w:r>
      <w:bookmarkEnd w:id="7"/>
    </w:p>
    <w:p w14:paraId="0000002E" w14:textId="6ABBC28D" w:rsidR="00BA3C3A" w:rsidRPr="00735A9B" w:rsidRDefault="00827724" w:rsidP="00735A9B">
      <w:pPr>
        <w:pStyle w:val="Heading2"/>
        <w:spacing w:line="240" w:lineRule="auto"/>
        <w:ind w:left="720" w:hanging="720"/>
        <w:rPr>
          <w:rFonts w:eastAsia="Century Schoolbook"/>
          <w:sz w:val="26"/>
          <w:szCs w:val="26"/>
        </w:rPr>
      </w:pPr>
      <w:bookmarkStart w:id="8" w:name="_Toc239095277"/>
      <w:r w:rsidRPr="00735A9B">
        <w:rPr>
          <w:rFonts w:eastAsia="Century Schoolbook"/>
          <w:sz w:val="26"/>
          <w:szCs w:val="26"/>
        </w:rPr>
        <w:t xml:space="preserve">A. </w:t>
      </w:r>
      <w:r w:rsidR="00E811B8" w:rsidRPr="00735A9B">
        <w:rPr>
          <w:rFonts w:eastAsia="Century Schoolbook"/>
          <w:sz w:val="26"/>
          <w:szCs w:val="26"/>
        </w:rPr>
        <w:tab/>
      </w:r>
      <w:r w:rsidRPr="00735A9B">
        <w:rPr>
          <w:rFonts w:eastAsia="Century Schoolbook"/>
          <w:sz w:val="26"/>
          <w:szCs w:val="26"/>
        </w:rPr>
        <w:t>Evidence discovered by the United States and the testimony of Kennedy Parker should be suppressed because it was obtained in violation of a court order.</w:t>
      </w:r>
      <w:bookmarkEnd w:id="8"/>
    </w:p>
    <w:p w14:paraId="428075FB" w14:textId="1655E6BD" w:rsidR="00662E1B" w:rsidRPr="00735A9B" w:rsidRDefault="00662E1B"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The Fifth Amendment’s protection against compelled self-incrimination is not a formality</w:t>
      </w:r>
      <w:r w:rsidRPr="00735A9B">
        <w:rPr>
          <w:rFonts w:ascii="Times New Roman" w:hAnsi="Times New Roman" w:cs="Times New Roman"/>
          <w:sz w:val="26"/>
          <w:szCs w:val="26"/>
        </w:rPr>
        <w:t>; i</w:t>
      </w:r>
      <w:r w:rsidRPr="00735A9B">
        <w:rPr>
          <w:rFonts w:ascii="Times New Roman" w:eastAsia="Times New Roman" w:hAnsi="Times New Roman" w:cs="Times New Roman"/>
          <w:sz w:val="26"/>
          <w:szCs w:val="26"/>
        </w:rPr>
        <w:t xml:space="preserve">t is a constitutional promise. When the Government invokes its power under </w:t>
      </w:r>
      <w:r w:rsidRPr="00735A9B">
        <w:rPr>
          <w:rFonts w:ascii="Times New Roman" w:eastAsia="Times New Roman" w:hAnsi="Times New Roman" w:cs="Times New Roman"/>
          <w:sz w:val="26"/>
          <w:szCs w:val="26"/>
        </w:rPr>
        <w:lastRenderedPageBreak/>
        <w:t xml:space="preserve">to compel testimony,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demands a “total prohibition on use” of that testimony and its fruits.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406 U.S. at 453.</w:t>
      </w:r>
      <w:r w:rsidRPr="00735A9B">
        <w:rPr>
          <w:rFonts w:ascii="Times New Roman" w:eastAsia="Times New Roman" w:hAnsi="Times New Roman" w:cs="Times New Roman"/>
          <w:sz w:val="26"/>
          <w:szCs w:val="26"/>
        </w:rPr>
        <w:fldChar w:fldCharType="begin"/>
      </w:r>
      <w:r w:rsidRPr="00735A9B">
        <w:rPr>
          <w:rFonts w:ascii="Times New Roman" w:hAnsi="Times New Roman" w:cs="Times New Roman"/>
          <w:sz w:val="26"/>
          <w:szCs w:val="26"/>
        </w:rPr>
        <w:instrText xml:space="preserve"> TA \s "Kastigar v. United States, 406 U.S. 441 (1972)" </w:instrText>
      </w:r>
      <w:r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The Government bears a “heavy burden” of proving that all evidence it proposes to use was derived from sources “wholly independent” of the compelled testimony. </w:t>
      </w:r>
      <w:r w:rsidRPr="00735A9B">
        <w:rPr>
          <w:rFonts w:ascii="Times New Roman" w:eastAsia="Times New Roman" w:hAnsi="Times New Roman" w:cs="Times New Roman"/>
          <w:i/>
          <w:iCs/>
          <w:sz w:val="26"/>
          <w:szCs w:val="26"/>
        </w:rPr>
        <w:t>Id.</w:t>
      </w:r>
      <w:r w:rsidRPr="00735A9B">
        <w:rPr>
          <w:rFonts w:ascii="Times New Roman" w:eastAsia="Times New Roman" w:hAnsi="Times New Roman" w:cs="Times New Roman"/>
          <w:sz w:val="26"/>
          <w:szCs w:val="26"/>
        </w:rPr>
        <w:t xml:space="preserve"> at 461</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62.</w:t>
      </w:r>
      <w:r w:rsidRPr="00735A9B">
        <w:rPr>
          <w:rFonts w:ascii="Times New Roman" w:eastAsia="Times New Roman" w:hAnsi="Times New Roman" w:cs="Times New Roman"/>
          <w:sz w:val="26"/>
          <w:szCs w:val="26"/>
        </w:rPr>
        <w:fldChar w:fldCharType="begin"/>
      </w:r>
      <w:r w:rsidRPr="00735A9B">
        <w:rPr>
          <w:rFonts w:ascii="Times New Roman" w:hAnsi="Times New Roman" w:cs="Times New Roman"/>
          <w:sz w:val="26"/>
          <w:szCs w:val="26"/>
        </w:rPr>
        <w:instrText xml:space="preserve"> TA \s "Kastigar v. United States, 406 U.S. 441 (1972)" </w:instrText>
      </w:r>
      <w:r w:rsidRPr="00735A9B">
        <w:rPr>
          <w:rFonts w:ascii="Times New Roman" w:eastAsia="Times New Roman" w:hAnsi="Times New Roman" w:cs="Times New Roman"/>
          <w:sz w:val="26"/>
          <w:szCs w:val="26"/>
        </w:rPr>
        <w:fldChar w:fldCharType="end"/>
      </w:r>
    </w:p>
    <w:p w14:paraId="553B083E" w14:textId="5C310975" w:rsidR="00662E1B" w:rsidRPr="00735A9B" w:rsidRDefault="00662E1B" w:rsidP="00735A9B">
      <w:pPr>
        <w:spacing w:after="0"/>
        <w:rPr>
          <w:rFonts w:ascii="Times New Roman" w:eastAsia="Times New Roman" w:hAnsi="Times New Roman" w:cs="Times New Roman"/>
          <w:sz w:val="26"/>
          <w:szCs w:val="26"/>
        </w:rPr>
      </w:pPr>
      <w:r w:rsidRPr="00735A9B">
        <w:rPr>
          <w:rFonts w:ascii="Times New Roman" w:eastAsia="Times New Roman" w:hAnsi="Times New Roman" w:cs="Times New Roman"/>
          <w:sz w:val="26"/>
          <w:szCs w:val="26"/>
        </w:rPr>
        <w:t xml:space="preserve">The Fourteenth </w:t>
      </w:r>
      <w:r w:rsidRPr="00735A9B">
        <w:rPr>
          <w:rFonts w:ascii="Times New Roman" w:hAnsi="Times New Roman" w:cs="Times New Roman"/>
          <w:sz w:val="26"/>
          <w:szCs w:val="26"/>
        </w:rPr>
        <w:t>Circuit Court of Appeals</w:t>
      </w:r>
      <w:r w:rsidRPr="00735A9B">
        <w:rPr>
          <w:rFonts w:ascii="Times New Roman" w:eastAsia="Times New Roman" w:hAnsi="Times New Roman" w:cs="Times New Roman"/>
          <w:sz w:val="26"/>
          <w:szCs w:val="26"/>
        </w:rPr>
        <w:t xml:space="preserve"> has not yet addressed the scope of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’s protections. But sister circuits have consistently construed the prohibition broadly. The Supreme Court in </w:t>
      </w:r>
      <w:r w:rsidRPr="00735A9B">
        <w:rPr>
          <w:rFonts w:ascii="Times New Roman" w:eastAsia="Times New Roman" w:hAnsi="Times New Roman" w:cs="Times New Roman"/>
          <w:i/>
          <w:iCs/>
          <w:sz w:val="26"/>
          <w:szCs w:val="26"/>
        </w:rPr>
        <w:t>United States v. Hubbell</w:t>
      </w:r>
      <w:r w:rsidRPr="00735A9B">
        <w:rPr>
          <w:rFonts w:ascii="Times New Roman" w:eastAsia="Times New Roman" w:hAnsi="Times New Roman" w:cs="Times New Roman"/>
          <w:sz w:val="26"/>
          <w:szCs w:val="26"/>
        </w:rPr>
        <w:t>, 530 U.S. 27, 40</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45 (2000)</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United States v. Hubbell</w:instrText>
      </w:r>
      <w:r w:rsidR="00E811B8" w:rsidRPr="00735A9B">
        <w:rPr>
          <w:rFonts w:ascii="Times New Roman" w:eastAsia="Times New Roman" w:hAnsi="Times New Roman" w:cs="Times New Roman"/>
          <w:sz w:val="26"/>
          <w:szCs w:val="26"/>
        </w:rPr>
        <w:instrText>, 530 U.S. 27, 40</w:instrText>
      </w:r>
      <w:r w:rsidR="00E811B8" w:rsidRPr="00735A9B">
        <w:rPr>
          <w:rFonts w:ascii="Times New Roman" w:hAnsi="Times New Roman" w:cs="Times New Roman"/>
          <w:sz w:val="26"/>
          <w:szCs w:val="26"/>
        </w:rPr>
        <w:instrText>-</w:instrText>
      </w:r>
      <w:r w:rsidR="00E811B8" w:rsidRPr="00735A9B">
        <w:rPr>
          <w:rFonts w:ascii="Times New Roman" w:eastAsia="Times New Roman" w:hAnsi="Times New Roman" w:cs="Times New Roman"/>
          <w:sz w:val="26"/>
          <w:szCs w:val="26"/>
        </w:rPr>
        <w:instrText>45 (2000)</w:instrText>
      </w:r>
      <w:r w:rsidR="00E811B8" w:rsidRPr="00735A9B">
        <w:rPr>
          <w:rFonts w:ascii="Times New Roman" w:hAnsi="Times New Roman" w:cs="Times New Roman"/>
          <w:sz w:val="26"/>
          <w:szCs w:val="26"/>
        </w:rPr>
        <w:instrText xml:space="preserve">" \s "United States v. Hubbell, 530 U.S. 27 (2000)"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reaffirmed that the Government must demonstrate entirely independent knowledge of the evidence it seeks to introduce.</w:t>
      </w:r>
      <w:r w:rsidRPr="00735A9B">
        <w:rPr>
          <w:rFonts w:ascii="Times New Roman" w:hAnsi="Times New Roman" w:cs="Times New Roman"/>
          <w:sz w:val="26"/>
          <w:szCs w:val="26"/>
        </w:rPr>
        <w:t xml:space="preserve"> </w:t>
      </w:r>
      <w:r w:rsidRPr="00735A9B">
        <w:rPr>
          <w:rFonts w:ascii="Times New Roman" w:eastAsia="Times New Roman" w:hAnsi="Times New Roman" w:cs="Times New Roman"/>
          <w:i/>
          <w:iCs/>
          <w:sz w:val="26"/>
          <w:szCs w:val="26"/>
        </w:rPr>
        <w:t>See United States v. Youngman</w:t>
      </w:r>
      <w:r w:rsidRPr="00735A9B">
        <w:rPr>
          <w:rFonts w:ascii="Times New Roman" w:eastAsia="Times New Roman" w:hAnsi="Times New Roman" w:cs="Times New Roman"/>
          <w:sz w:val="26"/>
          <w:szCs w:val="26"/>
        </w:rPr>
        <w:t>, 48 M.J. 123, 128 (C.A.A.F. 1998)</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United States v. Youngman</w:instrText>
      </w:r>
      <w:r w:rsidR="00E811B8" w:rsidRPr="00735A9B">
        <w:rPr>
          <w:rFonts w:ascii="Times New Roman" w:eastAsia="Times New Roman" w:hAnsi="Times New Roman" w:cs="Times New Roman"/>
          <w:sz w:val="26"/>
          <w:szCs w:val="26"/>
        </w:rPr>
        <w:instrText>, 48 M.J. 123, 128 (C.A.A.F. 1998)</w:instrText>
      </w:r>
      <w:r w:rsidR="00E811B8" w:rsidRPr="00735A9B">
        <w:rPr>
          <w:rFonts w:ascii="Times New Roman" w:hAnsi="Times New Roman" w:cs="Times New Roman"/>
          <w:sz w:val="26"/>
          <w:szCs w:val="26"/>
        </w:rPr>
        <w:instrText xml:space="preserve">" \s "United States v. Youngman, 48 M.J. 123 (C.A.A.F. 1998)"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(holding that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prohibits non-evidentiary use of immunized testimony, including the decision to prosecute); </w:t>
      </w:r>
      <w:r w:rsidRPr="00735A9B">
        <w:rPr>
          <w:rFonts w:ascii="Times New Roman" w:eastAsia="Times New Roman" w:hAnsi="Times New Roman" w:cs="Times New Roman"/>
          <w:i/>
          <w:iCs/>
          <w:sz w:val="26"/>
          <w:szCs w:val="26"/>
        </w:rPr>
        <w:t>United States v. North</w:t>
      </w:r>
      <w:r w:rsidRPr="00735A9B">
        <w:rPr>
          <w:rFonts w:ascii="Times New Roman" w:eastAsia="Times New Roman" w:hAnsi="Times New Roman" w:cs="Times New Roman"/>
          <w:sz w:val="26"/>
          <w:szCs w:val="26"/>
        </w:rPr>
        <w:t>, 910 F.2d 843, 857 (D.C. Cir. 1990)</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United States v. North</w:instrText>
      </w:r>
      <w:r w:rsidR="00E811B8" w:rsidRPr="00735A9B">
        <w:rPr>
          <w:rFonts w:ascii="Times New Roman" w:eastAsia="Times New Roman" w:hAnsi="Times New Roman" w:cs="Times New Roman"/>
          <w:sz w:val="26"/>
          <w:szCs w:val="26"/>
        </w:rPr>
        <w:instrText>, 910 F.2d 843, 857 (D.C. Cir. 1990)</w:instrText>
      </w:r>
      <w:r w:rsidR="00E811B8" w:rsidRPr="00735A9B">
        <w:rPr>
          <w:rFonts w:ascii="Times New Roman" w:hAnsi="Times New Roman" w:cs="Times New Roman"/>
          <w:sz w:val="26"/>
          <w:szCs w:val="26"/>
        </w:rPr>
        <w:instrText xml:space="preserve">" \s "United States v. North, 910 F.2d 843 (D.C. Cir. 1990)"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(holding that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“is violated whenever the prosecution puts on a witness whose testimony is shaped, directly or indirectly, by compelled testimony, regardless of how or by whom he was exposed”).</w:t>
      </w:r>
    </w:p>
    <w:p w14:paraId="3D93FDE4" w14:textId="4D0F9D0C" w:rsidR="00662E1B" w:rsidRPr="00735A9B" w:rsidRDefault="00662E1B" w:rsidP="00735A9B">
      <w:pPr>
        <w:pStyle w:val="Heading3"/>
        <w:rPr>
          <w:rFonts w:ascii="Times New Roman" w:hAnsi="Times New Roman" w:cs="Times New Roman"/>
          <w:sz w:val="26"/>
          <w:szCs w:val="26"/>
        </w:rPr>
      </w:pPr>
      <w:bookmarkStart w:id="9" w:name="_Toc239095278"/>
      <w:r w:rsidRPr="00735A9B">
        <w:rPr>
          <w:rFonts w:ascii="Times New Roman" w:hAnsi="Times New Roman" w:cs="Times New Roman"/>
          <w:sz w:val="26"/>
          <w:szCs w:val="26"/>
        </w:rPr>
        <w:t>1</w:t>
      </w:r>
      <w:proofErr w:type="gramStart"/>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t>The</w:t>
      </w:r>
      <w:proofErr w:type="gramEnd"/>
      <w:r w:rsidRPr="00735A9B">
        <w:rPr>
          <w:rFonts w:ascii="Times New Roman" w:hAnsi="Times New Roman" w:cs="Times New Roman"/>
          <w:sz w:val="26"/>
          <w:szCs w:val="26"/>
        </w:rPr>
        <w:t xml:space="preserve"> Constitutional Protection of the 5th Amendment Creates the Promise of a Wall.</w:t>
      </w:r>
      <w:bookmarkEnd w:id="9"/>
    </w:p>
    <w:p w14:paraId="4131E1F3" w14:textId="5151702E" w:rsidR="00662E1B" w:rsidRPr="00735A9B" w:rsidRDefault="00662E1B" w:rsidP="00735A9B">
      <w:pPr>
        <w:spacing w:before="240" w:after="0"/>
        <w:rPr>
          <w:rFonts w:ascii="Times New Roman" w:hAnsi="Times New Roman" w:cs="Times New Roman"/>
          <w:sz w:val="26"/>
          <w:szCs w:val="26"/>
        </w:rPr>
      </w:pPr>
      <w:r w:rsidRPr="00735A9B">
        <w:rPr>
          <w:rFonts w:ascii="Times New Roman" w:eastAsia="Times New Roman" w:hAnsi="Times New Roman" w:cs="Times New Roman"/>
          <w:sz w:val="26"/>
          <w:szCs w:val="26"/>
        </w:rPr>
        <w:t>The timeline tells the story. For months, the Government possessed the employee roster (Ex. 10) listing Kennedy Parker among over one hundred Coastal Partners employees. Nolan</w:t>
      </w:r>
      <w:r w:rsidR="00E811B8" w:rsidRPr="00735A9B">
        <w:rPr>
          <w:rFonts w:ascii="Times New Roman" w:eastAsia="Times New Roman" w:hAnsi="Times New Roman" w:cs="Times New Roman"/>
          <w:sz w:val="26"/>
          <w:szCs w:val="26"/>
        </w:rPr>
        <w:t xml:space="preserve"> Dep. at</w:t>
      </w:r>
      <w:r w:rsidRPr="00735A9B">
        <w:rPr>
          <w:rFonts w:ascii="Times New Roman" w:eastAsia="Times New Roman" w:hAnsi="Times New Roman" w:cs="Times New Roman"/>
          <w:sz w:val="26"/>
          <w:szCs w:val="26"/>
        </w:rPr>
        <w:t xml:space="preserve"> 276</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87. </w:t>
      </w:r>
      <w:r w:rsidRPr="00735A9B">
        <w:rPr>
          <w:rFonts w:ascii="Times New Roman" w:hAnsi="Times New Roman" w:cs="Times New Roman"/>
          <w:sz w:val="26"/>
          <w:szCs w:val="26"/>
        </w:rPr>
        <w:t xml:space="preserve">Nolan’s investigation </w:t>
      </w:r>
      <w:r w:rsidRPr="00735A9B">
        <w:rPr>
          <w:rFonts w:ascii="Times New Roman" w:eastAsia="Times New Roman" w:hAnsi="Times New Roman" w:cs="Times New Roman"/>
          <w:sz w:val="26"/>
          <w:szCs w:val="26"/>
        </w:rPr>
        <w:t xml:space="preserve">interviewed four witnesses and learned nothing new. Nolan </w:t>
      </w:r>
      <w:r w:rsidR="00E811B8" w:rsidRP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304</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12. The investigation had stalled.</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 xml:space="preserve">Then came </w:t>
      </w:r>
      <w:r w:rsidRPr="00735A9B">
        <w:rPr>
          <w:rFonts w:ascii="Times New Roman" w:hAnsi="Times New Roman" w:cs="Times New Roman"/>
          <w:sz w:val="26"/>
          <w:szCs w:val="26"/>
        </w:rPr>
        <w:t>Saint Donovan’s trial along with</w:t>
      </w:r>
      <w:r w:rsidRPr="00735A9B">
        <w:rPr>
          <w:rFonts w:ascii="Times New Roman" w:eastAsia="Times New Roman" w:hAnsi="Times New Roman" w:cs="Times New Roman"/>
          <w:sz w:val="26"/>
          <w:szCs w:val="26"/>
        </w:rPr>
        <w:t xml:space="preserve"> press-covered testimony from Emily Calloway. Ex. 14; Sinclair </w:t>
      </w:r>
      <w:r w:rsidR="00E811B8" w:rsidRP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591</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98. </w:t>
      </w:r>
      <w:r w:rsidRPr="00735A9B">
        <w:rPr>
          <w:rFonts w:ascii="Times New Roman" w:hAnsi="Times New Roman" w:cs="Times New Roman"/>
          <w:sz w:val="26"/>
          <w:szCs w:val="26"/>
        </w:rPr>
        <w:t xml:space="preserve">One week after that trial concluded </w:t>
      </w:r>
      <w:r w:rsidRPr="00735A9B">
        <w:rPr>
          <w:rFonts w:ascii="Times New Roman" w:eastAsia="Times New Roman" w:hAnsi="Times New Roman" w:cs="Times New Roman"/>
          <w:sz w:val="26"/>
          <w:szCs w:val="26"/>
        </w:rPr>
        <w:t xml:space="preserve">Nolan interviewed Parker </w:t>
      </w:r>
      <w:r w:rsidRPr="00735A9B">
        <w:rPr>
          <w:rFonts w:ascii="Times New Roman" w:eastAsia="Times New Roman" w:hAnsi="Times New Roman" w:cs="Times New Roman"/>
          <w:sz w:val="26"/>
          <w:szCs w:val="26"/>
        </w:rPr>
        <w:lastRenderedPageBreak/>
        <w:t>for the first time, and Parker suddenly had everything: a Christmas party argument with Calloway (Parker</w:t>
      </w:r>
      <w:r w:rsidR="00E811B8" w:rsidRPr="00735A9B">
        <w:rPr>
          <w:rFonts w:ascii="Times New Roman" w:eastAsia="Times New Roman" w:hAnsi="Times New Roman" w:cs="Times New Roman"/>
          <w:sz w:val="26"/>
          <w:szCs w:val="26"/>
        </w:rPr>
        <w:t xml:space="preserve"> Dep. at</w:t>
      </w:r>
      <w:r w:rsidRPr="00735A9B">
        <w:rPr>
          <w:rFonts w:ascii="Times New Roman" w:eastAsia="Times New Roman" w:hAnsi="Times New Roman" w:cs="Times New Roman"/>
          <w:sz w:val="26"/>
          <w:szCs w:val="26"/>
        </w:rPr>
        <w:t xml:space="preserve"> 176</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94), a box of documents moved to a storage unit (</w:t>
      </w:r>
      <w:r w:rsidR="00E811B8" w:rsidRPr="00735A9B">
        <w:rPr>
          <w:rFonts w:ascii="Times New Roman" w:eastAsia="Times New Roman" w:hAnsi="Times New Roman" w:cs="Times New Roman"/>
          <w:sz w:val="26"/>
          <w:szCs w:val="26"/>
        </w:rPr>
        <w:t>Parker Dep. at</w:t>
      </w:r>
      <w:r w:rsidRPr="00735A9B">
        <w:rPr>
          <w:rFonts w:ascii="Times New Roman" w:eastAsia="Times New Roman" w:hAnsi="Times New Roman" w:cs="Times New Roman"/>
          <w:sz w:val="26"/>
          <w:szCs w:val="26"/>
        </w:rPr>
        <w:t xml:space="preserve"> 244</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80), and a signed witness statement (Ex. 18). Nolan confirmed that no one had heard of the storage unit before Parker. Nolan </w:t>
      </w:r>
      <w:r w:rsidR="00E811B8" w:rsidRP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345</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49. </w:t>
      </w:r>
    </w:p>
    <w:p w14:paraId="31B61041" w14:textId="61B37086" w:rsidR="00662E1B" w:rsidRPr="00735A9B" w:rsidRDefault="00662E1B"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 xml:space="preserve">Parker’s denial of having followed the trial (Parker </w:t>
      </w:r>
      <w:r w:rsidR="00E811B8" w:rsidRP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306</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12) is uncorroborated. The proceedings were public</w:t>
      </w:r>
      <w:r w:rsidRPr="00735A9B">
        <w:rPr>
          <w:rFonts w:ascii="Times New Roman" w:hAnsi="Times New Roman" w:cs="Times New Roman"/>
          <w:sz w:val="26"/>
          <w:szCs w:val="26"/>
        </w:rPr>
        <w:t>, and t</w:t>
      </w:r>
      <w:r w:rsidRPr="00735A9B">
        <w:rPr>
          <w:rFonts w:ascii="Times New Roman" w:eastAsia="Times New Roman" w:hAnsi="Times New Roman" w:cs="Times New Roman"/>
          <w:sz w:val="26"/>
          <w:szCs w:val="26"/>
        </w:rPr>
        <w:t xml:space="preserve">he press covered them extensively. Ex. 14. Sinclair acknowledged the public nature of the testimony. Sinclair </w:t>
      </w:r>
      <w:r w:rsidR="00E811B8" w:rsidRP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591</w:t>
      </w:r>
      <w:r w:rsidR="00E811B8"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98. Under </w:t>
      </w:r>
      <w:r w:rsidRPr="00735A9B">
        <w:rPr>
          <w:rFonts w:ascii="Times New Roman" w:eastAsia="Times New Roman" w:hAnsi="Times New Roman" w:cs="Times New Roman"/>
          <w:i/>
          <w:iCs/>
          <w:sz w:val="26"/>
          <w:szCs w:val="26"/>
        </w:rPr>
        <w:t>North</w:t>
      </w:r>
      <w:r w:rsidRPr="00735A9B">
        <w:rPr>
          <w:rFonts w:ascii="Times New Roman" w:hAnsi="Times New Roman" w:cs="Times New Roman"/>
          <w:i/>
          <w:iCs/>
          <w:sz w:val="26"/>
          <w:szCs w:val="26"/>
        </w:rPr>
        <w:t xml:space="preserve"> </w:t>
      </w:r>
      <w:r w:rsidRPr="00735A9B">
        <w:rPr>
          <w:rFonts w:ascii="Times New Roman" w:hAnsi="Times New Roman" w:cs="Times New Roman"/>
          <w:sz w:val="26"/>
          <w:szCs w:val="26"/>
        </w:rPr>
        <w:t>out of the Court of Appeals for the D.C. circuit</w:t>
      </w:r>
      <w:r w:rsidRPr="00735A9B">
        <w:rPr>
          <w:rFonts w:ascii="Times New Roman" w:eastAsia="Times New Roman" w:hAnsi="Times New Roman" w:cs="Times New Roman"/>
          <w:sz w:val="26"/>
          <w:szCs w:val="26"/>
        </w:rPr>
        <w:t xml:space="preserve">,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“is violated whenever the prosecution puts on a witness whose testimony is shaped, directly or </w:t>
      </w:r>
      <w:r w:rsidRPr="00735A9B">
        <w:rPr>
          <w:rFonts w:ascii="Times New Roman" w:eastAsia="Times New Roman" w:hAnsi="Times New Roman" w:cs="Times New Roman"/>
          <w:color w:val="000000" w:themeColor="text1"/>
          <w:sz w:val="26"/>
          <w:szCs w:val="26"/>
        </w:rPr>
        <w:t xml:space="preserve">indirectly, by compelled testimony, regardless of how or by whom he was exposed.” </w:t>
      </w:r>
      <w:r w:rsidRPr="00735A9B">
        <w:rPr>
          <w:rFonts w:ascii="Times New Roman" w:hAnsi="Times New Roman" w:cs="Times New Roman"/>
          <w:i/>
          <w:iCs/>
          <w:color w:val="000000" w:themeColor="text1"/>
          <w:sz w:val="26"/>
          <w:szCs w:val="26"/>
          <w:bdr w:val="none" w:sz="0" w:space="0" w:color="auto" w:frame="1"/>
        </w:rPr>
        <w:t>United States v. North</w:t>
      </w:r>
      <w:r w:rsidRPr="00735A9B">
        <w:rPr>
          <w:rFonts w:ascii="Times New Roman" w:hAnsi="Times New Roman" w:cs="Times New Roman"/>
          <w:color w:val="000000" w:themeColor="text1"/>
          <w:sz w:val="26"/>
          <w:szCs w:val="26"/>
          <w:bdr w:val="none" w:sz="0" w:space="0" w:color="auto" w:frame="1"/>
        </w:rPr>
        <w:t>, 285 U.S. App. D.C. 343, 910 F.2d 843, 863 (1990)</w:t>
      </w:r>
      <w:r w:rsidR="00E811B8" w:rsidRPr="00735A9B">
        <w:rPr>
          <w:rFonts w:ascii="Times New Roman" w:hAnsi="Times New Roman" w:cs="Times New Roman"/>
          <w:color w:val="000000" w:themeColor="text1"/>
          <w:sz w:val="26"/>
          <w:szCs w:val="26"/>
          <w:bdr w:val="none" w:sz="0" w:space="0" w:color="auto" w:frame="1"/>
        </w:rPr>
        <w:fldChar w:fldCharType="begin"/>
      </w:r>
      <w:r w:rsidR="00E811B8" w:rsidRPr="00735A9B">
        <w:rPr>
          <w:rFonts w:ascii="Times New Roman" w:hAnsi="Times New Roman" w:cs="Times New Roman"/>
          <w:sz w:val="26"/>
          <w:szCs w:val="26"/>
        </w:rPr>
        <w:instrText xml:space="preserve"> TA \s "United States v. North, 910 F.2d 843 (D.C. Cir. 1990)" </w:instrText>
      </w:r>
      <w:r w:rsidR="00E811B8" w:rsidRPr="00735A9B">
        <w:rPr>
          <w:rFonts w:ascii="Times New Roman" w:hAnsi="Times New Roman" w:cs="Times New Roman"/>
          <w:color w:val="000000" w:themeColor="text1"/>
          <w:sz w:val="26"/>
          <w:szCs w:val="26"/>
          <w:bdr w:val="none" w:sz="0" w:space="0" w:color="auto" w:frame="1"/>
        </w:rPr>
        <w:fldChar w:fldCharType="end"/>
      </w:r>
      <w:r w:rsidRPr="00735A9B">
        <w:rPr>
          <w:rFonts w:ascii="Times New Roman" w:hAnsi="Times New Roman" w:cs="Times New Roman"/>
          <w:color w:val="000000" w:themeColor="text1"/>
          <w:sz w:val="26"/>
          <w:szCs w:val="26"/>
          <w:bdr w:val="none" w:sz="0" w:space="0" w:color="auto" w:frame="1"/>
        </w:rPr>
        <w:t xml:space="preserve">. </w:t>
      </w:r>
      <w:r w:rsidRPr="00735A9B">
        <w:rPr>
          <w:rFonts w:ascii="Times New Roman" w:eastAsia="Times New Roman" w:hAnsi="Times New Roman" w:cs="Times New Roman"/>
          <w:i/>
          <w:iCs/>
          <w:sz w:val="26"/>
          <w:szCs w:val="26"/>
        </w:rPr>
        <w:t>See also United States v. McDaniel</w:t>
      </w:r>
      <w:r w:rsidRPr="00735A9B">
        <w:rPr>
          <w:rFonts w:ascii="Times New Roman" w:eastAsia="Times New Roman" w:hAnsi="Times New Roman" w:cs="Times New Roman"/>
          <w:sz w:val="26"/>
          <w:szCs w:val="26"/>
        </w:rPr>
        <w:t>, 482 F.2d 305, 311 (8th Cir. 1973)</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United States v. McDaniel</w:instrText>
      </w:r>
      <w:r w:rsidR="00E811B8" w:rsidRPr="00735A9B">
        <w:rPr>
          <w:rFonts w:ascii="Times New Roman" w:eastAsia="Times New Roman" w:hAnsi="Times New Roman" w:cs="Times New Roman"/>
          <w:sz w:val="26"/>
          <w:szCs w:val="26"/>
        </w:rPr>
        <w:instrText>, 482 F.2d 305, 311 (8th Cir. 1973)</w:instrText>
      </w:r>
      <w:r w:rsidR="00E811B8" w:rsidRPr="00735A9B">
        <w:rPr>
          <w:rFonts w:ascii="Times New Roman" w:hAnsi="Times New Roman" w:cs="Times New Roman"/>
          <w:sz w:val="26"/>
          <w:szCs w:val="26"/>
        </w:rPr>
        <w:instrText xml:space="preserve">" \s "United States v. McDaniel, 482 F.2d 305 (8th Cir. 1973)"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(holding that the Government cannot discharge its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burden where the prosecutor’s exposure to immunized testimony renders it impossible to prove non-use).</w:t>
      </w:r>
      <w:r w:rsidRPr="00735A9B">
        <w:rPr>
          <w:rFonts w:ascii="Times New Roman" w:hAnsi="Times New Roman" w:cs="Times New Roman"/>
          <w:sz w:val="26"/>
          <w:szCs w:val="26"/>
        </w:rPr>
        <w:t xml:space="preserve"> </w:t>
      </w:r>
      <w:r w:rsidRPr="00735A9B">
        <w:rPr>
          <w:rFonts w:ascii="Times New Roman" w:eastAsia="Times New Roman" w:hAnsi="Times New Roman" w:cs="Times New Roman"/>
          <w:color w:val="000000" w:themeColor="text1"/>
          <w:sz w:val="26"/>
          <w:szCs w:val="26"/>
        </w:rPr>
        <w:t xml:space="preserve">The </w:t>
      </w:r>
      <w:r w:rsidRPr="00735A9B">
        <w:rPr>
          <w:rFonts w:ascii="Times New Roman" w:eastAsia="Times New Roman" w:hAnsi="Times New Roman" w:cs="Times New Roman"/>
          <w:sz w:val="26"/>
          <w:szCs w:val="26"/>
        </w:rPr>
        <w:t>Government cannot demonstrate that Parker was unexposed to seventeen days of broadcast testimony about the very matters on which Parker subsequently provided detailed and specific information. The burden is the Government’s, and it has not been met.</w:t>
      </w:r>
    </w:p>
    <w:p w14:paraId="483E7D4D" w14:textId="56BA05F4" w:rsidR="00662E1B" w:rsidRPr="00735A9B" w:rsidRDefault="00662E1B" w:rsidP="00735A9B">
      <w:pPr>
        <w:pStyle w:val="Heading3"/>
        <w:rPr>
          <w:rFonts w:ascii="Times New Roman" w:hAnsi="Times New Roman" w:cs="Times New Roman"/>
          <w:sz w:val="26"/>
          <w:szCs w:val="26"/>
        </w:rPr>
      </w:pPr>
      <w:bookmarkStart w:id="10" w:name="_Toc239095279"/>
      <w:r w:rsidRPr="00735A9B">
        <w:rPr>
          <w:rFonts w:ascii="Times New Roman" w:hAnsi="Times New Roman" w:cs="Times New Roman"/>
          <w:sz w:val="26"/>
          <w:szCs w:val="26"/>
        </w:rPr>
        <w:t>2</w:t>
      </w:r>
      <w:proofErr w:type="gramStart"/>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t>The</w:t>
      </w:r>
      <w:proofErr w:type="gramEnd"/>
      <w:r w:rsidRPr="00735A9B">
        <w:rPr>
          <w:rFonts w:ascii="Times New Roman" w:hAnsi="Times New Roman" w:cs="Times New Roman"/>
          <w:sz w:val="26"/>
          <w:szCs w:val="26"/>
        </w:rPr>
        <w:t xml:space="preserve"> Wall Protocol Was Inadequate.</w:t>
      </w:r>
      <w:bookmarkEnd w:id="10"/>
    </w:p>
    <w:p w14:paraId="5C34262C" w14:textId="2A5AA318" w:rsidR="00662E1B" w:rsidRPr="00735A9B" w:rsidRDefault="00662E1B" w:rsidP="00735A9B">
      <w:pPr>
        <w:spacing w:before="240" w:after="0"/>
        <w:rPr>
          <w:rFonts w:ascii="Times New Roman" w:hAnsi="Times New Roman" w:cs="Times New Roman"/>
          <w:sz w:val="26"/>
          <w:szCs w:val="26"/>
        </w:rPr>
      </w:pPr>
      <w:r w:rsidRPr="00735A9B">
        <w:rPr>
          <w:rFonts w:ascii="Times New Roman" w:eastAsia="Times New Roman" w:hAnsi="Times New Roman" w:cs="Times New Roman"/>
          <w:sz w:val="26"/>
          <w:szCs w:val="26"/>
        </w:rPr>
        <w:t>The Government’s wall protocol (Ex. 15) was designed to separate lead prosecutor Sinclair from case agent Nolan during the immunized proceedings. On paper, this appears adequate</w:t>
      </w:r>
      <w:r w:rsidRPr="00735A9B">
        <w:rPr>
          <w:rFonts w:ascii="Times New Roman" w:hAnsi="Times New Roman" w:cs="Times New Roman"/>
          <w:sz w:val="26"/>
          <w:szCs w:val="26"/>
        </w:rPr>
        <w:t xml:space="preserve"> but i</w:t>
      </w:r>
      <w:r w:rsidRPr="00735A9B">
        <w:rPr>
          <w:rFonts w:ascii="Times New Roman" w:eastAsia="Times New Roman" w:hAnsi="Times New Roman" w:cs="Times New Roman"/>
          <w:sz w:val="26"/>
          <w:szCs w:val="26"/>
        </w:rPr>
        <w:t xml:space="preserve">n practice </w:t>
      </w:r>
      <w:proofErr w:type="gramStart"/>
      <w:r w:rsidRPr="00735A9B">
        <w:rPr>
          <w:rFonts w:ascii="Times New Roman" w:eastAsia="Times New Roman" w:hAnsi="Times New Roman" w:cs="Times New Roman"/>
          <w:sz w:val="26"/>
          <w:szCs w:val="26"/>
        </w:rPr>
        <w:t>a fiction</w:t>
      </w:r>
      <w:proofErr w:type="gramEnd"/>
      <w:r w:rsidRPr="00735A9B">
        <w:rPr>
          <w:rFonts w:ascii="Times New Roman" w:eastAsia="Times New Roman" w:hAnsi="Times New Roman" w:cs="Times New Roman"/>
          <w:sz w:val="26"/>
          <w:szCs w:val="26"/>
        </w:rPr>
        <w:t xml:space="preserve">. Nolan and Sinclair are lifelong friends. Nolan </w:t>
      </w:r>
      <w:r w:rsid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328</w:t>
      </w:r>
      <w:r w:rsid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32. They socialized together throughout the period in which the wall </w:t>
      </w:r>
      <w:r w:rsidRPr="00735A9B">
        <w:rPr>
          <w:rFonts w:ascii="Times New Roman" w:hAnsi="Times New Roman" w:cs="Times New Roman"/>
          <w:sz w:val="26"/>
          <w:szCs w:val="26"/>
        </w:rPr>
        <w:t>existed</w:t>
      </w:r>
      <w:r w:rsidRPr="00735A9B">
        <w:rPr>
          <w:rFonts w:ascii="Times New Roman" w:eastAsia="Times New Roman" w:hAnsi="Times New Roman" w:cs="Times New Roman"/>
          <w:sz w:val="26"/>
          <w:szCs w:val="26"/>
        </w:rPr>
        <w:t xml:space="preserve">. </w:t>
      </w:r>
      <w:r w:rsidRPr="00735A9B">
        <w:rPr>
          <w:rFonts w:ascii="Times New Roman" w:eastAsia="Times New Roman" w:hAnsi="Times New Roman" w:cs="Times New Roman"/>
          <w:sz w:val="26"/>
          <w:szCs w:val="26"/>
        </w:rPr>
        <w:lastRenderedPageBreak/>
        <w:t xml:space="preserve">Sinclair </w:t>
      </w:r>
      <w:r w:rsid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579</w:t>
      </w:r>
      <w:r w:rsid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87. Sinclair could not independently recall having focused on Parker as a witness before the immunized testimony. Sinclair </w:t>
      </w:r>
      <w:r w:rsid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569</w:t>
      </w:r>
      <w:r w:rsidR="00735A9B">
        <w:rPr>
          <w:rFonts w:ascii="Times New Roman" w:hAnsi="Times New Roman" w:cs="Times New Roman"/>
          <w:sz w:val="26"/>
          <w:szCs w:val="26"/>
        </w:rPr>
        <w:t>–</w:t>
      </w:r>
      <w:r w:rsidRPr="00735A9B">
        <w:rPr>
          <w:rFonts w:ascii="Times New Roman" w:eastAsia="Times New Roman" w:hAnsi="Times New Roman" w:cs="Times New Roman"/>
          <w:sz w:val="26"/>
          <w:szCs w:val="26"/>
        </w:rPr>
        <w:t>75. The wall asked these two friends to wall off their professional lives while maintaining their personal relationship</w:t>
      </w:r>
      <w:r w:rsidRPr="00735A9B">
        <w:rPr>
          <w:rFonts w:ascii="Times New Roman" w:hAnsi="Times New Roman" w:cs="Times New Roman"/>
          <w:sz w:val="26"/>
          <w:szCs w:val="26"/>
        </w:rPr>
        <w:t>.</w:t>
      </w:r>
    </w:p>
    <w:p w14:paraId="57A95062" w14:textId="02A669C5" w:rsidR="00662E1B" w:rsidRPr="00735A9B" w:rsidRDefault="00662E1B" w:rsidP="00735A9B">
      <w:pPr>
        <w:spacing w:after="0"/>
        <w:rPr>
          <w:rFonts w:ascii="Times New Roman" w:eastAsia="Times New Roman" w:hAnsi="Times New Roman" w:cs="Times New Roman"/>
          <w:sz w:val="26"/>
          <w:szCs w:val="26"/>
        </w:rPr>
      </w:pPr>
      <w:r w:rsidRPr="00735A9B">
        <w:rPr>
          <w:rFonts w:ascii="Times New Roman" w:eastAsia="Times New Roman" w:hAnsi="Times New Roman" w:cs="Times New Roman"/>
          <w:sz w:val="26"/>
          <w:szCs w:val="26"/>
        </w:rPr>
        <w:t>The Government’s only documentary evidence of the investigation’s pre-testimony progress consists of two exhibits: a to-do list (Ex. 16) and a priority list (Ex. 17)</w:t>
      </w:r>
      <w:r w:rsidRPr="00735A9B">
        <w:rPr>
          <w:rFonts w:ascii="Times New Roman" w:hAnsi="Times New Roman" w:cs="Times New Roman"/>
          <w:sz w:val="26"/>
          <w:szCs w:val="26"/>
        </w:rPr>
        <w:t>, b</w:t>
      </w:r>
      <w:r w:rsidRPr="00735A9B">
        <w:rPr>
          <w:rFonts w:ascii="Times New Roman" w:eastAsia="Times New Roman" w:hAnsi="Times New Roman" w:cs="Times New Roman"/>
          <w:sz w:val="26"/>
          <w:szCs w:val="26"/>
        </w:rPr>
        <w:t xml:space="preserve">oth undated. The Government offers no metadata, timestamps, </w:t>
      </w:r>
      <w:r w:rsidRPr="00735A9B">
        <w:rPr>
          <w:rFonts w:ascii="Times New Roman" w:hAnsi="Times New Roman" w:cs="Times New Roman"/>
          <w:sz w:val="26"/>
          <w:szCs w:val="26"/>
        </w:rPr>
        <w:t xml:space="preserve">or </w:t>
      </w:r>
      <w:r w:rsidRPr="00735A9B">
        <w:rPr>
          <w:rFonts w:ascii="Times New Roman" w:eastAsia="Times New Roman" w:hAnsi="Times New Roman" w:cs="Times New Roman"/>
          <w:sz w:val="26"/>
          <w:szCs w:val="26"/>
        </w:rPr>
        <w:t>corroboration. It asks this Court to accept that these documents were created before the immunized testimony</w:t>
      </w:r>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 xml:space="preserve">but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demands </w:t>
      </w:r>
      <w:r w:rsidRPr="00735A9B">
        <w:rPr>
          <w:rFonts w:ascii="Times New Roman" w:hAnsi="Times New Roman" w:cs="Times New Roman"/>
          <w:sz w:val="26"/>
          <w:szCs w:val="26"/>
        </w:rPr>
        <w:t>more</w:t>
      </w:r>
      <w:r w:rsidRPr="00735A9B">
        <w:rPr>
          <w:rFonts w:ascii="Times New Roman" w:eastAsia="Times New Roman" w:hAnsi="Times New Roman" w:cs="Times New Roman"/>
          <w:sz w:val="26"/>
          <w:szCs w:val="26"/>
        </w:rPr>
        <w:t xml:space="preserve">. The Government bears a “heavy burden,” and undated documents created by agents who socialized with the lead prosecutor throughout the relevant period do not carry that burden. </w:t>
      </w:r>
      <w:r w:rsidRPr="00735A9B">
        <w:rPr>
          <w:rFonts w:ascii="Times New Roman" w:eastAsia="Times New Roman" w:hAnsi="Times New Roman" w:cs="Times New Roman"/>
          <w:i/>
          <w:iCs/>
          <w:sz w:val="26"/>
          <w:szCs w:val="26"/>
        </w:rPr>
        <w:t>See State v. Carapezza</w:t>
      </w:r>
      <w:r w:rsidRPr="00735A9B">
        <w:rPr>
          <w:rFonts w:ascii="Times New Roman" w:eastAsia="Times New Roman" w:hAnsi="Times New Roman" w:cs="Times New Roman"/>
          <w:sz w:val="26"/>
          <w:szCs w:val="26"/>
        </w:rPr>
        <w:t>, 293 Kan. 1068, 1076 (2012)</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State v. Carapezza</w:instrText>
      </w:r>
      <w:r w:rsidR="00E811B8" w:rsidRPr="00735A9B">
        <w:rPr>
          <w:rFonts w:ascii="Times New Roman" w:eastAsia="Times New Roman" w:hAnsi="Times New Roman" w:cs="Times New Roman"/>
          <w:sz w:val="26"/>
          <w:szCs w:val="26"/>
        </w:rPr>
        <w:instrText>, 293 Kan. 1068, 1076 (2012)</w:instrText>
      </w:r>
      <w:r w:rsidR="00E811B8" w:rsidRPr="00735A9B">
        <w:rPr>
          <w:rFonts w:ascii="Times New Roman" w:hAnsi="Times New Roman" w:cs="Times New Roman"/>
          <w:sz w:val="26"/>
          <w:szCs w:val="26"/>
        </w:rPr>
        <w:instrText xml:space="preserve">" \s "State v. Carapezza, 293 Kan. 1068 (2012)"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(suppressing evidence where prosecutors made “no effort to insulate” the investigation from immunized testimony and holding that “the State cannot meet its burden simply by pointing to a calendar”).</w:t>
      </w:r>
      <w:r w:rsidRPr="00735A9B">
        <w:rPr>
          <w:rFonts w:ascii="Times New Roman" w:hAnsi="Times New Roman" w:cs="Times New Roman"/>
          <w:sz w:val="26"/>
          <w:szCs w:val="26"/>
        </w:rPr>
        <w:t xml:space="preserve"> </w:t>
      </w:r>
      <w:r w:rsidRPr="00735A9B">
        <w:rPr>
          <w:rFonts w:ascii="Times New Roman" w:eastAsia="Times New Roman" w:hAnsi="Times New Roman" w:cs="Times New Roman"/>
          <w:i/>
          <w:iCs/>
          <w:sz w:val="26"/>
          <w:szCs w:val="26"/>
        </w:rPr>
        <w:t>See also United States v. Harris</w:t>
      </w:r>
      <w:r w:rsidRPr="00735A9B">
        <w:rPr>
          <w:rFonts w:ascii="Times New Roman" w:eastAsia="Times New Roman" w:hAnsi="Times New Roman" w:cs="Times New Roman"/>
          <w:sz w:val="26"/>
          <w:szCs w:val="26"/>
        </w:rPr>
        <w:t>, 973 F.2d 333, 336 (4th Cir. 1992)</w:t>
      </w:r>
      <w:r w:rsidR="00E811B8" w:rsidRPr="00735A9B">
        <w:rPr>
          <w:rFonts w:ascii="Times New Roman" w:eastAsia="Times New Roman" w:hAnsi="Times New Roman" w:cs="Times New Roman"/>
          <w:sz w:val="26"/>
          <w:szCs w:val="26"/>
        </w:rPr>
        <w:fldChar w:fldCharType="begin"/>
      </w:r>
      <w:r w:rsidR="00E811B8" w:rsidRPr="00735A9B">
        <w:rPr>
          <w:rFonts w:ascii="Times New Roman" w:hAnsi="Times New Roman" w:cs="Times New Roman"/>
          <w:sz w:val="26"/>
          <w:szCs w:val="26"/>
        </w:rPr>
        <w:instrText xml:space="preserve"> TA \l "</w:instrText>
      </w:r>
      <w:r w:rsidR="00E811B8" w:rsidRPr="00735A9B">
        <w:rPr>
          <w:rFonts w:ascii="Times New Roman" w:eastAsia="Times New Roman" w:hAnsi="Times New Roman" w:cs="Times New Roman"/>
          <w:i/>
          <w:iCs/>
          <w:sz w:val="26"/>
          <w:szCs w:val="26"/>
        </w:rPr>
        <w:instrText>United States v. Harris</w:instrText>
      </w:r>
      <w:r w:rsidR="00E811B8" w:rsidRPr="00735A9B">
        <w:rPr>
          <w:rFonts w:ascii="Times New Roman" w:eastAsia="Times New Roman" w:hAnsi="Times New Roman" w:cs="Times New Roman"/>
          <w:sz w:val="26"/>
          <w:szCs w:val="26"/>
        </w:rPr>
        <w:instrText>, 973 F.2d 333, 336 (4th Cir. 1992)</w:instrText>
      </w:r>
      <w:r w:rsidR="00E811B8" w:rsidRPr="00735A9B">
        <w:rPr>
          <w:rFonts w:ascii="Times New Roman" w:hAnsi="Times New Roman" w:cs="Times New Roman"/>
          <w:sz w:val="26"/>
          <w:szCs w:val="26"/>
        </w:rPr>
        <w:instrText xml:space="preserve">" \s "United States v. Harris, 973 F.2d 333 (4th Cir. 1992)" \c 1 </w:instrText>
      </w:r>
      <w:r w:rsidR="00E811B8"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(holding that the government’s bare representations of nonuse are insufficient absent insulating procedures).</w:t>
      </w:r>
    </w:p>
    <w:p w14:paraId="5E7F5AB6" w14:textId="7273BC31" w:rsidR="00662E1B" w:rsidRPr="00735A9B" w:rsidRDefault="00662E1B" w:rsidP="00735A9B">
      <w:pPr>
        <w:pStyle w:val="Heading3"/>
        <w:rPr>
          <w:rFonts w:ascii="Times New Roman" w:hAnsi="Times New Roman" w:cs="Times New Roman"/>
          <w:sz w:val="26"/>
          <w:szCs w:val="26"/>
        </w:rPr>
      </w:pPr>
      <w:bookmarkStart w:id="11" w:name="_Toc239095280"/>
      <w:r w:rsidRPr="00735A9B">
        <w:rPr>
          <w:rFonts w:ascii="Times New Roman" w:hAnsi="Times New Roman" w:cs="Times New Roman"/>
          <w:sz w:val="26"/>
          <w:szCs w:val="26"/>
        </w:rPr>
        <w:t>3</w:t>
      </w:r>
      <w:proofErr w:type="gramStart"/>
      <w:r w:rsidRPr="00735A9B">
        <w:rPr>
          <w:rFonts w:ascii="Times New Roman" w:hAnsi="Times New Roman" w:cs="Times New Roman"/>
          <w:sz w:val="26"/>
          <w:szCs w:val="26"/>
        </w:rPr>
        <w:t xml:space="preserve">. </w:t>
      </w:r>
      <w:r w:rsidRPr="00735A9B">
        <w:rPr>
          <w:rFonts w:ascii="Times New Roman" w:eastAsia="Times New Roman" w:hAnsi="Times New Roman" w:cs="Times New Roman"/>
          <w:sz w:val="26"/>
          <w:szCs w:val="26"/>
        </w:rPr>
        <w:tab/>
        <w:t>The</w:t>
      </w:r>
      <w:proofErr w:type="gramEnd"/>
      <w:r w:rsidRPr="00735A9B">
        <w:rPr>
          <w:rFonts w:ascii="Times New Roman" w:eastAsia="Times New Roman" w:hAnsi="Times New Roman" w:cs="Times New Roman"/>
          <w:sz w:val="26"/>
          <w:szCs w:val="26"/>
        </w:rPr>
        <w:t xml:space="preserve"> Warehouse Evidence </w:t>
      </w:r>
      <w:r w:rsidRPr="00735A9B">
        <w:rPr>
          <w:rFonts w:ascii="Times New Roman" w:hAnsi="Times New Roman" w:cs="Times New Roman"/>
          <w:sz w:val="26"/>
          <w:szCs w:val="26"/>
        </w:rPr>
        <w:t>and Parker Testimony Rewards the Faux Wall.</w:t>
      </w:r>
      <w:bookmarkEnd w:id="11"/>
    </w:p>
    <w:p w14:paraId="20611CD7" w14:textId="366CE711" w:rsidR="00662E1B" w:rsidRPr="00735A9B" w:rsidRDefault="00662E1B" w:rsidP="00735A9B">
      <w:pPr>
        <w:spacing w:before="240" w:after="0"/>
        <w:rPr>
          <w:rFonts w:ascii="Times New Roman" w:hAnsi="Times New Roman" w:cs="Times New Roman"/>
          <w:sz w:val="26"/>
          <w:szCs w:val="26"/>
        </w:rPr>
      </w:pPr>
      <w:r w:rsidRPr="00735A9B">
        <w:rPr>
          <w:rFonts w:ascii="Times New Roman" w:eastAsia="Times New Roman" w:hAnsi="Times New Roman" w:cs="Times New Roman"/>
          <w:sz w:val="26"/>
          <w:szCs w:val="26"/>
        </w:rPr>
        <w:t>Every link in the evidentiary chain leading to the warehouse (Ex. 19) runs through Kennedy Parker. Parker identified the storage unit</w:t>
      </w:r>
      <w:r w:rsidRPr="00735A9B">
        <w:rPr>
          <w:rFonts w:ascii="Times New Roman" w:hAnsi="Times New Roman" w:cs="Times New Roman"/>
          <w:sz w:val="26"/>
          <w:szCs w:val="26"/>
        </w:rPr>
        <w:t xml:space="preserve"> where Coastal Partners documents were</w:t>
      </w:r>
      <w:r w:rsidRPr="00735A9B">
        <w:rPr>
          <w:rFonts w:ascii="Times New Roman" w:eastAsia="Times New Roman" w:hAnsi="Times New Roman" w:cs="Times New Roman"/>
          <w:sz w:val="26"/>
          <w:szCs w:val="26"/>
        </w:rPr>
        <w:t xml:space="preserve">. Parker </w:t>
      </w:r>
      <w:r w:rsidR="00735A9B">
        <w:rPr>
          <w:rFonts w:ascii="Times New Roman" w:eastAsia="Times New Roman" w:hAnsi="Times New Roman" w:cs="Times New Roman"/>
          <w:sz w:val="26"/>
          <w:szCs w:val="26"/>
        </w:rPr>
        <w:t xml:space="preserve">Dep. at </w:t>
      </w:r>
      <w:r w:rsidRPr="00735A9B">
        <w:rPr>
          <w:rFonts w:ascii="Times New Roman" w:eastAsia="Times New Roman" w:hAnsi="Times New Roman" w:cs="Times New Roman"/>
          <w:sz w:val="26"/>
          <w:szCs w:val="26"/>
        </w:rPr>
        <w:t>244</w:t>
      </w:r>
      <w:r w:rsidR="00735A9B">
        <w:rPr>
          <w:rFonts w:ascii="Times New Roman" w:hAnsi="Times New Roman" w:cs="Times New Roman"/>
          <w:sz w:val="26"/>
          <w:szCs w:val="26"/>
        </w:rPr>
        <w:t>–</w:t>
      </w:r>
      <w:r w:rsidRPr="00735A9B">
        <w:rPr>
          <w:rFonts w:ascii="Times New Roman" w:eastAsia="Times New Roman" w:hAnsi="Times New Roman" w:cs="Times New Roman"/>
          <w:sz w:val="26"/>
          <w:szCs w:val="26"/>
        </w:rPr>
        <w:t xml:space="preserve">80. Parker signed the witness statement that led agents to the location. Ex. 18. Before Parker, the Government had no knowledge of the storage unit’s </w:t>
      </w:r>
      <w:r w:rsidRPr="00735A9B">
        <w:rPr>
          <w:rFonts w:ascii="Times New Roman" w:eastAsia="Times New Roman" w:hAnsi="Times New Roman" w:cs="Times New Roman"/>
          <w:sz w:val="26"/>
          <w:szCs w:val="26"/>
        </w:rPr>
        <w:lastRenderedPageBreak/>
        <w:t xml:space="preserve">existence. Nolan confirmed it was the “first anyone had heard of it.” Nolan </w:t>
      </w:r>
      <w:r w:rsidR="00735A9B">
        <w:rPr>
          <w:rFonts w:ascii="Times New Roman" w:eastAsia="Times New Roman" w:hAnsi="Times New Roman" w:cs="Times New Roman"/>
          <w:sz w:val="26"/>
          <w:szCs w:val="26"/>
        </w:rPr>
        <w:t xml:space="preserve">Dept. at </w:t>
      </w:r>
      <w:r w:rsidRPr="00735A9B">
        <w:rPr>
          <w:rFonts w:ascii="Times New Roman" w:eastAsia="Times New Roman" w:hAnsi="Times New Roman" w:cs="Times New Roman"/>
          <w:sz w:val="26"/>
          <w:szCs w:val="26"/>
        </w:rPr>
        <w:t>345</w:t>
      </w:r>
      <w:r w:rsidR="00735A9B">
        <w:rPr>
          <w:rFonts w:ascii="Times New Roman" w:hAnsi="Times New Roman" w:cs="Times New Roman"/>
          <w:sz w:val="26"/>
          <w:szCs w:val="26"/>
        </w:rPr>
        <w:t>–</w:t>
      </w:r>
      <w:r w:rsidRPr="00735A9B">
        <w:rPr>
          <w:rFonts w:ascii="Times New Roman" w:eastAsia="Times New Roman" w:hAnsi="Times New Roman" w:cs="Times New Roman"/>
          <w:sz w:val="26"/>
          <w:szCs w:val="26"/>
        </w:rPr>
        <w:t>49.</w:t>
      </w:r>
    </w:p>
    <w:p w14:paraId="489C17A9" w14:textId="15982FF2" w:rsidR="00662E1B" w:rsidRPr="00735A9B" w:rsidRDefault="00662E1B"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 xml:space="preserve">If Parker’s testimony is </w:t>
      </w:r>
      <w:r w:rsidRPr="00735A9B">
        <w:rPr>
          <w:rFonts w:ascii="Times New Roman" w:hAnsi="Times New Roman" w:cs="Times New Roman"/>
          <w:sz w:val="26"/>
          <w:szCs w:val="26"/>
        </w:rPr>
        <w:t xml:space="preserve">influenced </w:t>
      </w:r>
      <w:r w:rsidRPr="00735A9B">
        <w:rPr>
          <w:rFonts w:ascii="Times New Roman" w:eastAsia="Times New Roman" w:hAnsi="Times New Roman" w:cs="Times New Roman"/>
          <w:sz w:val="26"/>
          <w:szCs w:val="26"/>
        </w:rPr>
        <w:t xml:space="preserve">and as demonstrated </w:t>
      </w:r>
      <w:r w:rsidRPr="00735A9B">
        <w:rPr>
          <w:rFonts w:ascii="Times New Roman" w:hAnsi="Times New Roman" w:cs="Times New Roman"/>
          <w:sz w:val="26"/>
          <w:szCs w:val="26"/>
        </w:rPr>
        <w:t xml:space="preserve">is, </w:t>
      </w:r>
      <w:r w:rsidRPr="00735A9B">
        <w:rPr>
          <w:rFonts w:ascii="Times New Roman" w:eastAsia="Times New Roman" w:hAnsi="Times New Roman" w:cs="Times New Roman"/>
          <w:sz w:val="26"/>
          <w:szCs w:val="26"/>
        </w:rPr>
        <w:t xml:space="preserve">then everything derived from it </w:t>
      </w:r>
      <w:r w:rsidRPr="00735A9B">
        <w:rPr>
          <w:rFonts w:ascii="Times New Roman" w:hAnsi="Times New Roman" w:cs="Times New Roman"/>
          <w:sz w:val="26"/>
          <w:szCs w:val="26"/>
        </w:rPr>
        <w:t xml:space="preserve">must be suppressed to uphold the promise of </w:t>
      </w:r>
      <w:r w:rsidRPr="00735A9B">
        <w:rPr>
          <w:rFonts w:ascii="Times New Roman" w:hAnsi="Times New Roman" w:cs="Times New Roman"/>
          <w:i/>
          <w:iCs/>
          <w:sz w:val="26"/>
          <w:szCs w:val="26"/>
        </w:rPr>
        <w:t>Kastigar</w:t>
      </w:r>
      <w:r w:rsidRPr="00735A9B">
        <w:rPr>
          <w:rFonts w:ascii="Times New Roman" w:eastAsia="Times New Roman" w:hAnsi="Times New Roman" w:cs="Times New Roman"/>
          <w:sz w:val="26"/>
          <w:szCs w:val="26"/>
        </w:rPr>
        <w:t xml:space="preserve">. The Supreme Court made clear in </w:t>
      </w:r>
      <w:r w:rsidRPr="00735A9B">
        <w:rPr>
          <w:rFonts w:ascii="Times New Roman" w:eastAsia="Times New Roman" w:hAnsi="Times New Roman" w:cs="Times New Roman"/>
          <w:i/>
          <w:iCs/>
          <w:sz w:val="26"/>
          <w:szCs w:val="26"/>
        </w:rPr>
        <w:t>Hubbell</w:t>
      </w:r>
      <w:r w:rsidRPr="00735A9B">
        <w:rPr>
          <w:rFonts w:ascii="Times New Roman" w:eastAsia="Times New Roman" w:hAnsi="Times New Roman" w:cs="Times New Roman"/>
          <w:sz w:val="26"/>
          <w:szCs w:val="26"/>
        </w:rPr>
        <w:t xml:space="preserve"> that the Government cannot rely on evidence when it had no prior knowledge of that evidence’s existence independent of the compelled testimony. </w:t>
      </w:r>
      <w:r w:rsidR="00735A9B" w:rsidRPr="00735A9B">
        <w:rPr>
          <w:rFonts w:ascii="Times New Roman" w:eastAsia="Times New Roman" w:hAnsi="Times New Roman" w:cs="Times New Roman"/>
          <w:i/>
          <w:iCs/>
          <w:sz w:val="26"/>
          <w:szCs w:val="26"/>
        </w:rPr>
        <w:t>Hubbell</w:t>
      </w:r>
      <w:r w:rsidR="00735A9B" w:rsidRPr="00735A9B">
        <w:rPr>
          <w:rFonts w:ascii="Times New Roman" w:eastAsia="Times New Roman" w:hAnsi="Times New Roman" w:cs="Times New Roman"/>
          <w:sz w:val="26"/>
          <w:szCs w:val="26"/>
        </w:rPr>
        <w:t xml:space="preserve">, </w:t>
      </w:r>
      <w:r w:rsidRPr="00735A9B">
        <w:rPr>
          <w:rFonts w:ascii="Times New Roman" w:eastAsia="Times New Roman" w:hAnsi="Times New Roman" w:cs="Times New Roman"/>
          <w:sz w:val="26"/>
          <w:szCs w:val="26"/>
        </w:rPr>
        <w:t>530 U.S. at 41</w:t>
      </w:r>
      <w:r w:rsidRPr="00735A9B">
        <w:rPr>
          <w:rFonts w:ascii="Times New Roman" w:hAnsi="Times New Roman" w:cs="Times New Roman"/>
          <w:sz w:val="26"/>
          <w:szCs w:val="26"/>
        </w:rPr>
        <w:t>-</w:t>
      </w:r>
      <w:r w:rsidRPr="00735A9B">
        <w:rPr>
          <w:rFonts w:ascii="Times New Roman" w:eastAsia="Times New Roman" w:hAnsi="Times New Roman" w:cs="Times New Roman"/>
          <w:sz w:val="26"/>
          <w:szCs w:val="26"/>
        </w:rPr>
        <w:t>45.</w:t>
      </w:r>
      <w:r w:rsidR="00735A9B" w:rsidRPr="00735A9B">
        <w:rPr>
          <w:rFonts w:ascii="Times New Roman" w:eastAsia="Times New Roman" w:hAnsi="Times New Roman" w:cs="Times New Roman"/>
          <w:sz w:val="26"/>
          <w:szCs w:val="26"/>
        </w:rPr>
        <w:fldChar w:fldCharType="begin"/>
      </w:r>
      <w:r w:rsidR="00735A9B" w:rsidRPr="00735A9B">
        <w:rPr>
          <w:rFonts w:ascii="Times New Roman" w:hAnsi="Times New Roman" w:cs="Times New Roman"/>
          <w:sz w:val="26"/>
          <w:szCs w:val="26"/>
        </w:rPr>
        <w:instrText xml:space="preserve"> TA \s "United States v. Hubbell, 530 U.S. 27 (2000)" </w:instrText>
      </w:r>
      <w:r w:rsidR="00735A9B"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The storage unit was unknown</w:t>
      </w:r>
      <w:r w:rsidRPr="00735A9B">
        <w:rPr>
          <w:rFonts w:ascii="Times New Roman" w:hAnsi="Times New Roman" w:cs="Times New Roman"/>
          <w:sz w:val="26"/>
          <w:szCs w:val="26"/>
        </w:rPr>
        <w:t>, t</w:t>
      </w:r>
      <w:r w:rsidRPr="00735A9B">
        <w:rPr>
          <w:rFonts w:ascii="Times New Roman" w:eastAsia="Times New Roman" w:hAnsi="Times New Roman" w:cs="Times New Roman"/>
          <w:sz w:val="26"/>
          <w:szCs w:val="26"/>
        </w:rPr>
        <w:t>he documents inside were unknown</w:t>
      </w:r>
      <w:r w:rsidRPr="00735A9B">
        <w:rPr>
          <w:rFonts w:ascii="Times New Roman" w:hAnsi="Times New Roman" w:cs="Times New Roman"/>
          <w:sz w:val="26"/>
          <w:szCs w:val="26"/>
        </w:rPr>
        <w:t>, t</w:t>
      </w:r>
      <w:r w:rsidRPr="00735A9B">
        <w:rPr>
          <w:rFonts w:ascii="Times New Roman" w:eastAsia="Times New Roman" w:hAnsi="Times New Roman" w:cs="Times New Roman"/>
          <w:sz w:val="26"/>
          <w:szCs w:val="26"/>
        </w:rPr>
        <w:t xml:space="preserve">he Cayman account references within those documents were unknown. </w:t>
      </w:r>
    </w:p>
    <w:p w14:paraId="7AEC8B16" w14:textId="0D812D2F" w:rsidR="00662E1B" w:rsidRPr="00735A9B" w:rsidRDefault="00662E1B" w:rsidP="00735A9B">
      <w:pPr>
        <w:spacing w:after="0"/>
        <w:rPr>
          <w:rFonts w:ascii="Times New Roman" w:eastAsia="Times New Roman" w:hAnsi="Times New Roman" w:cs="Times New Roman"/>
          <w:sz w:val="26"/>
          <w:szCs w:val="26"/>
        </w:rPr>
      </w:pPr>
      <w:r w:rsidRPr="00735A9B">
        <w:rPr>
          <w:rFonts w:ascii="Times New Roman" w:eastAsia="Times New Roman" w:hAnsi="Times New Roman" w:cs="Times New Roman"/>
          <w:sz w:val="26"/>
          <w:szCs w:val="26"/>
        </w:rPr>
        <w:t>The Government cannot demonstrate an independent source for the warehouse evidence because there</w:t>
      </w:r>
      <w:r w:rsidRPr="00735A9B">
        <w:rPr>
          <w:rFonts w:ascii="Times New Roman" w:hAnsi="Times New Roman" w:cs="Times New Roman"/>
          <w:sz w:val="26"/>
          <w:szCs w:val="26"/>
        </w:rPr>
        <w:t xml:space="preserve"> is</w:t>
      </w:r>
      <w:r w:rsidRPr="00735A9B">
        <w:rPr>
          <w:rFonts w:ascii="Times New Roman" w:eastAsia="Times New Roman" w:hAnsi="Times New Roman" w:cs="Times New Roman"/>
          <w:sz w:val="26"/>
          <w:szCs w:val="26"/>
        </w:rPr>
        <w:t xml:space="preserve"> none. </w:t>
      </w:r>
      <w:r w:rsidRPr="00735A9B">
        <w:rPr>
          <w:rFonts w:ascii="Times New Roman" w:eastAsia="Times New Roman" w:hAnsi="Times New Roman" w:cs="Times New Roman"/>
          <w:i/>
          <w:iCs/>
          <w:sz w:val="26"/>
          <w:szCs w:val="26"/>
        </w:rPr>
        <w:t>Kastigar</w:t>
      </w:r>
      <w:r w:rsidRPr="00735A9B">
        <w:rPr>
          <w:rFonts w:ascii="Times New Roman" w:eastAsia="Times New Roman" w:hAnsi="Times New Roman" w:cs="Times New Roman"/>
          <w:sz w:val="26"/>
          <w:szCs w:val="26"/>
        </w:rPr>
        <w:t xml:space="preserve">’s prohibition extends to all evidence derived from compelled testimony, and the warehouse evidence is entirely derivative. </w:t>
      </w:r>
      <w:r w:rsidRPr="00735A9B">
        <w:rPr>
          <w:rFonts w:ascii="Times New Roman" w:eastAsia="Times New Roman" w:hAnsi="Times New Roman" w:cs="Times New Roman"/>
          <w:i/>
          <w:iCs/>
          <w:sz w:val="26"/>
          <w:szCs w:val="26"/>
        </w:rPr>
        <w:t>See State v. Carapezza</w:t>
      </w:r>
      <w:r w:rsidRPr="00735A9B">
        <w:rPr>
          <w:rFonts w:ascii="Times New Roman" w:eastAsia="Times New Roman" w:hAnsi="Times New Roman" w:cs="Times New Roman"/>
          <w:sz w:val="26"/>
          <w:szCs w:val="26"/>
        </w:rPr>
        <w:t>, 293 Kan. at 1076</w:t>
      </w:r>
      <w:r w:rsidR="00735A9B" w:rsidRPr="00735A9B">
        <w:rPr>
          <w:rFonts w:ascii="Times New Roman" w:eastAsia="Times New Roman" w:hAnsi="Times New Roman" w:cs="Times New Roman"/>
          <w:sz w:val="26"/>
          <w:szCs w:val="26"/>
        </w:rPr>
        <w:fldChar w:fldCharType="begin"/>
      </w:r>
      <w:r w:rsidR="00735A9B" w:rsidRPr="00735A9B">
        <w:rPr>
          <w:rFonts w:ascii="Times New Roman" w:hAnsi="Times New Roman" w:cs="Times New Roman"/>
          <w:sz w:val="26"/>
          <w:szCs w:val="26"/>
        </w:rPr>
        <w:instrText xml:space="preserve"> TA \s "State v. Carapezza, 293 Kan. 1068 (2012)" </w:instrText>
      </w:r>
      <w:r w:rsidR="00735A9B" w:rsidRPr="00735A9B">
        <w:rPr>
          <w:rFonts w:ascii="Times New Roman" w:eastAsia="Times New Roman" w:hAnsi="Times New Roman" w:cs="Times New Roman"/>
          <w:sz w:val="26"/>
          <w:szCs w:val="26"/>
        </w:rPr>
        <w:fldChar w:fldCharType="end"/>
      </w:r>
      <w:r w:rsidRPr="00735A9B">
        <w:rPr>
          <w:rFonts w:ascii="Times New Roman" w:eastAsia="Times New Roman" w:hAnsi="Times New Roman" w:cs="Times New Roman"/>
          <w:sz w:val="26"/>
          <w:szCs w:val="26"/>
        </w:rPr>
        <w:t xml:space="preserve"> (holding that the prosecution’s failure to insulate the investigation requires suppression). Suppression is the only remedy that honors the constitutional promise</w:t>
      </w:r>
      <w:r w:rsidRPr="00735A9B">
        <w:rPr>
          <w:rFonts w:ascii="Times New Roman" w:hAnsi="Times New Roman" w:cs="Times New Roman"/>
          <w:sz w:val="26"/>
          <w:szCs w:val="26"/>
        </w:rPr>
        <w:t xml:space="preserve"> of </w:t>
      </w:r>
      <w:r w:rsidRPr="00735A9B">
        <w:rPr>
          <w:rFonts w:ascii="Times New Roman" w:hAnsi="Times New Roman" w:cs="Times New Roman"/>
          <w:i/>
          <w:iCs/>
          <w:sz w:val="26"/>
          <w:szCs w:val="26"/>
        </w:rPr>
        <w:t>Kastigar</w:t>
      </w:r>
      <w:r w:rsidRPr="00735A9B">
        <w:rPr>
          <w:rFonts w:ascii="Times New Roman" w:eastAsia="Times New Roman" w:hAnsi="Times New Roman" w:cs="Times New Roman"/>
          <w:sz w:val="26"/>
          <w:szCs w:val="26"/>
        </w:rPr>
        <w:t>.</w:t>
      </w:r>
    </w:p>
    <w:p w14:paraId="00000030" w14:textId="316A1E08" w:rsidR="00BA3C3A" w:rsidRPr="00735A9B" w:rsidRDefault="00827724" w:rsidP="00735A9B">
      <w:pPr>
        <w:pStyle w:val="Heading2"/>
        <w:spacing w:line="240" w:lineRule="auto"/>
        <w:ind w:left="720" w:hanging="720"/>
        <w:rPr>
          <w:rFonts w:eastAsia="Century Schoolbook"/>
          <w:sz w:val="26"/>
          <w:szCs w:val="26"/>
        </w:rPr>
      </w:pPr>
      <w:bookmarkStart w:id="12" w:name="_Toc239095281"/>
      <w:r w:rsidRPr="00735A9B">
        <w:rPr>
          <w:rFonts w:eastAsia="Century Schoolbook"/>
          <w:sz w:val="26"/>
          <w:szCs w:val="26"/>
        </w:rPr>
        <w:t xml:space="preserve">B. </w:t>
      </w:r>
      <w:r w:rsidR="00387A53">
        <w:rPr>
          <w:rFonts w:eastAsia="Century Schoolbook"/>
          <w:sz w:val="26"/>
          <w:szCs w:val="26"/>
        </w:rPr>
        <w:tab/>
      </w:r>
      <w:r w:rsidRPr="00735A9B">
        <w:rPr>
          <w:rFonts w:eastAsia="Century Schoolbook"/>
          <w:sz w:val="26"/>
          <w:szCs w:val="26"/>
        </w:rPr>
        <w:t>The United States’s Subpoena Duces Tecum on Maddox Armana should be quashed because the records of Armana’s interview of Sierra Seton are protected under the work-product protection.</w:t>
      </w:r>
      <w:bookmarkEnd w:id="12"/>
    </w:p>
    <w:p w14:paraId="00000031" w14:textId="766D5E1F" w:rsidR="00BA3C3A" w:rsidRPr="00735A9B" w:rsidRDefault="00904FC0" w:rsidP="00735A9B">
      <w:pPr>
        <w:spacing w:before="240" w:after="0"/>
        <w:rPr>
          <w:rFonts w:ascii="Times New Roman" w:hAnsi="Times New Roman" w:cs="Times New Roman"/>
          <w:sz w:val="26"/>
          <w:szCs w:val="26"/>
        </w:rPr>
      </w:pPr>
      <w:r w:rsidRPr="00735A9B">
        <w:rPr>
          <w:rFonts w:ascii="Times New Roman" w:hAnsi="Times New Roman" w:cs="Times New Roman"/>
          <w:sz w:val="26"/>
          <w:szCs w:val="26"/>
        </w:rPr>
        <w:t xml:space="preserve">Exhibit 21 is a criminal defendant’s own defense-side investigation into her own anticipated prosecution, sought by the sovereign that is prosecuting her. This Court should quash the United States’s Subpoena because the materials sought by the prosecution are not only covered by work-product protection, but also because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cannot make even the baseline showing required to circumvent work-product protection to obtain such information. </w:t>
      </w:r>
    </w:p>
    <w:p w14:paraId="00000032" w14:textId="1439B446" w:rsidR="00BA3C3A" w:rsidRPr="00735A9B" w:rsidRDefault="00735A9B" w:rsidP="00735A9B">
      <w:pPr>
        <w:pStyle w:val="Heading3"/>
        <w:rPr>
          <w:rFonts w:ascii="Times New Roman" w:hAnsi="Times New Roman" w:cs="Times New Roman"/>
          <w:sz w:val="26"/>
          <w:szCs w:val="26"/>
        </w:rPr>
      </w:pPr>
      <w:bookmarkStart w:id="13" w:name="_Toc239095282"/>
      <w:r w:rsidRPr="00735A9B">
        <w:rPr>
          <w:rFonts w:ascii="Times New Roman" w:hAnsi="Times New Roman" w:cs="Times New Roman"/>
          <w:sz w:val="26"/>
          <w:szCs w:val="26"/>
        </w:rPr>
        <w:lastRenderedPageBreak/>
        <w:t>1</w:t>
      </w:r>
      <w:proofErr w:type="gramStart"/>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t>Maddox</w:t>
      </w:r>
      <w:proofErr w:type="gramEnd"/>
      <w:r w:rsidRPr="00735A9B">
        <w:rPr>
          <w:rFonts w:ascii="Times New Roman" w:hAnsi="Times New Roman" w:cs="Times New Roman"/>
          <w:sz w:val="26"/>
          <w:szCs w:val="26"/>
        </w:rPr>
        <w:t xml:space="preserve"> Armana is an Agent of the Defendant and, as Such, is Covered </w:t>
      </w:r>
      <w:proofErr w:type="gramStart"/>
      <w:r w:rsidRPr="00735A9B">
        <w:rPr>
          <w:rFonts w:ascii="Times New Roman" w:hAnsi="Times New Roman" w:cs="Times New Roman"/>
          <w:sz w:val="26"/>
          <w:szCs w:val="26"/>
        </w:rPr>
        <w:t>By</w:t>
      </w:r>
      <w:proofErr w:type="gramEnd"/>
      <w:r w:rsidRPr="00735A9B">
        <w:rPr>
          <w:rFonts w:ascii="Times New Roman" w:hAnsi="Times New Roman" w:cs="Times New Roman"/>
          <w:sz w:val="26"/>
          <w:szCs w:val="26"/>
        </w:rPr>
        <w:t xml:space="preserve"> Work Product Protection.</w:t>
      </w:r>
      <w:bookmarkEnd w:id="13"/>
    </w:p>
    <w:p w14:paraId="00000033" w14:textId="22A9E5D7" w:rsidR="00BA3C3A" w:rsidRPr="00735A9B" w:rsidRDefault="00827724" w:rsidP="00735A9B">
      <w:pPr>
        <w:spacing w:before="240" w:after="0"/>
        <w:rPr>
          <w:rFonts w:ascii="Times New Roman" w:hAnsi="Times New Roman" w:cs="Times New Roman"/>
          <w:sz w:val="26"/>
          <w:szCs w:val="26"/>
        </w:rPr>
      </w:pPr>
      <w:r w:rsidRPr="00735A9B">
        <w:rPr>
          <w:rFonts w:ascii="Times New Roman" w:hAnsi="Times New Roman" w:cs="Times New Roman"/>
          <w:sz w:val="26"/>
          <w:szCs w:val="26"/>
        </w:rPr>
        <w:t>Federal Rule of Criminal Procedure 16(b)(2)(A) expressly protects reports, memoranda, or other documents made by the defendant’s attorney or agent during the case’s investigation or defense. Fed. R. Crim. P. 16(b)(2)(A).</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"Fed. R. Crim. P. 16"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This Rule recognizes the attorney-client privilege and codifies it in the criminal context. The protections of attorney-client privilege are “the oldest of the privileges for confidential communications known to the common law.” </w:t>
      </w:r>
      <w:r w:rsidRPr="00735A9B">
        <w:rPr>
          <w:rFonts w:ascii="Times New Roman" w:hAnsi="Times New Roman" w:cs="Times New Roman"/>
          <w:i/>
          <w:iCs/>
          <w:sz w:val="26"/>
          <w:szCs w:val="26"/>
        </w:rPr>
        <w:t>Upjohn Co. v. United States</w:t>
      </w:r>
      <w:r w:rsidRPr="00735A9B">
        <w:rPr>
          <w:rFonts w:ascii="Times New Roman" w:hAnsi="Times New Roman" w:cs="Times New Roman"/>
          <w:sz w:val="26"/>
          <w:szCs w:val="26"/>
        </w:rPr>
        <w:t>, 449 U.S. 383, 389 (1981)</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Upjohn Co. v. United States</w:instrText>
      </w:r>
      <w:r w:rsidR="00352340" w:rsidRPr="00735A9B">
        <w:rPr>
          <w:rFonts w:ascii="Times New Roman" w:hAnsi="Times New Roman" w:cs="Times New Roman"/>
          <w:sz w:val="26"/>
          <w:szCs w:val="26"/>
        </w:rPr>
        <w:instrText xml:space="preserve">, 449 U.S. 383, 389 (1981)" \s "Upjohn Co. v. United States, 449 U.S. 383 (1981)"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purpose of such protection is to encourage full and frank communication between attorneys and their clients and “promote broader public interests in the observance of law and administration of justice.” </w:t>
      </w:r>
      <w:r w:rsidRPr="00735A9B">
        <w:rPr>
          <w:rFonts w:ascii="Times New Roman" w:hAnsi="Times New Roman" w:cs="Times New Roman"/>
          <w:i/>
          <w:iCs/>
          <w:sz w:val="26"/>
          <w:szCs w:val="26"/>
        </w:rPr>
        <w:t>Id</w:t>
      </w:r>
      <w:r w:rsidR="00352340" w:rsidRPr="00735A9B">
        <w:rPr>
          <w:rFonts w:ascii="Times New Roman" w:hAnsi="Times New Roman" w:cs="Times New Roman"/>
          <w:i/>
          <w:iCs/>
          <w:sz w:val="26"/>
          <w:szCs w:val="26"/>
        </w:rPr>
        <w:fldChar w:fldCharType="begin"/>
      </w:r>
      <w:r w:rsidR="00352340" w:rsidRPr="00735A9B">
        <w:rPr>
          <w:rFonts w:ascii="Times New Roman" w:hAnsi="Times New Roman" w:cs="Times New Roman"/>
          <w:sz w:val="26"/>
          <w:szCs w:val="26"/>
        </w:rPr>
        <w:instrText xml:space="preserve"> TA \s "Upjohn Co. v. United States, 449 U.S. 383 (1981)" </w:instrText>
      </w:r>
      <w:r w:rsidR="00352340" w:rsidRPr="00735A9B">
        <w:rPr>
          <w:rFonts w:ascii="Times New Roman" w:hAnsi="Times New Roman" w:cs="Times New Roman"/>
          <w:i/>
          <w:iCs/>
          <w:sz w:val="26"/>
          <w:szCs w:val="26"/>
        </w:rPr>
        <w:fldChar w:fldCharType="end"/>
      </w:r>
      <w:r w:rsidRPr="00735A9B">
        <w:rPr>
          <w:rFonts w:ascii="Times New Roman" w:hAnsi="Times New Roman" w:cs="Times New Roman"/>
          <w:i/>
          <w:iCs/>
          <w:sz w:val="26"/>
          <w:szCs w:val="26"/>
        </w:rPr>
        <w:t>.</w:t>
      </w:r>
      <w:r w:rsidRPr="00735A9B">
        <w:rPr>
          <w:rFonts w:ascii="Times New Roman" w:hAnsi="Times New Roman" w:cs="Times New Roman"/>
          <w:sz w:val="26"/>
          <w:szCs w:val="26"/>
        </w:rPr>
        <w:t xml:space="preserve"> The doctrine of work-product protection was first outlined by the United States Supreme Court in </w:t>
      </w:r>
      <w:r w:rsidRPr="00735A9B">
        <w:rPr>
          <w:rFonts w:ascii="Times New Roman" w:hAnsi="Times New Roman" w:cs="Times New Roman"/>
          <w:i/>
          <w:iCs/>
          <w:sz w:val="26"/>
          <w:szCs w:val="26"/>
        </w:rPr>
        <w:t>Hickman v. Taylor</w:t>
      </w:r>
      <w:r w:rsidRPr="00735A9B">
        <w:rPr>
          <w:rFonts w:ascii="Times New Roman" w:hAnsi="Times New Roman" w:cs="Times New Roman"/>
          <w:sz w:val="26"/>
          <w:szCs w:val="26"/>
        </w:rPr>
        <w:t>, 329 U.S. 495 (1947)</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Hickman v. Taylor</w:instrText>
      </w:r>
      <w:r w:rsidR="00352340" w:rsidRPr="00735A9B">
        <w:rPr>
          <w:rFonts w:ascii="Times New Roman" w:hAnsi="Times New Roman" w:cs="Times New Roman"/>
          <w:sz w:val="26"/>
          <w:szCs w:val="26"/>
        </w:rPr>
        <w:instrText xml:space="preserve">, 329 U.S. 495 (1947)" \s "Hickman v. Taylor, 329 U.S. 495 (1947)"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Court recognized that an attorney’s efforts to prepare a case and protect his client’s interests are reflected in “interviews, statements, memoranda, correspondence, briefs, mental impressions, personal beliefs, and countless other tangible and intangible ways,” known as the “work product of the lawyer.”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at 511.</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"Hickman v. Taylor, 329 U.S. 495 (1947)"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work-product protection was extended to the criminal context in </w:t>
      </w:r>
      <w:r w:rsidRPr="00735A9B">
        <w:rPr>
          <w:rFonts w:ascii="Times New Roman" w:hAnsi="Times New Roman" w:cs="Times New Roman"/>
          <w:i/>
          <w:iCs/>
          <w:sz w:val="26"/>
          <w:szCs w:val="26"/>
        </w:rPr>
        <w:t>United States v. Nobles</w:t>
      </w:r>
      <w:r w:rsidRPr="00735A9B">
        <w:rPr>
          <w:rFonts w:ascii="Times New Roman" w:hAnsi="Times New Roman" w:cs="Times New Roman"/>
          <w:sz w:val="26"/>
          <w:szCs w:val="26"/>
        </w:rPr>
        <w:t>, 422 U.S. 225 (1975).</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United States v. Nobles</w:instrText>
      </w:r>
      <w:r w:rsidR="00352340" w:rsidRPr="00735A9B">
        <w:rPr>
          <w:rFonts w:ascii="Times New Roman" w:hAnsi="Times New Roman" w:cs="Times New Roman"/>
          <w:sz w:val="26"/>
          <w:szCs w:val="26"/>
        </w:rPr>
        <w:instrText xml:space="preserve">, 422 U.S. 225 (1975)." \s "United States v. Nobles, 422 U.S. 225 (1975)."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Supreme Court held that the protection’s “role in assuring the proper functioning of the criminal justice system is even more vital” in the criminal context than the civil context. </w:t>
      </w:r>
      <w:r w:rsidRPr="00735A9B">
        <w:rPr>
          <w:rFonts w:ascii="Times New Roman" w:hAnsi="Times New Roman" w:cs="Times New Roman"/>
          <w:i/>
          <w:iCs/>
          <w:sz w:val="26"/>
          <w:szCs w:val="26"/>
        </w:rPr>
        <w:t xml:space="preserve">Id. </w:t>
      </w:r>
      <w:r w:rsidRPr="00735A9B">
        <w:rPr>
          <w:rFonts w:ascii="Times New Roman" w:hAnsi="Times New Roman" w:cs="Times New Roman"/>
          <w:sz w:val="26"/>
          <w:szCs w:val="26"/>
        </w:rPr>
        <w:t>at 238.</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"United States v. Nobles, 422 U.S. 225 (1975)."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Court then concluded that it is necessary “that the doctrine protect material prepared by agents for the attorney as well as those prepared by the attorney himself.” </w:t>
      </w:r>
      <w:r w:rsidRPr="00735A9B">
        <w:rPr>
          <w:rFonts w:ascii="Times New Roman" w:hAnsi="Times New Roman" w:cs="Times New Roman"/>
          <w:i/>
          <w:iCs/>
          <w:sz w:val="26"/>
          <w:szCs w:val="26"/>
        </w:rPr>
        <w:t>Id</w:t>
      </w:r>
      <w:r w:rsidR="00352340" w:rsidRPr="00735A9B">
        <w:rPr>
          <w:rFonts w:ascii="Times New Roman" w:hAnsi="Times New Roman" w:cs="Times New Roman"/>
          <w:i/>
          <w:iCs/>
          <w:sz w:val="26"/>
          <w:szCs w:val="26"/>
        </w:rPr>
        <w:fldChar w:fldCharType="begin"/>
      </w:r>
      <w:r w:rsidR="00352340" w:rsidRPr="00735A9B">
        <w:rPr>
          <w:rFonts w:ascii="Times New Roman" w:hAnsi="Times New Roman" w:cs="Times New Roman"/>
          <w:sz w:val="26"/>
          <w:szCs w:val="26"/>
        </w:rPr>
        <w:instrText xml:space="preserve"> TA \s "United States v. Nobles, 422 U.S. 225 (1975)." </w:instrText>
      </w:r>
      <w:r w:rsidR="00352340" w:rsidRPr="00735A9B">
        <w:rPr>
          <w:rFonts w:ascii="Times New Roman" w:hAnsi="Times New Roman" w:cs="Times New Roman"/>
          <w:i/>
          <w:iCs/>
          <w:sz w:val="26"/>
          <w:szCs w:val="26"/>
        </w:rPr>
        <w:fldChar w:fldCharType="end"/>
      </w:r>
      <w:r w:rsidRPr="00735A9B">
        <w:rPr>
          <w:rFonts w:ascii="Times New Roman" w:hAnsi="Times New Roman" w:cs="Times New Roman"/>
          <w:i/>
          <w:iCs/>
          <w:sz w:val="26"/>
          <w:szCs w:val="26"/>
        </w:rPr>
        <w:t>.</w:t>
      </w:r>
      <w:r w:rsidRPr="00735A9B">
        <w:rPr>
          <w:rFonts w:ascii="Times New Roman" w:hAnsi="Times New Roman" w:cs="Times New Roman"/>
          <w:sz w:val="26"/>
          <w:szCs w:val="26"/>
        </w:rPr>
        <w:t xml:space="preserve">  </w:t>
      </w:r>
    </w:p>
    <w:p w14:paraId="00000034" w14:textId="7FE947FB"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lastRenderedPageBreak/>
        <w:t>Federal Rule of Criminal Procedure 16(b)(2)(A) specifically protects documents made by the defendant’s attorney or agent during the case’s investigation or defense. Fed. R. Crim. P. 16(b)(2)(A).</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"Fed. R. Crim. P. 16"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first matter of concern is whether Maddox Armana is Calloway’s agent. Armana conducted private investigation work under the direction of Calloway and her counsel, not independently. Armana Dep. at 29–30. Armana stated that any findings from his work “[go] into the lawyer’s case file.”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He expressly stated in his deposition that he is “an extension of the legal team, not a free agent.” </w:t>
      </w:r>
      <w:r w:rsidRPr="00735A9B">
        <w:rPr>
          <w:rFonts w:ascii="Times New Roman" w:hAnsi="Times New Roman" w:cs="Times New Roman"/>
          <w:i/>
          <w:iCs/>
          <w:sz w:val="26"/>
          <w:szCs w:val="26"/>
        </w:rPr>
        <w:t xml:space="preserve">Id. </w:t>
      </w:r>
      <w:r w:rsidRPr="00735A9B">
        <w:rPr>
          <w:rFonts w:ascii="Times New Roman" w:hAnsi="Times New Roman" w:cs="Times New Roman"/>
          <w:sz w:val="26"/>
          <w:szCs w:val="26"/>
        </w:rPr>
        <w:t xml:space="preserve">at 31–32. Armana’s testimony establishes conclusively that he was Calloway’s agent at the time of the interview with Seton. </w:t>
      </w:r>
    </w:p>
    <w:p w14:paraId="00000035" w14:textId="0D92324E"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The next issue is whether the document was made during the case’s investigation or defense. Calloway and her attorneys retained Armana in February 2024 and specifically instructed him to pursue leads related to the web of companies to prepare her defense.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at 43–45.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may argue that because Calloway was not formally charged until September 23, 2025, Armana was not retained “during the case’s investigation or defense.” However, as early as September 23, 2023, federal prosecutors were investigating alleged financial crimes at Silver Palms, the resort owned by Calloway and Donovan. Sinclair </w:t>
      </w:r>
      <w:r w:rsidR="00B125A5" w:rsidRPr="00735A9B">
        <w:rPr>
          <w:rFonts w:ascii="Times New Roman" w:hAnsi="Times New Roman" w:cs="Times New Roman"/>
          <w:sz w:val="26"/>
          <w:szCs w:val="26"/>
        </w:rPr>
        <w:t>Dep.</w:t>
      </w:r>
      <w:r w:rsidRPr="00735A9B">
        <w:rPr>
          <w:rFonts w:ascii="Times New Roman" w:hAnsi="Times New Roman" w:cs="Times New Roman"/>
          <w:sz w:val="26"/>
          <w:szCs w:val="26"/>
        </w:rPr>
        <w:t xml:space="preserve"> at 103. After being compelled to testify against her business partner, it was reasonable for Calloway to believe that investigators had </w:t>
      </w:r>
      <w:proofErr w:type="gramStart"/>
      <w:r w:rsidRPr="00735A9B">
        <w:rPr>
          <w:rFonts w:ascii="Times New Roman" w:hAnsi="Times New Roman" w:cs="Times New Roman"/>
          <w:sz w:val="26"/>
          <w:szCs w:val="26"/>
        </w:rPr>
        <w:t>their</w:t>
      </w:r>
      <w:proofErr w:type="gramEnd"/>
      <w:r w:rsidRPr="00735A9B">
        <w:rPr>
          <w:rFonts w:ascii="Times New Roman" w:hAnsi="Times New Roman" w:cs="Times New Roman"/>
          <w:sz w:val="26"/>
          <w:szCs w:val="26"/>
        </w:rPr>
        <w:t xml:space="preserve"> eye on her and that charges would be filed shortly. </w:t>
      </w:r>
      <w:r w:rsidRPr="00735A9B">
        <w:rPr>
          <w:rFonts w:ascii="Times New Roman" w:hAnsi="Times New Roman" w:cs="Times New Roman"/>
          <w:i/>
          <w:iCs/>
          <w:sz w:val="26"/>
          <w:szCs w:val="26"/>
        </w:rPr>
        <w:t xml:space="preserve">United States v. </w:t>
      </w:r>
      <w:proofErr w:type="spellStart"/>
      <w:r w:rsidRPr="00735A9B">
        <w:rPr>
          <w:rFonts w:ascii="Times New Roman" w:hAnsi="Times New Roman" w:cs="Times New Roman"/>
          <w:i/>
          <w:iCs/>
          <w:sz w:val="26"/>
          <w:szCs w:val="26"/>
        </w:rPr>
        <w:t>Adlman</w:t>
      </w:r>
      <w:proofErr w:type="spellEnd"/>
      <w:r w:rsidRPr="00735A9B">
        <w:rPr>
          <w:rFonts w:ascii="Times New Roman" w:hAnsi="Times New Roman" w:cs="Times New Roman"/>
          <w:sz w:val="26"/>
          <w:szCs w:val="26"/>
        </w:rPr>
        <w:t xml:space="preserve"> analyzes the narrow “because of litigation” standard for whether work product protection should apply. This approach, cited by the Third, Fourth, Seventh, Eighth and D.C. Circuits, is that documents are prepared “in anticipation of litigation” if “in light of the nature of the </w:t>
      </w:r>
      <w:r w:rsidRPr="00735A9B">
        <w:rPr>
          <w:rFonts w:ascii="Times New Roman" w:hAnsi="Times New Roman" w:cs="Times New Roman"/>
          <w:sz w:val="26"/>
          <w:szCs w:val="26"/>
        </w:rPr>
        <w:lastRenderedPageBreak/>
        <w:t xml:space="preserve">document and the factual situation in the particular case, the document can fairly be said to have been prepared or obtained because of the prospect of litigation.” </w:t>
      </w:r>
      <w:r w:rsidRPr="00735A9B">
        <w:rPr>
          <w:rFonts w:ascii="Times New Roman" w:hAnsi="Times New Roman" w:cs="Times New Roman"/>
          <w:i/>
          <w:iCs/>
          <w:sz w:val="26"/>
          <w:szCs w:val="26"/>
        </w:rPr>
        <w:t>United States v. Adlman</w:t>
      </w:r>
      <w:r w:rsidRPr="00735A9B">
        <w:rPr>
          <w:rFonts w:ascii="Times New Roman" w:hAnsi="Times New Roman" w:cs="Times New Roman"/>
          <w:sz w:val="26"/>
          <w:szCs w:val="26"/>
        </w:rPr>
        <w:t>, 134 F.3d 1194, 1202 (2d Cir. 1998)</w:t>
      </w:r>
      <w:r w:rsidR="00735A9B" w:rsidRPr="00735A9B">
        <w:rPr>
          <w:rFonts w:ascii="Times New Roman" w:hAnsi="Times New Roman" w:cs="Times New Roman"/>
          <w:sz w:val="26"/>
          <w:szCs w:val="26"/>
        </w:rPr>
        <w:fldChar w:fldCharType="begin"/>
      </w:r>
      <w:r w:rsidR="00735A9B" w:rsidRPr="00735A9B">
        <w:rPr>
          <w:rFonts w:ascii="Times New Roman" w:hAnsi="Times New Roman" w:cs="Times New Roman"/>
          <w:sz w:val="26"/>
          <w:szCs w:val="26"/>
        </w:rPr>
        <w:instrText xml:space="preserve"> TA \l "</w:instrText>
      </w:r>
      <w:r w:rsidR="00735A9B" w:rsidRPr="00735A9B">
        <w:rPr>
          <w:rFonts w:ascii="Times New Roman" w:hAnsi="Times New Roman" w:cs="Times New Roman"/>
          <w:i/>
          <w:iCs/>
          <w:sz w:val="26"/>
          <w:szCs w:val="26"/>
        </w:rPr>
        <w:instrText>United States v. Adlman</w:instrText>
      </w:r>
      <w:r w:rsidR="00735A9B" w:rsidRPr="00735A9B">
        <w:rPr>
          <w:rFonts w:ascii="Times New Roman" w:hAnsi="Times New Roman" w:cs="Times New Roman"/>
          <w:sz w:val="26"/>
          <w:szCs w:val="26"/>
        </w:rPr>
        <w:instrText xml:space="preserve">, 134 F.3d 1194, 1202 (2d Cir. 1998)" \s "United States v. Adlman, 134 F.3d 1194 (2d Cir. 1998)" \c 1 </w:instrText>
      </w:r>
      <w:r w:rsidR="00735A9B"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w:t>
      </w:r>
      <w:r w:rsidRPr="00735A9B">
        <w:rPr>
          <w:rFonts w:ascii="Times New Roman" w:hAnsi="Times New Roman" w:cs="Times New Roman"/>
          <w:i/>
          <w:iCs/>
          <w:sz w:val="26"/>
          <w:szCs w:val="26"/>
        </w:rPr>
        <w:t>quoting</w:t>
      </w:r>
      <w:r w:rsidRPr="00735A9B">
        <w:rPr>
          <w:rFonts w:ascii="Times New Roman" w:hAnsi="Times New Roman" w:cs="Times New Roman"/>
          <w:sz w:val="26"/>
          <w:szCs w:val="26"/>
        </w:rPr>
        <w:t xml:space="preserve"> Charles Alan Wright, Arthur R. Miller, and Richard L. Marcus, 8 Federal Practice &amp; Procedure § 2024, at 343 (1994)). Even under this narrower approach, Amana’s investigative work fits the definition of “in anticipation of litigation.” Armana’s testimony confirms that preparing Calloway’s defense was “the only reason [Armana] was involved.” Armana </w:t>
      </w:r>
      <w:r w:rsidR="00B125A5" w:rsidRPr="00735A9B">
        <w:rPr>
          <w:rFonts w:ascii="Times New Roman" w:hAnsi="Times New Roman" w:cs="Times New Roman"/>
          <w:sz w:val="26"/>
          <w:szCs w:val="26"/>
        </w:rPr>
        <w:t>Dep.</w:t>
      </w:r>
      <w:r w:rsidRPr="00735A9B">
        <w:rPr>
          <w:rFonts w:ascii="Times New Roman" w:hAnsi="Times New Roman" w:cs="Times New Roman"/>
          <w:sz w:val="26"/>
          <w:szCs w:val="26"/>
        </w:rPr>
        <w:t xml:space="preserve"> at 47. Armana’s February 15, 2024, conversation with Seton took place during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’s investigation into Calloway and in reasonable anticipation of charges being filed against Calloway. Because Armana was acting as Calloway’s agent on February 15, 2024, during his conversation with Sierra Seton, and because those acts took place during and for the express purpose of the case’s defense, work product protection extends to Armana’s notes from that conversation.</w:t>
      </w:r>
    </w:p>
    <w:p w14:paraId="00000036" w14:textId="6709AD90" w:rsidR="00BA3C3A" w:rsidRPr="00735A9B" w:rsidRDefault="00827724" w:rsidP="00735A9B">
      <w:pPr>
        <w:pStyle w:val="Heading3"/>
        <w:rPr>
          <w:rFonts w:ascii="Times New Roman" w:hAnsi="Times New Roman" w:cs="Times New Roman"/>
          <w:sz w:val="26"/>
          <w:szCs w:val="26"/>
        </w:rPr>
      </w:pPr>
      <w:bookmarkStart w:id="14" w:name="_Toc239095283"/>
      <w:r w:rsidRPr="00735A9B">
        <w:rPr>
          <w:rFonts w:ascii="Times New Roman" w:hAnsi="Times New Roman" w:cs="Times New Roman"/>
          <w:sz w:val="26"/>
          <w:szCs w:val="26"/>
        </w:rPr>
        <w:t>2</w:t>
      </w:r>
      <w:proofErr w:type="gramStart"/>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t>Armana’s</w:t>
      </w:r>
      <w:proofErr w:type="gramEnd"/>
      <w:r w:rsidRPr="00735A9B">
        <w:rPr>
          <w:rFonts w:ascii="Times New Roman" w:hAnsi="Times New Roman" w:cs="Times New Roman"/>
          <w:sz w:val="26"/>
          <w:szCs w:val="26"/>
        </w:rPr>
        <w:t xml:space="preserve"> </w:t>
      </w:r>
      <w:r w:rsidR="00735A9B" w:rsidRPr="00735A9B">
        <w:rPr>
          <w:rFonts w:ascii="Times New Roman" w:hAnsi="Times New Roman" w:cs="Times New Roman"/>
          <w:sz w:val="26"/>
          <w:szCs w:val="26"/>
        </w:rPr>
        <w:t>O</w:t>
      </w:r>
      <w:r w:rsidRPr="00735A9B">
        <w:rPr>
          <w:rFonts w:ascii="Times New Roman" w:hAnsi="Times New Roman" w:cs="Times New Roman"/>
          <w:sz w:val="26"/>
          <w:szCs w:val="26"/>
        </w:rPr>
        <w:t xml:space="preserve">pinion </w:t>
      </w:r>
      <w:r w:rsidR="00735A9B" w:rsidRPr="00735A9B">
        <w:rPr>
          <w:rFonts w:ascii="Times New Roman" w:hAnsi="Times New Roman" w:cs="Times New Roman"/>
          <w:sz w:val="26"/>
          <w:szCs w:val="26"/>
        </w:rPr>
        <w:t>W</w:t>
      </w:r>
      <w:r w:rsidRPr="00735A9B">
        <w:rPr>
          <w:rFonts w:ascii="Times New Roman" w:hAnsi="Times New Roman" w:cs="Times New Roman"/>
          <w:sz w:val="26"/>
          <w:szCs w:val="26"/>
        </w:rPr>
        <w:t xml:space="preserve">ork </w:t>
      </w:r>
      <w:r w:rsidR="00735A9B" w:rsidRPr="00735A9B">
        <w:rPr>
          <w:rFonts w:ascii="Times New Roman" w:hAnsi="Times New Roman" w:cs="Times New Roman"/>
          <w:sz w:val="26"/>
          <w:szCs w:val="26"/>
        </w:rPr>
        <w:t>P</w:t>
      </w:r>
      <w:r w:rsidRPr="00735A9B">
        <w:rPr>
          <w:rFonts w:ascii="Times New Roman" w:hAnsi="Times New Roman" w:cs="Times New Roman"/>
          <w:sz w:val="26"/>
          <w:szCs w:val="26"/>
        </w:rPr>
        <w:t xml:space="preserve">roduct </w:t>
      </w:r>
      <w:r w:rsidR="00735A9B" w:rsidRPr="00735A9B">
        <w:rPr>
          <w:rFonts w:ascii="Times New Roman" w:hAnsi="Times New Roman" w:cs="Times New Roman"/>
          <w:sz w:val="26"/>
          <w:szCs w:val="26"/>
        </w:rPr>
        <w:t>S</w:t>
      </w:r>
      <w:r w:rsidRPr="00735A9B">
        <w:rPr>
          <w:rFonts w:ascii="Times New Roman" w:hAnsi="Times New Roman" w:cs="Times New Roman"/>
          <w:sz w:val="26"/>
          <w:szCs w:val="26"/>
        </w:rPr>
        <w:t>hould</w:t>
      </w:r>
      <w:r w:rsidR="00735A9B" w:rsidRPr="00735A9B">
        <w:rPr>
          <w:rFonts w:ascii="Times New Roman" w:hAnsi="Times New Roman" w:cs="Times New Roman"/>
          <w:sz w:val="26"/>
          <w:szCs w:val="26"/>
        </w:rPr>
        <w:t xml:space="preserve"> N</w:t>
      </w:r>
      <w:r w:rsidRPr="00735A9B">
        <w:rPr>
          <w:rFonts w:ascii="Times New Roman" w:hAnsi="Times New Roman" w:cs="Times New Roman"/>
          <w:sz w:val="26"/>
          <w:szCs w:val="26"/>
        </w:rPr>
        <w:t>ot</w:t>
      </w:r>
      <w:r w:rsidR="00735A9B" w:rsidRPr="00735A9B">
        <w:rPr>
          <w:rFonts w:ascii="Times New Roman" w:hAnsi="Times New Roman" w:cs="Times New Roman"/>
          <w:sz w:val="26"/>
          <w:szCs w:val="26"/>
        </w:rPr>
        <w:t xml:space="preserve"> B</w:t>
      </w:r>
      <w:r w:rsidRPr="00735A9B">
        <w:rPr>
          <w:rFonts w:ascii="Times New Roman" w:hAnsi="Times New Roman" w:cs="Times New Roman"/>
          <w:sz w:val="26"/>
          <w:szCs w:val="26"/>
        </w:rPr>
        <w:t xml:space="preserve">e </w:t>
      </w:r>
      <w:r w:rsidR="00735A9B" w:rsidRPr="00735A9B">
        <w:rPr>
          <w:rFonts w:ascii="Times New Roman" w:hAnsi="Times New Roman" w:cs="Times New Roman"/>
          <w:sz w:val="26"/>
          <w:szCs w:val="26"/>
        </w:rPr>
        <w:t>P</w:t>
      </w:r>
      <w:r w:rsidRPr="00735A9B">
        <w:rPr>
          <w:rFonts w:ascii="Times New Roman" w:hAnsi="Times New Roman" w:cs="Times New Roman"/>
          <w:sz w:val="26"/>
          <w:szCs w:val="26"/>
        </w:rPr>
        <w:t>roduced.</w:t>
      </w:r>
      <w:bookmarkEnd w:id="14"/>
    </w:p>
    <w:p w14:paraId="00000037" w14:textId="21E2A649" w:rsidR="00BA3C3A" w:rsidRPr="00735A9B" w:rsidRDefault="00827724" w:rsidP="00735A9B">
      <w:pPr>
        <w:spacing w:before="240" w:after="0"/>
        <w:ind w:firstLine="0"/>
        <w:rPr>
          <w:rFonts w:ascii="Times New Roman" w:hAnsi="Times New Roman" w:cs="Times New Roman"/>
          <w:sz w:val="26"/>
          <w:szCs w:val="26"/>
          <w:shd w:val="clear" w:color="auto" w:fill="F4CCCC"/>
        </w:rPr>
      </w:pPr>
      <w:r w:rsidRPr="00735A9B">
        <w:rPr>
          <w:rFonts w:ascii="Times New Roman" w:hAnsi="Times New Roman" w:cs="Times New Roman"/>
          <w:sz w:val="26"/>
          <w:szCs w:val="26"/>
        </w:rPr>
        <w:tab/>
      </w:r>
      <w:r w:rsidRPr="00735A9B">
        <w:rPr>
          <w:rFonts w:ascii="Times New Roman" w:hAnsi="Times New Roman" w:cs="Times New Roman"/>
          <w:sz w:val="26"/>
          <w:szCs w:val="26"/>
        </w:rPr>
        <w:t>The Supreme Court in Hickman held that “[n]</w:t>
      </w:r>
      <w:proofErr w:type="spellStart"/>
      <w:r w:rsidRPr="00735A9B">
        <w:rPr>
          <w:rFonts w:ascii="Times New Roman" w:hAnsi="Times New Roman" w:cs="Times New Roman"/>
          <w:sz w:val="26"/>
          <w:szCs w:val="26"/>
        </w:rPr>
        <w:t>ot</w:t>
      </w:r>
      <w:proofErr w:type="spellEnd"/>
      <w:r w:rsidRPr="00735A9B">
        <w:rPr>
          <w:rFonts w:ascii="Times New Roman" w:hAnsi="Times New Roman" w:cs="Times New Roman"/>
          <w:sz w:val="26"/>
          <w:szCs w:val="26"/>
        </w:rPr>
        <w:t xml:space="preserve"> even the most liberal of discovery theories can justify unwarranted inquiries into the files and mental impressions of an attorney.” </w:t>
      </w:r>
      <w:r w:rsidRPr="00735A9B">
        <w:rPr>
          <w:rFonts w:ascii="Times New Roman" w:hAnsi="Times New Roman" w:cs="Times New Roman"/>
          <w:i/>
          <w:iCs/>
          <w:sz w:val="26"/>
          <w:szCs w:val="26"/>
        </w:rPr>
        <w:t>Hickman</w:t>
      </w:r>
      <w:r w:rsidRPr="00735A9B">
        <w:rPr>
          <w:rFonts w:ascii="Times New Roman" w:hAnsi="Times New Roman" w:cs="Times New Roman"/>
          <w:sz w:val="26"/>
          <w:szCs w:val="26"/>
        </w:rPr>
        <w:t>, 329 U.S. at 510</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"Hickman v. Taylor, 329 U.S. 495 (1947)"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case law on whether work-product protection can be discovered draws an important distinction between fact and opinion work product. Opinion work product is that which reflects the “mental impressions, conclusions, opinions, or legal theories of a party’s attorney or other representative concerning the litigation.” </w:t>
      </w:r>
      <w:r w:rsidRPr="00735A9B">
        <w:rPr>
          <w:rFonts w:ascii="Times New Roman" w:hAnsi="Times New Roman" w:cs="Times New Roman"/>
          <w:i/>
          <w:iCs/>
          <w:sz w:val="26"/>
          <w:szCs w:val="26"/>
        </w:rPr>
        <w:t>In re Grand Jury 2021 Subpoenas</w:t>
      </w:r>
      <w:r w:rsidRPr="00735A9B">
        <w:rPr>
          <w:rFonts w:ascii="Times New Roman" w:hAnsi="Times New Roman" w:cs="Times New Roman"/>
          <w:sz w:val="26"/>
          <w:szCs w:val="26"/>
        </w:rPr>
        <w:t>, 87 F.4th 229, 254 (4th Cir. 2023).</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In re Grand Jury 2021 Subpoenas</w:instrText>
      </w:r>
      <w:r w:rsidR="00352340" w:rsidRPr="00735A9B">
        <w:rPr>
          <w:rFonts w:ascii="Times New Roman" w:hAnsi="Times New Roman" w:cs="Times New Roman"/>
          <w:sz w:val="26"/>
          <w:szCs w:val="26"/>
        </w:rPr>
        <w:instrText xml:space="preserve">, 87 F.4th 229, 254 (4th Cir. 2023)." \s "In re Grand Jury 2021 Subpoenas, 87 F.4th 229 (4th Cir. 2023)."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In the present case, Armana’s documentation of the Seton interview combines fact work </w:t>
      </w:r>
      <w:r w:rsidRPr="00735A9B">
        <w:rPr>
          <w:rFonts w:ascii="Times New Roman" w:hAnsi="Times New Roman" w:cs="Times New Roman"/>
          <w:sz w:val="26"/>
          <w:szCs w:val="26"/>
        </w:rPr>
        <w:lastRenderedPageBreak/>
        <w:t xml:space="preserve">product and opinion work product. The body of the document is the “factual account as Sierra gave it to [Armana],” while the text in red reflects Armana’s own “thoughts, follow-ups, questions, and … theories” Armana formed </w:t>
      </w:r>
      <w:proofErr w:type="gramStart"/>
      <w:r w:rsidRPr="00735A9B">
        <w:rPr>
          <w:rFonts w:ascii="Times New Roman" w:hAnsi="Times New Roman" w:cs="Times New Roman"/>
          <w:sz w:val="26"/>
          <w:szCs w:val="26"/>
        </w:rPr>
        <w:t>during the course of</w:t>
      </w:r>
      <w:proofErr w:type="gramEnd"/>
      <w:r w:rsidRPr="00735A9B">
        <w:rPr>
          <w:rFonts w:ascii="Times New Roman" w:hAnsi="Times New Roman" w:cs="Times New Roman"/>
          <w:sz w:val="26"/>
          <w:szCs w:val="26"/>
        </w:rPr>
        <w:t xml:space="preserve"> the interview. Armana Dep. 140–143.</w:t>
      </w:r>
    </w:p>
    <w:p w14:paraId="00000038" w14:textId="4B866B5D"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may argue that </w:t>
      </w:r>
      <w:r w:rsidRPr="00735A9B">
        <w:rPr>
          <w:rFonts w:ascii="Times New Roman" w:hAnsi="Times New Roman" w:cs="Times New Roman"/>
          <w:i/>
          <w:iCs/>
          <w:sz w:val="26"/>
          <w:szCs w:val="26"/>
        </w:rPr>
        <w:t>Hickman</w:t>
      </w:r>
      <w:r w:rsidRPr="00735A9B">
        <w:rPr>
          <w:rFonts w:ascii="Times New Roman" w:hAnsi="Times New Roman" w:cs="Times New Roman"/>
          <w:sz w:val="26"/>
          <w:szCs w:val="26"/>
        </w:rPr>
        <w:t xml:space="preserve"> stands for the proposition that fact work product receives less protection than opinion work product and should therefore be more freely disclosed to the prosecution. It is true that the Supreme Court in </w:t>
      </w:r>
      <w:r w:rsidRPr="00C2118B">
        <w:rPr>
          <w:rFonts w:ascii="Times New Roman" w:hAnsi="Times New Roman" w:cs="Times New Roman"/>
          <w:i/>
          <w:iCs/>
          <w:sz w:val="26"/>
          <w:szCs w:val="26"/>
        </w:rPr>
        <w:t>Hickman</w:t>
      </w:r>
      <w:r w:rsidRPr="00735A9B">
        <w:rPr>
          <w:rFonts w:ascii="Times New Roman" w:hAnsi="Times New Roman" w:cs="Times New Roman"/>
          <w:sz w:val="26"/>
          <w:szCs w:val="26"/>
        </w:rPr>
        <w:t xml:space="preserve"> held that “[f]or present purposes, it suffices to note that the protective cloak of this privilege does not extend to information which an attorney secures from a witness while acting for his client in anticipation of litigation.” </w:t>
      </w:r>
      <w:r w:rsidRPr="00735A9B">
        <w:rPr>
          <w:rFonts w:ascii="Times New Roman" w:hAnsi="Times New Roman" w:cs="Times New Roman"/>
          <w:i/>
          <w:iCs/>
          <w:sz w:val="26"/>
          <w:szCs w:val="26"/>
        </w:rPr>
        <w:t>Hickman</w:t>
      </w:r>
      <w:r w:rsidRPr="00735A9B">
        <w:rPr>
          <w:rFonts w:ascii="Times New Roman" w:hAnsi="Times New Roman" w:cs="Times New Roman"/>
          <w:sz w:val="26"/>
          <w:szCs w:val="26"/>
        </w:rPr>
        <w:t>, 329 U.S. at 508.</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"Hickman v. Taylor, 329 U.S. 495 (1947)"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However, </w:t>
      </w:r>
      <w:r w:rsidRPr="00735A9B">
        <w:rPr>
          <w:rFonts w:ascii="Times New Roman" w:hAnsi="Times New Roman" w:cs="Times New Roman"/>
          <w:i/>
          <w:iCs/>
          <w:sz w:val="26"/>
          <w:szCs w:val="26"/>
        </w:rPr>
        <w:t>Hickman</w:t>
      </w:r>
      <w:r w:rsidRPr="00735A9B">
        <w:rPr>
          <w:rFonts w:ascii="Times New Roman" w:hAnsi="Times New Roman" w:cs="Times New Roman"/>
          <w:sz w:val="26"/>
          <w:szCs w:val="26"/>
        </w:rPr>
        <w:t xml:space="preserve"> and its progeny interpret the Federal Rule of </w:t>
      </w:r>
      <w:r w:rsidRPr="00735A9B">
        <w:rPr>
          <w:rFonts w:ascii="Times New Roman" w:hAnsi="Times New Roman" w:cs="Times New Roman"/>
          <w:i/>
          <w:iCs/>
          <w:sz w:val="26"/>
          <w:szCs w:val="26"/>
        </w:rPr>
        <w:t>Civil</w:t>
      </w:r>
      <w:r w:rsidRPr="00735A9B">
        <w:rPr>
          <w:rFonts w:ascii="Times New Roman" w:hAnsi="Times New Roman" w:cs="Times New Roman"/>
          <w:sz w:val="26"/>
          <w:szCs w:val="26"/>
        </w:rPr>
        <w:t xml:space="preserve"> Procedure. The Federal Rules of Criminal Procedure expressly provide that Rule 16 does NOT authorize discovery or inspection of “a statement made to the defendant, or the defendant’s attorney or agent, by: (i) the defendant; (ii) a government or defense witness; or (iii) </w:t>
      </w:r>
      <w:r w:rsidRPr="00735A9B">
        <w:rPr>
          <w:rFonts w:ascii="Times New Roman" w:hAnsi="Times New Roman" w:cs="Times New Roman"/>
          <w:i/>
          <w:iCs/>
          <w:sz w:val="26"/>
          <w:szCs w:val="26"/>
        </w:rPr>
        <w:t>a prospective government or defense witness</w:t>
      </w:r>
      <w:r w:rsidRPr="00735A9B">
        <w:rPr>
          <w:rFonts w:ascii="Times New Roman" w:hAnsi="Times New Roman" w:cs="Times New Roman"/>
          <w:sz w:val="26"/>
          <w:szCs w:val="26"/>
        </w:rPr>
        <w:t>.” Fed. R. Crim. P. 16(b)(2)(B)</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\s "Fed. R. Crim. P. 16"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w:t>
      </w:r>
      <w:r w:rsidRPr="00735A9B">
        <w:rPr>
          <w:rFonts w:ascii="Times New Roman" w:hAnsi="Times New Roman" w:cs="Times New Roman"/>
          <w:i/>
          <w:iCs/>
          <w:sz w:val="26"/>
          <w:szCs w:val="26"/>
        </w:rPr>
        <w:t>emphasis added</w:t>
      </w:r>
      <w:r w:rsidRPr="00735A9B">
        <w:rPr>
          <w:rFonts w:ascii="Times New Roman" w:hAnsi="Times New Roman" w:cs="Times New Roman"/>
          <w:sz w:val="26"/>
          <w:szCs w:val="26"/>
        </w:rPr>
        <w:t xml:space="preserve">). Federal Rule of Criminal Procedure 16, drafted and amended </w:t>
      </w:r>
      <w:r w:rsidRPr="00735A9B">
        <w:rPr>
          <w:rFonts w:ascii="Times New Roman" w:hAnsi="Times New Roman" w:cs="Times New Roman"/>
          <w:i/>
          <w:iCs/>
          <w:sz w:val="26"/>
          <w:szCs w:val="26"/>
        </w:rPr>
        <w:t>after</w:t>
      </w:r>
      <w:r w:rsidRPr="00735A9B">
        <w:rPr>
          <w:rFonts w:ascii="Times New Roman" w:hAnsi="Times New Roman" w:cs="Times New Roman"/>
          <w:sz w:val="26"/>
          <w:szCs w:val="26"/>
        </w:rPr>
        <w:t xml:space="preserve"> </w:t>
      </w:r>
      <w:r w:rsidRPr="00735A9B">
        <w:rPr>
          <w:rFonts w:ascii="Times New Roman" w:hAnsi="Times New Roman" w:cs="Times New Roman"/>
          <w:i/>
          <w:iCs/>
          <w:sz w:val="26"/>
          <w:szCs w:val="26"/>
        </w:rPr>
        <w:t>Hickman</w:t>
      </w:r>
      <w:r w:rsidRPr="00735A9B">
        <w:rPr>
          <w:rFonts w:ascii="Times New Roman" w:hAnsi="Times New Roman" w:cs="Times New Roman"/>
          <w:sz w:val="26"/>
          <w:szCs w:val="26"/>
        </w:rPr>
        <w:t xml:space="preserve">, intentionally creates a distinct difference from the corresponding Rule of Civil Procedure. This affords a criminal defendant far greater protection than a civil litigant, shielding witness statements made to a criminal defendant’s attorney or agent, such as Armana, from collection by the prosecution. </w:t>
      </w:r>
    </w:p>
    <w:p w14:paraId="00000039" w14:textId="63BC2F0C"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In this case, Sierra Seton is a prospective witness for both the government and the </w:t>
      </w:r>
      <w:r w:rsidR="00735A9B" w:rsidRPr="00735A9B">
        <w:rPr>
          <w:rFonts w:ascii="Times New Roman" w:hAnsi="Times New Roman" w:cs="Times New Roman"/>
          <w:sz w:val="26"/>
          <w:szCs w:val="26"/>
        </w:rPr>
        <w:t>defense but</w:t>
      </w:r>
      <w:r w:rsidRPr="00735A9B">
        <w:rPr>
          <w:rFonts w:ascii="Times New Roman" w:hAnsi="Times New Roman" w:cs="Times New Roman"/>
          <w:sz w:val="26"/>
          <w:szCs w:val="26"/>
        </w:rPr>
        <w:t xml:space="preserve"> is unavailable to</w:t>
      </w:r>
      <w:r w:rsidR="00735A9B" w:rsidRPr="00735A9B">
        <w:rPr>
          <w:rFonts w:ascii="Times New Roman" w:hAnsi="Times New Roman" w:cs="Times New Roman"/>
          <w:sz w:val="26"/>
          <w:szCs w:val="26"/>
        </w:rPr>
        <w:t xml:space="preserve"> either party</w:t>
      </w:r>
      <w:r w:rsidRPr="00735A9B">
        <w:rPr>
          <w:rFonts w:ascii="Times New Roman" w:hAnsi="Times New Roman" w:cs="Times New Roman"/>
          <w:sz w:val="26"/>
          <w:szCs w:val="26"/>
        </w:rPr>
        <w:t xml:space="preserve"> </w:t>
      </w:r>
      <w:r w:rsidR="00735A9B" w:rsidRPr="00735A9B">
        <w:rPr>
          <w:rFonts w:ascii="Times New Roman" w:hAnsi="Times New Roman" w:cs="Times New Roman"/>
          <w:sz w:val="26"/>
          <w:szCs w:val="26"/>
        </w:rPr>
        <w:t>after</w:t>
      </w:r>
      <w:r w:rsidRPr="00735A9B">
        <w:rPr>
          <w:rFonts w:ascii="Times New Roman" w:hAnsi="Times New Roman" w:cs="Times New Roman"/>
          <w:sz w:val="26"/>
          <w:szCs w:val="26"/>
        </w:rPr>
        <w:t xml:space="preserve"> </w:t>
      </w:r>
      <w:r w:rsidR="00735A9B" w:rsidRPr="00735A9B">
        <w:rPr>
          <w:rFonts w:ascii="Times New Roman" w:hAnsi="Times New Roman" w:cs="Times New Roman"/>
          <w:sz w:val="26"/>
          <w:szCs w:val="26"/>
        </w:rPr>
        <w:t>she fled</w:t>
      </w:r>
      <w:r w:rsidRPr="00735A9B">
        <w:rPr>
          <w:rFonts w:ascii="Times New Roman" w:hAnsi="Times New Roman" w:cs="Times New Roman"/>
          <w:sz w:val="26"/>
          <w:szCs w:val="26"/>
        </w:rPr>
        <w:t xml:space="preserve"> the country. Regardless of the type </w:t>
      </w:r>
      <w:r w:rsidRPr="00735A9B">
        <w:rPr>
          <w:rFonts w:ascii="Times New Roman" w:hAnsi="Times New Roman" w:cs="Times New Roman"/>
          <w:sz w:val="26"/>
          <w:szCs w:val="26"/>
        </w:rPr>
        <w:lastRenderedPageBreak/>
        <w:t xml:space="preserve">of work product, the Rule expressly protects a statement from this type of witness from disclosure to the prosecution by a defendant. Because the Federal Rules of Criminal Procedure are intentionally drafted to afford a criminal defendant and her witnesses additional </w:t>
      </w:r>
      <w:proofErr w:type="gramStart"/>
      <w:r w:rsidRPr="00735A9B">
        <w:rPr>
          <w:rFonts w:ascii="Times New Roman" w:hAnsi="Times New Roman" w:cs="Times New Roman"/>
          <w:sz w:val="26"/>
          <w:szCs w:val="26"/>
        </w:rPr>
        <w:t>protections</w:t>
      </w:r>
      <w:proofErr w:type="gramEnd"/>
      <w:r w:rsidRPr="00735A9B">
        <w:rPr>
          <w:rFonts w:ascii="Times New Roman" w:hAnsi="Times New Roman" w:cs="Times New Roman"/>
          <w:sz w:val="26"/>
          <w:szCs w:val="26"/>
        </w:rPr>
        <w:t xml:space="preserve">,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in this case, cannot pierce that veil of protection to obtain Seton’s statement from the defense. </w:t>
      </w:r>
    </w:p>
    <w:p w14:paraId="0000003A" w14:textId="07C33931" w:rsidR="00BA3C3A" w:rsidRPr="00735A9B" w:rsidRDefault="00735A9B" w:rsidP="00735A9B">
      <w:pPr>
        <w:pStyle w:val="Heading3"/>
        <w:rPr>
          <w:rFonts w:ascii="Times New Roman" w:hAnsi="Times New Roman" w:cs="Times New Roman"/>
          <w:sz w:val="26"/>
          <w:szCs w:val="26"/>
        </w:rPr>
      </w:pPr>
      <w:bookmarkStart w:id="15" w:name="_Toc239095284"/>
      <w:r w:rsidRPr="00735A9B">
        <w:rPr>
          <w:rFonts w:ascii="Times New Roman" w:hAnsi="Times New Roman" w:cs="Times New Roman"/>
          <w:sz w:val="26"/>
          <w:szCs w:val="26"/>
        </w:rPr>
        <w:t>3</w:t>
      </w:r>
      <w:proofErr w:type="gramStart"/>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t>The</w:t>
      </w:r>
      <w:proofErr w:type="gramEnd"/>
      <w:r w:rsidRPr="00735A9B">
        <w:rPr>
          <w:rFonts w:ascii="Times New Roman" w:hAnsi="Times New Roman" w:cs="Times New Roman"/>
          <w:sz w:val="26"/>
          <w:szCs w:val="26"/>
        </w:rPr>
        <w:t xml:space="preserv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Cannot Demonstrate Substantial Need for </w:t>
      </w:r>
      <w:proofErr w:type="gramStart"/>
      <w:r w:rsidRPr="00735A9B">
        <w:rPr>
          <w:rFonts w:ascii="Times New Roman" w:hAnsi="Times New Roman" w:cs="Times New Roman"/>
          <w:sz w:val="26"/>
          <w:szCs w:val="26"/>
        </w:rPr>
        <w:t>the Information</w:t>
      </w:r>
      <w:proofErr w:type="gramEnd"/>
      <w:r w:rsidRPr="00735A9B">
        <w:rPr>
          <w:rFonts w:ascii="Times New Roman" w:hAnsi="Times New Roman" w:cs="Times New Roman"/>
          <w:sz w:val="26"/>
          <w:szCs w:val="26"/>
        </w:rPr>
        <w:t>.</w:t>
      </w:r>
      <w:bookmarkEnd w:id="15"/>
    </w:p>
    <w:p w14:paraId="0000003B" w14:textId="2EE669C0" w:rsidR="00BA3C3A" w:rsidRPr="00735A9B" w:rsidRDefault="00827724" w:rsidP="00735A9B">
      <w:pPr>
        <w:spacing w:before="240" w:after="0"/>
        <w:rPr>
          <w:rFonts w:ascii="Times New Roman" w:hAnsi="Times New Roman" w:cs="Times New Roman"/>
          <w:sz w:val="26"/>
          <w:szCs w:val="26"/>
        </w:rPr>
      </w:pPr>
      <w:r w:rsidRPr="00735A9B">
        <w:rPr>
          <w:rFonts w:ascii="Times New Roman" w:hAnsi="Times New Roman" w:cs="Times New Roman"/>
          <w:sz w:val="26"/>
          <w:szCs w:val="26"/>
        </w:rPr>
        <w:t xml:space="preserve">Even assuming, for the sake of argument, that Federal Rule of Criminal Procedure 16 does not afford criminal defendants greater work product protection than its civil counterpart,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still cannot make the required showing to obtain Armana’s documents under the current work-product doctrine. Under Federal Rule of Civil Procedure 26, otherwise discoverable materials that are prepared for trial by another party or its representative may be discovered only if “the party [seeking the materials] shows that it has substantial need for the materials to prepare its case and cannot, without undue hardship, obtain their substantial equivalent by other means.” Fed. R. Civ. P. 26(b)(3)(A).</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"Fed. R. Civ. P. 26(b)(3)(A)." \s "Fed. R. Civ. P. 26" \c 4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 xml:space="preserve"> cannot meet this standard.</w:t>
      </w:r>
    </w:p>
    <w:p w14:paraId="0000003C" w14:textId="6A904A12"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When evaluating a party’s claim of substantial need, courts consider: “(1) the importance of the materials to the party seeking them for case preparation; (2) the difficulty the part will have obtaining them by other means; and (3) the likelihood that the party, even if he obtains the information by independent means, will not have the substantial equivalent of the documents he seeks.” </w:t>
      </w:r>
      <w:r w:rsidRPr="00735A9B">
        <w:rPr>
          <w:rFonts w:ascii="Times New Roman" w:hAnsi="Times New Roman" w:cs="Times New Roman"/>
          <w:i/>
          <w:iCs/>
          <w:sz w:val="26"/>
          <w:szCs w:val="26"/>
        </w:rPr>
        <w:t>E.I. DuPont de Nemours &amp; Co. v. Kolon Indus., Inc.</w:t>
      </w:r>
      <w:r w:rsidRPr="00735A9B">
        <w:rPr>
          <w:rFonts w:ascii="Times New Roman" w:hAnsi="Times New Roman" w:cs="Times New Roman"/>
          <w:sz w:val="26"/>
          <w:szCs w:val="26"/>
        </w:rPr>
        <w:t>, 269 F.R.D. 600, 608–09 (E.D.Va.2010).</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E.I. DuPont de Nemours &amp; Co. v. Kolon Indus., Inc.</w:instrText>
      </w:r>
      <w:r w:rsidR="00352340" w:rsidRPr="00735A9B">
        <w:rPr>
          <w:rFonts w:ascii="Times New Roman" w:hAnsi="Times New Roman" w:cs="Times New Roman"/>
          <w:sz w:val="26"/>
          <w:szCs w:val="26"/>
        </w:rPr>
        <w:instrText xml:space="preserve">, 269 F.R.D. 600, 608–09 (E.D.Va.2010)." \s "E.I. DuPont de Nemours &amp; Co. v. Kolon Indus., Inc., 269 F.R.D. 600 (E.D.Va.2010)."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In the current case, it is true that the prosecution would have difficulty obtaining Seton’s testimony through </w:t>
      </w:r>
      <w:r w:rsidRPr="00735A9B">
        <w:rPr>
          <w:rFonts w:ascii="Times New Roman" w:hAnsi="Times New Roman" w:cs="Times New Roman"/>
          <w:sz w:val="26"/>
          <w:szCs w:val="26"/>
        </w:rPr>
        <w:lastRenderedPageBreak/>
        <w:t xml:space="preserve">independent means because Seton has fled the country. However, if the prosecution </w:t>
      </w:r>
      <w:proofErr w:type="gramStart"/>
      <w:r w:rsidRPr="00735A9B">
        <w:rPr>
          <w:rFonts w:ascii="Times New Roman" w:hAnsi="Times New Roman" w:cs="Times New Roman"/>
          <w:sz w:val="26"/>
          <w:szCs w:val="26"/>
        </w:rPr>
        <w:t>is able to</w:t>
      </w:r>
      <w:proofErr w:type="gramEnd"/>
      <w:r w:rsidRPr="00735A9B">
        <w:rPr>
          <w:rFonts w:ascii="Times New Roman" w:hAnsi="Times New Roman" w:cs="Times New Roman"/>
          <w:sz w:val="26"/>
          <w:szCs w:val="26"/>
        </w:rPr>
        <w:t xml:space="preserve"> obtain information about Silver Palms’ corporate structure and ownership by independent means, this information will be the substantial equivalent of Armana’s notes. Further, while Armana’s notes of the content of Seton’s testimony could provide the prosecution with information about Coastal Event Solutions and its potential connection to Silver Palms, the document is not the substantial equivalent of Seton’s testim</w:t>
      </w:r>
      <w:r w:rsidRPr="00735A9B">
        <w:rPr>
          <w:rFonts w:ascii="Times New Roman" w:hAnsi="Times New Roman" w:cs="Times New Roman"/>
          <w:sz w:val="26"/>
          <w:szCs w:val="26"/>
        </w:rPr>
        <w:t xml:space="preserve">ony. </w:t>
      </w:r>
    </w:p>
    <w:p w14:paraId="0000003D" w14:textId="683ED515"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Exhibit 21 is not Seton’s testimony verbatim, but Armana’s contemporaneous notes as he listened to Sierra. Armana </w:t>
      </w:r>
      <w:r w:rsidR="00B125A5" w:rsidRPr="00735A9B">
        <w:rPr>
          <w:rFonts w:ascii="Times New Roman" w:hAnsi="Times New Roman" w:cs="Times New Roman"/>
          <w:sz w:val="26"/>
          <w:szCs w:val="26"/>
        </w:rPr>
        <w:t>Dep.</w:t>
      </w:r>
      <w:r w:rsidRPr="00735A9B">
        <w:rPr>
          <w:rFonts w:ascii="Times New Roman" w:hAnsi="Times New Roman" w:cs="Times New Roman"/>
          <w:sz w:val="26"/>
          <w:szCs w:val="26"/>
        </w:rPr>
        <w:t xml:space="preserve"> at 140. No recording exists of the interview.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at 112–113. Armana concedes that the document blends fact and inference as he formed theories in real time. </w:t>
      </w:r>
      <w:r w:rsidRPr="00735A9B">
        <w:rPr>
          <w:rFonts w:ascii="Times New Roman" w:hAnsi="Times New Roman" w:cs="Times New Roman"/>
          <w:i/>
          <w:iCs/>
          <w:sz w:val="26"/>
          <w:szCs w:val="26"/>
        </w:rPr>
        <w:t>Id.</w:t>
      </w:r>
      <w:r w:rsidRPr="00735A9B">
        <w:rPr>
          <w:rFonts w:ascii="Times New Roman" w:hAnsi="Times New Roman" w:cs="Times New Roman"/>
          <w:sz w:val="26"/>
          <w:szCs w:val="26"/>
        </w:rPr>
        <w:t xml:space="preserve"> at 141–143. Exhibit 21 reflects Armana’s impressions of Seton’s testimony and constitutes hearsay within hearsay. Fed. R. Evid. 805. Further, </w:t>
      </w:r>
      <w:proofErr w:type="gramStart"/>
      <w:r w:rsidRPr="00735A9B">
        <w:rPr>
          <w:rFonts w:ascii="Times New Roman" w:hAnsi="Times New Roman" w:cs="Times New Roman"/>
          <w:sz w:val="26"/>
          <w:szCs w:val="26"/>
        </w:rPr>
        <w:t>Exhibit</w:t>
      </w:r>
      <w:proofErr w:type="gramEnd"/>
      <w:r w:rsidRPr="00735A9B">
        <w:rPr>
          <w:rFonts w:ascii="Times New Roman" w:hAnsi="Times New Roman" w:cs="Times New Roman"/>
          <w:sz w:val="26"/>
          <w:szCs w:val="26"/>
        </w:rPr>
        <w:t xml:space="preserve"> 21 consists of unsworn testimony produced without the ability of either side to cross-examine Seton, implicating Calloway’s Sixth Amendment right to confront her accuser. </w:t>
      </w:r>
      <w:r w:rsidRPr="00735A9B">
        <w:rPr>
          <w:rFonts w:ascii="Times New Roman" w:hAnsi="Times New Roman" w:cs="Times New Roman"/>
          <w:i/>
          <w:iCs/>
          <w:sz w:val="26"/>
          <w:szCs w:val="26"/>
        </w:rPr>
        <w:t>See Crawford v. Washington</w:t>
      </w:r>
      <w:r w:rsidRPr="00735A9B">
        <w:rPr>
          <w:rFonts w:ascii="Times New Roman" w:hAnsi="Times New Roman" w:cs="Times New Roman"/>
          <w:sz w:val="26"/>
          <w:szCs w:val="26"/>
        </w:rPr>
        <w:t>, 541 U.S. 36 (2004)</w:t>
      </w:r>
      <w:r w:rsidR="00352340" w:rsidRPr="00735A9B">
        <w:rPr>
          <w:rFonts w:ascii="Times New Roman" w:hAnsi="Times New Roman" w:cs="Times New Roman"/>
          <w:sz w:val="26"/>
          <w:szCs w:val="26"/>
        </w:rPr>
        <w:fldChar w:fldCharType="begin"/>
      </w:r>
      <w:r w:rsidR="00352340" w:rsidRPr="00735A9B">
        <w:rPr>
          <w:rFonts w:ascii="Times New Roman" w:hAnsi="Times New Roman" w:cs="Times New Roman"/>
          <w:sz w:val="26"/>
          <w:szCs w:val="26"/>
        </w:rPr>
        <w:instrText xml:space="preserve"> TA \l "</w:instrText>
      </w:r>
      <w:r w:rsidR="00352340" w:rsidRPr="00735A9B">
        <w:rPr>
          <w:rFonts w:ascii="Times New Roman" w:hAnsi="Times New Roman" w:cs="Times New Roman"/>
          <w:i/>
          <w:iCs/>
          <w:sz w:val="26"/>
          <w:szCs w:val="26"/>
        </w:rPr>
        <w:instrText>See Crawford v. Washington</w:instrText>
      </w:r>
      <w:r w:rsidR="00352340" w:rsidRPr="00735A9B">
        <w:rPr>
          <w:rFonts w:ascii="Times New Roman" w:hAnsi="Times New Roman" w:cs="Times New Roman"/>
          <w:sz w:val="26"/>
          <w:szCs w:val="26"/>
        </w:rPr>
        <w:instrText xml:space="preserve">, 541 U.S. 36 (2004)" \s "Crawford v. Washington, 541 U.S. 36 (2004)" \c 1 </w:instrText>
      </w:r>
      <w:r w:rsidR="00352340"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(holding that out-of-court statements by witnesses that are testimonial are barred, under the Confrontation Clause, unless witnesses are unavailable and defendants had prior opportunity to cross-examine witnesses, regardless of whether such statements are deemed reliable by the court). Exhibit 21 does not meaningfully substitute for Seton’s testimony. Producing an investigator’s secondhand, unverifiable characterization is not a substitute for the missing witness; it is a different and weaker form of evide</w:t>
      </w:r>
      <w:r w:rsidRPr="00735A9B">
        <w:rPr>
          <w:rFonts w:ascii="Times New Roman" w:hAnsi="Times New Roman" w:cs="Times New Roman"/>
          <w:sz w:val="26"/>
          <w:szCs w:val="26"/>
        </w:rPr>
        <w:t xml:space="preserve">nce, and the </w:t>
      </w:r>
      <w:r w:rsidR="00E811B8" w:rsidRPr="00735A9B">
        <w:rPr>
          <w:rFonts w:ascii="Times New Roman" w:hAnsi="Times New Roman" w:cs="Times New Roman"/>
          <w:sz w:val="26"/>
          <w:szCs w:val="26"/>
        </w:rPr>
        <w:t>Government</w:t>
      </w:r>
      <w:r w:rsidRPr="00735A9B">
        <w:rPr>
          <w:rFonts w:ascii="Times New Roman" w:hAnsi="Times New Roman" w:cs="Times New Roman"/>
          <w:sz w:val="26"/>
          <w:szCs w:val="26"/>
        </w:rPr>
        <w:t>’s willingness to resort to it does not constitute a substantial need to obtain it.</w:t>
      </w:r>
    </w:p>
    <w:p w14:paraId="0000003E" w14:textId="77777777" w:rsidR="00BA3C3A" w:rsidRPr="00735A9B" w:rsidRDefault="00827724" w:rsidP="00735A9B">
      <w:pPr>
        <w:pStyle w:val="Heading1"/>
        <w:spacing w:after="0"/>
        <w:ind w:left="0" w:firstLine="0"/>
        <w:jc w:val="center"/>
        <w:rPr>
          <w:rFonts w:ascii="Times New Roman" w:hAnsi="Times New Roman" w:cs="Times New Roman"/>
          <w:sz w:val="26"/>
          <w:szCs w:val="26"/>
        </w:rPr>
      </w:pPr>
      <w:bookmarkStart w:id="16" w:name="_Toc239095285"/>
      <w:r w:rsidRPr="00735A9B">
        <w:rPr>
          <w:rFonts w:ascii="Times New Roman" w:hAnsi="Times New Roman" w:cs="Times New Roman"/>
          <w:sz w:val="26"/>
          <w:szCs w:val="26"/>
        </w:rPr>
        <w:lastRenderedPageBreak/>
        <w:t>IV. CONCLUSION AND PRAYER FOR RELIEF</w:t>
      </w:r>
      <w:bookmarkEnd w:id="16"/>
    </w:p>
    <w:p w14:paraId="3291BBED" w14:textId="37CEBFF6" w:rsidR="00662E1B" w:rsidRPr="00735A9B" w:rsidRDefault="00662E1B" w:rsidP="00735A9B">
      <w:pPr>
        <w:spacing w:after="0"/>
        <w:rPr>
          <w:rFonts w:ascii="Times New Roman" w:hAnsi="Times New Roman" w:cs="Times New Roman"/>
          <w:sz w:val="26"/>
          <w:szCs w:val="26"/>
        </w:rPr>
      </w:pPr>
      <w:r w:rsidRPr="00735A9B">
        <w:rPr>
          <w:rFonts w:ascii="Times New Roman" w:hAnsi="Times New Roman" w:cs="Times New Roman"/>
          <w:sz w:val="26"/>
          <w:szCs w:val="26"/>
        </w:rPr>
        <w:t>T</w:t>
      </w:r>
      <w:r w:rsidRPr="00735A9B">
        <w:rPr>
          <w:rFonts w:ascii="Times New Roman" w:eastAsia="Times New Roman" w:hAnsi="Times New Roman" w:cs="Times New Roman"/>
          <w:sz w:val="26"/>
          <w:szCs w:val="26"/>
        </w:rPr>
        <w:t xml:space="preserve">he promise matters. </w:t>
      </w:r>
      <w:r w:rsidRPr="00735A9B">
        <w:rPr>
          <w:rFonts w:ascii="Times New Roman" w:hAnsi="Times New Roman" w:cs="Times New Roman"/>
          <w:sz w:val="26"/>
          <w:szCs w:val="26"/>
        </w:rPr>
        <w:t>T</w:t>
      </w:r>
      <w:r w:rsidRPr="00735A9B">
        <w:rPr>
          <w:rFonts w:ascii="Times New Roman" w:eastAsia="Times New Roman" w:hAnsi="Times New Roman" w:cs="Times New Roman"/>
          <w:sz w:val="26"/>
          <w:szCs w:val="26"/>
        </w:rPr>
        <w:t xml:space="preserve">he Framers understood that the power to compel testimony is the power to destroy. When the Government wields that power and then deploys the compelled testimony </w:t>
      </w:r>
      <w:r w:rsidRPr="00735A9B">
        <w:rPr>
          <w:rFonts w:ascii="Times New Roman" w:hAnsi="Times New Roman" w:cs="Times New Roman"/>
          <w:sz w:val="26"/>
          <w:szCs w:val="26"/>
        </w:rPr>
        <w:t xml:space="preserve">and its derivatives </w:t>
      </w:r>
      <w:r w:rsidRPr="00735A9B">
        <w:rPr>
          <w:rFonts w:ascii="Times New Roman" w:eastAsia="Times New Roman" w:hAnsi="Times New Roman" w:cs="Times New Roman"/>
          <w:sz w:val="26"/>
          <w:szCs w:val="26"/>
        </w:rPr>
        <w:t xml:space="preserve">in a criminal prosecution, the privilege is meaningless. The Government compelled Emily Calloway’s testimony, failed to insulate its investigation, and now seeks to introduce evidence that traces directly to those compelled proceedings. It has not met its heavy burden of demonstrating a wholly independent source for Kennedy Parker’s </w:t>
      </w:r>
      <w:r w:rsidRPr="00735A9B">
        <w:rPr>
          <w:rFonts w:ascii="Times New Roman" w:hAnsi="Times New Roman" w:cs="Times New Roman"/>
          <w:sz w:val="26"/>
          <w:szCs w:val="26"/>
        </w:rPr>
        <w:t>testimony</w:t>
      </w:r>
      <w:r w:rsidRPr="00735A9B">
        <w:rPr>
          <w:rFonts w:ascii="Times New Roman" w:eastAsia="Times New Roman" w:hAnsi="Times New Roman" w:cs="Times New Roman"/>
          <w:sz w:val="26"/>
          <w:szCs w:val="26"/>
        </w:rPr>
        <w:t xml:space="preserve"> or the warehouse evidence.</w:t>
      </w:r>
    </w:p>
    <w:p w14:paraId="0000003F" w14:textId="7278D431" w:rsidR="00BA3C3A" w:rsidRPr="00735A9B" w:rsidRDefault="00662E1B" w:rsidP="00735A9B">
      <w:pPr>
        <w:spacing w:after="0"/>
        <w:rPr>
          <w:rFonts w:ascii="Times New Roman" w:hAnsi="Times New Roman" w:cs="Times New Roman"/>
          <w:sz w:val="26"/>
          <w:szCs w:val="26"/>
        </w:rPr>
      </w:pPr>
      <w:r w:rsidRPr="00735A9B">
        <w:rPr>
          <w:rFonts w:ascii="Times New Roman" w:eastAsia="Times New Roman" w:hAnsi="Times New Roman" w:cs="Times New Roman"/>
          <w:sz w:val="26"/>
          <w:szCs w:val="26"/>
        </w:rPr>
        <w:t>Defendant Emily Calloway respectfully requests that this Court suppress the warehouse evidence (Ex. 19) and the testimony of Kennedy Parker in their entirety.</w:t>
      </w:r>
    </w:p>
    <w:p w14:paraId="00000040" w14:textId="7D8E6000" w:rsidR="00BA3C3A" w:rsidRPr="00735A9B" w:rsidRDefault="00827724" w:rsidP="00735A9B">
      <w:pPr>
        <w:spacing w:after="0"/>
        <w:rPr>
          <w:rFonts w:ascii="Times New Roman" w:hAnsi="Times New Roman" w:cs="Times New Roman"/>
          <w:sz w:val="26"/>
          <w:szCs w:val="26"/>
        </w:rPr>
      </w:pPr>
      <w:r w:rsidRPr="00735A9B">
        <w:rPr>
          <w:rFonts w:ascii="Times New Roman" w:hAnsi="Times New Roman" w:cs="Times New Roman"/>
          <w:sz w:val="26"/>
          <w:szCs w:val="26"/>
        </w:rPr>
        <w:t xml:space="preserve">Defendant further </w:t>
      </w:r>
      <w:r w:rsidR="00662E1B" w:rsidRPr="00735A9B">
        <w:rPr>
          <w:rFonts w:ascii="Times New Roman" w:hAnsi="Times New Roman" w:cs="Times New Roman"/>
          <w:sz w:val="26"/>
          <w:szCs w:val="26"/>
        </w:rPr>
        <w:t>requests</w:t>
      </w:r>
      <w:r w:rsidRPr="00735A9B">
        <w:rPr>
          <w:rFonts w:ascii="Times New Roman" w:hAnsi="Times New Roman" w:cs="Times New Roman"/>
          <w:sz w:val="26"/>
          <w:szCs w:val="26"/>
        </w:rPr>
        <w:t xml:space="preserve"> that the court grant Defendant’s Motion to Quash United States Subpoena Duces Tecum on Maddox Armana for the production of any and all records of Armana’s interview of Sierra Seton on February 15, 2024, in its entirety; or, in the alternative, order in camera review by the court prior to any disclosure; or, in the further alternative, limit any production strictly to the </w:t>
      </w:r>
      <w:r w:rsidR="00C2118B">
        <w:rPr>
          <w:rFonts w:ascii="Times New Roman" w:hAnsi="Times New Roman" w:cs="Times New Roman"/>
          <w:sz w:val="26"/>
          <w:szCs w:val="26"/>
        </w:rPr>
        <w:t>severable</w:t>
      </w:r>
      <w:r w:rsidRPr="00735A9B">
        <w:rPr>
          <w:rFonts w:ascii="Times New Roman" w:hAnsi="Times New Roman" w:cs="Times New Roman"/>
          <w:sz w:val="26"/>
          <w:szCs w:val="26"/>
        </w:rPr>
        <w:t xml:space="preserve"> factual portions of Exhibit 21, with all opinion work product redacted, and require the government to make an additional, particularized showing of substantial need and undue hardship as to that limited factual content before any production issues.</w:t>
      </w:r>
    </w:p>
    <w:p w14:paraId="00000041" w14:textId="77777777" w:rsidR="00BA3C3A" w:rsidRPr="00735A9B" w:rsidRDefault="00827724" w:rsidP="00735A9B">
      <w:pPr>
        <w:spacing w:after="0"/>
        <w:ind w:firstLine="0"/>
        <w:rPr>
          <w:rFonts w:ascii="Times New Roman" w:hAnsi="Times New Roman" w:cs="Times New Roman"/>
          <w:sz w:val="26"/>
          <w:szCs w:val="26"/>
        </w:rPr>
      </w:pPr>
      <w:r w:rsidRPr="00735A9B">
        <w:rPr>
          <w:rFonts w:ascii="Times New Roman" w:hAnsi="Times New Roman" w:cs="Times New Roman"/>
          <w:sz w:val="26"/>
          <w:szCs w:val="26"/>
        </w:rPr>
        <w:t xml:space="preserve">Date: September 1, </w:t>
      </w:r>
      <w:proofErr w:type="gramStart"/>
      <w:r w:rsidRPr="00735A9B">
        <w:rPr>
          <w:rFonts w:ascii="Times New Roman" w:hAnsi="Times New Roman" w:cs="Times New Roman"/>
          <w:sz w:val="26"/>
          <w:szCs w:val="26"/>
        </w:rPr>
        <w:t>2026</w:t>
      </w:r>
      <w:proofErr w:type="gramEnd"/>
      <w:r w:rsidRPr="00735A9B">
        <w:rPr>
          <w:rFonts w:ascii="Times New Roman" w:hAnsi="Times New Roman" w:cs="Times New Roman"/>
          <w:sz w:val="26"/>
          <w:szCs w:val="26"/>
        </w:rPr>
        <w:t xml:space="preserve"> </w:t>
      </w:r>
      <w:r w:rsidRPr="00735A9B">
        <w:rPr>
          <w:rFonts w:ascii="Times New Roman" w:hAnsi="Times New Roman" w:cs="Times New Roman"/>
          <w:sz w:val="26"/>
          <w:szCs w:val="26"/>
        </w:rPr>
        <w:tab/>
      </w:r>
      <w:r w:rsidRPr="00735A9B">
        <w:rPr>
          <w:rFonts w:ascii="Times New Roman" w:hAnsi="Times New Roman" w:cs="Times New Roman"/>
          <w:sz w:val="26"/>
          <w:szCs w:val="26"/>
        </w:rPr>
        <w:tab/>
      </w:r>
      <w:r w:rsidRPr="00735A9B">
        <w:rPr>
          <w:rFonts w:ascii="Times New Roman" w:hAnsi="Times New Roman" w:cs="Times New Roman"/>
          <w:sz w:val="26"/>
          <w:szCs w:val="26"/>
        </w:rPr>
        <w:tab/>
        <w:t xml:space="preserve">Respectfully Submitted, </w:t>
      </w:r>
    </w:p>
    <w:p w14:paraId="00000042" w14:textId="77777777" w:rsidR="00BA3C3A" w:rsidRPr="00735A9B" w:rsidRDefault="00827724" w:rsidP="00735A9B">
      <w:pPr>
        <w:spacing w:after="0" w:line="240" w:lineRule="auto"/>
        <w:ind w:left="4320" w:firstLine="0"/>
        <w:rPr>
          <w:rFonts w:ascii="Times New Roman" w:hAnsi="Times New Roman" w:cs="Times New Roman"/>
          <w:sz w:val="26"/>
          <w:szCs w:val="26"/>
        </w:rPr>
      </w:pPr>
      <w:r w:rsidRPr="00735A9B">
        <w:rPr>
          <w:rFonts w:ascii="Times New Roman" w:hAnsi="Times New Roman" w:cs="Times New Roman"/>
          <w:sz w:val="26"/>
          <w:szCs w:val="26"/>
        </w:rPr>
        <w:t>TEAM 301</w:t>
      </w:r>
    </w:p>
    <w:p w14:paraId="00000043" w14:textId="77777777" w:rsidR="00BA3C3A" w:rsidRPr="00735A9B" w:rsidRDefault="00827724" w:rsidP="00735A9B">
      <w:pPr>
        <w:spacing w:after="0" w:line="240" w:lineRule="auto"/>
        <w:ind w:left="4320" w:firstLine="0"/>
        <w:rPr>
          <w:rFonts w:ascii="Times New Roman" w:hAnsi="Times New Roman" w:cs="Times New Roman"/>
          <w:sz w:val="26"/>
          <w:szCs w:val="26"/>
          <w:u w:val="single"/>
        </w:rPr>
      </w:pPr>
      <w:proofErr w:type="gramStart"/>
      <w:r w:rsidRPr="00735A9B">
        <w:rPr>
          <w:rFonts w:ascii="Times New Roman" w:hAnsi="Times New Roman" w:cs="Times New Roman"/>
          <w:sz w:val="26"/>
          <w:szCs w:val="26"/>
        </w:rPr>
        <w:t>By</w:t>
      </w:r>
      <w:proofErr w:type="gramEnd"/>
      <w:r w:rsidRPr="00735A9B">
        <w:rPr>
          <w:rFonts w:ascii="Times New Roman" w:hAnsi="Times New Roman" w:cs="Times New Roman"/>
          <w:sz w:val="26"/>
          <w:szCs w:val="26"/>
        </w:rPr>
        <w:t xml:space="preserve">: </w:t>
      </w:r>
      <w:r w:rsidRPr="00735A9B">
        <w:rPr>
          <w:rFonts w:ascii="Times New Roman" w:hAnsi="Times New Roman" w:cs="Times New Roman"/>
          <w:sz w:val="26"/>
          <w:szCs w:val="26"/>
          <w:u w:val="single"/>
        </w:rPr>
        <w:t>/s/ Team 301</w:t>
      </w:r>
    </w:p>
    <w:p w14:paraId="00000044" w14:textId="77777777" w:rsidR="00BA3C3A" w:rsidRDefault="00827724" w:rsidP="00735A9B">
      <w:pPr>
        <w:spacing w:after="0" w:line="240" w:lineRule="auto"/>
        <w:ind w:left="4320" w:firstLine="0"/>
        <w:rPr>
          <w:rFonts w:ascii="Times New Roman" w:hAnsi="Times New Roman" w:cs="Times New Roman"/>
          <w:sz w:val="26"/>
          <w:szCs w:val="26"/>
        </w:rPr>
      </w:pPr>
      <w:r w:rsidRPr="00735A9B">
        <w:rPr>
          <w:rFonts w:ascii="Times New Roman" w:hAnsi="Times New Roman" w:cs="Times New Roman"/>
          <w:sz w:val="26"/>
          <w:szCs w:val="26"/>
        </w:rPr>
        <w:t>Counsel for the Defendant</w:t>
      </w:r>
    </w:p>
    <w:p w14:paraId="3267DAD8" w14:textId="69E7D5AD" w:rsidR="00183FB0" w:rsidRPr="00735A9B" w:rsidRDefault="00183FB0" w:rsidP="00735A9B">
      <w:pPr>
        <w:spacing w:after="0" w:line="240" w:lineRule="auto"/>
        <w:ind w:left="4320" w:firstLine="0"/>
        <w:rPr>
          <w:rFonts w:ascii="Times New Roman" w:hAnsi="Times New Roman" w:cs="Times New Roman"/>
          <w:sz w:val="26"/>
          <w:szCs w:val="26"/>
        </w:rPr>
      </w:pPr>
      <w:r>
        <w:rPr>
          <w:rFonts w:ascii="Times New Roman" w:hAnsi="Times New Roman" w:cs="Times New Roman"/>
          <w:sz w:val="26"/>
          <w:szCs w:val="26"/>
        </w:rPr>
        <w:t>Word count: 3,952</w:t>
      </w:r>
    </w:p>
    <w:sectPr w:rsidR="00183FB0" w:rsidRPr="00735A9B" w:rsidSect="00387A53">
      <w:footerReference w:type="default" r:id="rId12"/>
      <w:pgSz w:w="12240" w:h="15840"/>
      <w:pgMar w:top="1440" w:right="1440" w:bottom="1440" w:left="1440" w:header="720"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1005E" w14:textId="77777777" w:rsidR="00827724" w:rsidRDefault="00827724">
      <w:pPr>
        <w:spacing w:after="0" w:line="240" w:lineRule="auto"/>
      </w:pPr>
      <w:r>
        <w:separator/>
      </w:r>
    </w:p>
  </w:endnote>
  <w:endnote w:type="continuationSeparator" w:id="0">
    <w:p w14:paraId="2E2BC9AB" w14:textId="77777777" w:rsidR="00827724" w:rsidRDefault="00827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embedRegular r:id="rId1" w:fontKey="{A4702030-642B-4474-A452-AFF82ABB4760}"/>
    <w:embedBold r:id="rId2" w:fontKey="{1203F2A5-193A-4F1E-8502-7771181F9484}"/>
    <w:embedItalic r:id="rId3" w:fontKey="{755BE08E-5B60-433A-9E89-46207B4D8C80}"/>
    <w:embedBoldItalic r:id="rId4" w:fontKey="{EE80E4AE-7C33-4139-B9C3-29C93A081F6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33F6915-9FAC-4133-9F78-D38C8233D607}"/>
    <w:embedBoldItalic r:id="rId6" w:fontKey="{6405B6B7-3038-4816-AB0B-28251586E095}"/>
  </w:font>
  <w:font w:name="Calibri">
    <w:panose1 w:val="020F0502020204030204"/>
    <w:charset w:val="00"/>
    <w:family w:val="swiss"/>
    <w:pitch w:val="variable"/>
    <w:sig w:usb0="E4002EFF" w:usb1="C200247B" w:usb2="00000009" w:usb3="00000000" w:csb0="000001FF" w:csb1="00000000"/>
    <w:embedRegular r:id="rId7" w:fontKey="{2576F074-A20B-4790-89B8-E31392BC78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554698"/>
      <w:docPartObj>
        <w:docPartGallery w:val="Page Numbers (Bottom of Page)"/>
        <w:docPartUnique/>
      </w:docPartObj>
    </w:sdtPr>
    <w:sdtEndPr>
      <w:rPr>
        <w:rStyle w:val="PageNumber"/>
      </w:rPr>
    </w:sdtEndPr>
    <w:sdtContent>
      <w:p w14:paraId="77CCC78F" w14:textId="4948AE2D" w:rsidR="00387A53" w:rsidRDefault="00387A53" w:rsidP="00AD61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0E7002" w14:textId="77777777" w:rsidR="00352340" w:rsidRPr="00352340" w:rsidRDefault="00352340" w:rsidP="00352340">
    <w:pPr>
      <w:pStyle w:val="Footer"/>
      <w:ind w:firstLine="0"/>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8810409"/>
      <w:docPartObj>
        <w:docPartGallery w:val="Page Numbers (Bottom of Page)"/>
        <w:docPartUnique/>
      </w:docPartObj>
    </w:sdtPr>
    <w:sdtEndPr>
      <w:rPr>
        <w:rStyle w:val="PageNumber"/>
      </w:rPr>
    </w:sdtEndPr>
    <w:sdtContent>
      <w:p w14:paraId="24033333" w14:textId="24318A6C" w:rsidR="00387A53" w:rsidRDefault="00387A53" w:rsidP="00C2118B">
        <w:pPr>
          <w:pStyle w:val="Footer"/>
          <w:framePr w:wrap="none" w:vAnchor="text" w:hAnchor="margin" w:xAlign="center" w:y="1"/>
          <w:ind w:firstLine="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03CA425" w14:textId="77777777" w:rsidR="00387A53" w:rsidRPr="00387A53" w:rsidRDefault="00387A53" w:rsidP="00387A53">
    <w:pPr>
      <w:pStyle w:val="Footer"/>
      <w:ind w:firstLine="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9E5C" w14:textId="77777777" w:rsidR="00387A53" w:rsidRPr="00387A53" w:rsidRDefault="00387A53" w:rsidP="00387A53">
    <w:pPr>
      <w:pStyle w:val="Footer"/>
      <w:ind w:firstLine="0"/>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6896701"/>
      <w:docPartObj>
        <w:docPartGallery w:val="Page Numbers (Bottom of Page)"/>
        <w:docPartUnique/>
      </w:docPartObj>
    </w:sdtPr>
    <w:sdtEndPr>
      <w:rPr>
        <w:rStyle w:val="PageNumber"/>
      </w:rPr>
    </w:sdtEndPr>
    <w:sdtContent>
      <w:p w14:paraId="7F9D4494" w14:textId="08199DA5" w:rsidR="00387A53" w:rsidRDefault="00387A53" w:rsidP="00C2118B">
        <w:pPr>
          <w:pStyle w:val="Footer"/>
          <w:framePr w:wrap="none" w:vAnchor="text" w:hAnchor="margin" w:xAlign="center" w:y="1"/>
          <w:ind w:firstLine="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0E7B395" w14:textId="77777777" w:rsidR="00387A53" w:rsidRPr="00387A53" w:rsidRDefault="00387A53" w:rsidP="00387A53">
    <w:pPr>
      <w:pStyle w:val="Footer"/>
      <w:ind w:firstLine="0"/>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10068256" w:rsidR="00BA3C3A" w:rsidRPr="00735A9B" w:rsidRDefault="00827724" w:rsidP="00387A53">
    <w:pPr>
      <w:ind w:firstLine="0"/>
      <w:jc w:val="center"/>
      <w:rPr>
        <w:rFonts w:ascii="Times New Roman" w:hAnsi="Times New Roman" w:cs="Times New Roman"/>
        <w:sz w:val="26"/>
        <w:szCs w:val="26"/>
      </w:rPr>
    </w:pPr>
    <w:r w:rsidRPr="00735A9B">
      <w:rPr>
        <w:rFonts w:ascii="Times New Roman" w:hAnsi="Times New Roman" w:cs="Times New Roman"/>
        <w:sz w:val="26"/>
        <w:szCs w:val="26"/>
      </w:rPr>
      <w:t xml:space="preserve">Page </w:t>
    </w:r>
    <w:r w:rsidRPr="00735A9B">
      <w:rPr>
        <w:rFonts w:ascii="Times New Roman" w:hAnsi="Times New Roman" w:cs="Times New Roman"/>
        <w:sz w:val="26"/>
        <w:szCs w:val="26"/>
      </w:rPr>
      <w:fldChar w:fldCharType="begin"/>
    </w:r>
    <w:r w:rsidRPr="00735A9B">
      <w:rPr>
        <w:rFonts w:ascii="Times New Roman" w:hAnsi="Times New Roman" w:cs="Times New Roman"/>
        <w:sz w:val="26"/>
        <w:szCs w:val="26"/>
      </w:rPr>
      <w:instrText>PAGE</w:instrText>
    </w:r>
    <w:r w:rsidRPr="00735A9B">
      <w:rPr>
        <w:rFonts w:ascii="Times New Roman" w:hAnsi="Times New Roman" w:cs="Times New Roman"/>
        <w:sz w:val="26"/>
        <w:szCs w:val="26"/>
      </w:rPr>
      <w:fldChar w:fldCharType="separate"/>
    </w:r>
    <w:r w:rsidR="00352340" w:rsidRPr="00735A9B">
      <w:rPr>
        <w:rFonts w:ascii="Times New Roman" w:hAnsi="Times New Roman" w:cs="Times New Roman"/>
        <w:noProof/>
        <w:sz w:val="26"/>
        <w:szCs w:val="26"/>
      </w:rPr>
      <w:t>1</w:t>
    </w:r>
    <w:r w:rsidRPr="00735A9B">
      <w:rPr>
        <w:rFonts w:ascii="Times New Roman" w:hAnsi="Times New Roman" w:cs="Times New Roman"/>
        <w:sz w:val="26"/>
        <w:szCs w:val="26"/>
      </w:rPr>
      <w:fldChar w:fldCharType="end"/>
    </w:r>
    <w:r w:rsidRPr="00735A9B">
      <w:rPr>
        <w:rFonts w:ascii="Times New Roman" w:hAnsi="Times New Roman" w:cs="Times New Roman"/>
        <w:sz w:val="26"/>
        <w:szCs w:val="26"/>
      </w:rPr>
      <w:t xml:space="preserve"> of </w:t>
    </w:r>
    <w:r w:rsidR="00735A9B" w:rsidRPr="00735A9B">
      <w:rPr>
        <w:rFonts w:ascii="Times New Roman" w:hAnsi="Times New Roman" w:cs="Times New Roman"/>
        <w:sz w:val="26"/>
        <w:szCs w:val="26"/>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9032" w14:textId="77777777" w:rsidR="00827724" w:rsidRDefault="00827724">
      <w:pPr>
        <w:spacing w:after="0" w:line="240" w:lineRule="auto"/>
      </w:pPr>
      <w:r>
        <w:separator/>
      </w:r>
    </w:p>
  </w:footnote>
  <w:footnote w:type="continuationSeparator" w:id="0">
    <w:p w14:paraId="4DD464B1" w14:textId="77777777" w:rsidR="00827724" w:rsidRDefault="00827724">
      <w:pPr>
        <w:spacing w:after="0" w:line="240" w:lineRule="auto"/>
      </w:pPr>
      <w:r>
        <w:continuationSeparator/>
      </w:r>
    </w:p>
  </w:footnote>
  <w:footnote w:id="1">
    <w:p w14:paraId="4409A6D9" w14:textId="77777777" w:rsidR="00B125A5" w:rsidRDefault="00B125A5" w:rsidP="00B125A5">
      <w:pPr>
        <w:pStyle w:val="FootnoteText"/>
      </w:pPr>
      <w:r>
        <w:rPr>
          <w:rStyle w:val="FootnoteReference"/>
          <w:rFonts w:eastAsiaTheme="majorEastAsia"/>
        </w:rPr>
        <w:footnoteRef/>
      </w:r>
      <w:r>
        <w:t xml:space="preserve"> See Stipulation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E1CE" w14:textId="6F2A2072" w:rsidR="00B81B7C" w:rsidRDefault="00387A53" w:rsidP="00387A53">
    <w:pPr>
      <w:tabs>
        <w:tab w:val="left" w:pos="1457"/>
      </w:tabs>
      <w:jc w:val="right"/>
    </w:pPr>
    <w:r>
      <w:rPr>
        <w:lang w:val="en-US"/>
      </w:rPr>
      <w:t>Team 301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E20D" w14:textId="77777777" w:rsidR="00827724" w:rsidRDefault="00827724">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C3A"/>
    <w:rsid w:val="00183FB0"/>
    <w:rsid w:val="001E0AA8"/>
    <w:rsid w:val="00352340"/>
    <w:rsid w:val="00387A53"/>
    <w:rsid w:val="00457FA2"/>
    <w:rsid w:val="004E0DAF"/>
    <w:rsid w:val="00541330"/>
    <w:rsid w:val="00662E1B"/>
    <w:rsid w:val="00735A9B"/>
    <w:rsid w:val="00784952"/>
    <w:rsid w:val="00827724"/>
    <w:rsid w:val="00904FC0"/>
    <w:rsid w:val="00A15F15"/>
    <w:rsid w:val="00A3068F"/>
    <w:rsid w:val="00B125A5"/>
    <w:rsid w:val="00B6721E"/>
    <w:rsid w:val="00B81B7C"/>
    <w:rsid w:val="00BA3C3A"/>
    <w:rsid w:val="00C2118B"/>
    <w:rsid w:val="00E811B8"/>
    <w:rsid w:val="00F62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F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Century Schoolbook" w:hAnsi="Century Schoolbook" w:cs="Century Schoolbook"/>
        <w:sz w:val="24"/>
        <w:szCs w:val="24"/>
        <w:lang w:val="en"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b/>
      <w:bCs/>
    </w:rPr>
  </w:style>
  <w:style w:type="paragraph" w:styleId="Heading2">
    <w:name w:val="heading 2"/>
    <w:basedOn w:val="Normal"/>
    <w:next w:val="Normal"/>
    <w:uiPriority w:val="9"/>
    <w:unhideWhenUsed/>
    <w:qFormat/>
    <w:pPr>
      <w:keepNext/>
      <w:keepLines/>
      <w:outlineLvl w:val="1"/>
    </w:pPr>
    <w:rPr>
      <w:rFonts w:ascii="Times New Roman" w:eastAsia="Times New Roman" w:hAnsi="Times New Roman" w:cs="Times New Roman"/>
      <w:b/>
      <w:bCs/>
      <w:sz w:val="28"/>
      <w:szCs w:val="28"/>
    </w:rPr>
  </w:style>
  <w:style w:type="paragraph" w:styleId="Heading3">
    <w:name w:val="heading 3"/>
    <w:basedOn w:val="Normal"/>
    <w:next w:val="Normal"/>
    <w:uiPriority w:val="9"/>
    <w:unhideWhenUsed/>
    <w:qFormat/>
    <w:pPr>
      <w:keepNext/>
      <w:keepLines/>
      <w:spacing w:after="80" w:line="240" w:lineRule="auto"/>
      <w:ind w:left="720" w:hanging="720"/>
      <w:outlineLvl w:val="2"/>
    </w:pPr>
    <w:rPr>
      <w:i/>
      <w:iCs/>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352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40"/>
  </w:style>
  <w:style w:type="paragraph" w:styleId="Footer">
    <w:name w:val="footer"/>
    <w:basedOn w:val="Normal"/>
    <w:link w:val="FooterChar"/>
    <w:uiPriority w:val="99"/>
    <w:unhideWhenUsed/>
    <w:rsid w:val="00352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40"/>
  </w:style>
  <w:style w:type="paragraph" w:styleId="Index1">
    <w:name w:val="index 1"/>
    <w:basedOn w:val="Normal"/>
    <w:next w:val="Normal"/>
    <w:autoRedefine/>
    <w:uiPriority w:val="99"/>
    <w:unhideWhenUsed/>
    <w:rsid w:val="00352340"/>
    <w:pPr>
      <w:spacing w:after="0"/>
      <w:ind w:left="240" w:hanging="240"/>
    </w:pPr>
    <w:rPr>
      <w:rFonts w:asciiTheme="minorHAnsi" w:hAnsiTheme="minorHAnsi"/>
      <w:sz w:val="20"/>
      <w:szCs w:val="20"/>
    </w:rPr>
  </w:style>
  <w:style w:type="paragraph" w:styleId="Index2">
    <w:name w:val="index 2"/>
    <w:basedOn w:val="Normal"/>
    <w:next w:val="Normal"/>
    <w:autoRedefine/>
    <w:uiPriority w:val="99"/>
    <w:unhideWhenUsed/>
    <w:rsid w:val="00352340"/>
    <w:pPr>
      <w:spacing w:after="0"/>
      <w:ind w:left="480" w:hanging="240"/>
    </w:pPr>
    <w:rPr>
      <w:rFonts w:asciiTheme="minorHAnsi" w:hAnsiTheme="minorHAnsi"/>
      <w:sz w:val="20"/>
      <w:szCs w:val="20"/>
    </w:rPr>
  </w:style>
  <w:style w:type="paragraph" w:styleId="Index3">
    <w:name w:val="index 3"/>
    <w:basedOn w:val="Normal"/>
    <w:next w:val="Normal"/>
    <w:autoRedefine/>
    <w:uiPriority w:val="99"/>
    <w:unhideWhenUsed/>
    <w:rsid w:val="00352340"/>
    <w:pPr>
      <w:spacing w:after="0"/>
      <w:ind w:left="720" w:hanging="240"/>
    </w:pPr>
    <w:rPr>
      <w:rFonts w:asciiTheme="minorHAnsi" w:hAnsiTheme="minorHAnsi"/>
      <w:sz w:val="20"/>
      <w:szCs w:val="20"/>
    </w:rPr>
  </w:style>
  <w:style w:type="paragraph" w:styleId="Index4">
    <w:name w:val="index 4"/>
    <w:basedOn w:val="Normal"/>
    <w:next w:val="Normal"/>
    <w:autoRedefine/>
    <w:uiPriority w:val="99"/>
    <w:unhideWhenUsed/>
    <w:rsid w:val="00352340"/>
    <w:pPr>
      <w:spacing w:after="0"/>
      <w:ind w:left="960" w:hanging="240"/>
    </w:pPr>
    <w:rPr>
      <w:rFonts w:asciiTheme="minorHAnsi" w:hAnsiTheme="minorHAnsi"/>
      <w:sz w:val="20"/>
      <w:szCs w:val="20"/>
    </w:rPr>
  </w:style>
  <w:style w:type="paragraph" w:styleId="Index5">
    <w:name w:val="index 5"/>
    <w:basedOn w:val="Normal"/>
    <w:next w:val="Normal"/>
    <w:autoRedefine/>
    <w:uiPriority w:val="99"/>
    <w:unhideWhenUsed/>
    <w:rsid w:val="00352340"/>
    <w:pPr>
      <w:spacing w:after="0"/>
      <w:ind w:left="1200" w:hanging="240"/>
    </w:pPr>
    <w:rPr>
      <w:rFonts w:asciiTheme="minorHAnsi" w:hAnsiTheme="minorHAnsi"/>
      <w:sz w:val="20"/>
      <w:szCs w:val="20"/>
    </w:rPr>
  </w:style>
  <w:style w:type="paragraph" w:styleId="Index6">
    <w:name w:val="index 6"/>
    <w:basedOn w:val="Normal"/>
    <w:next w:val="Normal"/>
    <w:autoRedefine/>
    <w:uiPriority w:val="99"/>
    <w:unhideWhenUsed/>
    <w:rsid w:val="00352340"/>
    <w:pPr>
      <w:spacing w:after="0"/>
      <w:ind w:left="1440" w:hanging="240"/>
    </w:pPr>
    <w:rPr>
      <w:rFonts w:asciiTheme="minorHAnsi" w:hAnsiTheme="minorHAnsi"/>
      <w:sz w:val="20"/>
      <w:szCs w:val="20"/>
    </w:rPr>
  </w:style>
  <w:style w:type="paragraph" w:styleId="Index7">
    <w:name w:val="index 7"/>
    <w:basedOn w:val="Normal"/>
    <w:next w:val="Normal"/>
    <w:autoRedefine/>
    <w:uiPriority w:val="99"/>
    <w:unhideWhenUsed/>
    <w:rsid w:val="00352340"/>
    <w:pPr>
      <w:spacing w:after="0"/>
      <w:ind w:left="1680" w:hanging="240"/>
    </w:pPr>
    <w:rPr>
      <w:rFonts w:asciiTheme="minorHAnsi" w:hAnsiTheme="minorHAnsi"/>
      <w:sz w:val="20"/>
      <w:szCs w:val="20"/>
    </w:rPr>
  </w:style>
  <w:style w:type="paragraph" w:styleId="Index8">
    <w:name w:val="index 8"/>
    <w:basedOn w:val="Normal"/>
    <w:next w:val="Normal"/>
    <w:autoRedefine/>
    <w:uiPriority w:val="99"/>
    <w:unhideWhenUsed/>
    <w:rsid w:val="00352340"/>
    <w:pPr>
      <w:spacing w:after="0"/>
      <w:ind w:left="1920" w:hanging="240"/>
    </w:pPr>
    <w:rPr>
      <w:rFonts w:asciiTheme="minorHAnsi" w:hAnsiTheme="minorHAnsi"/>
      <w:sz w:val="20"/>
      <w:szCs w:val="20"/>
    </w:rPr>
  </w:style>
  <w:style w:type="paragraph" w:styleId="Index9">
    <w:name w:val="index 9"/>
    <w:basedOn w:val="Normal"/>
    <w:next w:val="Normal"/>
    <w:autoRedefine/>
    <w:uiPriority w:val="99"/>
    <w:unhideWhenUsed/>
    <w:rsid w:val="00352340"/>
    <w:pPr>
      <w:spacing w:after="0"/>
      <w:ind w:left="2160" w:hanging="240"/>
    </w:pPr>
    <w:rPr>
      <w:rFonts w:asciiTheme="minorHAnsi" w:hAnsiTheme="minorHAnsi"/>
      <w:sz w:val="20"/>
      <w:szCs w:val="20"/>
    </w:rPr>
  </w:style>
  <w:style w:type="paragraph" w:styleId="IndexHeading">
    <w:name w:val="index heading"/>
    <w:basedOn w:val="Normal"/>
    <w:next w:val="Index1"/>
    <w:uiPriority w:val="99"/>
    <w:unhideWhenUsed/>
    <w:rsid w:val="00352340"/>
    <w:pPr>
      <w:spacing w:before="120" w:after="120"/>
    </w:pPr>
    <w:rPr>
      <w:rFonts w:asciiTheme="minorHAnsi" w:hAnsiTheme="minorHAnsi"/>
      <w:b/>
      <w:bCs/>
      <w:i/>
      <w:iCs/>
      <w:sz w:val="20"/>
      <w:szCs w:val="20"/>
    </w:rPr>
  </w:style>
  <w:style w:type="paragraph" w:styleId="TOAHeading">
    <w:name w:val="toa heading"/>
    <w:basedOn w:val="Normal"/>
    <w:next w:val="Normal"/>
    <w:uiPriority w:val="99"/>
    <w:unhideWhenUsed/>
    <w:rsid w:val="00352340"/>
    <w:pPr>
      <w:spacing w:before="120" w:after="120"/>
    </w:pPr>
    <w:rPr>
      <w:rFonts w:asciiTheme="minorHAnsi" w:hAnsiTheme="minorHAnsi" w:cs="Arial"/>
      <w:sz w:val="20"/>
      <w:szCs w:val="20"/>
      <w:u w:val="single"/>
    </w:rPr>
  </w:style>
  <w:style w:type="paragraph" w:styleId="TableofAuthorities">
    <w:name w:val="table of authorities"/>
    <w:basedOn w:val="Normal"/>
    <w:next w:val="Normal"/>
    <w:uiPriority w:val="99"/>
    <w:unhideWhenUsed/>
    <w:rsid w:val="00352340"/>
    <w:pPr>
      <w:spacing w:after="0"/>
      <w:ind w:left="240" w:hanging="240"/>
    </w:pPr>
    <w:rPr>
      <w:rFonts w:asciiTheme="minorHAnsi" w:hAnsiTheme="minorHAnsi"/>
      <w:sz w:val="20"/>
      <w:szCs w:val="20"/>
    </w:rPr>
  </w:style>
  <w:style w:type="character" w:styleId="FootnoteReference">
    <w:name w:val="footnote reference"/>
    <w:uiPriority w:val="99"/>
    <w:semiHidden/>
    <w:unhideWhenUsed/>
    <w:rsid w:val="00B125A5"/>
    <w:rPr>
      <w:vertAlign w:val="superscript"/>
    </w:rPr>
  </w:style>
  <w:style w:type="paragraph" w:styleId="FootnoteText">
    <w:name w:val="footnote text"/>
    <w:link w:val="FootnoteTextChar"/>
    <w:uiPriority w:val="99"/>
    <w:semiHidden/>
    <w:unhideWhenUsed/>
    <w:rsid w:val="00B125A5"/>
    <w:pPr>
      <w:spacing w:after="0" w:line="240" w:lineRule="auto"/>
      <w:ind w:firstLine="0"/>
    </w:pPr>
    <w:rPr>
      <w:rFonts w:ascii="Times New Roman" w:eastAsia="Times New Roman" w:hAnsi="Times New Roman" w:cs="Times New Roman"/>
      <w:color w:val="000000"/>
      <w:sz w:val="20"/>
      <w:szCs w:val="20"/>
      <w:lang w:val="en-US"/>
    </w:rPr>
  </w:style>
  <w:style w:type="character" w:customStyle="1" w:styleId="FootnoteTextChar">
    <w:name w:val="Footnote Text Char"/>
    <w:basedOn w:val="DefaultParagraphFont"/>
    <w:link w:val="FootnoteText"/>
    <w:uiPriority w:val="99"/>
    <w:semiHidden/>
    <w:rsid w:val="00B125A5"/>
    <w:rPr>
      <w:rFonts w:ascii="Times New Roman" w:eastAsia="Times New Roman" w:hAnsi="Times New Roman" w:cs="Times New Roman"/>
      <w:color w:val="000000"/>
      <w:sz w:val="20"/>
      <w:szCs w:val="20"/>
      <w:lang w:val="en-US"/>
    </w:rPr>
  </w:style>
  <w:style w:type="paragraph" w:styleId="TOC1">
    <w:name w:val="toc 1"/>
    <w:basedOn w:val="Normal"/>
    <w:next w:val="Normal"/>
    <w:autoRedefine/>
    <w:uiPriority w:val="39"/>
    <w:unhideWhenUsed/>
    <w:rsid w:val="00662E1B"/>
    <w:pPr>
      <w:spacing w:after="100"/>
    </w:pPr>
  </w:style>
  <w:style w:type="paragraph" w:styleId="TOC2">
    <w:name w:val="toc 2"/>
    <w:basedOn w:val="Normal"/>
    <w:next w:val="Normal"/>
    <w:autoRedefine/>
    <w:uiPriority w:val="39"/>
    <w:unhideWhenUsed/>
    <w:rsid w:val="00387A53"/>
    <w:pPr>
      <w:tabs>
        <w:tab w:val="right" w:leader="dot" w:pos="9350"/>
      </w:tabs>
      <w:spacing w:after="0" w:line="240" w:lineRule="auto"/>
      <w:ind w:left="1440" w:hanging="720"/>
    </w:pPr>
  </w:style>
  <w:style w:type="paragraph" w:styleId="TOC3">
    <w:name w:val="toc 3"/>
    <w:basedOn w:val="Normal"/>
    <w:next w:val="Normal"/>
    <w:autoRedefine/>
    <w:uiPriority w:val="39"/>
    <w:unhideWhenUsed/>
    <w:rsid w:val="00662E1B"/>
    <w:pPr>
      <w:spacing w:after="100"/>
      <w:ind w:left="480"/>
    </w:pPr>
  </w:style>
  <w:style w:type="character" w:styleId="Hyperlink">
    <w:name w:val="Hyperlink"/>
    <w:basedOn w:val="DefaultParagraphFont"/>
    <w:uiPriority w:val="99"/>
    <w:unhideWhenUsed/>
    <w:rsid w:val="00662E1B"/>
    <w:rPr>
      <w:color w:val="0000FF" w:themeColor="hyperlink"/>
      <w:u w:val="single"/>
    </w:rPr>
  </w:style>
  <w:style w:type="paragraph" w:styleId="Revision">
    <w:name w:val="Revision"/>
    <w:hidden/>
    <w:uiPriority w:val="99"/>
    <w:semiHidden/>
    <w:rsid w:val="00387A53"/>
    <w:pPr>
      <w:spacing w:after="0" w:line="240" w:lineRule="auto"/>
      <w:ind w:firstLine="0"/>
    </w:pPr>
  </w:style>
  <w:style w:type="character" w:styleId="PageNumber">
    <w:name w:val="page number"/>
    <w:basedOn w:val="DefaultParagraphFont"/>
    <w:uiPriority w:val="99"/>
    <w:semiHidden/>
    <w:unhideWhenUsed/>
    <w:rsid w:val="00387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5.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7334FE7F-3148-404C-8022-E0501C9BA303}"/>
</file>

<file path=customXml/itemProps2.xml><?xml version="1.0" encoding="utf-8"?>
<ds:datastoreItem xmlns:ds="http://schemas.openxmlformats.org/officeDocument/2006/customXml" ds:itemID="{4D6DF7D2-0EE5-4E14-93C2-8F0D5F015D09}"/>
</file>

<file path=customXml/itemProps3.xml><?xml version="1.0" encoding="utf-8"?>
<ds:datastoreItem xmlns:ds="http://schemas.openxmlformats.org/officeDocument/2006/customXml" ds:itemID="{82196AA6-E6AA-4DB3-9A15-93D18F554FB9}"/>
</file>

<file path=docProps/app.xml><?xml version="1.0" encoding="utf-8"?>
<Properties xmlns="http://schemas.openxmlformats.org/officeDocument/2006/extended-properties" xmlns:vt="http://schemas.openxmlformats.org/officeDocument/2006/docPropsVTypes">
  <Template>Normal.dotm</Template>
  <TotalTime>0</TotalTime>
  <Pages>18</Pages>
  <Words>4714</Words>
  <Characters>26875</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2026-09-09T00:27:00Z</dcterms:created>
  <dcterms:modified xsi:type="dcterms:W3CDTF">2026-09-09T00:27:00Z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