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61E3" w14:textId="21EB11B5" w:rsidR="009B451F" w:rsidRPr="00F812D2" w:rsidRDefault="009B451F" w:rsidP="009B451F">
      <w:pPr>
        <w:spacing w:line="240" w:lineRule="auto"/>
        <w:jc w:val="right"/>
        <w:rPr>
          <w:b/>
          <w:szCs w:val="26"/>
        </w:rPr>
      </w:pPr>
      <w:r w:rsidRPr="00F812D2">
        <w:rPr>
          <w:b/>
          <w:szCs w:val="26"/>
        </w:rPr>
        <w:t>TEAM</w:t>
      </w:r>
      <w:r w:rsidR="00B25FD5">
        <w:rPr>
          <w:b/>
          <w:szCs w:val="26"/>
        </w:rPr>
        <w:t xml:space="preserve"> 122</w:t>
      </w:r>
    </w:p>
    <w:p w14:paraId="55570486" w14:textId="77777777" w:rsidR="009B451F" w:rsidRPr="00F812D2" w:rsidRDefault="009B451F" w:rsidP="009B451F">
      <w:pPr>
        <w:spacing w:line="240" w:lineRule="auto"/>
        <w:jc w:val="right"/>
        <w:rPr>
          <w:b/>
          <w:szCs w:val="26"/>
        </w:rPr>
      </w:pPr>
    </w:p>
    <w:p w14:paraId="06557854" w14:textId="77777777" w:rsidR="009B451F" w:rsidRPr="00F812D2" w:rsidRDefault="009B451F" w:rsidP="009B451F">
      <w:pPr>
        <w:pBdr>
          <w:bottom w:val="single" w:sz="6" w:space="1" w:color="auto"/>
        </w:pBdr>
        <w:spacing w:line="240" w:lineRule="auto"/>
        <w:jc w:val="center"/>
        <w:rPr>
          <w:szCs w:val="26"/>
        </w:rPr>
      </w:pPr>
    </w:p>
    <w:p w14:paraId="17F5EB5C" w14:textId="77777777" w:rsidR="009B451F" w:rsidRPr="00F812D2" w:rsidRDefault="009B451F" w:rsidP="009B451F">
      <w:pPr>
        <w:spacing w:line="240" w:lineRule="auto"/>
        <w:jc w:val="center"/>
        <w:rPr>
          <w:szCs w:val="26"/>
        </w:rPr>
      </w:pPr>
    </w:p>
    <w:p w14:paraId="6513895F" w14:textId="77777777" w:rsidR="000C3498" w:rsidRPr="000C3498" w:rsidRDefault="000C3498" w:rsidP="000C3498">
      <w:pPr>
        <w:pBdr>
          <w:bottom w:val="single" w:sz="6" w:space="1" w:color="auto"/>
        </w:pBdr>
        <w:spacing w:line="240" w:lineRule="auto"/>
        <w:jc w:val="center"/>
        <w:rPr>
          <w:b/>
          <w:szCs w:val="26"/>
        </w:rPr>
      </w:pPr>
      <w:r w:rsidRPr="000C3498">
        <w:rPr>
          <w:b/>
          <w:szCs w:val="26"/>
        </w:rPr>
        <w:t xml:space="preserve">IN THE SUPERIOR COURT OF THE STATE OF STETSON </w:t>
      </w:r>
    </w:p>
    <w:p w14:paraId="69482A30" w14:textId="3989EF35" w:rsidR="009B451F" w:rsidRPr="00F812D2" w:rsidRDefault="000C3498" w:rsidP="000C3498">
      <w:pPr>
        <w:pBdr>
          <w:bottom w:val="single" w:sz="6" w:space="1" w:color="auto"/>
        </w:pBdr>
        <w:spacing w:line="240" w:lineRule="auto"/>
        <w:jc w:val="center"/>
        <w:rPr>
          <w:b/>
          <w:szCs w:val="26"/>
        </w:rPr>
      </w:pPr>
      <w:r w:rsidRPr="00F812D2">
        <w:rPr>
          <w:b/>
          <w:szCs w:val="26"/>
        </w:rPr>
        <w:t>PINELLA COUNTY JUDICIAL DISTRCT</w:t>
      </w:r>
    </w:p>
    <w:p w14:paraId="32AC165B" w14:textId="77777777" w:rsidR="005D3256" w:rsidRPr="00F812D2" w:rsidRDefault="005D3256" w:rsidP="000C3498">
      <w:pPr>
        <w:pBdr>
          <w:bottom w:val="single" w:sz="6" w:space="1" w:color="auto"/>
        </w:pBdr>
        <w:spacing w:line="240" w:lineRule="auto"/>
        <w:jc w:val="center"/>
        <w:rPr>
          <w:szCs w:val="26"/>
        </w:rPr>
      </w:pPr>
    </w:p>
    <w:p w14:paraId="10876076" w14:textId="77777777" w:rsidR="009B451F" w:rsidRPr="00F812D2" w:rsidRDefault="009B451F" w:rsidP="009B451F">
      <w:pPr>
        <w:spacing w:line="240" w:lineRule="auto"/>
        <w:jc w:val="center"/>
        <w:rPr>
          <w:szCs w:val="26"/>
        </w:rPr>
      </w:pPr>
    </w:p>
    <w:p w14:paraId="348C4D5C" w14:textId="77777777" w:rsidR="009B451F" w:rsidRPr="00F812D2" w:rsidRDefault="009B451F" w:rsidP="009B451F">
      <w:pPr>
        <w:spacing w:line="240" w:lineRule="auto"/>
        <w:rPr>
          <w:szCs w:val="26"/>
        </w:rPr>
      </w:pPr>
    </w:p>
    <w:p w14:paraId="058088A2" w14:textId="59739C77" w:rsidR="009B451F" w:rsidRPr="00F812D2" w:rsidRDefault="003E5AD0" w:rsidP="009B451F">
      <w:pPr>
        <w:spacing w:line="240" w:lineRule="auto"/>
        <w:rPr>
          <w:szCs w:val="26"/>
        </w:rPr>
      </w:pPr>
      <w:r w:rsidRPr="00F812D2">
        <w:rPr>
          <w:szCs w:val="26"/>
        </w:rPr>
        <w:t>S</w:t>
      </w:r>
      <w:r w:rsidR="009B451F" w:rsidRPr="00F812D2">
        <w:rPr>
          <w:szCs w:val="26"/>
        </w:rPr>
        <w:t xml:space="preserve">TATE OF </w:t>
      </w:r>
      <w:r w:rsidRPr="00F812D2">
        <w:rPr>
          <w:szCs w:val="26"/>
        </w:rPr>
        <w:t>STETSON</w:t>
      </w:r>
    </w:p>
    <w:p w14:paraId="2F0669E5" w14:textId="77777777" w:rsidR="009B451F" w:rsidRPr="00F812D2" w:rsidRDefault="009B451F" w:rsidP="009B451F">
      <w:pPr>
        <w:spacing w:line="240" w:lineRule="auto"/>
        <w:jc w:val="center"/>
        <w:rPr>
          <w:szCs w:val="26"/>
        </w:rPr>
      </w:pPr>
    </w:p>
    <w:p w14:paraId="24195521" w14:textId="6BEE1F51" w:rsidR="009B451F" w:rsidRPr="00F812D2" w:rsidRDefault="009B451F" w:rsidP="00C57488">
      <w:pPr>
        <w:spacing w:line="240" w:lineRule="auto"/>
        <w:rPr>
          <w:szCs w:val="26"/>
        </w:rPr>
      </w:pPr>
      <w:r w:rsidRPr="00F812D2">
        <w:rPr>
          <w:szCs w:val="26"/>
        </w:rPr>
        <w:t>v.                                                                                                      CASE NO.</w:t>
      </w:r>
      <w:r w:rsidR="00C57488" w:rsidRPr="00F812D2">
        <w:rPr>
          <w:szCs w:val="26"/>
        </w:rPr>
        <w:t xml:space="preserve"> 2024-CR-319</w:t>
      </w:r>
    </w:p>
    <w:p w14:paraId="7AE38BC8" w14:textId="77777777" w:rsidR="009B451F" w:rsidRPr="00F812D2" w:rsidRDefault="009B451F" w:rsidP="009B451F">
      <w:pPr>
        <w:spacing w:line="240" w:lineRule="auto"/>
        <w:jc w:val="center"/>
        <w:rPr>
          <w:szCs w:val="26"/>
        </w:rPr>
      </w:pPr>
    </w:p>
    <w:p w14:paraId="080F59A0" w14:textId="5DE6245F" w:rsidR="009B451F" w:rsidRPr="00F812D2" w:rsidRDefault="003E5AD0" w:rsidP="009B451F">
      <w:pPr>
        <w:spacing w:line="240" w:lineRule="auto"/>
        <w:rPr>
          <w:szCs w:val="26"/>
        </w:rPr>
      </w:pPr>
      <w:r w:rsidRPr="00F812D2">
        <w:rPr>
          <w:szCs w:val="26"/>
        </w:rPr>
        <w:t>JAY CAMERON,</w:t>
      </w:r>
    </w:p>
    <w:p w14:paraId="4FEDF231" w14:textId="77777777" w:rsidR="009B451F" w:rsidRPr="00F812D2" w:rsidRDefault="009B451F" w:rsidP="009B451F">
      <w:pPr>
        <w:spacing w:line="240" w:lineRule="auto"/>
        <w:jc w:val="center"/>
        <w:rPr>
          <w:szCs w:val="26"/>
        </w:rPr>
      </w:pPr>
    </w:p>
    <w:p w14:paraId="76711BF0" w14:textId="77777777" w:rsidR="009B451F" w:rsidRPr="00F812D2" w:rsidRDefault="009B451F" w:rsidP="009B451F">
      <w:pPr>
        <w:spacing w:line="240" w:lineRule="auto"/>
        <w:rPr>
          <w:i/>
          <w:iCs/>
          <w:szCs w:val="26"/>
        </w:rPr>
      </w:pPr>
      <w:r w:rsidRPr="00F812D2">
        <w:rPr>
          <w:i/>
          <w:iCs/>
          <w:szCs w:val="26"/>
        </w:rPr>
        <w:t>Defendant.</w:t>
      </w:r>
    </w:p>
    <w:p w14:paraId="6C49B3BB" w14:textId="77777777" w:rsidR="009B451F" w:rsidRPr="00F812D2" w:rsidRDefault="009B451F" w:rsidP="009B451F">
      <w:pPr>
        <w:spacing w:line="240" w:lineRule="auto"/>
        <w:rPr>
          <w:i/>
          <w:iCs/>
          <w:szCs w:val="26"/>
        </w:rPr>
      </w:pPr>
    </w:p>
    <w:p w14:paraId="6280FC5A" w14:textId="77777777" w:rsidR="009B451F" w:rsidRPr="00F812D2" w:rsidRDefault="009B451F" w:rsidP="009B451F">
      <w:pPr>
        <w:pBdr>
          <w:bottom w:val="single" w:sz="6" w:space="1" w:color="auto"/>
        </w:pBdr>
        <w:spacing w:line="240" w:lineRule="auto"/>
        <w:rPr>
          <w:szCs w:val="26"/>
        </w:rPr>
      </w:pPr>
    </w:p>
    <w:p w14:paraId="095DE66F" w14:textId="77777777" w:rsidR="009B451F" w:rsidRPr="00F812D2" w:rsidRDefault="009B451F" w:rsidP="009B451F">
      <w:pPr>
        <w:spacing w:line="240" w:lineRule="auto"/>
        <w:rPr>
          <w:szCs w:val="26"/>
        </w:rPr>
      </w:pPr>
    </w:p>
    <w:p w14:paraId="725DECB7" w14:textId="66DFDBE5" w:rsidR="009B451F" w:rsidRPr="00F812D2" w:rsidRDefault="00D048A9" w:rsidP="005D3256">
      <w:pPr>
        <w:spacing w:line="240" w:lineRule="auto"/>
        <w:ind w:left="720" w:right="720"/>
        <w:jc w:val="center"/>
        <w:rPr>
          <w:b/>
          <w:szCs w:val="26"/>
        </w:rPr>
      </w:pPr>
      <w:bookmarkStart w:id="0" w:name="author3"/>
      <w:bookmarkEnd w:id="0"/>
      <w:r w:rsidRPr="00F812D2">
        <w:rPr>
          <w:b/>
          <w:szCs w:val="26"/>
        </w:rPr>
        <w:t>DEFENDANT’S</w:t>
      </w:r>
      <w:r w:rsidR="009B451F" w:rsidRPr="00F812D2">
        <w:rPr>
          <w:b/>
          <w:szCs w:val="26"/>
        </w:rPr>
        <w:t xml:space="preserve"> MOTION TO DISMISS </w:t>
      </w:r>
      <w:r w:rsidR="00FA350A">
        <w:rPr>
          <w:b/>
          <w:szCs w:val="26"/>
        </w:rPr>
        <w:t>FOR</w:t>
      </w:r>
      <w:r w:rsidR="005D3256" w:rsidRPr="00F812D2">
        <w:rPr>
          <w:b/>
          <w:szCs w:val="26"/>
        </w:rPr>
        <w:t xml:space="preserve"> STAND YOUR GROUND IMMUNITY</w:t>
      </w:r>
    </w:p>
    <w:p w14:paraId="184F11C2" w14:textId="77777777" w:rsidR="009B451F" w:rsidRPr="00F812D2" w:rsidRDefault="009B451F" w:rsidP="009B451F">
      <w:pPr>
        <w:pBdr>
          <w:bottom w:val="single" w:sz="6" w:space="1" w:color="auto"/>
        </w:pBdr>
        <w:spacing w:line="240" w:lineRule="auto"/>
        <w:jc w:val="center"/>
        <w:rPr>
          <w:szCs w:val="26"/>
        </w:rPr>
      </w:pPr>
    </w:p>
    <w:p w14:paraId="2C68FAE5" w14:textId="77777777" w:rsidR="009B451F" w:rsidRPr="00F812D2" w:rsidRDefault="009B451F" w:rsidP="009B451F">
      <w:pPr>
        <w:spacing w:line="240" w:lineRule="auto"/>
        <w:jc w:val="center"/>
        <w:rPr>
          <w:szCs w:val="26"/>
        </w:rPr>
      </w:pPr>
    </w:p>
    <w:p w14:paraId="4FAD0E5B" w14:textId="77777777" w:rsidR="00616FDE" w:rsidRDefault="00616FDE" w:rsidP="007B2A5E">
      <w:pPr>
        <w:pStyle w:val="Heading1"/>
        <w:sectPr w:rsidR="00616FDE" w:rsidSect="009B451F">
          <w:footerReference w:type="even" r:id="rId8"/>
          <w:footerReference w:type="first" r:id="rId9"/>
          <w:pgSz w:w="12240" w:h="15840"/>
          <w:pgMar w:top="1440" w:right="1440" w:bottom="1440" w:left="1440" w:header="288" w:footer="360" w:gutter="0"/>
          <w:cols w:space="720"/>
          <w:docGrid w:linePitch="360"/>
        </w:sectPr>
      </w:pPr>
      <w:bookmarkStart w:id="1" w:name="_Toc308947114"/>
      <w:bookmarkStart w:id="2" w:name="_Toc308947140"/>
      <w:bookmarkStart w:id="3" w:name="_Toc308947443"/>
      <w:bookmarkStart w:id="4" w:name="_Toc308948350"/>
      <w:bookmarkStart w:id="5" w:name="_Toc308955621"/>
      <w:bookmarkStart w:id="6" w:name="_Toc308955929"/>
      <w:bookmarkStart w:id="7" w:name="_Toc308956088"/>
      <w:bookmarkStart w:id="8" w:name="_Toc308956562"/>
      <w:bookmarkStart w:id="9" w:name="_Toc308956589"/>
      <w:bookmarkStart w:id="10" w:name="_Toc308956764"/>
      <w:bookmarkStart w:id="11" w:name="_Toc308957131"/>
      <w:bookmarkStart w:id="12" w:name="_Toc308957343"/>
      <w:bookmarkStart w:id="13" w:name="_Toc308957433"/>
      <w:bookmarkStart w:id="14" w:name="_Toc308958487"/>
      <w:bookmarkStart w:id="15" w:name="_Toc314844564"/>
      <w:bookmarkStart w:id="16" w:name="_Toc320948157"/>
      <w:bookmarkStart w:id="17" w:name="_Toc320950712"/>
      <w:bookmarkStart w:id="18" w:name="_Toc320950738"/>
      <w:bookmarkStart w:id="19" w:name="_Toc320950805"/>
      <w:bookmarkStart w:id="20" w:name="_Toc324149975"/>
      <w:bookmarkStart w:id="21" w:name="_Toc324150048"/>
      <w:bookmarkStart w:id="22" w:name="_Toc324151425"/>
      <w:bookmarkStart w:id="23" w:name="_Toc324152352"/>
      <w:bookmarkStart w:id="24" w:name="_Toc324152606"/>
      <w:bookmarkStart w:id="25" w:name="_Toc324152712"/>
      <w:bookmarkStart w:id="26" w:name="_Toc324153636"/>
      <w:bookmarkStart w:id="27" w:name="_Toc324159876"/>
      <w:bookmarkStart w:id="28" w:name="_Toc324160215"/>
      <w:bookmarkStart w:id="29" w:name="_Toc324162908"/>
      <w:bookmarkStart w:id="30" w:name="_Toc324162990"/>
      <w:bookmarkStart w:id="31" w:name="_Toc324163202"/>
      <w:bookmarkStart w:id="32" w:name="_Toc324163420"/>
      <w:bookmarkStart w:id="33" w:name="_Toc324163766"/>
      <w:bookmarkStart w:id="34" w:name="_Toc326776748"/>
      <w:bookmarkStart w:id="35" w:name="_Toc43367322"/>
      <w:bookmarkStart w:id="36" w:name="_Toc79363073"/>
      <w:bookmarkStart w:id="37" w:name="_Toc80267742"/>
      <w:bookmarkStart w:id="38" w:name="_Toc80876761"/>
      <w:bookmarkStart w:id="39" w:name="_Toc80878943"/>
      <w:bookmarkStart w:id="40" w:name="_Toc80971756"/>
      <w:bookmarkStart w:id="41" w:name="_Toc81086854"/>
      <w:bookmarkStart w:id="42" w:name="_Toc81167415"/>
      <w:bookmarkStart w:id="43" w:name="_Toc176088918"/>
    </w:p>
    <w:p w14:paraId="2891C1DA" w14:textId="77777777" w:rsidR="00533EFC" w:rsidRPr="00F812D2" w:rsidRDefault="00533EFC" w:rsidP="007B2A5E">
      <w:pPr>
        <w:pStyle w:val="Heading1"/>
      </w:pPr>
      <w:r w:rsidRPr="00F812D2">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DDECA57" w14:textId="34B81CA6" w:rsidR="00136FB8" w:rsidRDefault="00791083" w:rsidP="000A30F2">
      <w:pPr>
        <w:pStyle w:val="TOC1"/>
        <w:rPr>
          <w:rFonts w:asciiTheme="minorHAnsi" w:eastAsiaTheme="minorEastAsia" w:hAnsiTheme="minorHAnsi" w:cstheme="minorBidi"/>
          <w:kern w:val="2"/>
          <w:sz w:val="24"/>
          <w14:ligatures w14:val="standardContextual"/>
        </w:rPr>
      </w:pPr>
      <w:r>
        <w:rPr>
          <w:szCs w:val="26"/>
        </w:rPr>
        <w:fldChar w:fldCharType="begin"/>
      </w:r>
      <w:r>
        <w:rPr>
          <w:szCs w:val="26"/>
        </w:rPr>
        <w:instrText xml:space="preserve"> TOC \o "1-4" \u </w:instrText>
      </w:r>
      <w:r>
        <w:rPr>
          <w:szCs w:val="26"/>
        </w:rPr>
        <w:fldChar w:fldCharType="separate"/>
      </w:r>
      <w:r w:rsidR="00136FB8">
        <w:t>TABLE OF CONTENTS</w:t>
      </w:r>
      <w:r w:rsidR="00136FB8">
        <w:tab/>
      </w:r>
      <w:r w:rsidR="00136FB8">
        <w:fldChar w:fldCharType="begin"/>
      </w:r>
      <w:r w:rsidR="00136FB8">
        <w:instrText xml:space="preserve"> PAGEREF _Toc176088918 \h </w:instrText>
      </w:r>
      <w:r w:rsidR="00136FB8">
        <w:fldChar w:fldCharType="separate"/>
      </w:r>
      <w:r w:rsidR="000A30F2">
        <w:t>i</w:t>
      </w:r>
      <w:r w:rsidR="00136FB8">
        <w:fldChar w:fldCharType="end"/>
      </w:r>
    </w:p>
    <w:p w14:paraId="37051604" w14:textId="47D91CE3" w:rsidR="00136FB8" w:rsidRDefault="00136FB8" w:rsidP="000A30F2">
      <w:pPr>
        <w:pStyle w:val="TOC1"/>
        <w:rPr>
          <w:rFonts w:asciiTheme="minorHAnsi" w:eastAsiaTheme="minorEastAsia" w:hAnsiTheme="minorHAnsi" w:cstheme="minorBidi"/>
          <w:kern w:val="2"/>
          <w:sz w:val="24"/>
          <w14:ligatures w14:val="standardContextual"/>
        </w:rPr>
      </w:pPr>
      <w:r>
        <w:t>TABLE OF AUTHORITIES</w:t>
      </w:r>
      <w:r>
        <w:tab/>
      </w:r>
      <w:r>
        <w:fldChar w:fldCharType="begin"/>
      </w:r>
      <w:r>
        <w:instrText xml:space="preserve"> PAGEREF _Toc176088919 \h </w:instrText>
      </w:r>
      <w:r>
        <w:fldChar w:fldCharType="separate"/>
      </w:r>
      <w:r w:rsidR="000A30F2">
        <w:t>ii</w:t>
      </w:r>
      <w:r>
        <w:fldChar w:fldCharType="end"/>
      </w:r>
    </w:p>
    <w:p w14:paraId="592A69F3" w14:textId="083318A1" w:rsidR="00136FB8" w:rsidRDefault="00136FB8" w:rsidP="000A30F2">
      <w:pPr>
        <w:pStyle w:val="TOC1"/>
        <w:rPr>
          <w:rFonts w:asciiTheme="minorHAnsi" w:eastAsiaTheme="minorEastAsia" w:hAnsiTheme="minorHAnsi" w:cstheme="minorBidi"/>
          <w:kern w:val="2"/>
          <w:sz w:val="24"/>
          <w14:ligatures w14:val="standardContextual"/>
        </w:rPr>
      </w:pPr>
      <w:r>
        <w:t>INTRODUCTION</w:t>
      </w:r>
      <w:r>
        <w:tab/>
      </w:r>
      <w:r>
        <w:fldChar w:fldCharType="begin"/>
      </w:r>
      <w:r>
        <w:instrText xml:space="preserve"> PAGEREF _Toc176088920 \h </w:instrText>
      </w:r>
      <w:r>
        <w:fldChar w:fldCharType="separate"/>
      </w:r>
      <w:r w:rsidR="000A30F2">
        <w:t>1</w:t>
      </w:r>
      <w:r>
        <w:fldChar w:fldCharType="end"/>
      </w:r>
    </w:p>
    <w:p w14:paraId="4B2F6897" w14:textId="02D3B0B6" w:rsidR="00136FB8" w:rsidRDefault="00136FB8" w:rsidP="000A30F2">
      <w:pPr>
        <w:pStyle w:val="TOC1"/>
        <w:rPr>
          <w:rFonts w:asciiTheme="minorHAnsi" w:eastAsiaTheme="minorEastAsia" w:hAnsiTheme="minorHAnsi" w:cstheme="minorBidi"/>
          <w:kern w:val="2"/>
          <w:sz w:val="24"/>
          <w14:ligatures w14:val="standardContextual"/>
        </w:rPr>
      </w:pPr>
      <w:r>
        <w:t>STATEMENT OF FACTS</w:t>
      </w:r>
      <w:r>
        <w:tab/>
      </w:r>
      <w:r>
        <w:fldChar w:fldCharType="begin"/>
      </w:r>
      <w:r>
        <w:instrText xml:space="preserve"> PAGEREF _Toc176088921 \h </w:instrText>
      </w:r>
      <w:r>
        <w:fldChar w:fldCharType="separate"/>
      </w:r>
      <w:r w:rsidR="000A30F2">
        <w:t>2</w:t>
      </w:r>
      <w:r>
        <w:fldChar w:fldCharType="end"/>
      </w:r>
    </w:p>
    <w:p w14:paraId="74CC5679" w14:textId="3AB86764" w:rsidR="00136FB8" w:rsidRPr="000A30F2" w:rsidRDefault="00136FB8" w:rsidP="000A30F2">
      <w:pPr>
        <w:pStyle w:val="TOC1"/>
        <w:rPr>
          <w:rFonts w:asciiTheme="minorHAnsi" w:eastAsiaTheme="minorEastAsia" w:hAnsiTheme="minorHAnsi" w:cstheme="minorBidi"/>
          <w:kern w:val="2"/>
          <w:sz w:val="24"/>
          <w14:ligatures w14:val="standardContextual"/>
        </w:rPr>
      </w:pPr>
      <w:r w:rsidRPr="000A30F2">
        <w:t>ARGUMENT</w:t>
      </w:r>
      <w:r w:rsidRPr="000A30F2">
        <w:tab/>
      </w:r>
      <w:r w:rsidRPr="000A30F2">
        <w:fldChar w:fldCharType="begin"/>
      </w:r>
      <w:r w:rsidRPr="000A30F2">
        <w:instrText xml:space="preserve"> PAGEREF _Toc176088922 \h </w:instrText>
      </w:r>
      <w:r w:rsidRPr="000A30F2">
        <w:fldChar w:fldCharType="separate"/>
      </w:r>
      <w:r w:rsidR="000A30F2">
        <w:t>5</w:t>
      </w:r>
      <w:r w:rsidRPr="000A30F2">
        <w:fldChar w:fldCharType="end"/>
      </w:r>
    </w:p>
    <w:p w14:paraId="5E1E5631" w14:textId="2D2F8726" w:rsidR="00136FB8" w:rsidRPr="00136FB8" w:rsidRDefault="00136FB8" w:rsidP="009143AD">
      <w:pPr>
        <w:pStyle w:val="TOC2"/>
        <w:tabs>
          <w:tab w:val="left" w:pos="780"/>
          <w:tab w:val="right" w:leader="dot" w:pos="9350"/>
        </w:tabs>
        <w:spacing w:line="240" w:lineRule="auto"/>
        <w:ind w:left="720" w:right="720" w:hanging="720"/>
        <w:rPr>
          <w:rFonts w:asciiTheme="minorHAnsi" w:eastAsiaTheme="minorEastAsia" w:hAnsiTheme="minorHAnsi" w:cstheme="minorBidi"/>
          <w:b/>
          <w:bCs/>
          <w:noProof/>
          <w:kern w:val="2"/>
          <w:sz w:val="24"/>
          <w14:ligatures w14:val="standardContextual"/>
        </w:rPr>
      </w:pPr>
      <w:r w:rsidRPr="00136FB8">
        <w:rPr>
          <w:b/>
          <w:bCs/>
          <w:noProof/>
        </w:rPr>
        <w:t>I.</w:t>
      </w:r>
      <w:r w:rsidRPr="00136FB8">
        <w:rPr>
          <w:rFonts w:asciiTheme="minorHAnsi" w:eastAsiaTheme="minorEastAsia" w:hAnsiTheme="minorHAnsi" w:cstheme="minorBidi"/>
          <w:b/>
          <w:bCs/>
          <w:noProof/>
          <w:kern w:val="2"/>
          <w:sz w:val="24"/>
          <w14:ligatures w14:val="standardContextual"/>
        </w:rPr>
        <w:tab/>
      </w:r>
      <w:r w:rsidRPr="00136FB8">
        <w:rPr>
          <w:b/>
          <w:bCs/>
          <w:noProof/>
        </w:rPr>
        <w:t>Jay Cameron was not engaged in criminal activity under Stetson Penal Code § 776.012 by carrying a gun on his person.</w:t>
      </w:r>
      <w:r w:rsidRPr="00136FB8">
        <w:rPr>
          <w:b/>
          <w:bCs/>
          <w:noProof/>
        </w:rPr>
        <w:tab/>
      </w:r>
      <w:r w:rsidRPr="00136FB8">
        <w:rPr>
          <w:b/>
          <w:bCs/>
          <w:noProof/>
        </w:rPr>
        <w:fldChar w:fldCharType="begin"/>
      </w:r>
      <w:r w:rsidRPr="00136FB8">
        <w:rPr>
          <w:b/>
          <w:bCs/>
          <w:noProof/>
        </w:rPr>
        <w:instrText xml:space="preserve"> PAGEREF _Toc176088923 \h </w:instrText>
      </w:r>
      <w:r w:rsidRPr="00136FB8">
        <w:rPr>
          <w:b/>
          <w:bCs/>
          <w:noProof/>
        </w:rPr>
      </w:r>
      <w:r w:rsidRPr="00136FB8">
        <w:rPr>
          <w:b/>
          <w:bCs/>
          <w:noProof/>
        </w:rPr>
        <w:fldChar w:fldCharType="separate"/>
      </w:r>
      <w:r w:rsidR="000A30F2">
        <w:rPr>
          <w:b/>
          <w:bCs/>
          <w:noProof/>
        </w:rPr>
        <w:t>5</w:t>
      </w:r>
      <w:r w:rsidRPr="00136FB8">
        <w:rPr>
          <w:b/>
          <w:bCs/>
          <w:noProof/>
        </w:rPr>
        <w:fldChar w:fldCharType="end"/>
      </w:r>
    </w:p>
    <w:p w14:paraId="4CDD87EB" w14:textId="79AB7EB1" w:rsidR="00136FB8" w:rsidRPr="006E0891" w:rsidRDefault="00136FB8" w:rsidP="009143AD">
      <w:pPr>
        <w:pStyle w:val="TOC3"/>
        <w:tabs>
          <w:tab w:val="left" w:pos="1170"/>
          <w:tab w:val="left" w:pos="1200"/>
          <w:tab w:val="right" w:leader="dot" w:pos="9350"/>
        </w:tabs>
        <w:spacing w:line="240" w:lineRule="auto"/>
        <w:ind w:left="1440" w:right="720" w:hanging="720"/>
        <w:rPr>
          <w:rFonts w:asciiTheme="minorHAnsi" w:eastAsiaTheme="minorEastAsia" w:hAnsiTheme="minorHAnsi" w:cstheme="minorBidi"/>
          <w:noProof/>
          <w:kern w:val="2"/>
          <w:sz w:val="24"/>
          <w14:ligatures w14:val="standardContextual"/>
        </w:rPr>
      </w:pPr>
      <w:r w:rsidRPr="006E0891">
        <w:rPr>
          <w:noProof/>
        </w:rPr>
        <w:t>A.</w:t>
      </w:r>
      <w:r w:rsidRPr="006E0891">
        <w:rPr>
          <w:rFonts w:asciiTheme="minorHAnsi" w:eastAsiaTheme="minorEastAsia" w:hAnsiTheme="minorHAnsi" w:cstheme="minorBidi"/>
          <w:noProof/>
          <w:kern w:val="2"/>
          <w:sz w:val="24"/>
          <w14:ligatures w14:val="standardContextual"/>
        </w:rPr>
        <w:tab/>
      </w:r>
      <w:r w:rsidRPr="006E0891">
        <w:rPr>
          <w:noProof/>
        </w:rPr>
        <w:t>The existence of Mr. Cameron’s weapon was not concealed to the ordinary sight or knowledge of another person</w:t>
      </w:r>
      <w:r w:rsidRPr="006E0891">
        <w:rPr>
          <w:noProof/>
        </w:rPr>
        <w:tab/>
      </w:r>
      <w:r w:rsidRPr="006E0891">
        <w:rPr>
          <w:noProof/>
        </w:rPr>
        <w:fldChar w:fldCharType="begin"/>
      </w:r>
      <w:r w:rsidRPr="006E0891">
        <w:rPr>
          <w:noProof/>
        </w:rPr>
        <w:instrText xml:space="preserve"> PAGEREF _Toc176088924 \h </w:instrText>
      </w:r>
      <w:r w:rsidRPr="006E0891">
        <w:rPr>
          <w:noProof/>
        </w:rPr>
      </w:r>
      <w:r w:rsidRPr="006E0891">
        <w:rPr>
          <w:noProof/>
        </w:rPr>
        <w:fldChar w:fldCharType="separate"/>
      </w:r>
      <w:r w:rsidR="000A30F2">
        <w:rPr>
          <w:noProof/>
        </w:rPr>
        <w:t>6</w:t>
      </w:r>
      <w:r w:rsidRPr="006E0891">
        <w:rPr>
          <w:noProof/>
        </w:rPr>
        <w:fldChar w:fldCharType="end"/>
      </w:r>
    </w:p>
    <w:p w14:paraId="69B40E59" w14:textId="792903EB" w:rsidR="00136FB8" w:rsidRPr="006E0891" w:rsidRDefault="00136FB8" w:rsidP="009143AD">
      <w:pPr>
        <w:pStyle w:val="TOC3"/>
        <w:tabs>
          <w:tab w:val="left" w:pos="1200"/>
          <w:tab w:val="right" w:leader="dot" w:pos="9350"/>
        </w:tabs>
        <w:spacing w:line="240" w:lineRule="auto"/>
        <w:ind w:left="1440" w:right="720" w:hanging="720"/>
        <w:rPr>
          <w:rFonts w:asciiTheme="minorHAnsi" w:eastAsiaTheme="minorEastAsia" w:hAnsiTheme="minorHAnsi" w:cstheme="minorBidi"/>
          <w:noProof/>
          <w:kern w:val="2"/>
          <w:sz w:val="24"/>
          <w14:ligatures w14:val="standardContextual"/>
        </w:rPr>
      </w:pPr>
      <w:r w:rsidRPr="006E0891">
        <w:rPr>
          <w:noProof/>
          <w:color w:val="000000" w:themeColor="text1"/>
        </w:rPr>
        <w:t>B.</w:t>
      </w:r>
      <w:r w:rsidRPr="006E0891">
        <w:rPr>
          <w:rFonts w:asciiTheme="minorHAnsi" w:eastAsiaTheme="minorEastAsia" w:hAnsiTheme="minorHAnsi" w:cstheme="minorBidi"/>
          <w:noProof/>
          <w:kern w:val="2"/>
          <w:sz w:val="24"/>
          <w14:ligatures w14:val="standardContextual"/>
        </w:rPr>
        <w:tab/>
      </w:r>
      <w:r w:rsidRPr="006E0891">
        <w:rPr>
          <w:noProof/>
        </w:rPr>
        <w:t>The vague statutory language fails to establish carrying a weapon is “unlawful activity.”</w:t>
      </w:r>
      <w:r w:rsidRPr="006E0891">
        <w:rPr>
          <w:noProof/>
        </w:rPr>
        <w:tab/>
      </w:r>
      <w:r w:rsidRPr="006E0891">
        <w:rPr>
          <w:noProof/>
        </w:rPr>
        <w:fldChar w:fldCharType="begin"/>
      </w:r>
      <w:r w:rsidRPr="006E0891">
        <w:rPr>
          <w:noProof/>
        </w:rPr>
        <w:instrText xml:space="preserve"> PAGEREF _Toc176088925 \h </w:instrText>
      </w:r>
      <w:r w:rsidRPr="006E0891">
        <w:rPr>
          <w:noProof/>
        </w:rPr>
      </w:r>
      <w:r w:rsidRPr="006E0891">
        <w:rPr>
          <w:noProof/>
        </w:rPr>
        <w:fldChar w:fldCharType="separate"/>
      </w:r>
      <w:r w:rsidR="000A30F2">
        <w:rPr>
          <w:noProof/>
        </w:rPr>
        <w:t>7</w:t>
      </w:r>
      <w:r w:rsidRPr="006E0891">
        <w:rPr>
          <w:noProof/>
        </w:rPr>
        <w:fldChar w:fldCharType="end"/>
      </w:r>
    </w:p>
    <w:p w14:paraId="3B974D37" w14:textId="48FED1F1" w:rsidR="00136FB8" w:rsidRPr="00670C54" w:rsidRDefault="00136FB8" w:rsidP="009143AD">
      <w:pPr>
        <w:pStyle w:val="TOC3"/>
        <w:tabs>
          <w:tab w:val="left" w:pos="1200"/>
          <w:tab w:val="right" w:leader="dot" w:pos="9350"/>
        </w:tabs>
        <w:spacing w:line="240" w:lineRule="auto"/>
        <w:ind w:left="1440" w:right="720" w:hanging="720"/>
        <w:rPr>
          <w:rFonts w:asciiTheme="minorHAnsi" w:eastAsiaTheme="minorEastAsia" w:hAnsiTheme="minorHAnsi" w:cstheme="minorBidi"/>
          <w:noProof/>
          <w:kern w:val="2"/>
          <w:sz w:val="24"/>
          <w14:ligatures w14:val="standardContextual"/>
        </w:rPr>
      </w:pPr>
      <w:r w:rsidRPr="006E0891">
        <w:rPr>
          <w:noProof/>
        </w:rPr>
        <w:t>C.</w:t>
      </w:r>
      <w:r w:rsidRPr="006E0891">
        <w:rPr>
          <w:rFonts w:asciiTheme="minorHAnsi" w:eastAsiaTheme="minorEastAsia" w:hAnsiTheme="minorHAnsi" w:cstheme="minorBidi"/>
          <w:noProof/>
          <w:kern w:val="2"/>
          <w:sz w:val="24"/>
          <w14:ligatures w14:val="standardContextual"/>
        </w:rPr>
        <w:tab/>
      </w:r>
      <w:r w:rsidRPr="006E0891">
        <w:rPr>
          <w:noProof/>
        </w:rPr>
        <w:t>Even if Jay Cameron was engaged in unlawful concealed carry, he is not precluded fr</w:t>
      </w:r>
      <w:r w:rsidRPr="00670C54">
        <w:rPr>
          <w:noProof/>
        </w:rPr>
        <w:t>om Stand Your Ground Immunity.</w:t>
      </w:r>
      <w:r w:rsidRPr="00670C54">
        <w:rPr>
          <w:noProof/>
        </w:rPr>
        <w:tab/>
      </w:r>
      <w:r w:rsidRPr="00670C54">
        <w:rPr>
          <w:noProof/>
        </w:rPr>
        <w:fldChar w:fldCharType="begin"/>
      </w:r>
      <w:r w:rsidRPr="00670C54">
        <w:rPr>
          <w:noProof/>
        </w:rPr>
        <w:instrText xml:space="preserve"> PAGEREF _Toc176088926 \h </w:instrText>
      </w:r>
      <w:r w:rsidRPr="00670C54">
        <w:rPr>
          <w:noProof/>
        </w:rPr>
      </w:r>
      <w:r w:rsidRPr="00670C54">
        <w:rPr>
          <w:noProof/>
        </w:rPr>
        <w:fldChar w:fldCharType="separate"/>
      </w:r>
      <w:r w:rsidR="000A30F2">
        <w:rPr>
          <w:noProof/>
        </w:rPr>
        <w:t>9</w:t>
      </w:r>
      <w:r w:rsidRPr="00670C54">
        <w:rPr>
          <w:noProof/>
        </w:rPr>
        <w:fldChar w:fldCharType="end"/>
      </w:r>
    </w:p>
    <w:p w14:paraId="367A0B80" w14:textId="1DACDBFF" w:rsidR="00136FB8" w:rsidRPr="00136FB8" w:rsidRDefault="00136FB8" w:rsidP="009143AD">
      <w:pPr>
        <w:pStyle w:val="TOC2"/>
        <w:tabs>
          <w:tab w:val="left" w:pos="780"/>
          <w:tab w:val="right" w:leader="dot" w:pos="9350"/>
        </w:tabs>
        <w:spacing w:line="240" w:lineRule="auto"/>
        <w:ind w:left="720" w:right="720" w:hanging="720"/>
        <w:rPr>
          <w:rFonts w:asciiTheme="minorHAnsi" w:eastAsiaTheme="minorEastAsia" w:hAnsiTheme="minorHAnsi" w:cstheme="minorBidi"/>
          <w:b/>
          <w:bCs/>
          <w:noProof/>
          <w:kern w:val="2"/>
          <w:sz w:val="24"/>
          <w14:ligatures w14:val="standardContextual"/>
        </w:rPr>
      </w:pPr>
      <w:r w:rsidRPr="00136FB8">
        <w:rPr>
          <w:b/>
          <w:bCs/>
          <w:noProof/>
        </w:rPr>
        <w:t>II.</w:t>
      </w:r>
      <w:r w:rsidRPr="00136FB8">
        <w:rPr>
          <w:rFonts w:asciiTheme="minorHAnsi" w:eastAsiaTheme="minorEastAsia" w:hAnsiTheme="minorHAnsi" w:cstheme="minorBidi"/>
          <w:b/>
          <w:bCs/>
          <w:noProof/>
          <w:kern w:val="2"/>
          <w:sz w:val="24"/>
          <w14:ligatures w14:val="standardContextual"/>
        </w:rPr>
        <w:tab/>
      </w:r>
      <w:r w:rsidRPr="00136FB8">
        <w:rPr>
          <w:b/>
          <w:bCs/>
          <w:noProof/>
        </w:rPr>
        <w:t>Jay Cameron has qualified Stand Your Ground immunity under Stetson Penal Code section 776.012 because he was not the aggressor in the August 6, 2022 shooting.</w:t>
      </w:r>
      <w:r w:rsidRPr="00136FB8">
        <w:rPr>
          <w:b/>
          <w:bCs/>
          <w:noProof/>
        </w:rPr>
        <w:tab/>
      </w:r>
      <w:r w:rsidRPr="00136FB8">
        <w:rPr>
          <w:b/>
          <w:bCs/>
          <w:noProof/>
        </w:rPr>
        <w:fldChar w:fldCharType="begin"/>
      </w:r>
      <w:r w:rsidRPr="00136FB8">
        <w:rPr>
          <w:b/>
          <w:bCs/>
          <w:noProof/>
        </w:rPr>
        <w:instrText xml:space="preserve"> PAGEREF _Toc176088927 \h </w:instrText>
      </w:r>
      <w:r w:rsidRPr="00136FB8">
        <w:rPr>
          <w:b/>
          <w:bCs/>
          <w:noProof/>
        </w:rPr>
      </w:r>
      <w:r w:rsidRPr="00136FB8">
        <w:rPr>
          <w:b/>
          <w:bCs/>
          <w:noProof/>
        </w:rPr>
        <w:fldChar w:fldCharType="separate"/>
      </w:r>
      <w:r w:rsidR="000A30F2">
        <w:rPr>
          <w:b/>
          <w:bCs/>
          <w:noProof/>
        </w:rPr>
        <w:t>10</w:t>
      </w:r>
      <w:r w:rsidRPr="00136FB8">
        <w:rPr>
          <w:b/>
          <w:bCs/>
          <w:noProof/>
        </w:rPr>
        <w:fldChar w:fldCharType="end"/>
      </w:r>
    </w:p>
    <w:p w14:paraId="03180326" w14:textId="5E0BB8AB" w:rsidR="00136FB8" w:rsidRPr="006E0891" w:rsidRDefault="00136FB8" w:rsidP="009143AD">
      <w:pPr>
        <w:pStyle w:val="TOC3"/>
        <w:tabs>
          <w:tab w:val="left" w:pos="1200"/>
          <w:tab w:val="right" w:leader="dot" w:pos="9350"/>
        </w:tabs>
        <w:spacing w:line="240" w:lineRule="auto"/>
        <w:ind w:left="1440" w:right="720" w:hanging="720"/>
        <w:rPr>
          <w:rFonts w:asciiTheme="minorHAnsi" w:eastAsiaTheme="minorEastAsia" w:hAnsiTheme="minorHAnsi" w:cstheme="minorBidi"/>
          <w:noProof/>
          <w:kern w:val="2"/>
          <w:sz w:val="24"/>
          <w14:ligatures w14:val="standardContextual"/>
        </w:rPr>
      </w:pPr>
      <w:r w:rsidRPr="006E0891">
        <w:rPr>
          <w:noProof/>
        </w:rPr>
        <w:t>A.</w:t>
      </w:r>
      <w:r w:rsidRPr="006E0891">
        <w:rPr>
          <w:rFonts w:asciiTheme="minorHAnsi" w:eastAsiaTheme="minorEastAsia" w:hAnsiTheme="minorHAnsi" w:cstheme="minorBidi"/>
          <w:noProof/>
          <w:kern w:val="2"/>
          <w:sz w:val="24"/>
          <w14:ligatures w14:val="standardContextual"/>
        </w:rPr>
        <w:tab/>
      </w:r>
      <w:r w:rsidRPr="006E0891">
        <w:rPr>
          <w:noProof/>
        </w:rPr>
        <w:t>Jay Cameron’s actions do not qualify him as the initial aggressor under Stetson Penal Code § 776.012.</w:t>
      </w:r>
      <w:r w:rsidRPr="006E0891">
        <w:rPr>
          <w:noProof/>
        </w:rPr>
        <w:tab/>
      </w:r>
      <w:r w:rsidRPr="006E0891">
        <w:rPr>
          <w:noProof/>
        </w:rPr>
        <w:fldChar w:fldCharType="begin"/>
      </w:r>
      <w:r w:rsidRPr="006E0891">
        <w:rPr>
          <w:noProof/>
        </w:rPr>
        <w:instrText xml:space="preserve"> PAGEREF _Toc176088928 \h </w:instrText>
      </w:r>
      <w:r w:rsidRPr="006E0891">
        <w:rPr>
          <w:noProof/>
        </w:rPr>
      </w:r>
      <w:r w:rsidRPr="006E0891">
        <w:rPr>
          <w:noProof/>
        </w:rPr>
        <w:fldChar w:fldCharType="separate"/>
      </w:r>
      <w:r w:rsidR="000A30F2">
        <w:rPr>
          <w:noProof/>
        </w:rPr>
        <w:t>11</w:t>
      </w:r>
      <w:r w:rsidRPr="006E0891">
        <w:rPr>
          <w:noProof/>
        </w:rPr>
        <w:fldChar w:fldCharType="end"/>
      </w:r>
    </w:p>
    <w:p w14:paraId="4B3D6D85" w14:textId="740A9D97" w:rsidR="00136FB8" w:rsidRPr="006E0891" w:rsidRDefault="00136FB8" w:rsidP="009143AD">
      <w:pPr>
        <w:pStyle w:val="TOC3"/>
        <w:tabs>
          <w:tab w:val="left" w:pos="1200"/>
          <w:tab w:val="right" w:leader="dot" w:pos="9350"/>
        </w:tabs>
        <w:spacing w:line="240" w:lineRule="auto"/>
        <w:ind w:left="1440" w:right="720" w:hanging="720"/>
        <w:rPr>
          <w:rFonts w:asciiTheme="minorHAnsi" w:eastAsiaTheme="minorEastAsia" w:hAnsiTheme="minorHAnsi" w:cstheme="minorBidi"/>
          <w:noProof/>
          <w:kern w:val="2"/>
          <w:sz w:val="24"/>
          <w14:ligatures w14:val="standardContextual"/>
        </w:rPr>
      </w:pPr>
      <w:r w:rsidRPr="006E0891">
        <w:rPr>
          <w:noProof/>
        </w:rPr>
        <w:t>B.</w:t>
      </w:r>
      <w:r w:rsidRPr="006E0891">
        <w:rPr>
          <w:rFonts w:asciiTheme="minorHAnsi" w:eastAsiaTheme="minorEastAsia" w:hAnsiTheme="minorHAnsi" w:cstheme="minorBidi"/>
          <w:noProof/>
          <w:kern w:val="2"/>
          <w:sz w:val="24"/>
          <w14:ligatures w14:val="standardContextual"/>
        </w:rPr>
        <w:tab/>
      </w:r>
      <w:r w:rsidRPr="006E0891">
        <w:rPr>
          <w:noProof/>
        </w:rPr>
        <w:t>Even if Jay Cameron was the initial aggressor, he falls under the exceptions of Stetson Penal Code section 776.041(2).</w:t>
      </w:r>
      <w:r w:rsidRPr="006E0891">
        <w:rPr>
          <w:noProof/>
        </w:rPr>
        <w:tab/>
      </w:r>
      <w:r w:rsidRPr="006E0891">
        <w:rPr>
          <w:noProof/>
        </w:rPr>
        <w:fldChar w:fldCharType="begin"/>
      </w:r>
      <w:r w:rsidRPr="006E0891">
        <w:rPr>
          <w:noProof/>
        </w:rPr>
        <w:instrText xml:space="preserve"> PAGEREF _Toc176088929 \h </w:instrText>
      </w:r>
      <w:r w:rsidRPr="006E0891">
        <w:rPr>
          <w:noProof/>
        </w:rPr>
      </w:r>
      <w:r w:rsidRPr="006E0891">
        <w:rPr>
          <w:noProof/>
        </w:rPr>
        <w:fldChar w:fldCharType="separate"/>
      </w:r>
      <w:r w:rsidR="000A30F2">
        <w:rPr>
          <w:noProof/>
        </w:rPr>
        <w:t>13</w:t>
      </w:r>
      <w:r w:rsidRPr="006E0891">
        <w:rPr>
          <w:noProof/>
        </w:rPr>
        <w:fldChar w:fldCharType="end"/>
      </w:r>
    </w:p>
    <w:p w14:paraId="0E9F6150" w14:textId="51FD59F9" w:rsidR="00136FB8" w:rsidRPr="006E0891" w:rsidRDefault="00136FB8" w:rsidP="009143AD">
      <w:pPr>
        <w:pStyle w:val="TOC4"/>
        <w:tabs>
          <w:tab w:val="left" w:pos="1440"/>
          <w:tab w:val="left" w:pos="1530"/>
          <w:tab w:val="right" w:leader="dot" w:pos="9350"/>
        </w:tabs>
        <w:spacing w:line="240" w:lineRule="auto"/>
        <w:ind w:left="2160" w:right="720" w:hanging="720"/>
        <w:rPr>
          <w:rFonts w:asciiTheme="minorHAnsi" w:eastAsiaTheme="minorEastAsia" w:hAnsiTheme="minorHAnsi" w:cstheme="minorBidi"/>
          <w:noProof/>
          <w:kern w:val="2"/>
          <w:sz w:val="24"/>
          <w14:ligatures w14:val="standardContextual"/>
        </w:rPr>
      </w:pPr>
      <w:r w:rsidRPr="006E0891">
        <w:rPr>
          <w:noProof/>
        </w:rPr>
        <w:t>i.</w:t>
      </w:r>
      <w:r w:rsidRPr="006E0891">
        <w:rPr>
          <w:rFonts w:asciiTheme="minorHAnsi" w:eastAsiaTheme="minorEastAsia" w:hAnsiTheme="minorHAnsi" w:cstheme="minorBidi"/>
          <w:noProof/>
          <w:kern w:val="2"/>
          <w:sz w:val="24"/>
          <w14:ligatures w14:val="standardContextual"/>
        </w:rPr>
        <w:tab/>
      </w:r>
      <w:r w:rsidRPr="006E0891">
        <w:rPr>
          <w:noProof/>
        </w:rPr>
        <w:t>Jay Cameron qualifies for Stand Your Ground Immunity under § 776.041(2)(a).</w:t>
      </w:r>
      <w:r w:rsidRPr="006E0891">
        <w:rPr>
          <w:noProof/>
        </w:rPr>
        <w:tab/>
      </w:r>
      <w:r w:rsidRPr="006E0891">
        <w:rPr>
          <w:noProof/>
        </w:rPr>
        <w:fldChar w:fldCharType="begin"/>
      </w:r>
      <w:r w:rsidRPr="006E0891">
        <w:rPr>
          <w:noProof/>
        </w:rPr>
        <w:instrText xml:space="preserve"> PAGEREF _Toc176088930 \h </w:instrText>
      </w:r>
      <w:r w:rsidRPr="006E0891">
        <w:rPr>
          <w:noProof/>
        </w:rPr>
      </w:r>
      <w:r w:rsidRPr="006E0891">
        <w:rPr>
          <w:noProof/>
        </w:rPr>
        <w:fldChar w:fldCharType="separate"/>
      </w:r>
      <w:r w:rsidR="000A30F2">
        <w:rPr>
          <w:noProof/>
        </w:rPr>
        <w:t>13</w:t>
      </w:r>
      <w:r w:rsidRPr="006E0891">
        <w:rPr>
          <w:noProof/>
        </w:rPr>
        <w:fldChar w:fldCharType="end"/>
      </w:r>
    </w:p>
    <w:p w14:paraId="1364E3F3" w14:textId="430A574E" w:rsidR="00136FB8" w:rsidRPr="009143AD" w:rsidRDefault="00136FB8" w:rsidP="009143AD">
      <w:pPr>
        <w:pStyle w:val="TOC4"/>
        <w:tabs>
          <w:tab w:val="left" w:pos="1440"/>
          <w:tab w:val="right" w:leader="dot" w:pos="9350"/>
        </w:tabs>
        <w:spacing w:line="240" w:lineRule="auto"/>
        <w:ind w:left="2160" w:right="720" w:hanging="720"/>
        <w:rPr>
          <w:rFonts w:asciiTheme="minorHAnsi" w:eastAsiaTheme="minorEastAsia" w:hAnsiTheme="minorHAnsi" w:cstheme="minorBidi"/>
          <w:noProof/>
          <w:kern w:val="2"/>
          <w:sz w:val="24"/>
          <w14:ligatures w14:val="standardContextual"/>
        </w:rPr>
      </w:pPr>
      <w:r w:rsidRPr="006E0891">
        <w:rPr>
          <w:noProof/>
        </w:rPr>
        <w:t>ii.</w:t>
      </w:r>
      <w:r w:rsidRPr="006E0891">
        <w:rPr>
          <w:rFonts w:asciiTheme="minorHAnsi" w:eastAsiaTheme="minorEastAsia" w:hAnsiTheme="minorHAnsi" w:cstheme="minorBidi"/>
          <w:noProof/>
          <w:kern w:val="2"/>
          <w:sz w:val="24"/>
          <w14:ligatures w14:val="standardContextual"/>
        </w:rPr>
        <w:tab/>
      </w:r>
      <w:r w:rsidRPr="006E0891">
        <w:rPr>
          <w:noProof/>
        </w:rPr>
        <w:t>Jay Cameron qualifies f</w:t>
      </w:r>
      <w:r w:rsidRPr="009143AD">
        <w:rPr>
          <w:noProof/>
        </w:rPr>
        <w:t>or Stand Your Ground Immunity under section 776.041(2)(b).</w:t>
      </w:r>
      <w:r w:rsidRPr="009143AD">
        <w:rPr>
          <w:noProof/>
        </w:rPr>
        <w:tab/>
      </w:r>
      <w:r w:rsidRPr="009143AD">
        <w:rPr>
          <w:noProof/>
        </w:rPr>
        <w:fldChar w:fldCharType="begin"/>
      </w:r>
      <w:r w:rsidRPr="009143AD">
        <w:rPr>
          <w:noProof/>
        </w:rPr>
        <w:instrText xml:space="preserve"> PAGEREF _Toc176088931 \h </w:instrText>
      </w:r>
      <w:r w:rsidRPr="009143AD">
        <w:rPr>
          <w:noProof/>
        </w:rPr>
      </w:r>
      <w:r w:rsidRPr="009143AD">
        <w:rPr>
          <w:noProof/>
        </w:rPr>
        <w:fldChar w:fldCharType="separate"/>
      </w:r>
      <w:r w:rsidR="000A30F2">
        <w:rPr>
          <w:noProof/>
        </w:rPr>
        <w:t>16</w:t>
      </w:r>
      <w:r w:rsidRPr="009143AD">
        <w:rPr>
          <w:noProof/>
        </w:rPr>
        <w:fldChar w:fldCharType="end"/>
      </w:r>
    </w:p>
    <w:p w14:paraId="2089A95C" w14:textId="4382DBA9" w:rsidR="00136FB8" w:rsidRPr="009143AD" w:rsidRDefault="00136FB8" w:rsidP="000A30F2">
      <w:pPr>
        <w:pStyle w:val="TOC1"/>
        <w:rPr>
          <w:rFonts w:asciiTheme="minorHAnsi" w:eastAsiaTheme="minorEastAsia" w:hAnsiTheme="minorHAnsi" w:cstheme="minorBidi"/>
          <w:kern w:val="2"/>
          <w:sz w:val="24"/>
          <w14:ligatures w14:val="standardContextual"/>
        </w:rPr>
      </w:pPr>
      <w:r w:rsidRPr="009143AD">
        <w:t>CONCLUSION</w:t>
      </w:r>
      <w:r w:rsidRPr="009143AD">
        <w:tab/>
      </w:r>
      <w:r w:rsidRPr="009143AD">
        <w:fldChar w:fldCharType="begin"/>
      </w:r>
      <w:r w:rsidRPr="009143AD">
        <w:instrText xml:space="preserve"> PAGEREF _Toc176088932 \h </w:instrText>
      </w:r>
      <w:r w:rsidRPr="009143AD">
        <w:fldChar w:fldCharType="separate"/>
      </w:r>
      <w:r w:rsidR="000A30F2">
        <w:t>19</w:t>
      </w:r>
      <w:r w:rsidRPr="009143AD">
        <w:fldChar w:fldCharType="end"/>
      </w:r>
    </w:p>
    <w:p w14:paraId="71D9197F" w14:textId="21D36057" w:rsidR="005C6C26" w:rsidRPr="00F812D2" w:rsidRDefault="00791083">
      <w:pPr>
        <w:spacing w:after="160" w:line="259" w:lineRule="auto"/>
        <w:jc w:val="left"/>
        <w:rPr>
          <w:szCs w:val="26"/>
        </w:rPr>
      </w:pPr>
      <w:r>
        <w:rPr>
          <w:szCs w:val="26"/>
        </w:rPr>
        <w:fldChar w:fldCharType="end"/>
      </w:r>
      <w:r w:rsidR="005C6C26" w:rsidRPr="00F812D2">
        <w:rPr>
          <w:szCs w:val="26"/>
        </w:rPr>
        <w:br w:type="page"/>
      </w:r>
    </w:p>
    <w:p w14:paraId="48EE5288" w14:textId="77777777" w:rsidR="00D30497" w:rsidRPr="00F812D2" w:rsidRDefault="00D30497" w:rsidP="00AC55AF">
      <w:pPr>
        <w:pStyle w:val="Heading1"/>
        <w:spacing w:line="276" w:lineRule="auto"/>
      </w:pPr>
      <w:bookmarkStart w:id="44" w:name="_Toc176088919"/>
      <w:r w:rsidRPr="00F812D2">
        <w:lastRenderedPageBreak/>
        <w:t>TABLE OF AUTHORITIES</w:t>
      </w:r>
      <w:bookmarkEnd w:id="44"/>
    </w:p>
    <w:p w14:paraId="44989049" w14:textId="06EF1C7D" w:rsidR="00206AA2" w:rsidRPr="000B5C25" w:rsidRDefault="00952E2B" w:rsidP="00363CCE">
      <w:pPr>
        <w:pStyle w:val="TOAHeading"/>
        <w:tabs>
          <w:tab w:val="right" w:leader="dot" w:pos="9350"/>
        </w:tabs>
        <w:spacing w:line="276" w:lineRule="auto"/>
        <w:rPr>
          <w:rFonts w:ascii="Times New Roman" w:hAnsi="Times New Roman" w:cs="Times New Roman"/>
          <w:noProof/>
        </w:rPr>
      </w:pPr>
      <w:r w:rsidRPr="0003175C">
        <w:rPr>
          <w:rFonts w:ascii="Times New Roman" w:hAnsi="Times New Roman" w:cs="Times New Roman"/>
          <w:sz w:val="26"/>
          <w:szCs w:val="26"/>
        </w:rPr>
        <w:fldChar w:fldCharType="begin"/>
      </w:r>
      <w:r w:rsidRPr="0003175C">
        <w:rPr>
          <w:rFonts w:ascii="Times New Roman" w:hAnsi="Times New Roman" w:cs="Times New Roman"/>
          <w:sz w:val="26"/>
          <w:szCs w:val="26"/>
        </w:rPr>
        <w:instrText xml:space="preserve"> TOA \h \c "1" \p </w:instrText>
      </w:r>
      <w:r w:rsidRPr="0003175C">
        <w:rPr>
          <w:rFonts w:ascii="Times New Roman" w:hAnsi="Times New Roman" w:cs="Times New Roman"/>
          <w:sz w:val="26"/>
          <w:szCs w:val="26"/>
        </w:rPr>
        <w:fldChar w:fldCharType="separate"/>
      </w:r>
      <w:r w:rsidR="00E6229D" w:rsidRPr="0003175C">
        <w:rPr>
          <w:rFonts w:ascii="Times New Roman" w:hAnsi="Times New Roman" w:cs="Times New Roman"/>
          <w:noProof/>
        </w:rPr>
        <w:t>Cases</w:t>
      </w:r>
    </w:p>
    <w:p w14:paraId="403B398F" w14:textId="77777777" w:rsidR="0063499A" w:rsidRDefault="00E6229D" w:rsidP="00363CCE">
      <w:pPr>
        <w:pStyle w:val="TableofAuthorities"/>
        <w:tabs>
          <w:tab w:val="right" w:leader="dot" w:pos="9350"/>
        </w:tabs>
        <w:spacing w:line="276" w:lineRule="auto"/>
        <w:rPr>
          <w:noProof/>
        </w:rPr>
      </w:pPr>
      <w:r w:rsidRPr="0003175C">
        <w:rPr>
          <w:i/>
          <w:noProof/>
        </w:rPr>
        <w:t>District of Columbia v. Heller</w:t>
      </w:r>
      <w:r w:rsidRPr="0003175C">
        <w:rPr>
          <w:noProof/>
        </w:rPr>
        <w:t xml:space="preserve">, </w:t>
      </w:r>
    </w:p>
    <w:p w14:paraId="03800B23" w14:textId="676D336A"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554 U.S. 570 (2008)</w:t>
      </w:r>
      <w:r w:rsidR="00E6229D" w:rsidRPr="0003175C">
        <w:rPr>
          <w:noProof/>
        </w:rPr>
        <w:tab/>
        <w:t>5</w:t>
      </w:r>
    </w:p>
    <w:p w14:paraId="6A96F418" w14:textId="77777777" w:rsidR="00206AA2"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Dorelus v. State</w:t>
      </w:r>
      <w:r w:rsidRPr="0003175C">
        <w:rPr>
          <w:rFonts w:eastAsia="Times New Roman"/>
          <w:noProof/>
          <w:color w:val="000000" w:themeColor="text1"/>
        </w:rPr>
        <w:t xml:space="preserve">, </w:t>
      </w:r>
    </w:p>
    <w:p w14:paraId="6237E4C0" w14:textId="3C1F258B" w:rsidR="00E6229D" w:rsidRPr="0003175C" w:rsidRDefault="00206AA2"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747 So. 2d 368 (Fla. 1999)</w:t>
      </w:r>
      <w:r w:rsidR="00E6229D" w:rsidRPr="0003175C">
        <w:rPr>
          <w:noProof/>
        </w:rPr>
        <w:tab/>
        <w:t>6, 7</w:t>
      </w:r>
    </w:p>
    <w:p w14:paraId="782C838E" w14:textId="77777777" w:rsidR="000B5C25"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Dorsey v. State</w:t>
      </w:r>
      <w:r w:rsidRPr="0003175C">
        <w:rPr>
          <w:rFonts w:eastAsia="Times New Roman"/>
          <w:noProof/>
          <w:color w:val="000000" w:themeColor="text1"/>
        </w:rPr>
        <w:t xml:space="preserve">, </w:t>
      </w:r>
    </w:p>
    <w:p w14:paraId="154F8BF2" w14:textId="5EBFC742" w:rsidR="00E6229D" w:rsidRPr="0003175C" w:rsidRDefault="000B5C25"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74 So.3d 521 (Fla. 4th Dist. App. 2011)</w:t>
      </w:r>
      <w:r w:rsidR="00E6229D" w:rsidRPr="0003175C">
        <w:rPr>
          <w:noProof/>
        </w:rPr>
        <w:tab/>
        <w:t>8</w:t>
      </w:r>
    </w:p>
    <w:p w14:paraId="4A5099AD" w14:textId="77777777" w:rsidR="000B5C25" w:rsidRDefault="00E6229D" w:rsidP="00363CCE">
      <w:pPr>
        <w:pStyle w:val="TableofAuthorities"/>
        <w:tabs>
          <w:tab w:val="right" w:leader="dot" w:pos="9350"/>
        </w:tabs>
        <w:spacing w:line="276" w:lineRule="auto"/>
        <w:rPr>
          <w:noProof/>
        </w:rPr>
      </w:pPr>
      <w:r w:rsidRPr="0003175C">
        <w:rPr>
          <w:i/>
          <w:noProof/>
        </w:rPr>
        <w:t>Freeman v. State,</w:t>
      </w:r>
      <w:r w:rsidRPr="0003175C">
        <w:rPr>
          <w:noProof/>
        </w:rPr>
        <w:t xml:space="preserve"> </w:t>
      </w:r>
    </w:p>
    <w:p w14:paraId="27B86F80" w14:textId="11246FC5"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373 So. 3d 1255 (Fla. Dist. Ct. App. 2023)</w:t>
      </w:r>
      <w:r w:rsidR="00E6229D" w:rsidRPr="0003175C">
        <w:rPr>
          <w:noProof/>
        </w:rPr>
        <w:tab/>
        <w:t>14</w:t>
      </w:r>
    </w:p>
    <w:p w14:paraId="6D1854C2" w14:textId="77777777" w:rsidR="000B5C25" w:rsidRDefault="00E6229D" w:rsidP="00363CCE">
      <w:pPr>
        <w:pStyle w:val="TableofAuthorities"/>
        <w:tabs>
          <w:tab w:val="right" w:leader="dot" w:pos="9350"/>
        </w:tabs>
        <w:spacing w:line="276" w:lineRule="auto"/>
        <w:rPr>
          <w:noProof/>
        </w:rPr>
      </w:pPr>
      <w:r w:rsidRPr="0003175C">
        <w:rPr>
          <w:i/>
          <w:noProof/>
        </w:rPr>
        <w:t>Garcia v. State</w:t>
      </w:r>
      <w:r w:rsidRPr="0003175C">
        <w:rPr>
          <w:noProof/>
        </w:rPr>
        <w:t xml:space="preserve">, </w:t>
      </w:r>
    </w:p>
    <w:p w14:paraId="699A37E5" w14:textId="59787C61"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286 So. 3d 348 (Fla. 2nd Dist. App. 2019)</w:t>
      </w:r>
      <w:r w:rsidR="00E6229D" w:rsidRPr="0003175C">
        <w:rPr>
          <w:noProof/>
        </w:rPr>
        <w:tab/>
        <w:t>5, 10</w:t>
      </w:r>
    </w:p>
    <w:p w14:paraId="3C0821DE" w14:textId="77777777" w:rsidR="000B5C25"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Hill v. State</w:t>
      </w:r>
      <w:r w:rsidRPr="0003175C">
        <w:rPr>
          <w:rFonts w:eastAsia="Times New Roman"/>
          <w:noProof/>
          <w:color w:val="000000" w:themeColor="text1"/>
        </w:rPr>
        <w:t xml:space="preserve">, </w:t>
      </w:r>
    </w:p>
    <w:p w14:paraId="5C5F4772" w14:textId="1F0825FB" w:rsidR="00E6229D" w:rsidRPr="0003175C" w:rsidRDefault="000B5C25"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143 So. 3d 981 (Fla. 4th Dist. App. 2014)</w:t>
      </w:r>
      <w:r w:rsidR="00E6229D" w:rsidRPr="0003175C">
        <w:rPr>
          <w:noProof/>
        </w:rPr>
        <w:tab/>
        <w:t>8, 9</w:t>
      </w:r>
    </w:p>
    <w:p w14:paraId="714253B5" w14:textId="77777777" w:rsidR="000B5C25" w:rsidRDefault="00E6229D" w:rsidP="00363CCE">
      <w:pPr>
        <w:pStyle w:val="TableofAuthorities"/>
        <w:tabs>
          <w:tab w:val="right" w:leader="dot" w:pos="9350"/>
        </w:tabs>
        <w:spacing w:line="276" w:lineRule="auto"/>
        <w:rPr>
          <w:noProof/>
        </w:rPr>
      </w:pPr>
      <w:r w:rsidRPr="0003175C">
        <w:rPr>
          <w:i/>
          <w:noProof/>
        </w:rPr>
        <w:t>Hunter v. State</w:t>
      </w:r>
      <w:r w:rsidRPr="0003175C">
        <w:rPr>
          <w:noProof/>
        </w:rPr>
        <w:t xml:space="preserve">, </w:t>
      </w:r>
    </w:p>
    <w:p w14:paraId="4E44D8E6" w14:textId="1892496E"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687 So. 2d 277 (Fla. Dist. Ct. App. 1997)</w:t>
      </w:r>
      <w:r w:rsidR="00E6229D" w:rsidRPr="0003175C">
        <w:rPr>
          <w:noProof/>
        </w:rPr>
        <w:tab/>
        <w:t>15</w:t>
      </w:r>
    </w:p>
    <w:p w14:paraId="0FEFCAA2" w14:textId="77777777" w:rsidR="000B5C25" w:rsidRDefault="00E6229D" w:rsidP="00363CCE">
      <w:pPr>
        <w:pStyle w:val="TableofAuthorities"/>
        <w:tabs>
          <w:tab w:val="right" w:leader="dot" w:pos="9350"/>
        </w:tabs>
        <w:spacing w:line="276" w:lineRule="auto"/>
        <w:rPr>
          <w:noProof/>
        </w:rPr>
      </w:pPr>
      <w:r w:rsidRPr="0003175C">
        <w:rPr>
          <w:i/>
          <w:iCs/>
          <w:noProof/>
        </w:rPr>
        <w:t>Jefferson v. State</w:t>
      </w:r>
      <w:r w:rsidRPr="0003175C">
        <w:rPr>
          <w:noProof/>
        </w:rPr>
        <w:t xml:space="preserve">, </w:t>
      </w:r>
    </w:p>
    <w:p w14:paraId="4241CC64" w14:textId="7D3D5D13"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264 So. 3d 1019 (Fla. Dist. Ct. App. 2018).</w:t>
      </w:r>
      <w:r w:rsidR="00E6229D" w:rsidRPr="0003175C">
        <w:rPr>
          <w:noProof/>
        </w:rPr>
        <w:tab/>
        <w:t>5</w:t>
      </w:r>
    </w:p>
    <w:p w14:paraId="4D9831BC" w14:textId="77777777" w:rsidR="000B5C25" w:rsidRDefault="00E6229D" w:rsidP="00363CCE">
      <w:pPr>
        <w:pStyle w:val="TableofAuthorities"/>
        <w:tabs>
          <w:tab w:val="right" w:leader="dot" w:pos="9350"/>
        </w:tabs>
        <w:spacing w:line="276" w:lineRule="auto"/>
        <w:rPr>
          <w:noProof/>
        </w:rPr>
      </w:pPr>
      <w:r w:rsidRPr="0003175C">
        <w:rPr>
          <w:i/>
          <w:noProof/>
        </w:rPr>
        <w:t>Jenkins v. State</w:t>
      </w:r>
      <w:r w:rsidRPr="0003175C">
        <w:rPr>
          <w:noProof/>
        </w:rPr>
        <w:t xml:space="preserve">, </w:t>
      </w:r>
    </w:p>
    <w:p w14:paraId="714AF430" w14:textId="62B8CB44"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942 So. 2d 910 (Fla. Dist. Ct. App. 2006)</w:t>
      </w:r>
      <w:r w:rsidR="00E6229D" w:rsidRPr="0003175C">
        <w:rPr>
          <w:noProof/>
        </w:rPr>
        <w:tab/>
        <w:t>15</w:t>
      </w:r>
    </w:p>
    <w:p w14:paraId="480EBBD6" w14:textId="77777777" w:rsidR="000B5C25"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noProof/>
          <w:color w:val="000000" w:themeColor="text1"/>
        </w:rPr>
        <w:t>Jimenez v. State</w:t>
      </w:r>
      <w:r w:rsidRPr="0003175C">
        <w:rPr>
          <w:rFonts w:eastAsia="Times New Roman"/>
          <w:noProof/>
          <w:color w:val="000000" w:themeColor="text1"/>
        </w:rPr>
        <w:t xml:space="preserve">, </w:t>
      </w:r>
    </w:p>
    <w:p w14:paraId="6386C9CD" w14:textId="7848CDFD" w:rsidR="00E6229D" w:rsidRPr="0003175C" w:rsidRDefault="000B5C25"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353 So. 3d 1286 (Fla. 2nd Dist. App. 2023)</w:t>
      </w:r>
      <w:r w:rsidR="00E6229D" w:rsidRPr="0003175C">
        <w:rPr>
          <w:noProof/>
        </w:rPr>
        <w:tab/>
        <w:t>5, 9, 10</w:t>
      </w:r>
    </w:p>
    <w:p w14:paraId="305DAF62" w14:textId="77777777" w:rsidR="000B5C25"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Little v. State</w:t>
      </w:r>
      <w:r w:rsidRPr="0003175C">
        <w:rPr>
          <w:rFonts w:eastAsia="Times New Roman"/>
          <w:noProof/>
          <w:color w:val="000000" w:themeColor="text1"/>
        </w:rPr>
        <w:t xml:space="preserve">, </w:t>
      </w:r>
    </w:p>
    <w:p w14:paraId="44F89AC2" w14:textId="151E0631" w:rsidR="00E6229D" w:rsidRPr="0003175C" w:rsidRDefault="000B5C25"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111 So. 3d 214 (Fla. 2nd Dist. App. 2013)</w:t>
      </w:r>
      <w:r w:rsidR="00E6229D" w:rsidRPr="0003175C">
        <w:rPr>
          <w:noProof/>
        </w:rPr>
        <w:tab/>
        <w:t>8</w:t>
      </w:r>
    </w:p>
    <w:p w14:paraId="23167512" w14:textId="77777777" w:rsidR="000B5C25"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Miles v. State</w:t>
      </w:r>
      <w:r w:rsidRPr="0003175C">
        <w:rPr>
          <w:rFonts w:eastAsia="Times New Roman"/>
          <w:noProof/>
          <w:color w:val="000000" w:themeColor="text1"/>
        </w:rPr>
        <w:t xml:space="preserve">, </w:t>
      </w:r>
    </w:p>
    <w:p w14:paraId="1055E3CA" w14:textId="2F960596" w:rsidR="00E6229D" w:rsidRPr="0003175C" w:rsidRDefault="000B5C25"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162 So. 3d 169 (Fla. 5th Dist. App. 2015)</w:t>
      </w:r>
      <w:r w:rsidR="00E6229D" w:rsidRPr="0003175C">
        <w:rPr>
          <w:noProof/>
        </w:rPr>
        <w:tab/>
        <w:t>8, 9</w:t>
      </w:r>
    </w:p>
    <w:p w14:paraId="0E49A669" w14:textId="77777777" w:rsidR="000B5C25" w:rsidRDefault="00E6229D" w:rsidP="00363CCE">
      <w:pPr>
        <w:pStyle w:val="TableofAuthorities"/>
        <w:tabs>
          <w:tab w:val="right" w:leader="dot" w:pos="9350"/>
        </w:tabs>
        <w:spacing w:line="276" w:lineRule="auto"/>
        <w:rPr>
          <w:noProof/>
        </w:rPr>
      </w:pPr>
      <w:r w:rsidRPr="0003175C">
        <w:rPr>
          <w:i/>
          <w:noProof/>
        </w:rPr>
        <w:t>Mobley v. State</w:t>
      </w:r>
      <w:r w:rsidRPr="0003175C">
        <w:rPr>
          <w:noProof/>
        </w:rPr>
        <w:t xml:space="preserve">, </w:t>
      </w:r>
    </w:p>
    <w:p w14:paraId="4A1071A8" w14:textId="3A81B168"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132 So. 3d 1160 (Fla. 3rd Dist. App. 2014)</w:t>
      </w:r>
      <w:r w:rsidR="00E6229D" w:rsidRPr="0003175C">
        <w:rPr>
          <w:noProof/>
        </w:rPr>
        <w:tab/>
        <w:t>5</w:t>
      </w:r>
    </w:p>
    <w:p w14:paraId="6C7C6588" w14:textId="77777777" w:rsidR="000B5C25" w:rsidRDefault="00E6229D" w:rsidP="00363CCE">
      <w:pPr>
        <w:pStyle w:val="TableofAuthorities"/>
        <w:tabs>
          <w:tab w:val="right" w:leader="dot" w:pos="9350"/>
        </w:tabs>
        <w:spacing w:line="276" w:lineRule="auto"/>
        <w:rPr>
          <w:noProof/>
        </w:rPr>
      </w:pPr>
      <w:r w:rsidRPr="0003175C">
        <w:rPr>
          <w:i/>
          <w:noProof/>
        </w:rPr>
        <w:t>Munoz v. State</w:t>
      </w:r>
      <w:r w:rsidRPr="0003175C">
        <w:rPr>
          <w:noProof/>
        </w:rPr>
        <w:t xml:space="preserve">, </w:t>
      </w:r>
    </w:p>
    <w:p w14:paraId="73E5197D" w14:textId="7B5016A7"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45 So. 3d 954 (Fla. Dist. Ct. App. 2010)</w:t>
      </w:r>
      <w:r w:rsidR="00E6229D" w:rsidRPr="0003175C">
        <w:rPr>
          <w:noProof/>
        </w:rPr>
        <w:tab/>
        <w:t>14</w:t>
      </w:r>
    </w:p>
    <w:p w14:paraId="76B18B66" w14:textId="77777777" w:rsidR="000B5C25" w:rsidRDefault="00E6229D" w:rsidP="00363CCE">
      <w:pPr>
        <w:pStyle w:val="TableofAuthorities"/>
        <w:tabs>
          <w:tab w:val="right" w:leader="dot" w:pos="9350"/>
        </w:tabs>
        <w:spacing w:line="276" w:lineRule="auto"/>
        <w:rPr>
          <w:noProof/>
        </w:rPr>
      </w:pPr>
      <w:r w:rsidRPr="0003175C">
        <w:rPr>
          <w:i/>
          <w:noProof/>
        </w:rPr>
        <w:t>N.Y. State Rifle &amp; Pistol Ass’n, Inc. v. Bruen</w:t>
      </w:r>
      <w:r w:rsidRPr="0003175C">
        <w:rPr>
          <w:noProof/>
        </w:rPr>
        <w:t xml:space="preserve">, </w:t>
      </w:r>
    </w:p>
    <w:p w14:paraId="370FB9FC" w14:textId="143DAD5C" w:rsidR="00E6229D" w:rsidRPr="0003175C" w:rsidRDefault="000B5C25" w:rsidP="00363CCE">
      <w:pPr>
        <w:pStyle w:val="TableofAuthorities"/>
        <w:tabs>
          <w:tab w:val="right" w:leader="dot" w:pos="9350"/>
        </w:tabs>
        <w:spacing w:line="276" w:lineRule="auto"/>
        <w:rPr>
          <w:noProof/>
        </w:rPr>
      </w:pPr>
      <w:r>
        <w:rPr>
          <w:noProof/>
        </w:rPr>
        <w:tab/>
      </w:r>
      <w:r w:rsidR="00E6229D" w:rsidRPr="0003175C">
        <w:rPr>
          <w:noProof/>
        </w:rPr>
        <w:t>597 U.S. 1 (2022).</w:t>
      </w:r>
      <w:r w:rsidR="00E6229D" w:rsidRPr="0003175C">
        <w:rPr>
          <w:noProof/>
        </w:rPr>
        <w:tab/>
        <w:t>6, 8</w:t>
      </w:r>
    </w:p>
    <w:p w14:paraId="65AF03F2" w14:textId="77777777" w:rsidR="000B5C25" w:rsidRDefault="00E6229D" w:rsidP="00363CCE">
      <w:pPr>
        <w:pStyle w:val="TableofAuthorities"/>
        <w:tabs>
          <w:tab w:val="right" w:leader="dot" w:pos="9350"/>
        </w:tabs>
        <w:spacing w:line="276" w:lineRule="auto"/>
        <w:rPr>
          <w:i/>
          <w:iCs/>
          <w:noProof/>
        </w:rPr>
      </w:pPr>
      <w:r w:rsidRPr="0003175C">
        <w:rPr>
          <w:i/>
          <w:iCs/>
          <w:noProof/>
        </w:rPr>
        <w:t xml:space="preserve">Pecuch v. Platt, </w:t>
      </w:r>
    </w:p>
    <w:p w14:paraId="715ECFD6" w14:textId="06373C1A" w:rsidR="00E6229D" w:rsidRPr="0003175C" w:rsidRDefault="000B5C25" w:rsidP="00363CCE">
      <w:pPr>
        <w:pStyle w:val="TableofAuthorities"/>
        <w:tabs>
          <w:tab w:val="right" w:leader="dot" w:pos="9350"/>
        </w:tabs>
        <w:spacing w:line="276" w:lineRule="auto"/>
        <w:rPr>
          <w:noProof/>
        </w:rPr>
      </w:pPr>
      <w:r>
        <w:rPr>
          <w:i/>
          <w:iCs/>
          <w:noProof/>
        </w:rPr>
        <w:tab/>
      </w:r>
      <w:r w:rsidR="00E6229D" w:rsidRPr="0003175C">
        <w:rPr>
          <w:noProof/>
        </w:rPr>
        <w:t>No. 13-CV-6102-FPG n.7, 2015 U.S. Dist. LEXIS 145636, *9 (W.D.N.Y. Oct. 27, 2015)</w:t>
      </w:r>
      <w:r w:rsidR="00E6229D" w:rsidRPr="0003175C">
        <w:rPr>
          <w:noProof/>
        </w:rPr>
        <w:tab/>
        <w:t>12</w:t>
      </w:r>
    </w:p>
    <w:p w14:paraId="19F9A0D9" w14:textId="77777777" w:rsidR="00EE7E6B"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People ex. Rel. O.R.</w:t>
      </w:r>
      <w:r w:rsidRPr="0003175C">
        <w:rPr>
          <w:rFonts w:eastAsia="Times New Roman"/>
          <w:noProof/>
          <w:color w:val="000000" w:themeColor="text1"/>
        </w:rPr>
        <w:t xml:space="preserve">, </w:t>
      </w:r>
    </w:p>
    <w:p w14:paraId="5D583608" w14:textId="189C66C6" w:rsidR="00E6229D" w:rsidRPr="0003175C" w:rsidRDefault="00EE7E6B"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220 P.3d 949 (Colo. Ct. App. 2009)</w:t>
      </w:r>
      <w:r w:rsidR="00E6229D" w:rsidRPr="0003175C">
        <w:rPr>
          <w:noProof/>
        </w:rPr>
        <w:tab/>
        <w:t>6</w:t>
      </w:r>
    </w:p>
    <w:p w14:paraId="26CF0ACD" w14:textId="77777777" w:rsidR="00EE7E6B" w:rsidRDefault="00E6229D" w:rsidP="00363CCE">
      <w:pPr>
        <w:pStyle w:val="TableofAuthorities"/>
        <w:tabs>
          <w:tab w:val="right" w:leader="dot" w:pos="9350"/>
        </w:tabs>
        <w:spacing w:line="276" w:lineRule="auto"/>
        <w:rPr>
          <w:bCs/>
          <w:noProof/>
        </w:rPr>
      </w:pPr>
      <w:r w:rsidRPr="0003175C">
        <w:rPr>
          <w:bCs/>
          <w:i/>
          <w:iCs/>
          <w:noProof/>
        </w:rPr>
        <w:lastRenderedPageBreak/>
        <w:t>People v. Vaughn</w:t>
      </w:r>
      <w:r w:rsidRPr="0003175C">
        <w:rPr>
          <w:bCs/>
          <w:noProof/>
        </w:rPr>
        <w:t xml:space="preserve">, </w:t>
      </w:r>
    </w:p>
    <w:p w14:paraId="1C1DC353" w14:textId="6FDE2446" w:rsidR="00E6229D" w:rsidRPr="0003175C" w:rsidRDefault="00EE7E6B" w:rsidP="00363CCE">
      <w:pPr>
        <w:pStyle w:val="TableofAuthorities"/>
        <w:tabs>
          <w:tab w:val="right" w:leader="dot" w:pos="9350"/>
        </w:tabs>
        <w:spacing w:line="276" w:lineRule="auto"/>
        <w:rPr>
          <w:noProof/>
        </w:rPr>
      </w:pPr>
      <w:r>
        <w:rPr>
          <w:bCs/>
          <w:noProof/>
        </w:rPr>
        <w:tab/>
      </w:r>
      <w:r w:rsidR="00E6229D" w:rsidRPr="0003175C">
        <w:rPr>
          <w:bCs/>
          <w:noProof/>
        </w:rPr>
        <w:t>2018 IL App (5th) 150428-U, ¶ 45</w:t>
      </w:r>
      <w:r w:rsidR="00E6229D" w:rsidRPr="0003175C">
        <w:rPr>
          <w:noProof/>
        </w:rPr>
        <w:tab/>
        <w:t>15</w:t>
      </w:r>
    </w:p>
    <w:p w14:paraId="20BE2B16" w14:textId="77777777" w:rsidR="00EE7E6B"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Rios v. State,</w:t>
      </w:r>
      <w:r w:rsidRPr="0003175C">
        <w:rPr>
          <w:rFonts w:eastAsia="Times New Roman"/>
          <w:noProof/>
          <w:color w:val="000000" w:themeColor="text1"/>
        </w:rPr>
        <w:t xml:space="preserve"> </w:t>
      </w:r>
    </w:p>
    <w:p w14:paraId="3CDB08A4" w14:textId="3A87B5C5" w:rsidR="00E6229D" w:rsidRPr="0003175C" w:rsidRDefault="00EE7E6B"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143 So. 3d 1167 (Fla. Dist. Ct. App. 2014)</w:t>
      </w:r>
      <w:r w:rsidR="00E6229D" w:rsidRPr="0003175C">
        <w:rPr>
          <w:noProof/>
        </w:rPr>
        <w:tab/>
        <w:t>9</w:t>
      </w:r>
    </w:p>
    <w:p w14:paraId="75613516" w14:textId="77777777" w:rsidR="00EE7E6B" w:rsidRDefault="00E6229D" w:rsidP="00363CCE">
      <w:pPr>
        <w:pStyle w:val="TableofAuthorities"/>
        <w:tabs>
          <w:tab w:val="right" w:leader="dot" w:pos="9350"/>
        </w:tabs>
        <w:spacing w:line="276" w:lineRule="auto"/>
        <w:rPr>
          <w:noProof/>
        </w:rPr>
      </w:pPr>
      <w:r w:rsidRPr="0003175C">
        <w:rPr>
          <w:i/>
          <w:iCs/>
          <w:noProof/>
        </w:rPr>
        <w:t>State v. Bryant</w:t>
      </w:r>
      <w:r w:rsidRPr="0003175C">
        <w:rPr>
          <w:noProof/>
        </w:rPr>
        <w:t xml:space="preserve">, </w:t>
      </w:r>
    </w:p>
    <w:p w14:paraId="39E74BFA" w14:textId="2D3E8302" w:rsidR="00E6229D" w:rsidRPr="0003175C" w:rsidRDefault="00EE7E6B" w:rsidP="00363CCE">
      <w:pPr>
        <w:pStyle w:val="TableofAuthorities"/>
        <w:tabs>
          <w:tab w:val="right" w:leader="dot" w:pos="9350"/>
        </w:tabs>
        <w:spacing w:line="276" w:lineRule="auto"/>
        <w:rPr>
          <w:noProof/>
        </w:rPr>
      </w:pPr>
      <w:r>
        <w:rPr>
          <w:noProof/>
        </w:rPr>
        <w:tab/>
      </w:r>
      <w:r w:rsidR="00E6229D" w:rsidRPr="0003175C">
        <w:rPr>
          <w:noProof/>
        </w:rPr>
        <w:t>336 S.C. 340, 344 (1999).</w:t>
      </w:r>
      <w:r w:rsidR="00E6229D" w:rsidRPr="0003175C">
        <w:rPr>
          <w:noProof/>
        </w:rPr>
        <w:tab/>
        <w:t>16</w:t>
      </w:r>
    </w:p>
    <w:p w14:paraId="4A878A4C" w14:textId="77777777" w:rsidR="00EE7E6B"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State v. Reams</w:t>
      </w:r>
      <w:r w:rsidRPr="0003175C">
        <w:rPr>
          <w:rFonts w:eastAsia="Times New Roman"/>
          <w:noProof/>
          <w:color w:val="000000" w:themeColor="text1"/>
        </w:rPr>
        <w:t xml:space="preserve">, </w:t>
      </w:r>
    </w:p>
    <w:p w14:paraId="795A8BD6" w14:textId="4CD16E6F" w:rsidR="00E6229D" w:rsidRPr="0003175C" w:rsidRDefault="00EE7E6B"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121 N.C. 556 (1987)</w:t>
      </w:r>
      <w:r w:rsidR="00E6229D" w:rsidRPr="0003175C">
        <w:rPr>
          <w:noProof/>
        </w:rPr>
        <w:tab/>
        <w:t>6</w:t>
      </w:r>
    </w:p>
    <w:p w14:paraId="56801F4C" w14:textId="77777777" w:rsidR="00EE7E6B" w:rsidRDefault="00E6229D" w:rsidP="00363CCE">
      <w:pPr>
        <w:pStyle w:val="TableofAuthorities"/>
        <w:tabs>
          <w:tab w:val="right" w:leader="dot" w:pos="9350"/>
        </w:tabs>
        <w:spacing w:line="276" w:lineRule="auto"/>
        <w:rPr>
          <w:bCs/>
          <w:noProof/>
        </w:rPr>
      </w:pPr>
      <w:r w:rsidRPr="0003175C">
        <w:rPr>
          <w:bCs/>
          <w:i/>
          <w:iCs/>
          <w:noProof/>
        </w:rPr>
        <w:t>State v. Wagner</w:t>
      </w:r>
      <w:r w:rsidRPr="0003175C">
        <w:rPr>
          <w:bCs/>
          <w:noProof/>
        </w:rPr>
        <w:t xml:space="preserve">, </w:t>
      </w:r>
    </w:p>
    <w:p w14:paraId="21B37EAA" w14:textId="0C509777" w:rsidR="00E6229D" w:rsidRPr="0003175C" w:rsidRDefault="00EE7E6B" w:rsidP="00363CCE">
      <w:pPr>
        <w:pStyle w:val="TableofAuthorities"/>
        <w:tabs>
          <w:tab w:val="right" w:leader="dot" w:pos="9350"/>
        </w:tabs>
        <w:spacing w:line="276" w:lineRule="auto"/>
        <w:rPr>
          <w:noProof/>
        </w:rPr>
      </w:pPr>
      <w:r>
        <w:rPr>
          <w:bCs/>
          <w:noProof/>
        </w:rPr>
        <w:tab/>
      </w:r>
      <w:r w:rsidR="00E6229D" w:rsidRPr="0003175C">
        <w:rPr>
          <w:bCs/>
          <w:noProof/>
        </w:rPr>
        <w:t>353 So. 3d 94 (Fla. Dist. Ct. App. 2022)</w:t>
      </w:r>
      <w:r w:rsidR="00E6229D" w:rsidRPr="0003175C">
        <w:rPr>
          <w:noProof/>
        </w:rPr>
        <w:tab/>
        <w:t>11, 12</w:t>
      </w:r>
    </w:p>
    <w:p w14:paraId="4FEEF6E9" w14:textId="77777777" w:rsidR="00EE7E6B"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State v. White</w:t>
      </w:r>
      <w:r w:rsidRPr="0003175C">
        <w:rPr>
          <w:rFonts w:eastAsia="Times New Roman"/>
          <w:noProof/>
          <w:color w:val="000000" w:themeColor="text1"/>
        </w:rPr>
        <w:t xml:space="preserve">, </w:t>
      </w:r>
    </w:p>
    <w:p w14:paraId="7E0F0536" w14:textId="1D83233C" w:rsidR="00E6229D" w:rsidRPr="0003175C" w:rsidRDefault="00EE7E6B"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376 So. 2d 124 (La. 1979)</w:t>
      </w:r>
      <w:r w:rsidR="00E6229D" w:rsidRPr="0003175C">
        <w:rPr>
          <w:noProof/>
        </w:rPr>
        <w:tab/>
        <w:t>6</w:t>
      </w:r>
    </w:p>
    <w:p w14:paraId="47844F24" w14:textId="77777777" w:rsidR="00EE7E6B" w:rsidRDefault="00E6229D" w:rsidP="00363CCE">
      <w:pPr>
        <w:pStyle w:val="TableofAuthorities"/>
        <w:tabs>
          <w:tab w:val="right" w:leader="dot" w:pos="9350"/>
        </w:tabs>
        <w:spacing w:line="276" w:lineRule="auto"/>
        <w:rPr>
          <w:rFonts w:eastAsia="Times New Roman"/>
          <w:noProof/>
          <w:color w:val="000000" w:themeColor="text1"/>
        </w:rPr>
      </w:pPr>
      <w:r w:rsidRPr="0003175C">
        <w:rPr>
          <w:rFonts w:eastAsia="Times New Roman"/>
          <w:i/>
          <w:iCs/>
          <w:noProof/>
          <w:color w:val="000000" w:themeColor="text1"/>
        </w:rPr>
        <w:t>Sutton v. State</w:t>
      </w:r>
      <w:r w:rsidRPr="0003175C">
        <w:rPr>
          <w:rFonts w:eastAsia="Times New Roman"/>
          <w:noProof/>
          <w:color w:val="000000" w:themeColor="text1"/>
        </w:rPr>
        <w:t xml:space="preserve">, </w:t>
      </w:r>
    </w:p>
    <w:p w14:paraId="2147F76F" w14:textId="39DCEA0D" w:rsidR="00E6229D" w:rsidRPr="0003175C" w:rsidRDefault="00EE7E6B" w:rsidP="00363CCE">
      <w:pPr>
        <w:pStyle w:val="TableofAuthorities"/>
        <w:tabs>
          <w:tab w:val="right" w:leader="dot" w:pos="9350"/>
        </w:tabs>
        <w:spacing w:line="276" w:lineRule="auto"/>
        <w:rPr>
          <w:noProof/>
        </w:rPr>
      </w:pPr>
      <w:r>
        <w:rPr>
          <w:rFonts w:eastAsia="Times New Roman"/>
          <w:noProof/>
          <w:color w:val="000000" w:themeColor="text1"/>
        </w:rPr>
        <w:tab/>
      </w:r>
      <w:r w:rsidR="00E6229D" w:rsidRPr="0003175C">
        <w:rPr>
          <w:rFonts w:eastAsia="Times New Roman"/>
          <w:noProof/>
          <w:color w:val="000000" w:themeColor="text1"/>
        </w:rPr>
        <w:t>12 Fla. 135 (1867)</w:t>
      </w:r>
      <w:r w:rsidR="00E6229D" w:rsidRPr="0003175C">
        <w:rPr>
          <w:noProof/>
        </w:rPr>
        <w:tab/>
        <w:t>6</w:t>
      </w:r>
    </w:p>
    <w:p w14:paraId="3D5C8EDE" w14:textId="77777777" w:rsidR="00EE7E6B" w:rsidRDefault="00E6229D" w:rsidP="00363CCE">
      <w:pPr>
        <w:pStyle w:val="TableofAuthorities"/>
        <w:tabs>
          <w:tab w:val="right" w:leader="dot" w:pos="9350"/>
        </w:tabs>
        <w:spacing w:line="276" w:lineRule="auto"/>
        <w:rPr>
          <w:noProof/>
        </w:rPr>
      </w:pPr>
      <w:r w:rsidRPr="0003175C">
        <w:rPr>
          <w:i/>
          <w:noProof/>
        </w:rPr>
        <w:t>Washington v. State,</w:t>
      </w:r>
      <w:r w:rsidRPr="0003175C">
        <w:rPr>
          <w:noProof/>
        </w:rPr>
        <w:t xml:space="preserve"> </w:t>
      </w:r>
    </w:p>
    <w:p w14:paraId="60EC18E4" w14:textId="22E1A7E7" w:rsidR="00E6229D" w:rsidRPr="0003175C" w:rsidRDefault="00EE7E6B" w:rsidP="00363CCE">
      <w:pPr>
        <w:pStyle w:val="TableofAuthorities"/>
        <w:tabs>
          <w:tab w:val="right" w:leader="dot" w:pos="9350"/>
        </w:tabs>
        <w:spacing w:line="276" w:lineRule="auto"/>
        <w:rPr>
          <w:noProof/>
        </w:rPr>
      </w:pPr>
      <w:r>
        <w:rPr>
          <w:noProof/>
        </w:rPr>
        <w:tab/>
      </w:r>
      <w:r w:rsidR="00E6229D" w:rsidRPr="0003175C">
        <w:rPr>
          <w:noProof/>
        </w:rPr>
        <w:t>997 N.E.2d 342 (Ind. 2013)</w:t>
      </w:r>
      <w:r w:rsidR="00E6229D" w:rsidRPr="0003175C">
        <w:rPr>
          <w:noProof/>
        </w:rPr>
        <w:tab/>
        <w:t>14</w:t>
      </w:r>
    </w:p>
    <w:p w14:paraId="62FC4894" w14:textId="77777777" w:rsidR="00E6229D" w:rsidRPr="0003175C" w:rsidRDefault="00952E2B" w:rsidP="0003175C">
      <w:pPr>
        <w:pStyle w:val="TOAHeading"/>
        <w:tabs>
          <w:tab w:val="right" w:leader="dot" w:pos="9350"/>
        </w:tabs>
        <w:spacing w:line="276" w:lineRule="auto"/>
        <w:rPr>
          <w:rFonts w:ascii="Times New Roman" w:eastAsiaTheme="minorEastAsia" w:hAnsi="Times New Roman" w:cs="Times New Roman"/>
          <w:b w:val="0"/>
          <w:bCs w:val="0"/>
          <w:noProof/>
        </w:rPr>
      </w:pPr>
      <w:r w:rsidRPr="0003175C">
        <w:rPr>
          <w:rFonts w:ascii="Times New Roman" w:hAnsi="Times New Roman" w:cs="Times New Roman"/>
          <w:sz w:val="26"/>
          <w:szCs w:val="26"/>
        </w:rPr>
        <w:fldChar w:fldCharType="end"/>
      </w:r>
      <w:r w:rsidRPr="0003175C">
        <w:rPr>
          <w:rFonts w:ascii="Times New Roman" w:hAnsi="Times New Roman" w:cs="Times New Roman"/>
          <w:sz w:val="26"/>
          <w:szCs w:val="26"/>
        </w:rPr>
        <w:fldChar w:fldCharType="begin"/>
      </w:r>
      <w:r w:rsidRPr="0003175C">
        <w:rPr>
          <w:rFonts w:ascii="Times New Roman" w:hAnsi="Times New Roman" w:cs="Times New Roman"/>
          <w:sz w:val="26"/>
          <w:szCs w:val="26"/>
        </w:rPr>
        <w:instrText xml:space="preserve"> TOA \h \c "2" \p </w:instrText>
      </w:r>
      <w:r w:rsidRPr="0003175C">
        <w:rPr>
          <w:rFonts w:ascii="Times New Roman" w:hAnsi="Times New Roman" w:cs="Times New Roman"/>
          <w:sz w:val="26"/>
          <w:szCs w:val="26"/>
        </w:rPr>
        <w:fldChar w:fldCharType="separate"/>
      </w:r>
      <w:r w:rsidR="00E6229D" w:rsidRPr="0003175C">
        <w:rPr>
          <w:rFonts w:ascii="Times New Roman" w:hAnsi="Times New Roman" w:cs="Times New Roman"/>
          <w:noProof/>
        </w:rPr>
        <w:t>Statutes</w:t>
      </w:r>
    </w:p>
    <w:p w14:paraId="03794231"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w:t>
      </w:r>
      <w:r w:rsidRPr="0003175C">
        <w:rPr>
          <w:b/>
          <w:bCs/>
          <w:noProof/>
        </w:rPr>
        <w:t xml:space="preserve"> </w:t>
      </w:r>
      <w:r w:rsidRPr="0003175C">
        <w:rPr>
          <w:noProof/>
        </w:rPr>
        <w:t>§ 3.190</w:t>
      </w:r>
      <w:r w:rsidRPr="0003175C">
        <w:rPr>
          <w:noProof/>
        </w:rPr>
        <w:tab/>
        <w:t>1</w:t>
      </w:r>
    </w:p>
    <w:p w14:paraId="5DECFEE8"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 § 776.012</w:t>
      </w:r>
      <w:r w:rsidRPr="0003175C">
        <w:rPr>
          <w:noProof/>
        </w:rPr>
        <w:tab/>
        <w:t>passim</w:t>
      </w:r>
    </w:p>
    <w:p w14:paraId="67FBF175"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 § 776.032</w:t>
      </w:r>
      <w:r w:rsidRPr="0003175C">
        <w:rPr>
          <w:noProof/>
        </w:rPr>
        <w:tab/>
        <w:t>5, 18</w:t>
      </w:r>
    </w:p>
    <w:p w14:paraId="476AF3EA"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w:t>
      </w:r>
      <w:r w:rsidRPr="0003175C">
        <w:rPr>
          <w:b/>
          <w:noProof/>
        </w:rPr>
        <w:t xml:space="preserve"> </w:t>
      </w:r>
      <w:r w:rsidRPr="0003175C">
        <w:rPr>
          <w:noProof/>
        </w:rPr>
        <w:t>§ 776.041</w:t>
      </w:r>
      <w:r w:rsidRPr="0003175C">
        <w:rPr>
          <w:noProof/>
        </w:rPr>
        <w:tab/>
        <w:t>passim</w:t>
      </w:r>
    </w:p>
    <w:p w14:paraId="6D1C2CC0"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 § 777.04</w:t>
      </w:r>
      <w:r w:rsidRPr="0003175C">
        <w:rPr>
          <w:noProof/>
        </w:rPr>
        <w:tab/>
        <w:t>1</w:t>
      </w:r>
    </w:p>
    <w:p w14:paraId="6CEDAC4C" w14:textId="77777777" w:rsidR="00E6229D" w:rsidRPr="0003175C" w:rsidRDefault="00E6229D" w:rsidP="0003175C">
      <w:pPr>
        <w:pStyle w:val="TableofAuthorities"/>
        <w:tabs>
          <w:tab w:val="right" w:leader="dot" w:pos="9350"/>
        </w:tabs>
        <w:spacing w:line="276" w:lineRule="auto"/>
        <w:rPr>
          <w:noProof/>
        </w:rPr>
      </w:pPr>
      <w:r w:rsidRPr="0003175C">
        <w:rPr>
          <w:noProof/>
        </w:rPr>
        <w:t>Stetson Penal Code</w:t>
      </w:r>
      <w:r w:rsidRPr="0003175C">
        <w:rPr>
          <w:b/>
          <w:bCs/>
          <w:noProof/>
        </w:rPr>
        <w:t xml:space="preserve"> </w:t>
      </w:r>
      <w:r w:rsidRPr="0003175C">
        <w:rPr>
          <w:noProof/>
        </w:rPr>
        <w:t>§ 784.04</w:t>
      </w:r>
      <w:r w:rsidRPr="0003175C">
        <w:rPr>
          <w:noProof/>
        </w:rPr>
        <w:tab/>
        <w:t>1</w:t>
      </w:r>
    </w:p>
    <w:p w14:paraId="74F7C4D6" w14:textId="77777777" w:rsidR="00E6229D" w:rsidRPr="0003175C" w:rsidRDefault="00E6229D" w:rsidP="0003175C">
      <w:pPr>
        <w:pStyle w:val="TableofAuthorities"/>
        <w:tabs>
          <w:tab w:val="right" w:leader="dot" w:pos="9350"/>
        </w:tabs>
        <w:spacing w:line="276" w:lineRule="auto"/>
        <w:rPr>
          <w:noProof/>
        </w:rPr>
      </w:pPr>
      <w:r w:rsidRPr="0003175C">
        <w:rPr>
          <w:rFonts w:eastAsia="Times New Roman"/>
          <w:noProof/>
          <w:color w:val="000000" w:themeColor="text1"/>
        </w:rPr>
        <w:t>Stetson Penal Code § 790.01</w:t>
      </w:r>
      <w:r w:rsidRPr="0003175C">
        <w:rPr>
          <w:noProof/>
        </w:rPr>
        <w:tab/>
        <w:t>6, 7</w:t>
      </w:r>
    </w:p>
    <w:p w14:paraId="64C6975D" w14:textId="77777777" w:rsidR="00E6229D" w:rsidRPr="0003175C" w:rsidRDefault="00952E2B" w:rsidP="0003175C">
      <w:pPr>
        <w:pStyle w:val="TOAHeading"/>
        <w:tabs>
          <w:tab w:val="right" w:leader="dot" w:pos="9350"/>
        </w:tabs>
        <w:spacing w:line="276" w:lineRule="auto"/>
        <w:rPr>
          <w:rFonts w:ascii="Times New Roman" w:eastAsiaTheme="minorEastAsia" w:hAnsi="Times New Roman" w:cs="Times New Roman"/>
          <w:b w:val="0"/>
          <w:bCs w:val="0"/>
          <w:noProof/>
        </w:rPr>
      </w:pPr>
      <w:r w:rsidRPr="0003175C">
        <w:rPr>
          <w:rFonts w:ascii="Times New Roman" w:hAnsi="Times New Roman" w:cs="Times New Roman"/>
          <w:sz w:val="26"/>
          <w:szCs w:val="26"/>
        </w:rPr>
        <w:fldChar w:fldCharType="end"/>
      </w:r>
      <w:r w:rsidRPr="0003175C">
        <w:rPr>
          <w:rFonts w:ascii="Times New Roman" w:hAnsi="Times New Roman" w:cs="Times New Roman"/>
          <w:sz w:val="26"/>
          <w:szCs w:val="26"/>
        </w:rPr>
        <w:fldChar w:fldCharType="begin"/>
      </w:r>
      <w:r w:rsidRPr="0003175C">
        <w:rPr>
          <w:rFonts w:ascii="Times New Roman" w:hAnsi="Times New Roman" w:cs="Times New Roman"/>
          <w:sz w:val="26"/>
          <w:szCs w:val="26"/>
        </w:rPr>
        <w:instrText xml:space="preserve"> TOA \h \c "7" \p </w:instrText>
      </w:r>
      <w:r w:rsidRPr="0003175C">
        <w:rPr>
          <w:rFonts w:ascii="Times New Roman" w:hAnsi="Times New Roman" w:cs="Times New Roman"/>
          <w:sz w:val="26"/>
          <w:szCs w:val="26"/>
        </w:rPr>
        <w:fldChar w:fldCharType="separate"/>
      </w:r>
      <w:r w:rsidR="00E6229D" w:rsidRPr="0003175C">
        <w:rPr>
          <w:rFonts w:ascii="Times New Roman" w:hAnsi="Times New Roman" w:cs="Times New Roman"/>
          <w:noProof/>
        </w:rPr>
        <w:t>Constitutional Provisions</w:t>
      </w:r>
    </w:p>
    <w:p w14:paraId="31A9BE2D" w14:textId="77777777" w:rsidR="00E6229D" w:rsidRPr="0003175C" w:rsidRDefault="00E6229D" w:rsidP="0003175C">
      <w:pPr>
        <w:pStyle w:val="TableofAuthorities"/>
        <w:tabs>
          <w:tab w:val="right" w:leader="dot" w:pos="9350"/>
        </w:tabs>
        <w:spacing w:line="276" w:lineRule="auto"/>
        <w:rPr>
          <w:noProof/>
        </w:rPr>
      </w:pPr>
      <w:r w:rsidRPr="0003175C">
        <w:rPr>
          <w:smallCaps/>
          <w:noProof/>
        </w:rPr>
        <w:t xml:space="preserve">U.S. Const. </w:t>
      </w:r>
      <w:r w:rsidRPr="0003175C">
        <w:rPr>
          <w:noProof/>
        </w:rPr>
        <w:t>amend</w:t>
      </w:r>
      <w:r w:rsidRPr="0003175C">
        <w:rPr>
          <w:smallCaps/>
          <w:noProof/>
        </w:rPr>
        <w:t>. II</w:t>
      </w:r>
      <w:r w:rsidRPr="0003175C">
        <w:rPr>
          <w:noProof/>
        </w:rPr>
        <w:t>.</w:t>
      </w:r>
      <w:r w:rsidRPr="0003175C">
        <w:rPr>
          <w:noProof/>
        </w:rPr>
        <w:tab/>
        <w:t>5</w:t>
      </w:r>
    </w:p>
    <w:p w14:paraId="247094C8" w14:textId="57F193B2" w:rsidR="00D3166D" w:rsidRPr="00F812D2" w:rsidRDefault="00952E2B" w:rsidP="0003175C">
      <w:pPr>
        <w:spacing w:after="160" w:line="276" w:lineRule="auto"/>
        <w:jc w:val="left"/>
        <w:rPr>
          <w:szCs w:val="26"/>
        </w:rPr>
      </w:pPr>
      <w:r w:rsidRPr="0003175C">
        <w:rPr>
          <w:szCs w:val="26"/>
        </w:rPr>
        <w:fldChar w:fldCharType="end"/>
      </w:r>
    </w:p>
    <w:p w14:paraId="51E785EB" w14:textId="77777777" w:rsidR="002443CF" w:rsidRDefault="002443CF" w:rsidP="007B2A5E">
      <w:pPr>
        <w:pStyle w:val="Heading1"/>
        <w:sectPr w:rsidR="002443CF" w:rsidSect="00F26954">
          <w:footerReference w:type="default" r:id="rId10"/>
          <w:pgSz w:w="12240" w:h="15840"/>
          <w:pgMar w:top="1440" w:right="1440" w:bottom="1440" w:left="1440" w:header="288" w:footer="360" w:gutter="0"/>
          <w:pgNumType w:fmt="lowerRoman" w:start="1"/>
          <w:cols w:space="720"/>
          <w:docGrid w:linePitch="360"/>
        </w:sectPr>
      </w:pPr>
      <w:bookmarkStart w:id="45" w:name="_Toc176088920"/>
    </w:p>
    <w:p w14:paraId="74B9FA69" w14:textId="29814F2C" w:rsidR="00D3166D" w:rsidRPr="00F812D2" w:rsidRDefault="00C63C71" w:rsidP="007B2A5E">
      <w:pPr>
        <w:pStyle w:val="Heading1"/>
      </w:pPr>
      <w:r>
        <w:lastRenderedPageBreak/>
        <w:t>INTRODUC</w:t>
      </w:r>
      <w:r w:rsidR="00AD550A">
        <w:t>TION</w:t>
      </w:r>
      <w:bookmarkEnd w:id="45"/>
    </w:p>
    <w:p w14:paraId="7BFD0FFB" w14:textId="26378D3E" w:rsidR="00CD3FEA" w:rsidRDefault="00AD550A" w:rsidP="004644C1">
      <w:pPr>
        <w:spacing w:after="160"/>
        <w:ind w:firstLine="720"/>
        <w:rPr>
          <w:szCs w:val="26"/>
        </w:rPr>
      </w:pPr>
      <w:r>
        <w:rPr>
          <w:szCs w:val="26"/>
        </w:rPr>
        <w:t>Defendant Jay Cameron</w:t>
      </w:r>
      <w:r w:rsidR="00C43BD0">
        <w:rPr>
          <w:szCs w:val="26"/>
        </w:rPr>
        <w:t xml:space="preserve"> </w:t>
      </w:r>
      <w:r w:rsidR="008D511E">
        <w:rPr>
          <w:szCs w:val="26"/>
        </w:rPr>
        <w:t>(</w:t>
      </w:r>
      <w:r w:rsidR="00395D89">
        <w:rPr>
          <w:szCs w:val="26"/>
        </w:rPr>
        <w:t xml:space="preserve">hereafter </w:t>
      </w:r>
      <w:r w:rsidR="004313A2">
        <w:rPr>
          <w:szCs w:val="26"/>
        </w:rPr>
        <w:t>“</w:t>
      </w:r>
      <w:r w:rsidR="00395D89">
        <w:rPr>
          <w:szCs w:val="26"/>
        </w:rPr>
        <w:t xml:space="preserve">Jay” or </w:t>
      </w:r>
      <w:r w:rsidR="00A704A0">
        <w:rPr>
          <w:szCs w:val="26"/>
        </w:rPr>
        <w:t>“Jay Cameron”</w:t>
      </w:r>
      <w:r w:rsidR="00395D89">
        <w:rPr>
          <w:szCs w:val="26"/>
        </w:rPr>
        <w:t xml:space="preserve">) </w:t>
      </w:r>
      <w:r w:rsidR="00C43BD0">
        <w:rPr>
          <w:szCs w:val="26"/>
        </w:rPr>
        <w:t>is accused of</w:t>
      </w:r>
      <w:r w:rsidR="00C43BD0" w:rsidRPr="00C43BD0">
        <w:t xml:space="preserve"> </w:t>
      </w:r>
      <w:r w:rsidR="00C43BD0">
        <w:t>Attempted Murder of the Second Degree</w:t>
      </w:r>
      <w:r w:rsidR="00BA6632">
        <w:t xml:space="preserve"> </w:t>
      </w:r>
      <w:r w:rsidR="00BA6632" w:rsidRPr="00BA6632">
        <w:t xml:space="preserve">in violation of Stetson </w:t>
      </w:r>
      <w:r w:rsidR="001477ED" w:rsidRPr="001477ED">
        <w:rPr>
          <w:szCs w:val="26"/>
        </w:rPr>
        <w:t>Penal Code</w:t>
      </w:r>
      <w:r w:rsidR="001477ED" w:rsidRPr="001477ED">
        <w:rPr>
          <w:b/>
          <w:bCs/>
          <w:szCs w:val="26"/>
        </w:rPr>
        <w:t xml:space="preserve"> </w:t>
      </w:r>
      <w:r w:rsidR="00BA6632" w:rsidRPr="00BA6632">
        <w:t>§§ 784.04</w:t>
      </w:r>
      <w:r w:rsidR="00A46B47">
        <w:fldChar w:fldCharType="begin"/>
      </w:r>
      <w:r w:rsidR="00A46B47">
        <w:instrText xml:space="preserve"> TA \l "</w:instrText>
      </w:r>
      <w:r w:rsidR="00A46B47" w:rsidRPr="00A754B6">
        <w:instrText xml:space="preserve">Stetson </w:instrText>
      </w:r>
      <w:r w:rsidR="00A46B47" w:rsidRPr="00A754B6">
        <w:rPr>
          <w:szCs w:val="26"/>
        </w:rPr>
        <w:instrText>Penal Code</w:instrText>
      </w:r>
      <w:r w:rsidR="00A46B47" w:rsidRPr="00A754B6">
        <w:rPr>
          <w:b/>
          <w:bCs/>
          <w:szCs w:val="26"/>
        </w:rPr>
        <w:instrText xml:space="preserve"> </w:instrText>
      </w:r>
      <w:r w:rsidR="00A46B47" w:rsidRPr="00A754B6">
        <w:instrText>§ 784.04</w:instrText>
      </w:r>
      <w:r w:rsidR="00A46B47">
        <w:instrText xml:space="preserve">" \s "§ 784.04" \c 2 </w:instrText>
      </w:r>
      <w:r w:rsidR="00A46B47">
        <w:fldChar w:fldCharType="end"/>
      </w:r>
      <w:r w:rsidR="00BA6632" w:rsidRPr="00BA6632">
        <w:t xml:space="preserve"> and 777.04</w:t>
      </w:r>
      <w:r w:rsidR="001B6028">
        <w:fldChar w:fldCharType="begin"/>
      </w:r>
      <w:r w:rsidR="001B6028">
        <w:instrText xml:space="preserve"> TA \l "</w:instrText>
      </w:r>
      <w:r w:rsidR="001B6028" w:rsidRPr="00A754B6">
        <w:instrText>Stetson Penal Code § 7</w:instrText>
      </w:r>
      <w:r w:rsidR="001B6028" w:rsidRPr="00A754B6">
        <w:instrText>77.04</w:instrText>
      </w:r>
      <w:r w:rsidR="001B6028">
        <w:instrText xml:space="preserve">" \s "§ 777.04" \c 2 </w:instrText>
      </w:r>
      <w:r w:rsidR="001B6028">
        <w:fldChar w:fldCharType="end"/>
      </w:r>
      <w:r w:rsidR="00217C0F">
        <w:t xml:space="preserve">. </w:t>
      </w:r>
      <w:r w:rsidR="002E45E9">
        <w:t xml:space="preserve">Jay Cameron </w:t>
      </w:r>
      <w:r w:rsidR="00B174EA">
        <w:t>files this Motion to Dismiss</w:t>
      </w:r>
      <w:r w:rsidR="002E45E9">
        <w:t xml:space="preserve"> </w:t>
      </w:r>
      <w:r w:rsidR="00FA350A">
        <w:t>for</w:t>
      </w:r>
      <w:r w:rsidR="00B02C66">
        <w:t xml:space="preserve"> Stand Your Ground Immunity</w:t>
      </w:r>
      <w:r w:rsidR="00FA350A">
        <w:t xml:space="preserve"> </w:t>
      </w:r>
      <w:r w:rsidR="00CC473E">
        <w:t xml:space="preserve">pursuant to </w:t>
      </w:r>
      <w:r w:rsidR="00CC473E" w:rsidRPr="00387A1E">
        <w:t>Stetson’s</w:t>
      </w:r>
      <w:r w:rsidR="00CC473E">
        <w:t xml:space="preserve"> </w:t>
      </w:r>
      <w:r w:rsidR="00CC473E" w:rsidRPr="007D025C">
        <w:t xml:space="preserve">Penal Code </w:t>
      </w:r>
      <w:r w:rsidR="007D025C" w:rsidRPr="007D025C">
        <w:t>s</w:t>
      </w:r>
      <w:r w:rsidR="00CC473E" w:rsidRPr="007D025C">
        <w:t>ection 776.012</w:t>
      </w:r>
      <w:r w:rsidR="00E33803">
        <w:fldChar w:fldCharType="begin"/>
      </w:r>
      <w:r w:rsidR="00E33803">
        <w:instrText xml:space="preserve"> TA \l "</w:instrText>
      </w:r>
      <w:r w:rsidR="00E33803" w:rsidRPr="00A754B6">
        <w:instrText xml:space="preserve">Stetson Penal Code </w:instrText>
      </w:r>
      <w:r w:rsidR="00E33803" w:rsidRPr="00A754B6">
        <w:instrText>§</w:instrText>
      </w:r>
      <w:r w:rsidR="00E33803" w:rsidRPr="00A754B6">
        <w:instrText xml:space="preserve"> 776.012</w:instrText>
      </w:r>
      <w:r w:rsidR="00E33803">
        <w:instrText xml:space="preserve">" \s "§ 776.012" \c 2 </w:instrText>
      </w:r>
      <w:r w:rsidR="00E33803">
        <w:fldChar w:fldCharType="end"/>
      </w:r>
      <w:r w:rsidR="00CC473E">
        <w:t xml:space="preserve"> </w:t>
      </w:r>
      <w:r w:rsidR="002E45E9">
        <w:t xml:space="preserve">and </w:t>
      </w:r>
      <w:r w:rsidR="00C4088D">
        <w:rPr>
          <w:szCs w:val="26"/>
        </w:rPr>
        <w:t>respectfully requests that th</w:t>
      </w:r>
      <w:r w:rsidR="00795C60">
        <w:rPr>
          <w:szCs w:val="26"/>
        </w:rPr>
        <w:t xml:space="preserve">e Court finds as follows: </w:t>
      </w:r>
    </w:p>
    <w:p w14:paraId="27B46970" w14:textId="41980DDE" w:rsidR="00CC473E" w:rsidRPr="00CC473E" w:rsidRDefault="00CC473E" w:rsidP="00CC473E">
      <w:pPr>
        <w:pStyle w:val="ListParagraph"/>
        <w:numPr>
          <w:ilvl w:val="0"/>
          <w:numId w:val="2"/>
        </w:numPr>
        <w:spacing w:after="160"/>
        <w:ind w:left="0" w:firstLine="720"/>
      </w:pPr>
      <w:r>
        <w:t xml:space="preserve"> Jay Cameron </w:t>
      </w:r>
      <w:r w:rsidR="00614755">
        <w:t xml:space="preserve">was not engaged in criminal activity </w:t>
      </w:r>
      <w:r w:rsidR="007F08E5">
        <w:t>on August 6, 2022</w:t>
      </w:r>
      <w:r w:rsidR="00A84B7F">
        <w:t xml:space="preserve"> by carrying a gun</w:t>
      </w:r>
      <w:r w:rsidR="00614755">
        <w:t xml:space="preserve"> because he was not carrying his weapon in a way to hide its existence from the ordinary sight or knowledge to another person.</w:t>
      </w:r>
    </w:p>
    <w:p w14:paraId="4AEEEE38" w14:textId="03CB4FE4" w:rsidR="00CC473E" w:rsidRPr="00CC473E" w:rsidRDefault="0006374F" w:rsidP="00CC473E">
      <w:pPr>
        <w:pStyle w:val="ListParagraph"/>
        <w:numPr>
          <w:ilvl w:val="0"/>
          <w:numId w:val="2"/>
        </w:numPr>
        <w:spacing w:after="160"/>
        <w:ind w:left="0" w:firstLine="720"/>
      </w:pPr>
      <w:r>
        <w:t xml:space="preserve">Jay </w:t>
      </w:r>
      <w:r w:rsidR="00E343C3">
        <w:t>Cameron</w:t>
      </w:r>
      <w:r w:rsidR="00AB2438" w:rsidRPr="004644C1">
        <w:t xml:space="preserve"> </w:t>
      </w:r>
      <w:r w:rsidR="00CD3FEA">
        <w:t xml:space="preserve">was not </w:t>
      </w:r>
      <w:r w:rsidR="00CD3FEA" w:rsidRPr="00387A1E">
        <w:t xml:space="preserve">the </w:t>
      </w:r>
      <w:r w:rsidR="00E343C3">
        <w:t xml:space="preserve">initial </w:t>
      </w:r>
      <w:r w:rsidR="00CD3FEA" w:rsidRPr="00387A1E">
        <w:t xml:space="preserve">aggressor in </w:t>
      </w:r>
      <w:r w:rsidR="00CD3FEA">
        <w:t>the</w:t>
      </w:r>
      <w:r w:rsidR="00CD3FEA" w:rsidRPr="00387A1E">
        <w:t xml:space="preserve"> incident</w:t>
      </w:r>
      <w:r w:rsidR="00CD3FEA">
        <w:t xml:space="preserve"> </w:t>
      </w:r>
      <w:r w:rsidR="00CD3FEA">
        <w:t>on August 6, 2022</w:t>
      </w:r>
      <w:r w:rsidR="00CC473E">
        <w:t xml:space="preserve"> </w:t>
      </w:r>
      <w:r w:rsidR="00681A51">
        <w:t>because he acted in response to the aggressive actions of Ryan Wilson</w:t>
      </w:r>
      <w:r w:rsidR="00F8331D">
        <w:t>. In the alternative, if Jay Cameron</w:t>
      </w:r>
      <w:r w:rsidR="00624F09">
        <w:t xml:space="preserve"> is found to be the initial aggressor, Jay Cameron’s actions are permitted under </w:t>
      </w:r>
      <w:r w:rsidR="0037042F" w:rsidRPr="00BA6632">
        <w:t xml:space="preserve">Stetson </w:t>
      </w:r>
      <w:r w:rsidR="001477ED">
        <w:t>Penal Code</w:t>
      </w:r>
      <w:r w:rsidR="001477ED" w:rsidRPr="132E83FC">
        <w:rPr>
          <w:b/>
        </w:rPr>
        <w:t xml:space="preserve"> </w:t>
      </w:r>
      <w:r w:rsidR="0037042F" w:rsidRPr="00BA6632">
        <w:t>§</w:t>
      </w:r>
      <w:r w:rsidR="0037042F">
        <w:t xml:space="preserve"> </w:t>
      </w:r>
      <w:r w:rsidR="00646397">
        <w:t>776.041(</w:t>
      </w:r>
      <w:r w:rsidR="001D13FB">
        <w:fldChar w:fldCharType="begin"/>
      </w:r>
      <w:r w:rsidR="001D13FB">
        <w:instrText xml:space="preserve"> TA \l "</w:instrText>
      </w:r>
      <w:r w:rsidR="001D13FB" w:rsidRPr="00A754B6">
        <w:instrText xml:space="preserve">Stetson </w:instrText>
      </w:r>
      <w:r w:rsidR="001D13FB" w:rsidRPr="00A754B6">
        <w:instrText>Penal Code</w:instrText>
      </w:r>
      <w:r w:rsidR="001D13FB" w:rsidRPr="00A754B6">
        <w:rPr>
          <w:b/>
        </w:rPr>
        <w:instrText xml:space="preserve"> </w:instrText>
      </w:r>
      <w:r w:rsidR="001D13FB" w:rsidRPr="00A754B6">
        <w:instrText>§ 776.041</w:instrText>
      </w:r>
      <w:r w:rsidR="001D13FB">
        <w:instrText xml:space="preserve">" \s "§ 776.041" \c 2 </w:instrText>
      </w:r>
      <w:r w:rsidR="001D13FB">
        <w:fldChar w:fldCharType="end"/>
      </w:r>
      <w:r w:rsidR="00646397">
        <w:t xml:space="preserve">a) </w:t>
      </w:r>
      <w:r w:rsidR="00B41BFC">
        <w:t>and</w:t>
      </w:r>
      <w:r w:rsidR="00646397">
        <w:t xml:space="preserve"> (b). </w:t>
      </w:r>
    </w:p>
    <w:p w14:paraId="4C4A3954" w14:textId="3D5D37A2" w:rsidR="00D33A61" w:rsidRPr="00D33A61" w:rsidRDefault="00780F77" w:rsidP="00350BBC">
      <w:pPr>
        <w:spacing w:after="160"/>
        <w:ind w:firstLine="720"/>
        <w:rPr>
          <w:szCs w:val="26"/>
        </w:rPr>
      </w:pPr>
      <w:r>
        <w:rPr>
          <w:szCs w:val="26"/>
        </w:rPr>
        <w:t>T</w:t>
      </w:r>
      <w:r w:rsidR="0006374F">
        <w:rPr>
          <w:szCs w:val="26"/>
        </w:rPr>
        <w:t xml:space="preserve">HEREFORE, </w:t>
      </w:r>
      <w:r w:rsidR="0054200D">
        <w:rPr>
          <w:szCs w:val="26"/>
        </w:rPr>
        <w:t xml:space="preserve">Jay Cameron respectfully prays </w:t>
      </w:r>
      <w:r w:rsidR="00B01306">
        <w:rPr>
          <w:szCs w:val="26"/>
        </w:rPr>
        <w:t>that this Court GRANTS this Motion to Dismiss</w:t>
      </w:r>
      <w:r w:rsidR="00C9364B">
        <w:rPr>
          <w:szCs w:val="26"/>
        </w:rPr>
        <w:t xml:space="preserve"> </w:t>
      </w:r>
      <w:r w:rsidR="00EF7067" w:rsidRPr="00EF7067">
        <w:rPr>
          <w:szCs w:val="26"/>
        </w:rPr>
        <w:t xml:space="preserve">pursuant to Stetson </w:t>
      </w:r>
      <w:r w:rsidR="001477ED" w:rsidRPr="001477ED">
        <w:rPr>
          <w:szCs w:val="26"/>
        </w:rPr>
        <w:t xml:space="preserve">Penal </w:t>
      </w:r>
      <w:r w:rsidR="001477ED" w:rsidRPr="00CE5213">
        <w:rPr>
          <w:szCs w:val="26"/>
        </w:rPr>
        <w:t>Code</w:t>
      </w:r>
      <w:r w:rsidR="001477ED" w:rsidRPr="00CE5213">
        <w:rPr>
          <w:b/>
          <w:bCs/>
          <w:szCs w:val="26"/>
        </w:rPr>
        <w:t xml:space="preserve"> </w:t>
      </w:r>
      <w:r w:rsidR="00E14A58" w:rsidRPr="00CE5213">
        <w:rPr>
          <w:szCs w:val="26"/>
        </w:rPr>
        <w:t>section</w:t>
      </w:r>
      <w:r w:rsidR="00EF7067" w:rsidRPr="00CE5213">
        <w:rPr>
          <w:szCs w:val="26"/>
        </w:rPr>
        <w:t xml:space="preserve"> 3.190(c)(3)</w:t>
      </w:r>
      <w:r w:rsidR="00080769">
        <w:rPr>
          <w:szCs w:val="26"/>
        </w:rPr>
        <w:fldChar w:fldCharType="begin"/>
      </w:r>
      <w:r w:rsidR="00080769">
        <w:instrText xml:space="preserve"> TA \l "</w:instrText>
      </w:r>
      <w:r w:rsidR="00080769" w:rsidRPr="00A754B6">
        <w:rPr>
          <w:szCs w:val="26"/>
        </w:rPr>
        <w:instrText xml:space="preserve">Stetson </w:instrText>
      </w:r>
      <w:r w:rsidR="00080769" w:rsidRPr="00A754B6">
        <w:rPr>
          <w:szCs w:val="26"/>
        </w:rPr>
        <w:instrText>Penal Code</w:instrText>
      </w:r>
      <w:r w:rsidR="00080769" w:rsidRPr="00A754B6">
        <w:rPr>
          <w:b/>
          <w:bCs/>
          <w:szCs w:val="26"/>
        </w:rPr>
        <w:instrText xml:space="preserve"> </w:instrText>
      </w:r>
      <w:r w:rsidR="00080769" w:rsidRPr="00A754B6">
        <w:rPr>
          <w:szCs w:val="26"/>
        </w:rPr>
        <w:instrText xml:space="preserve">§ </w:instrText>
      </w:r>
      <w:r w:rsidR="00080769" w:rsidRPr="00A754B6">
        <w:rPr>
          <w:szCs w:val="26"/>
        </w:rPr>
        <w:instrText>3.190</w:instrText>
      </w:r>
      <w:r w:rsidR="00080769">
        <w:instrText xml:space="preserve">" \s "§ 3.190" \c 2 </w:instrText>
      </w:r>
      <w:r w:rsidR="00080769">
        <w:rPr>
          <w:szCs w:val="26"/>
        </w:rPr>
        <w:fldChar w:fldCharType="end"/>
      </w:r>
      <w:r w:rsidR="00F559AB" w:rsidRPr="00CE5213">
        <w:t xml:space="preserve"> for</w:t>
      </w:r>
      <w:r w:rsidR="00F559AB">
        <w:t xml:space="preserve"> the reasons outlined herein. </w:t>
      </w:r>
    </w:p>
    <w:p w14:paraId="2B52493A" w14:textId="77777777" w:rsidR="00795C60" w:rsidRPr="00F812D2" w:rsidRDefault="00795C60" w:rsidP="004644C1">
      <w:pPr>
        <w:spacing w:after="160"/>
        <w:ind w:firstLine="720"/>
        <w:rPr>
          <w:szCs w:val="26"/>
        </w:rPr>
      </w:pPr>
    </w:p>
    <w:p w14:paraId="37EB4D8C" w14:textId="530FC561" w:rsidR="00753DB7" w:rsidRPr="00F812D2" w:rsidRDefault="00753DB7" w:rsidP="004644C1">
      <w:pPr>
        <w:spacing w:after="160" w:line="259" w:lineRule="auto"/>
        <w:rPr>
          <w:szCs w:val="26"/>
        </w:rPr>
      </w:pPr>
      <w:r w:rsidRPr="00F812D2">
        <w:rPr>
          <w:szCs w:val="26"/>
        </w:rPr>
        <w:br w:type="page"/>
      </w:r>
    </w:p>
    <w:p w14:paraId="1F13F5A7" w14:textId="3E0CF687" w:rsidR="00C54A4D" w:rsidRPr="00F812D2" w:rsidRDefault="00753DB7" w:rsidP="007B2A5E">
      <w:pPr>
        <w:pStyle w:val="Heading1"/>
      </w:pPr>
      <w:bookmarkStart w:id="46" w:name="_Toc176088921"/>
      <w:r w:rsidRPr="00F812D2">
        <w:lastRenderedPageBreak/>
        <w:t>STATEMENT OF FACTS</w:t>
      </w:r>
      <w:bookmarkEnd w:id="46"/>
    </w:p>
    <w:p w14:paraId="6BA96420" w14:textId="125EB30B" w:rsidR="001A267A" w:rsidRDefault="00691BEA" w:rsidP="007976C9">
      <w:pPr>
        <w:spacing w:after="160"/>
      </w:pPr>
      <w:r>
        <w:rPr>
          <w:szCs w:val="26"/>
        </w:rPr>
        <w:tab/>
      </w:r>
      <w:r w:rsidR="00C47A0F" w:rsidRPr="132E83FC">
        <w:t>T</w:t>
      </w:r>
      <w:r w:rsidR="00320ABC" w:rsidRPr="132E83FC">
        <w:t xml:space="preserve">he </w:t>
      </w:r>
      <w:r w:rsidR="00966392" w:rsidRPr="132E83FC">
        <w:t xml:space="preserve">Defendant, Jay Cameron, </w:t>
      </w:r>
      <w:r w:rsidR="00C47A0F" w:rsidRPr="132E83FC">
        <w:t>often stays</w:t>
      </w:r>
      <w:r w:rsidR="00320ABC">
        <w:rPr>
          <w:szCs w:val="26"/>
        </w:rPr>
        <w:t xml:space="preserve"> </w:t>
      </w:r>
      <w:r w:rsidR="002175ED" w:rsidRPr="132E83FC">
        <w:t xml:space="preserve">at the Boals </w:t>
      </w:r>
      <w:r w:rsidR="00C32E03" w:rsidRPr="132E83FC">
        <w:t>Motel in Petersburg, Stetson</w:t>
      </w:r>
      <w:r w:rsidR="00B75A69">
        <w:rPr>
          <w:szCs w:val="26"/>
        </w:rPr>
        <w:t>.</w:t>
      </w:r>
      <w:r w:rsidR="00796F18">
        <w:rPr>
          <w:szCs w:val="26"/>
        </w:rPr>
        <w:t xml:space="preserve"> </w:t>
      </w:r>
      <w:r w:rsidR="001B30D0" w:rsidRPr="132E83FC">
        <w:t>(Jay Cameron’s Interview</w:t>
      </w:r>
      <w:r w:rsidR="001B30D0" w:rsidRPr="008A40CD">
        <w:rPr>
          <w:szCs w:val="26"/>
        </w:rPr>
        <w:t xml:space="preserve"> ¶¶ </w:t>
      </w:r>
      <w:r w:rsidR="00796F18" w:rsidRPr="132E83FC">
        <w:t>31-35</w:t>
      </w:r>
      <w:r w:rsidR="001E446C">
        <w:rPr>
          <w:szCs w:val="26"/>
        </w:rPr>
        <w:t>)</w:t>
      </w:r>
      <w:r w:rsidR="004464A3">
        <w:rPr>
          <w:szCs w:val="26"/>
        </w:rPr>
        <w:t>.</w:t>
      </w:r>
      <w:r w:rsidR="00B75A69" w:rsidRPr="132E83FC">
        <w:t xml:space="preserve"> As such, </w:t>
      </w:r>
      <w:r w:rsidR="007E7B98" w:rsidRPr="132E83FC">
        <w:t xml:space="preserve">Jay </w:t>
      </w:r>
      <w:r w:rsidR="00367CDD" w:rsidRPr="132E83FC">
        <w:t xml:space="preserve">was familiar with </w:t>
      </w:r>
      <w:r w:rsidR="00796F18" w:rsidRPr="132E83FC">
        <w:t>Ryan Wilson</w:t>
      </w:r>
      <w:r w:rsidR="00A704A0">
        <w:rPr>
          <w:szCs w:val="26"/>
        </w:rPr>
        <w:t xml:space="preserve"> </w:t>
      </w:r>
      <w:r w:rsidR="00E96CE3">
        <w:rPr>
          <w:szCs w:val="26"/>
        </w:rPr>
        <w:t>(</w:t>
      </w:r>
      <w:r w:rsidR="00A704A0" w:rsidRPr="132E83FC">
        <w:t>“Wilson”)</w:t>
      </w:r>
      <w:r w:rsidR="00DC45AC" w:rsidRPr="132E83FC">
        <w:t xml:space="preserve">, the </w:t>
      </w:r>
      <w:r w:rsidR="00653087" w:rsidRPr="132E83FC">
        <w:t xml:space="preserve">alleged </w:t>
      </w:r>
      <w:r w:rsidR="00DC45AC" w:rsidRPr="132E83FC">
        <w:t>victim in the case at bar,</w:t>
      </w:r>
      <w:r w:rsidR="00E94963" w:rsidRPr="132E83FC">
        <w:t xml:space="preserve"> who had a local reputation for being </w:t>
      </w:r>
      <w:r w:rsidR="00E12736" w:rsidRPr="132E83FC">
        <w:t>a dangerous regular at</w:t>
      </w:r>
      <w:r w:rsidR="003725C4" w:rsidRPr="132E83FC">
        <w:t xml:space="preserve"> the Boals Motel</w:t>
      </w:r>
      <w:r w:rsidR="00112D7F" w:rsidRPr="00D17FB4">
        <w:rPr>
          <w:szCs w:val="26"/>
        </w:rPr>
        <w:t>.</w:t>
      </w:r>
      <w:r w:rsidR="00657BD8" w:rsidRPr="00D17FB4">
        <w:rPr>
          <w:szCs w:val="26"/>
        </w:rPr>
        <w:t xml:space="preserve"> </w:t>
      </w:r>
      <w:r w:rsidR="00657BD8" w:rsidRPr="132E83FC">
        <w:rPr>
          <w:i/>
        </w:rPr>
        <w:t xml:space="preserve">Id. </w:t>
      </w:r>
      <w:r w:rsidR="00F34753" w:rsidRPr="132E83FC">
        <w:t xml:space="preserve">at </w:t>
      </w:r>
      <w:r w:rsidR="00F34753" w:rsidRPr="008A40CD">
        <w:rPr>
          <w:szCs w:val="26"/>
        </w:rPr>
        <w:t>¶</w:t>
      </w:r>
      <w:r w:rsidR="00610CD2" w:rsidRPr="008A40CD">
        <w:rPr>
          <w:szCs w:val="26"/>
        </w:rPr>
        <w:t xml:space="preserve">¶ </w:t>
      </w:r>
      <w:r w:rsidR="006227BF" w:rsidRPr="132E83FC">
        <w:t>27-28, 45-51</w:t>
      </w:r>
      <w:r w:rsidR="00A72FE8">
        <w:rPr>
          <w:szCs w:val="26"/>
        </w:rPr>
        <w:t xml:space="preserve">; </w:t>
      </w:r>
      <w:r w:rsidR="00A72FE8" w:rsidRPr="132E83FC">
        <w:rPr>
          <w:i/>
        </w:rPr>
        <w:t xml:space="preserve">see also </w:t>
      </w:r>
      <w:r w:rsidR="00101433" w:rsidRPr="132E83FC">
        <w:t xml:space="preserve">First </w:t>
      </w:r>
      <w:r w:rsidR="00644FAF" w:rsidRPr="132E83FC">
        <w:t>PPD In</w:t>
      </w:r>
      <w:r w:rsidR="00EE073E" w:rsidRPr="132E83FC">
        <w:t xml:space="preserve">cident Report at </w:t>
      </w:r>
      <w:r w:rsidR="00EE073E" w:rsidRPr="008A40CD">
        <w:rPr>
          <w:szCs w:val="26"/>
        </w:rPr>
        <w:t>¶</w:t>
      </w:r>
      <w:r w:rsidR="00EE073E" w:rsidRPr="132E83FC">
        <w:t>4</w:t>
      </w:r>
      <w:r w:rsidR="00101433">
        <w:rPr>
          <w:szCs w:val="26"/>
        </w:rPr>
        <w:t xml:space="preserve"> (</w:t>
      </w:r>
      <w:r w:rsidR="00EF4440" w:rsidRPr="132E83FC">
        <w:t xml:space="preserve">Kenny Gray’s </w:t>
      </w:r>
      <w:r w:rsidR="0AA58799" w:rsidRPr="132E83FC">
        <w:t>explanation</w:t>
      </w:r>
      <w:r w:rsidR="00EF4440" w:rsidRPr="132E83FC">
        <w:t xml:space="preserve"> </w:t>
      </w:r>
      <w:r w:rsidR="0083453F" w:rsidRPr="132E83FC">
        <w:t xml:space="preserve">to police </w:t>
      </w:r>
      <w:r w:rsidR="00EF4440" w:rsidRPr="132E83FC">
        <w:t>of Wilson’s “reputation for being violent when he needs to be”)</w:t>
      </w:r>
      <w:r w:rsidR="00912DFD">
        <w:rPr>
          <w:szCs w:val="26"/>
        </w:rPr>
        <w:t>.</w:t>
      </w:r>
      <w:r w:rsidR="002B6BEF" w:rsidRPr="132E83FC">
        <w:t xml:space="preserve"> Around 9:00 A.M.</w:t>
      </w:r>
      <w:r w:rsidR="00C47A0F" w:rsidRPr="132E83FC">
        <w:t xml:space="preserve"> on </w:t>
      </w:r>
      <w:r w:rsidR="00C47A0F" w:rsidRPr="132E83FC">
        <w:t>August 6, 2022</w:t>
      </w:r>
      <w:r w:rsidR="002B6BEF" w:rsidRPr="132E83FC">
        <w:t>, Jay called his brothe</w:t>
      </w:r>
      <w:r w:rsidR="00CD73E8" w:rsidRPr="132E83FC">
        <w:t>r, Gr</w:t>
      </w:r>
      <w:r w:rsidR="004313A2" w:rsidRPr="132E83FC">
        <w:t xml:space="preserve">eg Cameron, </w:t>
      </w:r>
      <w:r w:rsidR="002B6BEF" w:rsidRPr="132E83FC">
        <w:t xml:space="preserve">to join him </w:t>
      </w:r>
      <w:r w:rsidR="00853CE7" w:rsidRPr="132E83FC">
        <w:t>for breakfast</w:t>
      </w:r>
      <w:r w:rsidR="007E56A8">
        <w:rPr>
          <w:szCs w:val="26"/>
        </w:rPr>
        <w:t>.</w:t>
      </w:r>
      <w:r w:rsidR="00853CE7">
        <w:rPr>
          <w:szCs w:val="26"/>
        </w:rPr>
        <w:t xml:space="preserve"> </w:t>
      </w:r>
      <w:r w:rsidR="004D45ED" w:rsidRPr="132E83FC">
        <w:t>(Jay Cameron’s Interview</w:t>
      </w:r>
      <w:r w:rsidR="004D45ED" w:rsidRPr="008A40CD">
        <w:rPr>
          <w:szCs w:val="26"/>
        </w:rPr>
        <w:t xml:space="preserve"> </w:t>
      </w:r>
      <w:r w:rsidR="006227BF" w:rsidRPr="008A40CD">
        <w:rPr>
          <w:szCs w:val="26"/>
        </w:rPr>
        <w:t xml:space="preserve">¶¶ </w:t>
      </w:r>
      <w:r w:rsidR="00A475BE" w:rsidRPr="132E83FC">
        <w:t>25-26</w:t>
      </w:r>
      <w:r w:rsidR="004D45ED">
        <w:rPr>
          <w:szCs w:val="26"/>
        </w:rPr>
        <w:t>)</w:t>
      </w:r>
      <w:r w:rsidR="2ABEECAC">
        <w:rPr>
          <w:szCs w:val="26"/>
        </w:rPr>
        <w:t>.</w:t>
      </w:r>
      <w:r w:rsidR="007E56A8" w:rsidRPr="132E83FC">
        <w:t xml:space="preserve"> By 9:30 A.M. Greg Cameron </w:t>
      </w:r>
      <w:r w:rsidR="00C51F33" w:rsidRPr="132E83FC">
        <w:t xml:space="preserve">arrived </w:t>
      </w:r>
      <w:r w:rsidR="008B093B" w:rsidRPr="132E83FC">
        <w:t>at</w:t>
      </w:r>
      <w:r w:rsidR="00C51F33" w:rsidRPr="132E83FC">
        <w:t xml:space="preserve"> the motel, and both </w:t>
      </w:r>
      <w:r w:rsidR="00E96CE3" w:rsidRPr="132E83FC">
        <w:t xml:space="preserve">Jay </w:t>
      </w:r>
      <w:r w:rsidR="00E96CE3" w:rsidRPr="132E83FC">
        <w:t xml:space="preserve">and </w:t>
      </w:r>
      <w:r w:rsidR="00C51F33" w:rsidRPr="132E83FC">
        <w:t xml:space="preserve">Greg Cameron left the Boals Motel at 9:45 A.M. </w:t>
      </w:r>
      <w:r w:rsidR="000151D6" w:rsidRPr="132E83FC">
        <w:t>for breakfast.</w:t>
      </w:r>
      <w:r w:rsidR="00783360">
        <w:rPr>
          <w:szCs w:val="26"/>
        </w:rPr>
        <w:t xml:space="preserve"> </w:t>
      </w:r>
      <w:r w:rsidR="00E50AD9" w:rsidRPr="132E83FC">
        <w:rPr>
          <w:i/>
        </w:rPr>
        <w:t xml:space="preserve">Id. </w:t>
      </w:r>
      <w:r w:rsidR="00E50AD9" w:rsidRPr="132E83FC">
        <w:t xml:space="preserve">at </w:t>
      </w:r>
      <w:r w:rsidR="00E50AD9" w:rsidRPr="008A40CD">
        <w:rPr>
          <w:szCs w:val="26"/>
        </w:rPr>
        <w:t xml:space="preserve">¶¶ </w:t>
      </w:r>
      <w:r w:rsidR="001E6C15" w:rsidRPr="132E83FC">
        <w:t xml:space="preserve">61-62. </w:t>
      </w:r>
      <w:r w:rsidR="00547608" w:rsidRPr="132E83FC">
        <w:t xml:space="preserve">When </w:t>
      </w:r>
      <w:r w:rsidR="00325DAA" w:rsidRPr="132E83FC">
        <w:t xml:space="preserve">Jay </w:t>
      </w:r>
      <w:r w:rsidR="00547608" w:rsidRPr="132E83FC">
        <w:t xml:space="preserve">left the hotel, he </w:t>
      </w:r>
      <w:r w:rsidR="00325DAA" w:rsidRPr="132E83FC">
        <w:t xml:space="preserve">carried a </w:t>
      </w:r>
      <w:r w:rsidR="00C006BE" w:rsidRPr="132E83FC">
        <w:t>.40 caliber gun with him in the front pocket of his hoodie</w:t>
      </w:r>
      <w:r w:rsidR="00095B39">
        <w:rPr>
          <w:szCs w:val="26"/>
        </w:rPr>
        <w:t xml:space="preserve"> </w:t>
      </w:r>
      <w:r w:rsidR="00F2287C" w:rsidRPr="132E83FC">
        <w:t>because</w:t>
      </w:r>
      <w:r w:rsidR="00095B39" w:rsidRPr="132E83FC">
        <w:t xml:space="preserve"> the </w:t>
      </w:r>
      <w:r w:rsidR="00824C17" w:rsidRPr="132E83FC">
        <w:t>area</w:t>
      </w:r>
      <w:r w:rsidR="00325DAA" w:rsidRPr="132E83FC">
        <w:t xml:space="preserve"> surrounding the Boals Motel</w:t>
      </w:r>
      <w:r w:rsidR="00095B39" w:rsidRPr="132E83FC">
        <w:t xml:space="preserve"> has a</w:t>
      </w:r>
      <w:r w:rsidR="00BF5647" w:rsidRPr="132E83FC">
        <w:t xml:space="preserve">n unsafe </w:t>
      </w:r>
      <w:r w:rsidR="00095B39" w:rsidRPr="132E83FC">
        <w:t>reputation</w:t>
      </w:r>
      <w:r w:rsidR="001A2FD9">
        <w:rPr>
          <w:szCs w:val="26"/>
        </w:rPr>
        <w:t>.</w:t>
      </w:r>
      <w:r w:rsidR="001E6C15" w:rsidRPr="132E83FC">
        <w:rPr>
          <w:i/>
        </w:rPr>
        <w:t xml:space="preserve"> </w:t>
      </w:r>
      <w:r w:rsidR="001E6C15" w:rsidRPr="132E83FC">
        <w:rPr>
          <w:i/>
        </w:rPr>
        <w:t xml:space="preserve">Id. </w:t>
      </w:r>
      <w:r w:rsidR="001E6C15" w:rsidRPr="132E83FC">
        <w:t xml:space="preserve">at </w:t>
      </w:r>
      <w:r w:rsidR="001E6C15" w:rsidRPr="008A40CD">
        <w:rPr>
          <w:szCs w:val="26"/>
        </w:rPr>
        <w:t>¶</w:t>
      </w:r>
      <w:r w:rsidR="001A2FD9" w:rsidRPr="132E83FC">
        <w:t xml:space="preserve"> 67</w:t>
      </w:r>
      <w:r w:rsidR="00A72CBD">
        <w:rPr>
          <w:szCs w:val="26"/>
        </w:rPr>
        <w:t>.</w:t>
      </w:r>
    </w:p>
    <w:p w14:paraId="18647DD0" w14:textId="04DE2D5B" w:rsidR="0063045D" w:rsidRDefault="00D34335" w:rsidP="001A267A">
      <w:pPr>
        <w:spacing w:after="160"/>
        <w:ind w:firstLine="720"/>
      </w:pPr>
      <w:r>
        <w:t>While exiting the breezeway outside Wilson’s room</w:t>
      </w:r>
      <w:r w:rsidR="00585579">
        <w:t>, an exchange took place</w:t>
      </w:r>
      <w:r w:rsidR="001A267A">
        <w:t xml:space="preserve"> between Jay and Wilson. </w:t>
      </w:r>
      <w:r w:rsidR="00BD7E5B">
        <w:t>Wilson</w:t>
      </w:r>
      <w:r w:rsidR="00255EDC">
        <w:t xml:space="preserve"> was sitting outside his room</w:t>
      </w:r>
      <w:r w:rsidR="00C75F17">
        <w:t xml:space="preserve"> with two of his </w:t>
      </w:r>
      <w:r w:rsidR="00135BAE">
        <w:t>companions</w:t>
      </w:r>
      <w:r w:rsidR="00C75F17">
        <w:t xml:space="preserve">, Tony </w:t>
      </w:r>
      <w:r w:rsidR="00074CA9">
        <w:t>D</w:t>
      </w:r>
      <w:r w:rsidR="00135BAE">
        <w:t xml:space="preserve"> and Kenny G</w:t>
      </w:r>
      <w:r w:rsidR="00F36B1C">
        <w:t>ray</w:t>
      </w:r>
      <w:r w:rsidR="000C28E3">
        <w:t xml:space="preserve"> (“Gray”)</w:t>
      </w:r>
      <w:r w:rsidR="00F36B1C">
        <w:t>.</w:t>
      </w:r>
      <w:r w:rsidR="000C5782">
        <w:t xml:space="preserve"> (Kenny Gray’s Interview</w:t>
      </w:r>
      <w:r w:rsidR="00797963">
        <w:t xml:space="preserve"> </w:t>
      </w:r>
      <w:r w:rsidR="00797963">
        <w:t>¶</w:t>
      </w:r>
      <w:r w:rsidR="00797963">
        <w:t xml:space="preserve"> 98)</w:t>
      </w:r>
      <w:r w:rsidR="112D831F">
        <w:t>.</w:t>
      </w:r>
      <w:r w:rsidR="00F36B1C">
        <w:t xml:space="preserve"> </w:t>
      </w:r>
      <w:r w:rsidR="008C519A">
        <w:t>At least</w:t>
      </w:r>
      <w:r w:rsidR="004C1EA7">
        <w:t xml:space="preserve"> Gray</w:t>
      </w:r>
      <w:r w:rsidR="004C1EA7">
        <w:t xml:space="preserve"> </w:t>
      </w:r>
      <w:r w:rsidR="00844817">
        <w:t xml:space="preserve">had smoked </w:t>
      </w:r>
      <w:r w:rsidR="005A7062">
        <w:t>we</w:t>
      </w:r>
      <w:r w:rsidR="601A4207">
        <w:t>ed</w:t>
      </w:r>
      <w:r w:rsidR="007965DE">
        <w:t xml:space="preserve"> prior to the encounter and</w:t>
      </w:r>
      <w:r w:rsidR="008C519A">
        <w:t xml:space="preserve"> both Gray and Tony D</w:t>
      </w:r>
      <w:r w:rsidR="007965DE">
        <w:t xml:space="preserve"> appeared “high as kites” according to Jay</w:t>
      </w:r>
      <w:r w:rsidR="0027153E">
        <w:t xml:space="preserve">. </w:t>
      </w:r>
      <w:r w:rsidR="009773F3" w:rsidRPr="132E83FC">
        <w:rPr>
          <w:i/>
        </w:rPr>
        <w:t xml:space="preserve">Id. </w:t>
      </w:r>
      <w:r w:rsidR="009773F3">
        <w:t xml:space="preserve">at ¶ </w:t>
      </w:r>
      <w:r w:rsidR="00F33361">
        <w:t>163-165</w:t>
      </w:r>
      <w:r w:rsidR="003F5A2A">
        <w:t xml:space="preserve">; </w:t>
      </w:r>
      <w:r w:rsidR="003F5A2A">
        <w:t>Jay Cameron’s Interview ¶</w:t>
      </w:r>
      <w:r w:rsidR="003F5A2A">
        <w:t xml:space="preserve"> 99.</w:t>
      </w:r>
      <w:r w:rsidR="00B761E9">
        <w:t xml:space="preserve"> </w:t>
      </w:r>
      <w:r w:rsidR="00BD7E5B">
        <w:t>As Jay passed</w:t>
      </w:r>
      <w:r w:rsidR="00135BAE">
        <w:t xml:space="preserve"> by, </w:t>
      </w:r>
      <w:r w:rsidR="005B5FFD">
        <w:t xml:space="preserve">Jay recounts that </w:t>
      </w:r>
      <w:r w:rsidR="00135BAE">
        <w:t xml:space="preserve">Wilson </w:t>
      </w:r>
      <w:r w:rsidR="00AA689E">
        <w:t xml:space="preserve">threatened </w:t>
      </w:r>
      <w:r w:rsidR="00C361A1">
        <w:t>Jay, telling him</w:t>
      </w:r>
      <w:r w:rsidR="003D305C">
        <w:t xml:space="preserve"> to</w:t>
      </w:r>
      <w:r w:rsidR="00C361A1">
        <w:t xml:space="preserve"> “</w:t>
      </w:r>
      <w:r w:rsidR="003D305C">
        <w:t>[k]</w:t>
      </w:r>
      <w:r w:rsidR="00C361A1">
        <w:t>eep your distance, or else</w:t>
      </w:r>
      <w:r w:rsidR="003D305C">
        <w:t xml:space="preserve">” and </w:t>
      </w:r>
      <w:r w:rsidR="00413043">
        <w:t xml:space="preserve">“[y]ou’re a dead man walking”. </w:t>
      </w:r>
      <w:r w:rsidR="004B5BD2">
        <w:t>(</w:t>
      </w:r>
      <w:r w:rsidR="004B5BD2">
        <w:t xml:space="preserve">Jay Cameron’s Interview ¶¶ </w:t>
      </w:r>
      <w:r w:rsidR="000552B4">
        <w:t>54-</w:t>
      </w:r>
      <w:r w:rsidR="00655FFB">
        <w:t>57</w:t>
      </w:r>
      <w:r w:rsidR="004B5BD2">
        <w:t>)</w:t>
      </w:r>
      <w:r w:rsidR="77BABE2C">
        <w:t>.</w:t>
      </w:r>
      <w:r w:rsidR="00655FFB">
        <w:t xml:space="preserve"> </w:t>
      </w:r>
      <w:r w:rsidR="00356C46">
        <w:t>Jay</w:t>
      </w:r>
      <w:r w:rsidR="324045FB">
        <w:t>’s</w:t>
      </w:r>
      <w:r w:rsidR="00832C00">
        <w:t xml:space="preserve"> only responses were to state that he wasn’t scared of Wilson and </w:t>
      </w:r>
      <w:r w:rsidR="00CE391C">
        <w:t xml:space="preserve">an off-the-cuff clarification that he was </w:t>
      </w:r>
      <w:r w:rsidR="00CE391C">
        <w:lastRenderedPageBreak/>
        <w:t>talking to Wilson and not someone else.</w:t>
      </w:r>
      <w:r w:rsidR="00C42CE9">
        <w:t xml:space="preserve"> </w:t>
      </w:r>
      <w:r w:rsidR="00C42CE9" w:rsidRPr="132E83FC">
        <w:rPr>
          <w:i/>
        </w:rPr>
        <w:t xml:space="preserve">Id. </w:t>
      </w:r>
      <w:r w:rsidR="00500536">
        <w:t>S</w:t>
      </w:r>
      <w:r w:rsidR="00C42CE9">
        <w:t xml:space="preserve">haken by the exchange, </w:t>
      </w:r>
      <w:r w:rsidR="00E970F5">
        <w:t xml:space="preserve">Jay Cameron moved on and proceeded to breakfast with his brother. </w:t>
      </w:r>
      <w:r w:rsidR="004B5BD2" w:rsidRPr="132E83FC">
        <w:rPr>
          <w:i/>
        </w:rPr>
        <w:t>Id</w:t>
      </w:r>
      <w:r w:rsidR="00E970F5">
        <w:t>. at</w:t>
      </w:r>
      <w:r w:rsidR="004B5BD2">
        <w:t xml:space="preserve"> </w:t>
      </w:r>
      <w:r w:rsidR="004B5BD2">
        <w:t>¶</w:t>
      </w:r>
      <w:r w:rsidR="004B5BD2">
        <w:t xml:space="preserve"> </w:t>
      </w:r>
      <w:r w:rsidR="00437705">
        <w:t xml:space="preserve">59. </w:t>
      </w:r>
    </w:p>
    <w:p w14:paraId="1CFEE34F" w14:textId="301B8701" w:rsidR="00FD1BB0" w:rsidRDefault="00500536" w:rsidP="001A267A">
      <w:pPr>
        <w:spacing w:after="160"/>
        <w:ind w:firstLine="720"/>
      </w:pPr>
      <w:r>
        <w:t xml:space="preserve">Upon returning to the Boals Motel around </w:t>
      </w:r>
      <w:r w:rsidR="00F667EE">
        <w:t>10:30 A.M.</w:t>
      </w:r>
      <w:r w:rsidR="002A137F">
        <w:t xml:space="preserve">, </w:t>
      </w:r>
      <w:r w:rsidR="00D01044">
        <w:t xml:space="preserve">Jay noticed that Wilson, </w:t>
      </w:r>
      <w:r w:rsidR="002B3171">
        <w:t>Gray,</w:t>
      </w:r>
      <w:r w:rsidR="00D01044">
        <w:t xml:space="preserve"> and </w:t>
      </w:r>
      <w:r w:rsidR="002B3171">
        <w:t>Tony D</w:t>
      </w:r>
      <w:r w:rsidR="00D01044">
        <w:t xml:space="preserve"> were still near the breezeway entrance</w:t>
      </w:r>
      <w:r w:rsidR="003D4521">
        <w:t>.</w:t>
      </w:r>
      <w:r w:rsidR="002B3171" w:rsidRPr="132E83FC">
        <w:rPr>
          <w:i/>
        </w:rPr>
        <w:t xml:space="preserve"> </w:t>
      </w:r>
      <w:r w:rsidR="002B3171" w:rsidRPr="132E83FC">
        <w:rPr>
          <w:i/>
        </w:rPr>
        <w:t>Id</w:t>
      </w:r>
      <w:r w:rsidR="002B3171">
        <w:t xml:space="preserve">. at ¶ </w:t>
      </w:r>
      <w:r w:rsidR="00C17E46">
        <w:t>98.</w:t>
      </w:r>
      <w:r w:rsidR="003D4521">
        <w:t xml:space="preserve"> </w:t>
      </w:r>
      <w:r w:rsidR="00252B88">
        <w:t xml:space="preserve">Before </w:t>
      </w:r>
      <w:r w:rsidR="003D4521">
        <w:t xml:space="preserve">Jay </w:t>
      </w:r>
      <w:r w:rsidR="00252B88">
        <w:t xml:space="preserve">and Greg </w:t>
      </w:r>
      <w:r w:rsidR="003D4521">
        <w:t xml:space="preserve">Cameron </w:t>
      </w:r>
      <w:r w:rsidR="00252B88">
        <w:t xml:space="preserve">got to the breezeway, Jay </w:t>
      </w:r>
      <w:r w:rsidR="00CC7C98">
        <w:t xml:space="preserve">saw Wilson holding </w:t>
      </w:r>
      <w:r w:rsidR="003D4521">
        <w:t xml:space="preserve">a black object in </w:t>
      </w:r>
      <w:r w:rsidR="004B424F">
        <w:t>his pocket</w:t>
      </w:r>
      <w:r w:rsidR="002F7601">
        <w:t xml:space="preserve"> that appeared to be a gun. </w:t>
      </w:r>
      <w:r w:rsidR="00C17E46" w:rsidRPr="132E83FC">
        <w:rPr>
          <w:i/>
        </w:rPr>
        <w:t>Id</w:t>
      </w:r>
      <w:r w:rsidR="00C17E46">
        <w:t>. at ¶¶</w:t>
      </w:r>
      <w:r w:rsidR="00C17E46">
        <w:t xml:space="preserve"> </w:t>
      </w:r>
      <w:r w:rsidR="0004515C">
        <w:t xml:space="preserve">87-92. </w:t>
      </w:r>
      <w:r w:rsidR="00081AAE">
        <w:t xml:space="preserve">In response to the </w:t>
      </w:r>
      <w:r w:rsidR="00F332EF">
        <w:t xml:space="preserve">appearance of Wilson holding a gun, </w:t>
      </w:r>
      <w:r w:rsidR="00BE6162">
        <w:t xml:space="preserve">Jay </w:t>
      </w:r>
      <w:r w:rsidR="00FC1E54">
        <w:t>made</w:t>
      </w:r>
      <w:r w:rsidR="00F332EF">
        <w:t xml:space="preserve"> </w:t>
      </w:r>
      <w:r w:rsidR="003116BF">
        <w:t>the shape of a gun with his left hand and said, “pop pop”</w:t>
      </w:r>
      <w:r w:rsidR="00546C45">
        <w:t xml:space="preserve"> as a warning to Wilson that he was armed.</w:t>
      </w:r>
      <w:r w:rsidR="00AC4B71">
        <w:t xml:space="preserve"> </w:t>
      </w:r>
      <w:r w:rsidR="00E20F5A" w:rsidRPr="132E83FC">
        <w:rPr>
          <w:i/>
        </w:rPr>
        <w:t>Id</w:t>
      </w:r>
      <w:r w:rsidR="00E20F5A">
        <w:t xml:space="preserve">. at ¶¶ </w:t>
      </w:r>
      <w:r w:rsidR="00F5472F">
        <w:t>71-77</w:t>
      </w:r>
      <w:r w:rsidR="00E20F5A">
        <w:t xml:space="preserve">; </w:t>
      </w:r>
      <w:r w:rsidR="00E20F5A" w:rsidRPr="132E83FC">
        <w:rPr>
          <w:i/>
        </w:rPr>
        <w:t>see also</w:t>
      </w:r>
      <w:r w:rsidR="002A6FB2">
        <w:t xml:space="preserve"> </w:t>
      </w:r>
      <w:r w:rsidR="002A6FB2">
        <w:t>First PPD Incident Report at ¶</w:t>
      </w:r>
      <w:r w:rsidR="00067CCF">
        <w:t>5</w:t>
      </w:r>
      <w:r w:rsidR="001A19D6">
        <w:t xml:space="preserve"> (Gray confirming Jay said “pop pop”</w:t>
      </w:r>
      <w:r w:rsidR="006C26DD">
        <w:t xml:space="preserve"> to police</w:t>
      </w:r>
      <w:r w:rsidR="001A19D6">
        <w:t>)</w:t>
      </w:r>
      <w:r w:rsidR="00F5472F">
        <w:t>.</w:t>
      </w:r>
      <w:r w:rsidR="00324812">
        <w:t xml:space="preserve"> </w:t>
      </w:r>
      <w:r w:rsidR="001930A2">
        <w:t xml:space="preserve">Jay </w:t>
      </w:r>
      <w:r w:rsidR="00A30A2D">
        <w:t>then</w:t>
      </w:r>
      <w:r w:rsidR="001930A2">
        <w:t xml:space="preserve"> saw Wilson </w:t>
      </w:r>
      <w:r w:rsidR="00E447B0">
        <w:t>pull an object out of his pocket</w:t>
      </w:r>
      <w:r w:rsidR="00A30A2D">
        <w:t xml:space="preserve">, which he assumed to be Wilson’s gun. </w:t>
      </w:r>
      <w:r w:rsidR="00195B94" w:rsidRPr="132E83FC">
        <w:rPr>
          <w:i/>
        </w:rPr>
        <w:t>Id</w:t>
      </w:r>
      <w:r w:rsidR="00195B94">
        <w:t xml:space="preserve">. at ¶¶ </w:t>
      </w:r>
      <w:r w:rsidR="00226653">
        <w:t>94-95.</w:t>
      </w:r>
      <w:r w:rsidR="00546C45">
        <w:t xml:space="preserve"> </w:t>
      </w:r>
      <w:r w:rsidR="00F973CC">
        <w:t xml:space="preserve">According to Wilson, Wilson </w:t>
      </w:r>
      <w:r w:rsidR="00ED692D">
        <w:t xml:space="preserve">did not </w:t>
      </w:r>
      <w:r w:rsidR="00D572A2">
        <w:t>have a</w:t>
      </w:r>
      <w:r w:rsidR="00ED692D">
        <w:t xml:space="preserve"> gun in his </w:t>
      </w:r>
      <w:r w:rsidR="00277380">
        <w:t>pocket</w:t>
      </w:r>
      <w:r w:rsidR="005247B8">
        <w:t xml:space="preserve"> at that time</w:t>
      </w:r>
      <w:r w:rsidR="00277380">
        <w:t xml:space="preserve"> but</w:t>
      </w:r>
      <w:r w:rsidR="00ED692D">
        <w:t xml:space="preserve"> took Tony D's gun before following </w:t>
      </w:r>
      <w:r w:rsidR="00D572A2">
        <w:t xml:space="preserve">Jay into the breezeway. </w:t>
      </w:r>
      <w:r w:rsidR="004032DB">
        <w:t xml:space="preserve">(Ryan Wilson’s Interview </w:t>
      </w:r>
      <w:r w:rsidR="004032DB">
        <w:t>¶</w:t>
      </w:r>
      <w:r w:rsidR="009A08A6">
        <w:t xml:space="preserve"> 143)</w:t>
      </w:r>
      <w:r w:rsidR="52DCF23E">
        <w:t>.</w:t>
      </w:r>
      <w:r w:rsidR="00F608E1">
        <w:t xml:space="preserve"> Gray was unable to confirm </w:t>
      </w:r>
      <w:r w:rsidR="004C665E">
        <w:t xml:space="preserve">where Wilson got his gun, but saw Wilson put </w:t>
      </w:r>
      <w:r w:rsidR="0025002E">
        <w:t>something in his front pocket immediately after Wilson and Jay’s 9:45</w:t>
      </w:r>
      <w:r w:rsidR="005653DA">
        <w:t xml:space="preserve"> A.M.</w:t>
      </w:r>
      <w:r w:rsidR="0025002E">
        <w:t xml:space="preserve"> encounter.</w:t>
      </w:r>
      <w:r w:rsidR="007436DF">
        <w:t xml:space="preserve"> </w:t>
      </w:r>
      <w:r w:rsidR="00646098">
        <w:t>(First PPD Incident Report at ¶</w:t>
      </w:r>
      <w:r w:rsidR="00D472D9">
        <w:t>4</w:t>
      </w:r>
      <w:r w:rsidR="00646098">
        <w:t>)</w:t>
      </w:r>
    </w:p>
    <w:p w14:paraId="0E8E141D" w14:textId="13249DEA" w:rsidR="00500536" w:rsidRPr="00C42CE9" w:rsidRDefault="00FC1E54" w:rsidP="001A267A">
      <w:pPr>
        <w:spacing w:after="160"/>
        <w:ind w:firstLine="720"/>
      </w:pPr>
      <w:r>
        <w:t xml:space="preserve">Jay proceeded </w:t>
      </w:r>
      <w:r w:rsidR="00C744A4">
        <w:t>into the breezeway</w:t>
      </w:r>
      <w:r w:rsidR="00640A8F">
        <w:t xml:space="preserve"> when he heard a </w:t>
      </w:r>
      <w:r w:rsidR="00454ED3">
        <w:t>shout from behind him</w:t>
      </w:r>
      <w:r w:rsidR="00226653">
        <w:t xml:space="preserve"> that </w:t>
      </w:r>
      <w:r w:rsidR="00332569">
        <w:t>sounded like a warning</w:t>
      </w:r>
      <w:r w:rsidR="00D572A2">
        <w:t>, which prompted him to look back</w:t>
      </w:r>
      <w:r w:rsidR="00454ED3">
        <w:t>.</w:t>
      </w:r>
      <w:r w:rsidR="00D572A2">
        <w:t xml:space="preserve"> Jay Cameron’s Interview ¶¶</w:t>
      </w:r>
      <w:r w:rsidR="00277380">
        <w:t xml:space="preserve"> </w:t>
      </w:r>
      <w:r w:rsidR="00BD3D39">
        <w:t>109-110</w:t>
      </w:r>
      <w:r w:rsidR="00785A8D">
        <w:t xml:space="preserve">; </w:t>
      </w:r>
      <w:r w:rsidR="00B05357" w:rsidRPr="132E83FC">
        <w:rPr>
          <w:i/>
        </w:rPr>
        <w:t>see also</w:t>
      </w:r>
      <w:r w:rsidR="00B05357">
        <w:t xml:space="preserve"> </w:t>
      </w:r>
      <w:r w:rsidR="0092220B">
        <w:t>Greg Cameron’s Interview ¶</w:t>
      </w:r>
      <w:r w:rsidR="009E0A39">
        <w:t xml:space="preserve"> 149.</w:t>
      </w:r>
      <w:r w:rsidR="00454ED3">
        <w:t xml:space="preserve"> Turning around, Jay </w:t>
      </w:r>
      <w:r w:rsidR="00B736E9">
        <w:t>drew his gun</w:t>
      </w:r>
      <w:r w:rsidR="00846A00">
        <w:t>, saw</w:t>
      </w:r>
      <w:r w:rsidR="00A92F31">
        <w:t xml:space="preserve"> </w:t>
      </w:r>
      <w:r w:rsidR="00A83653">
        <w:t>Wilson with his gun</w:t>
      </w:r>
      <w:r w:rsidR="00846A00">
        <w:t xml:space="preserve"> pointed at Jay, </w:t>
      </w:r>
      <w:r w:rsidR="00327145">
        <w:t>Wilson shot at Jay, and Jay returned fire</w:t>
      </w:r>
      <w:r w:rsidR="00BD3D39">
        <w:t xml:space="preserve">. </w:t>
      </w:r>
      <w:r w:rsidR="009E0A39">
        <w:t xml:space="preserve">(Jay Cameron’s Interview ¶¶ </w:t>
      </w:r>
      <w:r w:rsidR="00227520">
        <w:t>110-115</w:t>
      </w:r>
      <w:r w:rsidR="009E0A39">
        <w:t>)</w:t>
      </w:r>
      <w:r w:rsidR="620C87AB">
        <w:t>.</w:t>
      </w:r>
      <w:r w:rsidR="00C731F9">
        <w:t xml:space="preserve"> Both men were hit in initial exchange</w:t>
      </w:r>
      <w:r w:rsidR="00F95421">
        <w:t xml:space="preserve">: Jay in the </w:t>
      </w:r>
      <w:r w:rsidR="00231F72">
        <w:t xml:space="preserve">right side of his stomach and Wilson in the left shoulder. </w:t>
      </w:r>
      <w:r w:rsidR="00B05357" w:rsidRPr="132E83FC">
        <w:rPr>
          <w:i/>
        </w:rPr>
        <w:t>Id</w:t>
      </w:r>
      <w:r w:rsidR="00B05357">
        <w:t xml:space="preserve">. at ¶¶ </w:t>
      </w:r>
      <w:r w:rsidR="00AB158B">
        <w:t xml:space="preserve">118-119. </w:t>
      </w:r>
      <w:r w:rsidR="003A4499">
        <w:t xml:space="preserve">As Wilson </w:t>
      </w:r>
      <w:r w:rsidR="00A64BAB">
        <w:t>stumbled backwards, spinning toward the left</w:t>
      </w:r>
      <w:r w:rsidR="00072523">
        <w:t>,</w:t>
      </w:r>
      <w:r w:rsidR="00A64BAB">
        <w:t xml:space="preserve"> Wilson kept his gun pointed at </w:t>
      </w:r>
      <w:r w:rsidR="00072523">
        <w:t xml:space="preserve">Jay, prompting Jay to </w:t>
      </w:r>
      <w:r w:rsidR="00072523">
        <w:lastRenderedPageBreak/>
        <w:t>shoot ag</w:t>
      </w:r>
      <w:r w:rsidR="00904CDF">
        <w:t xml:space="preserve">ain. </w:t>
      </w:r>
      <w:r w:rsidR="00B05357" w:rsidRPr="132E83FC">
        <w:rPr>
          <w:i/>
        </w:rPr>
        <w:t>Id</w:t>
      </w:r>
      <w:r w:rsidR="00B05357">
        <w:t xml:space="preserve">. at ¶¶ </w:t>
      </w:r>
      <w:r w:rsidR="00AB158B">
        <w:t>120-</w:t>
      </w:r>
      <w:r w:rsidR="003B04B3">
        <w:t xml:space="preserve">124. </w:t>
      </w:r>
      <w:r w:rsidR="00904CDF">
        <w:t>The second shot hit Wilson in the lower back</w:t>
      </w:r>
      <w:r w:rsidR="00A934DD">
        <w:t>, and Wilson dropped his gun</w:t>
      </w:r>
      <w:r w:rsidR="0094261D">
        <w:t xml:space="preserve"> and fell to the ground</w:t>
      </w:r>
      <w:r w:rsidR="001E1821">
        <w:t xml:space="preserve">. </w:t>
      </w:r>
      <w:r w:rsidR="00B05357" w:rsidRPr="132E83FC">
        <w:rPr>
          <w:i/>
        </w:rPr>
        <w:t>Id</w:t>
      </w:r>
      <w:r w:rsidR="00B05357">
        <w:t>. at ¶</w:t>
      </w:r>
      <w:r w:rsidR="00B05357">
        <w:t xml:space="preserve"> </w:t>
      </w:r>
      <w:r w:rsidR="003B04B3">
        <w:t xml:space="preserve">124. </w:t>
      </w:r>
      <w:r w:rsidR="008A3D81">
        <w:t xml:space="preserve">Jay </w:t>
      </w:r>
      <w:r w:rsidR="002B0A1D">
        <w:t xml:space="preserve">told Greg Cameron to take Wilson’s gun to prevent any further </w:t>
      </w:r>
      <w:r w:rsidR="00C26B27">
        <w:t xml:space="preserve">shooting, and both ran back to Jay’s room where they </w:t>
      </w:r>
      <w:r w:rsidR="00BF047E">
        <w:t>left both gun</w:t>
      </w:r>
      <w:r w:rsidR="005F5E8D">
        <w:t xml:space="preserve">s and </w:t>
      </w:r>
      <w:r w:rsidR="000E4EDD">
        <w:t xml:space="preserve">Greg Cameron </w:t>
      </w:r>
      <w:r w:rsidR="005F5E8D">
        <w:t>proceeded to</w:t>
      </w:r>
      <w:r w:rsidR="000E4EDD">
        <w:t xml:space="preserve"> drive Jay to</w:t>
      </w:r>
      <w:r w:rsidR="005F5E8D">
        <w:t xml:space="preserve"> the hospital. </w:t>
      </w:r>
      <w:r w:rsidR="00B05357" w:rsidRPr="132E83FC">
        <w:rPr>
          <w:i/>
        </w:rPr>
        <w:t>Id</w:t>
      </w:r>
      <w:r w:rsidR="00B05357">
        <w:t xml:space="preserve">. at ¶¶ </w:t>
      </w:r>
      <w:r w:rsidR="00843041">
        <w:t>129-131</w:t>
      </w:r>
      <w:r w:rsidR="00B05357">
        <w:t xml:space="preserve">, </w:t>
      </w:r>
      <w:r w:rsidR="00843041">
        <w:t>140-</w:t>
      </w:r>
      <w:r w:rsidR="00845AEF">
        <w:t>141, 145-</w:t>
      </w:r>
      <w:r w:rsidR="00CC7ED9">
        <w:t>146.</w:t>
      </w:r>
      <w:r w:rsidR="00890409">
        <w:t xml:space="preserve"> </w:t>
      </w:r>
      <w:r w:rsidR="00F33D3E">
        <w:t xml:space="preserve">Greg and Jay Cameron were both </w:t>
      </w:r>
      <w:r w:rsidR="00C75ECF">
        <w:t>interviewed</w:t>
      </w:r>
      <w:r w:rsidR="00F33D3E">
        <w:t xml:space="preserve"> on August 6, 2022. </w:t>
      </w:r>
      <w:r w:rsidR="000C610A" w:rsidRPr="132E83FC">
        <w:rPr>
          <w:i/>
        </w:rPr>
        <w:t>Id</w:t>
      </w:r>
      <w:r w:rsidR="000C610A">
        <w:t>. at ¶</w:t>
      </w:r>
      <w:r w:rsidR="000C610A">
        <w:t xml:space="preserve"> 26; Greg Cameron’s Interview</w:t>
      </w:r>
      <w:r w:rsidR="0026472E">
        <w:t xml:space="preserve"> </w:t>
      </w:r>
      <w:r w:rsidR="0026472E">
        <w:t>¶</w:t>
      </w:r>
      <w:r w:rsidR="0092220B">
        <w:t xml:space="preserve"> 39.</w:t>
      </w:r>
    </w:p>
    <w:p w14:paraId="31274E99" w14:textId="20A77382" w:rsidR="00753DB7" w:rsidRDefault="00DD6D8C" w:rsidP="00DD6D8C">
      <w:pPr>
        <w:spacing w:after="160"/>
        <w:ind w:firstLine="720"/>
      </w:pPr>
      <w:r>
        <w:t xml:space="preserve">Immediately </w:t>
      </w:r>
      <w:r w:rsidR="00FD31D0">
        <w:t xml:space="preserve">after the shooting, </w:t>
      </w:r>
      <w:r w:rsidR="00415435">
        <w:t>Gray</w:t>
      </w:r>
      <w:r w:rsidR="00FD31D0">
        <w:t xml:space="preserve"> called </w:t>
      </w:r>
      <w:r w:rsidR="0063045D">
        <w:t>e</w:t>
      </w:r>
      <w:r w:rsidR="001013EF">
        <w:t>mergency services</w:t>
      </w:r>
      <w:r w:rsidR="0079376A">
        <w:t>.</w:t>
      </w:r>
      <w:r w:rsidR="00CA3781">
        <w:t xml:space="preserve"> </w:t>
      </w:r>
      <w:r w:rsidR="00B74A30">
        <w:t>(</w:t>
      </w:r>
      <w:r w:rsidR="00B74A30">
        <w:t>First PPD Incident Report at ¶</w:t>
      </w:r>
      <w:r w:rsidR="00223A6A">
        <w:t>6</w:t>
      </w:r>
      <w:r w:rsidR="00B74A30">
        <w:t>)</w:t>
      </w:r>
      <w:r w:rsidR="001D2C76">
        <w:t>.</w:t>
      </w:r>
      <w:r w:rsidR="00B74A30">
        <w:t xml:space="preserve"> </w:t>
      </w:r>
      <w:r w:rsidR="00CA3781">
        <w:t xml:space="preserve">Gray </w:t>
      </w:r>
      <w:r w:rsidR="008D7F50">
        <w:t>was interviewed by the polic</w:t>
      </w:r>
      <w:r w:rsidR="005433DC">
        <w:t>e later that same day</w:t>
      </w:r>
      <w:r w:rsidR="00D20DB8">
        <w:t xml:space="preserve"> after a police officer paid </w:t>
      </w:r>
      <w:r w:rsidR="00646098">
        <w:t xml:space="preserve">him $150 total </w:t>
      </w:r>
      <w:r w:rsidR="00D20DB8">
        <w:t>for the information</w:t>
      </w:r>
      <w:r w:rsidR="005433DC">
        <w:t>.</w:t>
      </w:r>
      <w:r w:rsidR="00223A6A" w:rsidRPr="132E83FC">
        <w:rPr>
          <w:i/>
        </w:rPr>
        <w:t xml:space="preserve"> </w:t>
      </w:r>
      <w:r w:rsidR="00223A6A" w:rsidRPr="132E83FC">
        <w:rPr>
          <w:i/>
        </w:rPr>
        <w:t>Id</w:t>
      </w:r>
      <w:r w:rsidR="00223A6A">
        <w:t xml:space="preserve">. at ¶ </w:t>
      </w:r>
      <w:r w:rsidR="00286CB8">
        <w:t>2,</w:t>
      </w:r>
      <w:r w:rsidR="5CE87206">
        <w:t xml:space="preserve"> </w:t>
      </w:r>
      <w:r w:rsidR="00223A6A">
        <w:t>7</w:t>
      </w:r>
      <w:r w:rsidR="00286CB8">
        <w:t>.</w:t>
      </w:r>
      <w:r w:rsidR="005433DC">
        <w:t xml:space="preserve"> </w:t>
      </w:r>
      <w:r w:rsidR="00FE1D34">
        <w:t>Wilson was subsequ</w:t>
      </w:r>
      <w:r w:rsidR="007E554C">
        <w:t xml:space="preserve">ently transported to </w:t>
      </w:r>
      <w:r w:rsidR="00506ADE">
        <w:t xml:space="preserve">Petersburg General </w:t>
      </w:r>
      <w:r w:rsidR="00B0467F">
        <w:t>H</w:t>
      </w:r>
      <w:r w:rsidR="00506ADE">
        <w:t>os</w:t>
      </w:r>
      <w:r w:rsidR="00413874">
        <w:t>pital, where he was in recovery for a full week</w:t>
      </w:r>
      <w:r w:rsidR="006114C9">
        <w:t xml:space="preserve"> before </w:t>
      </w:r>
      <w:r w:rsidR="00F6709E">
        <w:t>the</w:t>
      </w:r>
      <w:r w:rsidR="00A31EF3">
        <w:t xml:space="preserve"> police</w:t>
      </w:r>
      <w:r w:rsidR="00F6709E">
        <w:t xml:space="preserve"> were able to interview him</w:t>
      </w:r>
      <w:r w:rsidR="00A31EF3">
        <w:t xml:space="preserve"> about the shooting incident. </w:t>
      </w:r>
      <w:r w:rsidR="00492C9B">
        <w:t xml:space="preserve">(Ryan Wilson’s Interview ¶ </w:t>
      </w:r>
      <w:r w:rsidR="00492C9B">
        <w:t>2</w:t>
      </w:r>
      <w:r w:rsidR="00492C9B">
        <w:t>3</w:t>
      </w:r>
      <w:r w:rsidR="00492C9B">
        <w:t>)</w:t>
      </w:r>
      <w:r w:rsidR="77A3587E">
        <w:t>.</w:t>
      </w:r>
      <w:r w:rsidR="00376154">
        <w:t xml:space="preserve"> </w:t>
      </w:r>
    </w:p>
    <w:p w14:paraId="69662A36" w14:textId="77777777" w:rsidR="000B4F8A" w:rsidRPr="00F812D2" w:rsidRDefault="000B4F8A" w:rsidP="007976C9">
      <w:pPr>
        <w:spacing w:after="160"/>
        <w:rPr>
          <w:szCs w:val="26"/>
        </w:rPr>
      </w:pPr>
    </w:p>
    <w:p w14:paraId="10F9995F" w14:textId="527D94CC" w:rsidR="00753DB7" w:rsidRPr="00F812D2" w:rsidRDefault="00753DB7" w:rsidP="004104A0">
      <w:pPr>
        <w:spacing w:after="160"/>
        <w:jc w:val="left"/>
        <w:rPr>
          <w:szCs w:val="26"/>
        </w:rPr>
      </w:pPr>
      <w:r w:rsidRPr="00F812D2">
        <w:rPr>
          <w:szCs w:val="26"/>
        </w:rPr>
        <w:br w:type="page"/>
      </w:r>
    </w:p>
    <w:p w14:paraId="36C2344C" w14:textId="54270486" w:rsidR="00753DB7" w:rsidRPr="00F812D2" w:rsidRDefault="00753DB7" w:rsidP="007B2A5E">
      <w:pPr>
        <w:pStyle w:val="Heading1"/>
      </w:pPr>
      <w:bookmarkStart w:id="47" w:name="_Toc176088922"/>
      <w:r w:rsidRPr="00F812D2">
        <w:lastRenderedPageBreak/>
        <w:t>ARGUMENT</w:t>
      </w:r>
      <w:bookmarkEnd w:id="47"/>
    </w:p>
    <w:p w14:paraId="0CB48645" w14:textId="4E68DA5A" w:rsidR="00C235BA" w:rsidRDefault="006F64E9" w:rsidP="00880858">
      <w:pPr>
        <w:spacing w:after="160"/>
      </w:pPr>
      <w:r>
        <w:rPr>
          <w:szCs w:val="26"/>
        </w:rPr>
        <w:tab/>
      </w:r>
      <w:r w:rsidR="00E13A0F" w:rsidRPr="276B4DDC">
        <w:t xml:space="preserve">Under Stetson’s Stand Your Ground </w:t>
      </w:r>
      <w:r w:rsidR="00457705">
        <w:t>Immunity statute</w:t>
      </w:r>
      <w:r w:rsidR="00F23769">
        <w:t>s</w:t>
      </w:r>
      <w:r w:rsidR="00E13A0F" w:rsidRPr="276B4DDC">
        <w:t xml:space="preserve">, a person </w:t>
      </w:r>
      <w:r w:rsidR="00C235BA">
        <w:t xml:space="preserve">has prima facie </w:t>
      </w:r>
      <w:r w:rsidR="00E13A0F" w:rsidRPr="276B4DDC">
        <w:t xml:space="preserve"> immun</w:t>
      </w:r>
      <w:r w:rsidR="00C235BA">
        <w:t>ity</w:t>
      </w:r>
      <w:r w:rsidR="00E13A0F" w:rsidRPr="276B4DDC">
        <w:t xml:space="preserve"> from criminal prosecution if they (1) had a reasonable belief that (2) using such force was necessary to prevent imminent death, great bodily harm, or the commission of a forcible felony; and (3) if </w:t>
      </w:r>
      <w:r w:rsidR="00B20D7F">
        <w:t>the person</w:t>
      </w:r>
      <w:r w:rsidR="00E13A0F" w:rsidRPr="276B4DDC">
        <w:t xml:space="preserve"> was</w:t>
      </w:r>
      <w:r w:rsidR="007C0F39">
        <w:t xml:space="preserve"> </w:t>
      </w:r>
      <w:r w:rsidR="00A11240">
        <w:t>“</w:t>
      </w:r>
      <w:r w:rsidR="007C0F39">
        <w:t>not</w:t>
      </w:r>
      <w:r w:rsidR="00E13A0F" w:rsidRPr="276B4DDC">
        <w:t xml:space="preserve"> engaged in criminal activity</w:t>
      </w:r>
      <w:r w:rsidR="007C0F39">
        <w:t xml:space="preserve">, </w:t>
      </w:r>
      <w:r w:rsidR="00107760">
        <w:t xml:space="preserve">is in a place where </w:t>
      </w:r>
      <w:r w:rsidR="00A11240">
        <w:t>he</w:t>
      </w:r>
      <w:r w:rsidR="00107760">
        <w:t xml:space="preserve"> or she has a right to be, and is not the aggressor</w:t>
      </w:r>
      <w:r w:rsidR="00A11240">
        <w:t>”</w:t>
      </w:r>
      <w:r w:rsidR="00E13A0F" w:rsidRPr="276B4DDC">
        <w:t>. Stetson Penal Code §§ 776.012</w:t>
      </w:r>
      <w:r w:rsidR="007A39C5">
        <w:fldChar w:fldCharType="begin"/>
      </w:r>
      <w:r w:rsidR="007A39C5">
        <w:instrText xml:space="preserve"> TA \s "§ 776.012" </w:instrText>
      </w:r>
      <w:r w:rsidR="007A39C5">
        <w:fldChar w:fldCharType="end"/>
      </w:r>
      <w:r w:rsidR="00E13A0F" w:rsidRPr="276B4DDC">
        <w:t>, 776.032</w:t>
      </w:r>
      <w:r w:rsidR="00324F25">
        <w:fldChar w:fldCharType="begin"/>
      </w:r>
      <w:r w:rsidR="00324F25">
        <w:instrText xml:space="preserve"> TA \l "</w:instrText>
      </w:r>
      <w:r w:rsidR="00324F25" w:rsidRPr="00A754B6">
        <w:instrText xml:space="preserve">Stetson Penal Code </w:instrText>
      </w:r>
      <w:r w:rsidR="00324F25" w:rsidRPr="00A754B6">
        <w:instrText>§ 776.032</w:instrText>
      </w:r>
      <w:r w:rsidR="00324F25">
        <w:instrText xml:space="preserve">" \s "§  776.032" \c 2 </w:instrText>
      </w:r>
      <w:r w:rsidR="00324F25">
        <w:fldChar w:fldCharType="end"/>
      </w:r>
      <w:r w:rsidR="00E13A0F" w:rsidRPr="276B4DDC">
        <w:t>.</w:t>
      </w:r>
      <w:r w:rsidR="00A16653">
        <w:t xml:space="preserve"> A prima facie claim is on</w:t>
      </w:r>
      <w:r w:rsidR="00880858">
        <w:t>e</w:t>
      </w:r>
      <w:r w:rsidR="00A16653">
        <w:t xml:space="preserve"> that is sufficient “</w:t>
      </w:r>
      <w:r w:rsidR="00880858">
        <w:t>to establish a fact or raise a presumption unless disproved or rebutted</w:t>
      </w:r>
      <w:r w:rsidR="00880858">
        <w:t xml:space="preserve">”. </w:t>
      </w:r>
      <w:r w:rsidR="00880858" w:rsidRPr="00880858">
        <w:rPr>
          <w:i/>
          <w:iCs/>
        </w:rPr>
        <w:t>Jefferson v. State</w:t>
      </w:r>
      <w:r w:rsidR="00880858">
        <w:t>, 264 So. 3d 1019, 1027 (Fla. Dist. Ct. App. 2018)</w:t>
      </w:r>
      <w:r w:rsidR="00880858">
        <w:t>.</w:t>
      </w:r>
      <w:r w:rsidR="00A0501D">
        <w:fldChar w:fldCharType="begin"/>
      </w:r>
      <w:r w:rsidR="00A0501D">
        <w:instrText xml:space="preserve"> TA \l "</w:instrText>
      </w:r>
      <w:r w:rsidR="00A0501D" w:rsidRPr="00A754B6">
        <w:rPr>
          <w:i/>
          <w:iCs/>
        </w:rPr>
        <w:instrText>Jefferson v. State</w:instrText>
      </w:r>
      <w:r w:rsidR="00A0501D" w:rsidRPr="00A754B6">
        <w:instrText>, 264 So. 3d 1019 (Fla. Dist. Ct. App. 2018)</w:instrText>
      </w:r>
      <w:r w:rsidR="00A0501D" w:rsidRPr="00A754B6">
        <w:instrText>.</w:instrText>
      </w:r>
      <w:r w:rsidR="00A0501D">
        <w:instrText xml:space="preserve">" \s "Jefferson v. State" \c 1 </w:instrText>
      </w:r>
      <w:r w:rsidR="00A0501D">
        <w:fldChar w:fldCharType="end"/>
      </w:r>
      <w:r w:rsidR="00880858">
        <w:t xml:space="preserve"> </w:t>
      </w:r>
    </w:p>
    <w:p w14:paraId="782C0976" w14:textId="13F4AE3E" w:rsidR="002D5BBE" w:rsidRPr="00D078ED" w:rsidRDefault="00C235BA" w:rsidP="0005144A">
      <w:pPr>
        <w:spacing w:after="160"/>
      </w:pPr>
      <w:r>
        <w:tab/>
      </w:r>
      <w:r w:rsidR="00C97932">
        <w:t>Whether</w:t>
      </w:r>
      <w:r w:rsidR="00E13A0F" w:rsidRPr="276B4DDC">
        <w:t> </w:t>
      </w:r>
      <w:r w:rsidR="003A61AF" w:rsidRPr="132E83FC">
        <w:t xml:space="preserve">Jay </w:t>
      </w:r>
      <w:r w:rsidR="00C97932" w:rsidRPr="132E83FC">
        <w:t>has</w:t>
      </w:r>
      <w:r w:rsidR="003A61AF" w:rsidRPr="132E83FC">
        <w:t xml:space="preserve"> a right to be at the Boal Motel </w:t>
      </w:r>
      <w:r w:rsidR="00C97932" w:rsidRPr="132E83FC">
        <w:t xml:space="preserve">is not in contention </w:t>
      </w:r>
      <w:r w:rsidR="003A61AF" w:rsidRPr="132E83FC">
        <w:t xml:space="preserve">because he was a registered guest at the Boal Motel at the time of the </w:t>
      </w:r>
      <w:r w:rsidR="003A61AF" w:rsidRPr="132E83FC">
        <w:t>incident.</w:t>
      </w:r>
      <w:r w:rsidR="003A61AF" w:rsidRPr="132E83FC">
        <w:t xml:space="preserve"> </w:t>
      </w:r>
      <w:r w:rsidR="00A60E1E">
        <w:rPr>
          <w:szCs w:val="26"/>
        </w:rPr>
        <w:t>(</w:t>
      </w:r>
      <w:r w:rsidR="003A61AF" w:rsidRPr="132E83FC">
        <w:t>Exhibit 4</w:t>
      </w:r>
      <w:r w:rsidR="00A60E1E">
        <w:rPr>
          <w:szCs w:val="26"/>
        </w:rPr>
        <w:t>)</w:t>
      </w:r>
      <w:r w:rsidR="0D36D737">
        <w:rPr>
          <w:szCs w:val="26"/>
        </w:rPr>
        <w:t>.</w:t>
      </w:r>
      <w:r w:rsidR="003A61AF" w:rsidRPr="003A61AF">
        <w:rPr>
          <w:szCs w:val="26"/>
        </w:rPr>
        <w:t xml:space="preserve"> </w:t>
      </w:r>
      <w:r w:rsidR="00A519C2" w:rsidRPr="132E83FC">
        <w:t>Similarly, c</w:t>
      </w:r>
      <w:r w:rsidR="003A61AF" w:rsidRPr="132E83FC">
        <w:t xml:space="preserve">ourts have held that public parking lots </w:t>
      </w:r>
      <w:r w:rsidR="00A519C2" w:rsidRPr="132E83FC">
        <w:t>are</w:t>
      </w:r>
      <w:r w:rsidR="003A61AF" w:rsidRPr="132E83FC">
        <w:t xml:space="preserve"> locations where defendants seeking Stand Your Ground </w:t>
      </w:r>
      <w:r w:rsidR="00F5519E" w:rsidRPr="132E83FC">
        <w:t>I</w:t>
      </w:r>
      <w:r w:rsidR="003A61AF" w:rsidRPr="132E83FC">
        <w:t xml:space="preserve">mmunity have a right to be. </w:t>
      </w:r>
      <w:r w:rsidR="00493B76" w:rsidRPr="002534B5">
        <w:rPr>
          <w:rFonts w:eastAsia="Times New Roman"/>
          <w:i/>
          <w:color w:val="000000" w:themeColor="text1"/>
        </w:rPr>
        <w:t>Jimenez v. State</w:t>
      </w:r>
      <w:r w:rsidR="00493B76" w:rsidRPr="002534B5">
        <w:rPr>
          <w:rFonts w:eastAsia="Times New Roman"/>
          <w:color w:val="000000" w:themeColor="text1"/>
        </w:rPr>
        <w:t>, 353 So. 3d 1286, 128</w:t>
      </w:r>
      <w:r w:rsidR="00A0501D">
        <w:rPr>
          <w:rFonts w:eastAsia="Times New Roman"/>
          <w:color w:val="000000" w:themeColor="text1"/>
        </w:rPr>
        <w:t>7</w:t>
      </w:r>
      <w:r w:rsidR="00493B76" w:rsidRPr="002534B5">
        <w:rPr>
          <w:rFonts w:eastAsia="Times New Roman"/>
          <w:color w:val="000000" w:themeColor="text1"/>
        </w:rPr>
        <w:t xml:space="preserve"> (Fla. 2nd Dist. App. 2023)</w:t>
      </w:r>
      <w:r w:rsidR="007A36F5">
        <w:rPr>
          <w:rFonts w:eastAsia="Times New Roman"/>
          <w:color w:val="000000" w:themeColor="text1"/>
        </w:rPr>
        <w:fldChar w:fldCharType="begin"/>
      </w:r>
      <w:r w:rsidR="007A36F5">
        <w:instrText xml:space="preserve"> TA \l "</w:instrText>
      </w:r>
      <w:r w:rsidR="00493B76" w:rsidRPr="002534B5">
        <w:rPr>
          <w:rFonts w:eastAsia="Times New Roman"/>
          <w:i/>
          <w:color w:val="000000" w:themeColor="text1"/>
        </w:rPr>
        <w:instrText>Jimenez v. State</w:instrText>
      </w:r>
      <w:r w:rsidR="00493B76" w:rsidRPr="002534B5">
        <w:rPr>
          <w:rFonts w:eastAsia="Times New Roman"/>
          <w:color w:val="000000" w:themeColor="text1"/>
        </w:rPr>
        <w:instrText>, 353 So. 3d 1286</w:instrText>
      </w:r>
      <w:r w:rsidR="007A36F5" w:rsidRPr="00A754B6">
        <w:rPr>
          <w:rFonts w:eastAsia="Times New Roman"/>
          <w:color w:val="000000" w:themeColor="text1"/>
        </w:rPr>
        <w:instrText xml:space="preserve"> </w:instrText>
      </w:r>
      <w:r w:rsidR="00493B76" w:rsidRPr="002534B5">
        <w:rPr>
          <w:rFonts w:eastAsia="Times New Roman"/>
          <w:color w:val="000000" w:themeColor="text1"/>
        </w:rPr>
        <w:instrText>(Fla. 2nd Dist. App. 2023)</w:instrText>
      </w:r>
      <w:r w:rsidR="007A36F5">
        <w:instrText xml:space="preserve">" \s "Jimenez v. State" \c 1 </w:instrText>
      </w:r>
      <w:r w:rsidR="007A36F5">
        <w:rPr>
          <w:rFonts w:eastAsia="Times New Roman"/>
          <w:color w:val="000000" w:themeColor="text1"/>
        </w:rPr>
        <w:fldChar w:fldCharType="end"/>
      </w:r>
      <w:r w:rsidR="003A61AF" w:rsidRPr="003A61AF">
        <w:rPr>
          <w:szCs w:val="26"/>
        </w:rPr>
        <w:t xml:space="preserve">; </w:t>
      </w:r>
      <w:r w:rsidR="003A61AF" w:rsidRPr="132E83FC">
        <w:rPr>
          <w:i/>
        </w:rPr>
        <w:t>Mobley v. State</w:t>
      </w:r>
      <w:r w:rsidR="003A61AF" w:rsidRPr="132E83FC">
        <w:t>, 132 So. 3d 1160, 1166 (Fla. 3rd Dist. App. 2014)</w:t>
      </w:r>
      <w:r w:rsidR="005764A0">
        <w:fldChar w:fldCharType="begin"/>
      </w:r>
      <w:r w:rsidR="005764A0">
        <w:instrText xml:space="preserve"> TA \l "</w:instrText>
      </w:r>
      <w:r w:rsidR="005764A0" w:rsidRPr="00A754B6">
        <w:rPr>
          <w:i/>
        </w:rPr>
        <w:instrText>Mobley v. State</w:instrText>
      </w:r>
      <w:r w:rsidR="005764A0" w:rsidRPr="00A754B6">
        <w:instrText>, 132 So. 3d 1160 (Fla. 3rd Dist. App. 2014)</w:instrText>
      </w:r>
      <w:r w:rsidR="005764A0">
        <w:instrText xml:space="preserve">" \s "Mobley v. State" \c 1 </w:instrText>
      </w:r>
      <w:r w:rsidR="005764A0">
        <w:fldChar w:fldCharType="end"/>
      </w:r>
      <w:r w:rsidR="003A61AF" w:rsidRPr="132E83FC">
        <w:t xml:space="preserve">; </w:t>
      </w:r>
      <w:r w:rsidR="003A61AF" w:rsidRPr="132E83FC">
        <w:rPr>
          <w:i/>
        </w:rPr>
        <w:t>cf.</w:t>
      </w:r>
      <w:r w:rsidR="003A61AF" w:rsidRPr="003A61AF">
        <w:rPr>
          <w:szCs w:val="26"/>
        </w:rPr>
        <w:t xml:space="preserve"> </w:t>
      </w:r>
      <w:r w:rsidR="003A61AF" w:rsidRPr="132E83FC">
        <w:rPr>
          <w:i/>
        </w:rPr>
        <w:t>Garcia v. State</w:t>
      </w:r>
      <w:r w:rsidR="003A61AF" w:rsidRPr="132E83FC">
        <w:t>, 286 So. 3d 348, 351 (Fla. 2nd Dist. App. 2019)</w:t>
      </w:r>
      <w:r w:rsidR="00EA4207">
        <w:fldChar w:fldCharType="begin"/>
      </w:r>
      <w:r w:rsidR="00EA4207">
        <w:instrText xml:space="preserve"> TA \l "</w:instrText>
      </w:r>
      <w:r w:rsidR="00EA4207" w:rsidRPr="00A754B6">
        <w:rPr>
          <w:i/>
        </w:rPr>
        <w:instrText>Garcia v. State</w:instrText>
      </w:r>
      <w:r w:rsidR="00EA4207" w:rsidRPr="00A754B6">
        <w:instrText>, 286 So. 3d 348 (Fla. 2nd Dist. App. 2019)</w:instrText>
      </w:r>
      <w:r w:rsidR="00EA4207">
        <w:instrText xml:space="preserve">" \s "Garcia v. State" \c 1 </w:instrText>
      </w:r>
      <w:r w:rsidR="00EA4207">
        <w:fldChar w:fldCharType="end"/>
      </w:r>
      <w:r w:rsidR="003A61AF" w:rsidRPr="132E83FC">
        <w:t xml:space="preserve"> (defendant was a trespasser and, thus, did not have a right to be in the location where the incident occurred). </w:t>
      </w:r>
      <w:r w:rsidR="00171266" w:rsidRPr="132E83FC">
        <w:t>Therefore</w:t>
      </w:r>
      <w:r w:rsidR="003A61AF" w:rsidRPr="132E83FC">
        <w:t xml:space="preserve">, the </w:t>
      </w:r>
      <w:r w:rsidR="00017F70" w:rsidRPr="132E83FC">
        <w:t>prima facie</w:t>
      </w:r>
      <w:r w:rsidR="003A61AF" w:rsidRPr="132E83FC">
        <w:t xml:space="preserve"> element of location is satisfied</w:t>
      </w:r>
      <w:r w:rsidR="00171266" w:rsidRPr="132E83FC">
        <w:t>, and</w:t>
      </w:r>
      <w:r w:rsidR="00C97932" w:rsidRPr="132E83FC">
        <w:t xml:space="preserve"> the remaining elements of whether Jay was engaged in criminal activity </w:t>
      </w:r>
      <w:r w:rsidR="0083462C" w:rsidRPr="132E83FC">
        <w:t xml:space="preserve">or was the aggressor are addressed as follows: </w:t>
      </w:r>
    </w:p>
    <w:p w14:paraId="22634712" w14:textId="5C16E982" w:rsidR="008E323E" w:rsidRPr="008E323E" w:rsidRDefault="005E4744" w:rsidP="00A616F7">
      <w:pPr>
        <w:pStyle w:val="Heading2"/>
        <w:ind w:hanging="540"/>
      </w:pPr>
      <w:bookmarkStart w:id="48" w:name="_Toc176088923"/>
      <w:r w:rsidRPr="004A24AA">
        <w:t>Jay</w:t>
      </w:r>
      <w:r w:rsidR="12BC6577" w:rsidRPr="004A24AA">
        <w:t xml:space="preserve"> Cameron was not engaged in criminal activity</w:t>
      </w:r>
      <w:r w:rsidR="0056622B" w:rsidRPr="004A24AA">
        <w:t xml:space="preserve"> under Stetson </w:t>
      </w:r>
      <w:r w:rsidR="001477ED" w:rsidRPr="004A24AA">
        <w:t xml:space="preserve">Penal Code </w:t>
      </w:r>
      <w:r w:rsidR="0056622B" w:rsidRPr="004A24AA">
        <w:t>§ 776.012</w:t>
      </w:r>
      <w:r w:rsidR="00EE74D8" w:rsidRPr="004A24AA">
        <w:t xml:space="preserve"> by carrying </w:t>
      </w:r>
      <w:r w:rsidR="1D757D3A" w:rsidRPr="004A24AA">
        <w:t xml:space="preserve">a </w:t>
      </w:r>
      <w:r w:rsidR="00EE74D8" w:rsidRPr="004A24AA">
        <w:t>gun on his person</w:t>
      </w:r>
      <w:r w:rsidR="12BC6577" w:rsidRPr="004A24AA">
        <w:t>.</w:t>
      </w:r>
      <w:bookmarkEnd w:id="48"/>
      <w:r w:rsidR="12BC6577" w:rsidRPr="004A24AA">
        <w:t xml:space="preserve"> </w:t>
      </w:r>
    </w:p>
    <w:p w14:paraId="2E00A1CE" w14:textId="26550F4F" w:rsidR="00D078ED" w:rsidRPr="00D078ED" w:rsidRDefault="00AC4971" w:rsidP="00AC4971">
      <w:pPr>
        <w:rPr>
          <w:rFonts w:eastAsia="Times New Roman"/>
          <w:b/>
          <w:bCs/>
          <w:szCs w:val="26"/>
        </w:rPr>
      </w:pPr>
      <w:r>
        <w:tab/>
      </w:r>
      <w:r w:rsidR="00D078ED" w:rsidRPr="276B4DDC">
        <w:t xml:space="preserve">The right to keep and bear arms under the Second Amendment is an individual right. </w:t>
      </w:r>
      <w:r w:rsidR="00D078ED" w:rsidRPr="276B4DDC">
        <w:rPr>
          <w:i/>
        </w:rPr>
        <w:t>District of Columbia v. Heller</w:t>
      </w:r>
      <w:r w:rsidR="00D078ED" w:rsidRPr="276B4DDC">
        <w:t>, 554 U.S. 570, 592 (2008)</w:t>
      </w:r>
      <w:r w:rsidR="00B83864">
        <w:fldChar w:fldCharType="begin"/>
      </w:r>
      <w:r w:rsidR="00B83864">
        <w:instrText xml:space="preserve"> TA \l "</w:instrText>
      </w:r>
      <w:r w:rsidR="00B83864" w:rsidRPr="00A754B6">
        <w:rPr>
          <w:i/>
        </w:rPr>
        <w:instrText>District of Columbia v. Heller</w:instrText>
      </w:r>
      <w:r w:rsidR="00B83864" w:rsidRPr="00A754B6">
        <w:instrText>, 554 U.S. 570</w:instrText>
      </w:r>
      <w:r w:rsidR="00B83864" w:rsidRPr="00A754B6">
        <w:instrText xml:space="preserve"> </w:instrText>
      </w:r>
      <w:r w:rsidR="00B83864" w:rsidRPr="00A754B6">
        <w:instrText>(2008)</w:instrText>
      </w:r>
      <w:r w:rsidR="00B83864">
        <w:instrText xml:space="preserve">" \s "District of Columbia v. Heller" \c 1 </w:instrText>
      </w:r>
      <w:r w:rsidR="00B83864">
        <w:fldChar w:fldCharType="end"/>
      </w:r>
      <w:r w:rsidR="00DF5592">
        <w:t xml:space="preserve">; </w:t>
      </w:r>
      <w:r w:rsidR="003D7F47" w:rsidRPr="003D7F47">
        <w:rPr>
          <w:smallCaps/>
        </w:rPr>
        <w:t>U</w:t>
      </w:r>
      <w:r w:rsidR="008F4D6E">
        <w:rPr>
          <w:smallCaps/>
        </w:rPr>
        <w:t>.</w:t>
      </w:r>
      <w:r w:rsidR="003D7F47" w:rsidRPr="003D7F47">
        <w:rPr>
          <w:smallCaps/>
        </w:rPr>
        <w:t>S</w:t>
      </w:r>
      <w:r w:rsidR="008F4D6E">
        <w:rPr>
          <w:smallCaps/>
        </w:rPr>
        <w:t>.</w:t>
      </w:r>
      <w:r w:rsidR="003D7F47" w:rsidRPr="003D7F47">
        <w:rPr>
          <w:smallCaps/>
        </w:rPr>
        <w:t xml:space="preserve"> Const. </w:t>
      </w:r>
      <w:r w:rsidR="00072908">
        <w:t>am</w:t>
      </w:r>
      <w:r w:rsidR="003D7F47" w:rsidRPr="001C6E17">
        <w:t>end</w:t>
      </w:r>
      <w:r w:rsidR="003D7F47" w:rsidRPr="003D7F47">
        <w:rPr>
          <w:smallCaps/>
        </w:rPr>
        <w:t xml:space="preserve">. </w:t>
      </w:r>
      <w:r w:rsidR="00072908">
        <w:rPr>
          <w:smallCaps/>
        </w:rPr>
        <w:t>II</w:t>
      </w:r>
      <w:r w:rsidR="00D078ED" w:rsidRPr="276B4DDC">
        <w:t>.</w:t>
      </w:r>
      <w:r w:rsidR="00E45AFA">
        <w:fldChar w:fldCharType="begin"/>
      </w:r>
      <w:r w:rsidR="00E45AFA">
        <w:instrText xml:space="preserve"> TA \l "</w:instrText>
      </w:r>
      <w:r w:rsidR="00E45AFA" w:rsidRPr="00A754B6">
        <w:rPr>
          <w:smallCaps/>
        </w:rPr>
        <w:instrText>U</w:instrText>
      </w:r>
      <w:r w:rsidR="00E45AFA" w:rsidRPr="00A754B6">
        <w:rPr>
          <w:smallCaps/>
        </w:rPr>
        <w:instrText>.</w:instrText>
      </w:r>
      <w:r w:rsidR="00E45AFA" w:rsidRPr="00A754B6">
        <w:rPr>
          <w:smallCaps/>
        </w:rPr>
        <w:instrText>S</w:instrText>
      </w:r>
      <w:r w:rsidR="00E45AFA" w:rsidRPr="00A754B6">
        <w:rPr>
          <w:smallCaps/>
        </w:rPr>
        <w:instrText>.</w:instrText>
      </w:r>
      <w:r w:rsidR="00E45AFA" w:rsidRPr="00A754B6">
        <w:rPr>
          <w:smallCaps/>
        </w:rPr>
        <w:instrText xml:space="preserve"> Const. </w:instrText>
      </w:r>
      <w:r w:rsidR="00E45AFA" w:rsidRPr="00A754B6">
        <w:instrText>am</w:instrText>
      </w:r>
      <w:r w:rsidR="00E45AFA" w:rsidRPr="00A754B6">
        <w:instrText>end</w:instrText>
      </w:r>
      <w:r w:rsidR="00E45AFA" w:rsidRPr="00A754B6">
        <w:rPr>
          <w:smallCaps/>
        </w:rPr>
        <w:instrText xml:space="preserve">. </w:instrText>
      </w:r>
      <w:r w:rsidR="00E45AFA" w:rsidRPr="00A754B6">
        <w:rPr>
          <w:smallCaps/>
        </w:rPr>
        <w:instrText>II</w:instrText>
      </w:r>
      <w:r w:rsidR="00E45AFA" w:rsidRPr="00A754B6">
        <w:instrText>.</w:instrText>
      </w:r>
      <w:r w:rsidR="00E45AFA">
        <w:instrText xml:space="preserve">" \s "U.S. Const. amend. II." \c 7 </w:instrText>
      </w:r>
      <w:r w:rsidR="00E45AFA">
        <w:fldChar w:fldCharType="end"/>
      </w:r>
      <w:r w:rsidR="00D078ED" w:rsidRPr="276B4DDC">
        <w:t xml:space="preserve"> In 2022, </w:t>
      </w:r>
      <w:r w:rsidR="00D078ED" w:rsidRPr="276B4DDC">
        <w:lastRenderedPageBreak/>
        <w:t xml:space="preserve">the Court expanded on the </w:t>
      </w:r>
      <w:r w:rsidR="00D078ED" w:rsidRPr="276B4DDC">
        <w:rPr>
          <w:i/>
        </w:rPr>
        <w:t>Heller</w:t>
      </w:r>
      <w:r w:rsidR="00D078ED" w:rsidRPr="276B4DDC">
        <w:t xml:space="preserve"> opinion and held that the Constitution protects an individual’s right to carry a handgun for self-defense outside the home. </w:t>
      </w:r>
      <w:r w:rsidR="00D078ED" w:rsidRPr="276B4DDC">
        <w:rPr>
          <w:i/>
        </w:rPr>
        <w:t>N.Y. State Rifle &amp; Pistol Ass’n, Inc. v. Bruen</w:t>
      </w:r>
      <w:r w:rsidR="00D078ED" w:rsidRPr="276B4DDC">
        <w:t>, 597 U.S. 1, 8 (2022).</w:t>
      </w:r>
      <w:r w:rsidR="00900476">
        <w:fldChar w:fldCharType="begin"/>
      </w:r>
      <w:r w:rsidR="00900476">
        <w:instrText xml:space="preserve"> TA \l "</w:instrText>
      </w:r>
      <w:r w:rsidR="00900476" w:rsidRPr="00A754B6">
        <w:rPr>
          <w:i/>
        </w:rPr>
        <w:instrText>N.Y. State Rifle &amp; Pistol Ass’n, Inc. v. Bruen</w:instrText>
      </w:r>
      <w:r w:rsidR="00900476" w:rsidRPr="00A754B6">
        <w:instrText>, 597 U.S. 1</w:instrText>
      </w:r>
      <w:r w:rsidR="00900476" w:rsidRPr="00A754B6">
        <w:instrText xml:space="preserve"> </w:instrText>
      </w:r>
      <w:r w:rsidR="00900476" w:rsidRPr="00A754B6">
        <w:instrText>(2022).</w:instrText>
      </w:r>
      <w:r w:rsidR="00900476">
        <w:instrText xml:space="preserve">" \s "N.Y. State Rifle &amp; Pistol Ass’n, Inc. v. Bruen" \c 1 </w:instrText>
      </w:r>
      <w:r w:rsidR="00900476">
        <w:fldChar w:fldCharType="end"/>
      </w:r>
    </w:p>
    <w:p w14:paraId="2AEAB00E" w14:textId="7AA1109B" w:rsidR="00C659B2" w:rsidRPr="008E323E" w:rsidRDefault="00177F65" w:rsidP="00A616F7">
      <w:pPr>
        <w:pStyle w:val="ListParagraph"/>
        <w:numPr>
          <w:ilvl w:val="0"/>
          <w:numId w:val="22"/>
        </w:numPr>
        <w:tabs>
          <w:tab w:val="left" w:pos="1440"/>
          <w:tab w:val="left" w:pos="1530"/>
        </w:tabs>
        <w:spacing w:after="240" w:line="259" w:lineRule="auto"/>
        <w:ind w:left="1440" w:hanging="720"/>
        <w:rPr>
          <w:rFonts w:eastAsia="Times New Roman"/>
          <w:b/>
        </w:rPr>
      </w:pPr>
      <w:bookmarkStart w:id="49" w:name="_Toc176088924"/>
      <w:r w:rsidRPr="008E323E">
        <w:rPr>
          <w:rStyle w:val="Heading3Char"/>
          <w:rFonts w:eastAsia="MS Mincho"/>
        </w:rPr>
        <w:t>T</w:t>
      </w:r>
      <w:r w:rsidR="12BC6577" w:rsidRPr="008E323E">
        <w:rPr>
          <w:rStyle w:val="Heading3Char"/>
          <w:rFonts w:eastAsia="MS Mincho"/>
        </w:rPr>
        <w:t>he existence of Mr. Cameron’s weapon was not concealed to the ordinary sight or knowledge of another person</w:t>
      </w:r>
      <w:bookmarkEnd w:id="49"/>
      <w:r w:rsidR="12BC6577" w:rsidRPr="008E323E">
        <w:rPr>
          <w:rFonts w:eastAsia="Times New Roman"/>
          <w:b/>
        </w:rPr>
        <w:t>.</w:t>
      </w:r>
    </w:p>
    <w:p w14:paraId="28D72802" w14:textId="22A01802" w:rsidR="00C659B2" w:rsidRDefault="12BC6577" w:rsidP="04765EA5">
      <w:pPr>
        <w:spacing w:line="520" w:lineRule="auto"/>
        <w:ind w:firstLine="720"/>
      </w:pPr>
      <w:r w:rsidRPr="04765EA5">
        <w:rPr>
          <w:rFonts w:eastAsia="Times New Roman"/>
          <w:color w:val="000000" w:themeColor="text1"/>
          <w:szCs w:val="26"/>
        </w:rPr>
        <w:t>For a firearm to be considered concealed it must meet the following requirements: (1) carried on or about a person and (2) in a manner intended to conceal its existence from the ordinary sight or knowledge of another person. Stetson Penal Code § 790.01(2)</w:t>
      </w:r>
      <w:r w:rsidR="008D248C">
        <w:rPr>
          <w:rFonts w:eastAsia="Times New Roman"/>
          <w:color w:val="000000" w:themeColor="text1"/>
          <w:szCs w:val="26"/>
        </w:rPr>
        <w:fldChar w:fldCharType="begin"/>
      </w:r>
      <w:r w:rsidR="008D248C">
        <w:instrText xml:space="preserve"> TA \l "</w:instrText>
      </w:r>
      <w:r w:rsidR="008D248C" w:rsidRPr="00A754B6">
        <w:rPr>
          <w:rFonts w:eastAsia="Times New Roman"/>
          <w:color w:val="000000" w:themeColor="text1"/>
          <w:szCs w:val="26"/>
        </w:rPr>
        <w:instrText>Stetson Penal Code § 790.01</w:instrText>
      </w:r>
      <w:r w:rsidR="008D248C">
        <w:instrText xml:space="preserve">" \s "§ 790.01" \c 2 </w:instrText>
      </w:r>
      <w:r w:rsidR="008D248C">
        <w:rPr>
          <w:rFonts w:eastAsia="Times New Roman"/>
          <w:color w:val="000000" w:themeColor="text1"/>
          <w:szCs w:val="26"/>
        </w:rPr>
        <w:fldChar w:fldCharType="end"/>
      </w:r>
      <w:r w:rsidRPr="04765EA5">
        <w:rPr>
          <w:rFonts w:eastAsia="Times New Roman"/>
          <w:color w:val="000000" w:themeColor="text1"/>
          <w:szCs w:val="26"/>
        </w:rPr>
        <w:t xml:space="preserve">. The intention behind a concealed carry law is to “prevent a person with a weapon from ‘taking some undue advantage over an unsuspecting adversary,’ who is not aware that the person is carrying a weapon.” </w:t>
      </w:r>
      <w:r w:rsidRPr="04765EA5">
        <w:rPr>
          <w:rFonts w:eastAsia="Times New Roman"/>
          <w:i/>
          <w:iCs/>
          <w:color w:val="000000" w:themeColor="text1"/>
          <w:szCs w:val="26"/>
        </w:rPr>
        <w:t>Dorelus v. State</w:t>
      </w:r>
      <w:r w:rsidRPr="04765EA5">
        <w:rPr>
          <w:rFonts w:eastAsia="Times New Roman"/>
          <w:color w:val="000000" w:themeColor="text1"/>
          <w:szCs w:val="26"/>
        </w:rPr>
        <w:t>, 747 So. 2d 368, 370 (Fla. 1999)</w:t>
      </w:r>
      <w:r w:rsidR="00E45AFA">
        <w:rPr>
          <w:rFonts w:eastAsia="Times New Roman"/>
          <w:color w:val="000000" w:themeColor="text1"/>
          <w:szCs w:val="26"/>
        </w:rPr>
        <w:fldChar w:fldCharType="begin"/>
      </w:r>
      <w:r w:rsidR="00E45AFA">
        <w:instrText xml:space="preserve"> TA \l "</w:instrText>
      </w:r>
      <w:r w:rsidR="00E45AFA" w:rsidRPr="00A754B6">
        <w:rPr>
          <w:rFonts w:eastAsia="Times New Roman"/>
          <w:i/>
          <w:iCs/>
          <w:color w:val="000000" w:themeColor="text1"/>
          <w:szCs w:val="26"/>
        </w:rPr>
        <w:instrText>Dorelus v. State</w:instrText>
      </w:r>
      <w:r w:rsidR="00E45AFA" w:rsidRPr="00A754B6">
        <w:rPr>
          <w:rFonts w:eastAsia="Times New Roman"/>
          <w:color w:val="000000" w:themeColor="text1"/>
          <w:szCs w:val="26"/>
        </w:rPr>
        <w:instrText>, 747 So. 2d 368 (Fla. 1999)</w:instrText>
      </w:r>
      <w:r w:rsidR="00E45AFA">
        <w:instrText xml:space="preserve">" \s "Dorelus v. State" \c 1 </w:instrText>
      </w:r>
      <w:r w:rsidR="00E45AFA">
        <w:rPr>
          <w:rFonts w:eastAsia="Times New Roman"/>
          <w:color w:val="000000" w:themeColor="text1"/>
          <w:szCs w:val="26"/>
        </w:rPr>
        <w:fldChar w:fldCharType="end"/>
      </w:r>
      <w:r w:rsidRPr="04765EA5">
        <w:rPr>
          <w:rFonts w:eastAsia="Times New Roman"/>
          <w:color w:val="000000" w:themeColor="text1"/>
          <w:szCs w:val="26"/>
        </w:rPr>
        <w:t xml:space="preserve"> (quoting </w:t>
      </w:r>
      <w:r w:rsidRPr="04765EA5">
        <w:rPr>
          <w:rFonts w:eastAsia="Times New Roman"/>
          <w:i/>
          <w:iCs/>
          <w:color w:val="000000" w:themeColor="text1"/>
          <w:szCs w:val="26"/>
        </w:rPr>
        <w:t>Sutton v. State</w:t>
      </w:r>
      <w:r w:rsidRPr="04765EA5">
        <w:rPr>
          <w:rFonts w:eastAsia="Times New Roman"/>
          <w:color w:val="000000" w:themeColor="text1"/>
          <w:szCs w:val="26"/>
        </w:rPr>
        <w:t>, 12 Fla. 135, 136 (1867)</w:t>
      </w:r>
      <w:r w:rsidR="00424A62">
        <w:rPr>
          <w:rFonts w:eastAsia="Times New Roman"/>
          <w:color w:val="000000" w:themeColor="text1"/>
          <w:szCs w:val="26"/>
        </w:rPr>
        <w:fldChar w:fldCharType="begin"/>
      </w:r>
      <w:r w:rsidR="00424A62">
        <w:instrText xml:space="preserve"> TA \l "</w:instrText>
      </w:r>
      <w:r w:rsidR="00424A62" w:rsidRPr="00A754B6">
        <w:rPr>
          <w:rFonts w:eastAsia="Times New Roman"/>
          <w:i/>
          <w:iCs/>
          <w:color w:val="000000" w:themeColor="text1"/>
          <w:szCs w:val="26"/>
        </w:rPr>
        <w:instrText>Sutton v. State</w:instrText>
      </w:r>
      <w:r w:rsidR="00424A62" w:rsidRPr="00A754B6">
        <w:rPr>
          <w:rFonts w:eastAsia="Times New Roman"/>
          <w:color w:val="000000" w:themeColor="text1"/>
          <w:szCs w:val="26"/>
        </w:rPr>
        <w:instrText>, 12 Fla. 135 (1867)</w:instrText>
      </w:r>
      <w:r w:rsidR="00424A62">
        <w:instrText xml:space="preserve">" \s "Sutton v. State" \c 1 </w:instrText>
      </w:r>
      <w:r w:rsidR="00424A62">
        <w:rPr>
          <w:rFonts w:eastAsia="Times New Roman"/>
          <w:color w:val="000000" w:themeColor="text1"/>
          <w:szCs w:val="26"/>
        </w:rPr>
        <w:fldChar w:fldCharType="end"/>
      </w:r>
      <w:r w:rsidRPr="04765EA5">
        <w:rPr>
          <w:rFonts w:eastAsia="Times New Roman"/>
          <w:color w:val="000000" w:themeColor="text1"/>
          <w:szCs w:val="26"/>
        </w:rPr>
        <w:t xml:space="preserve">). Displaying a weapon in such a way that its identity is clearly revealed even though it is not in full view may not constitute as carrying a concealed weapon. </w:t>
      </w:r>
      <w:r w:rsidRPr="04765EA5">
        <w:rPr>
          <w:rFonts w:eastAsia="Times New Roman"/>
          <w:i/>
          <w:iCs/>
          <w:color w:val="000000" w:themeColor="text1"/>
          <w:szCs w:val="26"/>
        </w:rPr>
        <w:t>See</w:t>
      </w:r>
      <w:r w:rsidRPr="04765EA5">
        <w:rPr>
          <w:rFonts w:eastAsia="Times New Roman"/>
          <w:color w:val="000000" w:themeColor="text1"/>
          <w:szCs w:val="26"/>
        </w:rPr>
        <w:t xml:space="preserve"> </w:t>
      </w:r>
      <w:r w:rsidRPr="04765EA5">
        <w:rPr>
          <w:rFonts w:eastAsia="Times New Roman"/>
          <w:i/>
          <w:iCs/>
          <w:color w:val="000000" w:themeColor="text1"/>
          <w:szCs w:val="26"/>
        </w:rPr>
        <w:t>State v. White</w:t>
      </w:r>
      <w:r w:rsidRPr="04765EA5">
        <w:rPr>
          <w:rFonts w:eastAsia="Times New Roman"/>
          <w:color w:val="000000" w:themeColor="text1"/>
          <w:szCs w:val="26"/>
        </w:rPr>
        <w:t>, 376 So. 2d 124, 125 (La. 1979)</w:t>
      </w:r>
      <w:r w:rsidR="001A7F5F">
        <w:rPr>
          <w:rFonts w:eastAsia="Times New Roman"/>
          <w:color w:val="000000" w:themeColor="text1"/>
          <w:szCs w:val="26"/>
        </w:rPr>
        <w:fldChar w:fldCharType="begin"/>
      </w:r>
      <w:r w:rsidR="001A7F5F">
        <w:instrText xml:space="preserve"> TA \l "</w:instrText>
      </w:r>
      <w:r w:rsidR="001A7F5F" w:rsidRPr="00A754B6">
        <w:rPr>
          <w:rFonts w:eastAsia="Times New Roman"/>
          <w:i/>
          <w:iCs/>
          <w:color w:val="000000" w:themeColor="text1"/>
          <w:szCs w:val="26"/>
        </w:rPr>
        <w:instrText>State v. White</w:instrText>
      </w:r>
      <w:r w:rsidR="001A7F5F" w:rsidRPr="00A754B6">
        <w:rPr>
          <w:rFonts w:eastAsia="Times New Roman"/>
          <w:color w:val="000000" w:themeColor="text1"/>
          <w:szCs w:val="26"/>
        </w:rPr>
        <w:instrText>, 376 So. 2d 124 (La. 1979)</w:instrText>
      </w:r>
      <w:r w:rsidR="001A7F5F">
        <w:instrText xml:space="preserve">" \s "State v. White" \c 1 </w:instrText>
      </w:r>
      <w:r w:rsidR="001A7F5F">
        <w:rPr>
          <w:rFonts w:eastAsia="Times New Roman"/>
          <w:color w:val="000000" w:themeColor="text1"/>
          <w:szCs w:val="26"/>
        </w:rPr>
        <w:fldChar w:fldCharType="end"/>
      </w:r>
      <w:r w:rsidRPr="04765EA5">
        <w:rPr>
          <w:rFonts w:eastAsia="Times New Roman"/>
          <w:color w:val="000000" w:themeColor="text1"/>
          <w:szCs w:val="26"/>
        </w:rPr>
        <w:t xml:space="preserve">; </w:t>
      </w:r>
      <w:r w:rsidRPr="04765EA5">
        <w:rPr>
          <w:rFonts w:eastAsia="Times New Roman"/>
          <w:i/>
          <w:iCs/>
          <w:color w:val="000000" w:themeColor="text1"/>
          <w:szCs w:val="26"/>
        </w:rPr>
        <w:t>see also</w:t>
      </w:r>
      <w:r w:rsidRPr="04765EA5">
        <w:rPr>
          <w:rFonts w:eastAsia="Times New Roman"/>
          <w:color w:val="000000" w:themeColor="text1"/>
          <w:szCs w:val="26"/>
        </w:rPr>
        <w:t xml:space="preserve"> </w:t>
      </w:r>
      <w:r w:rsidRPr="04765EA5">
        <w:rPr>
          <w:rFonts w:eastAsia="Times New Roman"/>
          <w:i/>
          <w:iCs/>
          <w:color w:val="000000" w:themeColor="text1"/>
          <w:szCs w:val="26"/>
        </w:rPr>
        <w:t>People ex. Rel. O.R.</w:t>
      </w:r>
      <w:r w:rsidRPr="04765EA5">
        <w:rPr>
          <w:rFonts w:eastAsia="Times New Roman"/>
          <w:color w:val="000000" w:themeColor="text1"/>
          <w:szCs w:val="26"/>
        </w:rPr>
        <w:t>, 220 P.3d 949, 952 (Colo. Ct. App. 2009)</w:t>
      </w:r>
      <w:r w:rsidR="00DB1B1B">
        <w:rPr>
          <w:rFonts w:eastAsia="Times New Roman"/>
          <w:color w:val="000000" w:themeColor="text1"/>
          <w:szCs w:val="26"/>
        </w:rPr>
        <w:fldChar w:fldCharType="begin"/>
      </w:r>
      <w:r w:rsidR="00DB1B1B">
        <w:instrText xml:space="preserve"> TA \l "</w:instrText>
      </w:r>
      <w:r w:rsidR="00DB1B1B" w:rsidRPr="00A754B6">
        <w:rPr>
          <w:rFonts w:eastAsia="Times New Roman"/>
          <w:i/>
          <w:iCs/>
          <w:color w:val="000000" w:themeColor="text1"/>
          <w:szCs w:val="26"/>
        </w:rPr>
        <w:instrText>People ex. Rel. O.R.</w:instrText>
      </w:r>
      <w:r w:rsidR="00DB1B1B" w:rsidRPr="00A754B6">
        <w:rPr>
          <w:rFonts w:eastAsia="Times New Roman"/>
          <w:color w:val="000000" w:themeColor="text1"/>
          <w:szCs w:val="26"/>
        </w:rPr>
        <w:instrText>, 220 P.3d 949 (Colo. Ct. App. 2009)</w:instrText>
      </w:r>
      <w:r w:rsidR="00DB1B1B">
        <w:instrText xml:space="preserve">" \s "People ex. Rel. O.R." \c 1 </w:instrText>
      </w:r>
      <w:r w:rsidR="00DB1B1B">
        <w:rPr>
          <w:rFonts w:eastAsia="Times New Roman"/>
          <w:color w:val="000000" w:themeColor="text1"/>
          <w:szCs w:val="26"/>
        </w:rPr>
        <w:fldChar w:fldCharType="end"/>
      </w:r>
      <w:r w:rsidRPr="04765EA5">
        <w:rPr>
          <w:rFonts w:eastAsia="Times New Roman"/>
          <w:color w:val="000000" w:themeColor="text1"/>
          <w:szCs w:val="26"/>
        </w:rPr>
        <w:t xml:space="preserve"> (holding that the lower court erred in determining that a partially concealed, but readily discernable firearm is “concealed” for purposes of the governing statute because “‘concealed’ means placed out of sight so as not to be discernible or apparent by ordinary observation.”); </w:t>
      </w:r>
      <w:r w:rsidRPr="04765EA5">
        <w:rPr>
          <w:rFonts w:eastAsia="Times New Roman"/>
          <w:i/>
          <w:iCs/>
          <w:color w:val="000000" w:themeColor="text1"/>
          <w:szCs w:val="26"/>
        </w:rPr>
        <w:t>State v. Reams</w:t>
      </w:r>
      <w:r w:rsidRPr="04765EA5">
        <w:rPr>
          <w:rFonts w:eastAsia="Times New Roman"/>
          <w:color w:val="000000" w:themeColor="text1"/>
          <w:szCs w:val="26"/>
        </w:rPr>
        <w:t>, 121 N.C. 556, 27 S.E. 1004, 1006 (1987)</w:t>
      </w:r>
      <w:r w:rsidR="00D1674F">
        <w:rPr>
          <w:rFonts w:eastAsia="Times New Roman"/>
          <w:color w:val="000000" w:themeColor="text1"/>
          <w:szCs w:val="26"/>
        </w:rPr>
        <w:fldChar w:fldCharType="begin"/>
      </w:r>
      <w:r w:rsidR="00D1674F">
        <w:instrText xml:space="preserve"> TA \l "</w:instrText>
      </w:r>
      <w:r w:rsidR="00D1674F" w:rsidRPr="00A754B6">
        <w:rPr>
          <w:rFonts w:eastAsia="Times New Roman"/>
          <w:i/>
          <w:iCs/>
          <w:color w:val="000000" w:themeColor="text1"/>
          <w:szCs w:val="26"/>
        </w:rPr>
        <w:instrText>State v. Reams</w:instrText>
      </w:r>
      <w:r w:rsidR="00D1674F" w:rsidRPr="00A754B6">
        <w:rPr>
          <w:rFonts w:eastAsia="Times New Roman"/>
          <w:color w:val="000000" w:themeColor="text1"/>
          <w:szCs w:val="26"/>
        </w:rPr>
        <w:instrText>, 121 N.C. 556 (1987)</w:instrText>
      </w:r>
      <w:r w:rsidR="00D1674F">
        <w:instrText xml:space="preserve">" \s "State v. Reams" \c 1 </w:instrText>
      </w:r>
      <w:r w:rsidR="00D1674F">
        <w:rPr>
          <w:rFonts w:eastAsia="Times New Roman"/>
          <w:color w:val="000000" w:themeColor="text1"/>
          <w:szCs w:val="26"/>
        </w:rPr>
        <w:fldChar w:fldCharType="end"/>
      </w:r>
      <w:r w:rsidRPr="04765EA5">
        <w:rPr>
          <w:rFonts w:eastAsia="Times New Roman"/>
          <w:color w:val="000000" w:themeColor="text1"/>
          <w:szCs w:val="26"/>
        </w:rPr>
        <w:t xml:space="preserve"> (stating that if a weapon is partly exposed to public view, it would be unreasonable to find, as a legal conclusion, that it was concealed).</w:t>
      </w:r>
    </w:p>
    <w:p w14:paraId="2B31F673" w14:textId="4C87D02B" w:rsidR="001849F4" w:rsidRDefault="12BC6577" w:rsidP="001849F4">
      <w:pPr>
        <w:spacing w:line="520" w:lineRule="auto"/>
        <w:rPr>
          <w:rFonts w:eastAsia="Times New Roman"/>
          <w:color w:val="000000" w:themeColor="text1"/>
        </w:rPr>
      </w:pPr>
      <w:r w:rsidRPr="37FEF424">
        <w:rPr>
          <w:rFonts w:eastAsia="Times New Roman"/>
          <w:color w:val="000000" w:themeColor="text1"/>
        </w:rPr>
        <w:lastRenderedPageBreak/>
        <w:t xml:space="preserve">         While the firearm was carried on </w:t>
      </w:r>
      <w:r w:rsidR="0050470B">
        <w:rPr>
          <w:rFonts w:eastAsia="Times New Roman"/>
          <w:color w:val="000000" w:themeColor="text1"/>
        </w:rPr>
        <w:t>Jay</w:t>
      </w:r>
      <w:r w:rsidRPr="37FEF424">
        <w:rPr>
          <w:rFonts w:eastAsia="Times New Roman"/>
          <w:color w:val="000000" w:themeColor="text1"/>
        </w:rPr>
        <w:t>’s person</w:t>
      </w:r>
      <w:r w:rsidR="00311DAC">
        <w:rPr>
          <w:rFonts w:eastAsia="Times New Roman"/>
          <w:color w:val="000000" w:themeColor="text1"/>
        </w:rPr>
        <w:t xml:space="preserve">, </w:t>
      </w:r>
      <w:r w:rsidRPr="37FEF424">
        <w:rPr>
          <w:rFonts w:eastAsia="Times New Roman"/>
          <w:color w:val="000000" w:themeColor="text1"/>
        </w:rPr>
        <w:t xml:space="preserve">he did not carry it in </w:t>
      </w:r>
      <w:r w:rsidRPr="37FEF424">
        <w:rPr>
          <w:rFonts w:eastAsia="Times New Roman"/>
          <w:i/>
          <w:iCs/>
          <w:color w:val="000000" w:themeColor="text1"/>
        </w:rPr>
        <w:t>manner</w:t>
      </w:r>
      <w:r w:rsidR="0EB36A73" w:rsidRPr="37FEF424">
        <w:rPr>
          <w:rFonts w:eastAsia="Times New Roman"/>
          <w:i/>
          <w:iCs/>
          <w:color w:val="000000" w:themeColor="text1"/>
        </w:rPr>
        <w:t xml:space="preserve"> </w:t>
      </w:r>
      <w:r w:rsidRPr="37FEF424">
        <w:rPr>
          <w:rFonts w:eastAsia="Times New Roman"/>
          <w:i/>
          <w:iCs/>
          <w:color w:val="000000" w:themeColor="text1"/>
        </w:rPr>
        <w:t>designed</w:t>
      </w:r>
      <w:r w:rsidRPr="37FEF424">
        <w:rPr>
          <w:rFonts w:eastAsia="Times New Roman"/>
          <w:color w:val="000000" w:themeColor="text1"/>
        </w:rPr>
        <w:t xml:space="preserve"> to hide its existence.</w:t>
      </w:r>
      <w:r w:rsidR="00311DAC">
        <w:t xml:space="preserve"> </w:t>
      </w:r>
      <w:r w:rsidR="00311DAC">
        <w:t>(Jay Cameron’s Interview ¶</w:t>
      </w:r>
      <w:r w:rsidR="00311DAC">
        <w:t xml:space="preserve"> 70)</w:t>
      </w:r>
      <w:r w:rsidR="4CAFF2F2">
        <w:t>.</w:t>
      </w:r>
      <w:r w:rsidRPr="37FEF424">
        <w:rPr>
          <w:rFonts w:eastAsia="Times New Roman"/>
          <w:color w:val="000000" w:themeColor="text1"/>
        </w:rPr>
        <w:t xml:space="preserve"> The neighborhood where this incident occurred is known for being dangerous</w:t>
      </w:r>
      <w:r w:rsidR="043D6071" w:rsidRPr="132E83FC">
        <w:rPr>
          <w:rFonts w:eastAsia="Times New Roman"/>
          <w:color w:val="000000" w:themeColor="text1"/>
        </w:rPr>
        <w:t>.</w:t>
      </w:r>
      <w:r w:rsidR="00E61E9B">
        <w:rPr>
          <w:rFonts w:eastAsia="Times New Roman"/>
          <w:color w:val="000000" w:themeColor="text1"/>
        </w:rPr>
        <w:t xml:space="preserve"> </w:t>
      </w:r>
      <w:r w:rsidR="00E61E9B">
        <w:t>(Kenny Gray’s Interview ¶</w:t>
      </w:r>
      <w:r w:rsidR="00A23EC8">
        <w:t>¶</w:t>
      </w:r>
      <w:r w:rsidR="00E61E9B">
        <w:t xml:space="preserve"> </w:t>
      </w:r>
      <w:r w:rsidR="00E61E9B">
        <w:t>75-7</w:t>
      </w:r>
      <w:r w:rsidR="00E61E9B">
        <w:t>8</w:t>
      </w:r>
      <w:r w:rsidR="00E61E9B">
        <w:t xml:space="preserve">; </w:t>
      </w:r>
      <w:r w:rsidR="00034CB5">
        <w:t xml:space="preserve">Greg Cameron’s Interview </w:t>
      </w:r>
      <w:r w:rsidR="00034CB5">
        <w:t>¶</w:t>
      </w:r>
      <w:r w:rsidR="00034CB5">
        <w:t xml:space="preserve"> 85</w:t>
      </w:r>
      <w:r w:rsidR="00074AEE">
        <w:t>)</w:t>
      </w:r>
      <w:r w:rsidR="648696C0">
        <w:t>.</w:t>
      </w:r>
      <w:r w:rsidRPr="37FEF424">
        <w:rPr>
          <w:rFonts w:eastAsia="Times New Roman"/>
          <w:color w:val="000000" w:themeColor="text1"/>
        </w:rPr>
        <w:t xml:space="preserve"> </w:t>
      </w:r>
      <w:r w:rsidR="007869C0">
        <w:rPr>
          <w:rFonts w:eastAsia="Times New Roman"/>
          <w:color w:val="000000" w:themeColor="text1"/>
        </w:rPr>
        <w:t xml:space="preserve">Jay </w:t>
      </w:r>
      <w:r w:rsidRPr="37FEF424">
        <w:rPr>
          <w:rFonts w:eastAsia="Times New Roman"/>
          <w:color w:val="000000" w:themeColor="text1"/>
        </w:rPr>
        <w:t>and other locals in the area carry a gun for protection and self-defense purposes</w:t>
      </w:r>
      <w:r w:rsidR="5CF9B655" w:rsidRPr="132E83FC">
        <w:rPr>
          <w:rFonts w:eastAsia="Times New Roman"/>
          <w:color w:val="000000" w:themeColor="text1"/>
        </w:rPr>
        <w:t>.</w:t>
      </w:r>
      <w:r w:rsidRPr="37FEF424">
        <w:rPr>
          <w:rFonts w:eastAsia="Times New Roman"/>
          <w:color w:val="000000" w:themeColor="text1"/>
        </w:rPr>
        <w:t xml:space="preserve"> (</w:t>
      </w:r>
      <w:r w:rsidR="00097D29">
        <w:rPr>
          <w:rFonts w:eastAsia="Times New Roman"/>
          <w:i/>
          <w:iCs/>
          <w:color w:val="000000" w:themeColor="text1"/>
        </w:rPr>
        <w:t xml:space="preserve">See </w:t>
      </w:r>
      <w:r w:rsidR="00074AEE">
        <w:t>Greg Cameron’s Interview ¶</w:t>
      </w:r>
      <w:r w:rsidR="00A23EC8">
        <w:t>¶</w:t>
      </w:r>
      <w:r w:rsidR="00074AEE">
        <w:t xml:space="preserve"> 8</w:t>
      </w:r>
      <w:r w:rsidR="00F37759">
        <w:t>1-88</w:t>
      </w:r>
      <w:r w:rsidRPr="27F136B8">
        <w:rPr>
          <w:rFonts w:eastAsia="Times New Roman"/>
          <w:color w:val="000000" w:themeColor="text1"/>
        </w:rPr>
        <w:t>).</w:t>
      </w:r>
      <w:r w:rsidRPr="37FEF424">
        <w:rPr>
          <w:rFonts w:eastAsia="Times New Roman"/>
          <w:color w:val="000000" w:themeColor="text1"/>
        </w:rPr>
        <w:t xml:space="preserve">  </w:t>
      </w:r>
      <w:r w:rsidR="007869C0">
        <w:rPr>
          <w:rFonts w:eastAsia="Times New Roman"/>
          <w:color w:val="000000" w:themeColor="text1"/>
        </w:rPr>
        <w:t>Jay</w:t>
      </w:r>
      <w:r w:rsidRPr="37FEF424">
        <w:rPr>
          <w:rFonts w:eastAsia="Times New Roman"/>
          <w:color w:val="000000" w:themeColor="text1"/>
        </w:rPr>
        <w:t xml:space="preserve"> was not “taking some undue advantage over an unsuspecting adversary.”</w:t>
      </w:r>
      <w:r w:rsidRPr="37FEF424">
        <w:rPr>
          <w:rFonts w:eastAsia="Times New Roman"/>
          <w:i/>
          <w:color w:val="000000" w:themeColor="text1"/>
        </w:rPr>
        <w:t xml:space="preserve"> Dorelus</w:t>
      </w:r>
      <w:r w:rsidRPr="37FEF424">
        <w:rPr>
          <w:rFonts w:eastAsia="Times New Roman"/>
          <w:color w:val="000000" w:themeColor="text1"/>
        </w:rPr>
        <w:t>,</w:t>
      </w:r>
      <w:r w:rsidR="004A7D89">
        <w:rPr>
          <w:rFonts w:eastAsia="Times New Roman"/>
          <w:color w:val="000000" w:themeColor="text1"/>
        </w:rPr>
        <w:t xml:space="preserve"> </w:t>
      </w:r>
      <w:r w:rsidRPr="37FEF424">
        <w:rPr>
          <w:rFonts w:eastAsia="Times New Roman"/>
          <w:color w:val="000000" w:themeColor="text1"/>
        </w:rPr>
        <w:t>747 So. 2d at 370</w:t>
      </w:r>
      <w:r w:rsidR="00D1674F">
        <w:rPr>
          <w:rFonts w:eastAsia="Times New Roman"/>
          <w:color w:val="000000" w:themeColor="text1"/>
        </w:rPr>
        <w:fldChar w:fldCharType="begin"/>
      </w:r>
      <w:r w:rsidR="00D1674F">
        <w:instrText xml:space="preserve"> TA \s "Dorelus v. State" </w:instrText>
      </w:r>
      <w:r w:rsidR="00D1674F">
        <w:rPr>
          <w:rFonts w:eastAsia="Times New Roman"/>
          <w:color w:val="000000" w:themeColor="text1"/>
        </w:rPr>
        <w:fldChar w:fldCharType="end"/>
      </w:r>
      <w:r w:rsidRPr="37FEF424">
        <w:rPr>
          <w:rFonts w:eastAsia="Times New Roman"/>
          <w:color w:val="000000" w:themeColor="text1"/>
        </w:rPr>
        <w:t xml:space="preserve">. </w:t>
      </w:r>
      <w:r w:rsidR="007869C0">
        <w:rPr>
          <w:rFonts w:eastAsia="Times New Roman"/>
          <w:color w:val="000000" w:themeColor="text1"/>
        </w:rPr>
        <w:t>Wilson</w:t>
      </w:r>
      <w:r w:rsidRPr="37FEF424">
        <w:rPr>
          <w:rFonts w:eastAsia="Times New Roman"/>
          <w:color w:val="000000" w:themeColor="text1"/>
        </w:rPr>
        <w:t xml:space="preserve"> had a reputation for being violent. </w:t>
      </w:r>
      <w:r w:rsidR="00F37759">
        <w:rPr>
          <w:rFonts w:eastAsia="Times New Roman"/>
          <w:color w:val="000000" w:themeColor="text1"/>
        </w:rPr>
        <w:t>(</w:t>
      </w:r>
      <w:r w:rsidR="00F37759">
        <w:t>First PPD Incident Report at ¶</w:t>
      </w:r>
      <w:r w:rsidR="004A7D89">
        <w:t xml:space="preserve"> </w:t>
      </w:r>
      <w:r w:rsidR="00F37759">
        <w:t>6</w:t>
      </w:r>
      <w:r w:rsidR="00A23EC8">
        <w:t xml:space="preserve">; Jay Cameron’s Interview </w:t>
      </w:r>
      <w:r w:rsidR="00A23EC8">
        <w:t>¶¶</w:t>
      </w:r>
      <w:r w:rsidR="004A7D89">
        <w:t xml:space="preserve"> </w:t>
      </w:r>
      <w:r w:rsidR="00A23EC8">
        <w:t>155-58)</w:t>
      </w:r>
      <w:r w:rsidR="0571FBCB">
        <w:t>.</w:t>
      </w:r>
      <w:r w:rsidRPr="37FEF424">
        <w:rPr>
          <w:rFonts w:eastAsia="Times New Roman"/>
          <w:color w:val="000000" w:themeColor="text1"/>
        </w:rPr>
        <w:t xml:space="preserve"> Moreover, </w:t>
      </w:r>
      <w:r w:rsidR="007869C0">
        <w:rPr>
          <w:rFonts w:eastAsia="Times New Roman"/>
          <w:color w:val="000000" w:themeColor="text1"/>
        </w:rPr>
        <w:t>Jay</w:t>
      </w:r>
      <w:r w:rsidRPr="37FEF424">
        <w:rPr>
          <w:rFonts w:eastAsia="Times New Roman"/>
          <w:color w:val="000000" w:themeColor="text1"/>
        </w:rPr>
        <w:t xml:space="preserve"> was not trying to hide that he was carrying a gun from </w:t>
      </w:r>
      <w:r w:rsidR="007869C0">
        <w:rPr>
          <w:rFonts w:eastAsia="Times New Roman"/>
          <w:color w:val="000000" w:themeColor="text1"/>
        </w:rPr>
        <w:t>Wilson</w:t>
      </w:r>
      <w:r w:rsidRPr="37FEF424">
        <w:rPr>
          <w:rFonts w:eastAsia="Times New Roman"/>
          <w:color w:val="000000" w:themeColor="text1"/>
        </w:rPr>
        <w:t xml:space="preserve">. </w:t>
      </w:r>
      <w:r w:rsidR="00A23EC8">
        <w:rPr>
          <w:rFonts w:eastAsia="Times New Roman"/>
          <w:i/>
          <w:iCs/>
          <w:color w:val="000000" w:themeColor="text1"/>
        </w:rPr>
        <w:t>Id.</w:t>
      </w:r>
      <w:r w:rsidR="00A23EC8">
        <w:rPr>
          <w:rFonts w:eastAsia="Times New Roman"/>
          <w:color w:val="000000" w:themeColor="text1"/>
        </w:rPr>
        <w:t xml:space="preserve"> at </w:t>
      </w:r>
      <w:r w:rsidR="0050470B">
        <w:t>¶</w:t>
      </w:r>
      <w:r w:rsidR="0050470B" w:rsidRPr="37FEF424">
        <w:rPr>
          <w:rFonts w:eastAsia="Times New Roman"/>
          <w:color w:val="000000" w:themeColor="text1"/>
        </w:rPr>
        <w:t xml:space="preserve"> </w:t>
      </w:r>
      <w:r w:rsidR="0050470B">
        <w:rPr>
          <w:rFonts w:eastAsia="Times New Roman"/>
          <w:color w:val="000000" w:themeColor="text1"/>
        </w:rPr>
        <w:t>67-68</w:t>
      </w:r>
      <w:r w:rsidRPr="37FEF424">
        <w:rPr>
          <w:rFonts w:eastAsia="Times New Roman"/>
          <w:color w:val="000000" w:themeColor="text1"/>
        </w:rPr>
        <w:t xml:space="preserve">. On the contrary, </w:t>
      </w:r>
      <w:r w:rsidR="007869C0">
        <w:rPr>
          <w:rFonts w:eastAsia="Times New Roman"/>
          <w:color w:val="000000" w:themeColor="text1"/>
        </w:rPr>
        <w:t>Jay</w:t>
      </w:r>
      <w:r w:rsidRPr="37FEF424">
        <w:rPr>
          <w:rFonts w:eastAsia="Times New Roman"/>
          <w:color w:val="000000" w:themeColor="text1"/>
        </w:rPr>
        <w:t xml:space="preserve"> verbally notified </w:t>
      </w:r>
      <w:r w:rsidR="007869C0">
        <w:rPr>
          <w:rFonts w:eastAsia="Times New Roman"/>
          <w:color w:val="000000" w:themeColor="text1"/>
        </w:rPr>
        <w:t>Wilson</w:t>
      </w:r>
      <w:r w:rsidRPr="37FEF424">
        <w:rPr>
          <w:rFonts w:eastAsia="Times New Roman"/>
          <w:color w:val="000000" w:themeColor="text1"/>
        </w:rPr>
        <w:t xml:space="preserve"> that he had a gun, and the gun was large and noticeable. </w:t>
      </w:r>
      <w:r w:rsidRPr="37FEF424">
        <w:rPr>
          <w:rFonts w:eastAsia="Times New Roman"/>
          <w:i/>
          <w:color w:val="000000" w:themeColor="text1"/>
        </w:rPr>
        <w:t>See</w:t>
      </w:r>
      <w:r w:rsidRPr="37FEF424">
        <w:rPr>
          <w:rFonts w:eastAsia="Times New Roman"/>
          <w:color w:val="000000" w:themeColor="text1"/>
        </w:rPr>
        <w:t xml:space="preserve"> </w:t>
      </w:r>
      <w:r w:rsidR="00F20859">
        <w:rPr>
          <w:rFonts w:eastAsia="Times New Roman"/>
          <w:i/>
          <w:iCs/>
          <w:color w:val="000000" w:themeColor="text1"/>
        </w:rPr>
        <w:t>id.</w:t>
      </w:r>
      <w:r w:rsidR="00F20859">
        <w:rPr>
          <w:rFonts w:eastAsia="Times New Roman"/>
          <w:color w:val="000000" w:themeColor="text1"/>
        </w:rPr>
        <w:t xml:space="preserve"> at </w:t>
      </w:r>
      <w:r w:rsidR="00F20859">
        <w:t>¶</w:t>
      </w:r>
      <w:r w:rsidR="00AE542D">
        <w:t>¶</w:t>
      </w:r>
      <w:r w:rsidR="00F20859">
        <w:t xml:space="preserve"> </w:t>
      </w:r>
      <w:r w:rsidRPr="37FEF424">
        <w:rPr>
          <w:rFonts w:eastAsia="Times New Roman"/>
          <w:color w:val="000000" w:themeColor="text1"/>
        </w:rPr>
        <w:t>73-76</w:t>
      </w:r>
      <w:r w:rsidR="00F20859">
        <w:rPr>
          <w:rFonts w:eastAsia="Times New Roman"/>
          <w:color w:val="000000" w:themeColor="text1"/>
        </w:rPr>
        <w:t>;</w:t>
      </w:r>
      <w:r w:rsidRPr="37FEF424">
        <w:rPr>
          <w:rFonts w:eastAsia="Times New Roman"/>
          <w:color w:val="000000" w:themeColor="text1"/>
        </w:rPr>
        <w:t xml:space="preserve"> </w:t>
      </w:r>
      <w:r w:rsidR="00D64AD5">
        <w:rPr>
          <w:rFonts w:eastAsia="Times New Roman"/>
          <w:i/>
          <w:iCs/>
          <w:color w:val="000000" w:themeColor="text1"/>
        </w:rPr>
        <w:t xml:space="preserve">see also </w:t>
      </w:r>
      <w:r w:rsidRPr="37FEF424">
        <w:rPr>
          <w:rFonts w:eastAsia="Times New Roman"/>
          <w:color w:val="000000" w:themeColor="text1"/>
        </w:rPr>
        <w:t>Greg</w:t>
      </w:r>
      <w:r w:rsidR="00F20859">
        <w:rPr>
          <w:rFonts w:eastAsia="Times New Roman"/>
          <w:color w:val="000000" w:themeColor="text1"/>
        </w:rPr>
        <w:t xml:space="preserve"> Cameron’s Interview</w:t>
      </w:r>
      <w:r w:rsidR="00D64AD5">
        <w:rPr>
          <w:rFonts w:eastAsia="Times New Roman"/>
          <w:color w:val="000000" w:themeColor="text1"/>
        </w:rPr>
        <w:t xml:space="preserve"> </w:t>
      </w:r>
      <w:r w:rsidR="00D64AD5">
        <w:t>¶¶</w:t>
      </w:r>
      <w:r w:rsidRPr="37FEF424">
        <w:rPr>
          <w:rFonts w:eastAsia="Times New Roman"/>
          <w:color w:val="000000" w:themeColor="text1"/>
        </w:rPr>
        <w:t xml:space="preserve"> 135-39</w:t>
      </w:r>
      <w:r w:rsidR="00D64AD5">
        <w:rPr>
          <w:rFonts w:eastAsia="Times New Roman"/>
          <w:color w:val="000000" w:themeColor="text1"/>
        </w:rPr>
        <w:t xml:space="preserve">; Kenny Gray’s Interview </w:t>
      </w:r>
      <w:r w:rsidR="00D64AD5">
        <w:t>¶¶</w:t>
      </w:r>
      <w:r w:rsidR="00D64AD5">
        <w:t xml:space="preserve"> </w:t>
      </w:r>
      <w:r w:rsidRPr="37FEF424">
        <w:rPr>
          <w:rFonts w:eastAsia="Times New Roman"/>
          <w:color w:val="000000" w:themeColor="text1"/>
        </w:rPr>
        <w:t>70-71</w:t>
      </w:r>
      <w:r w:rsidRPr="46242AB1">
        <w:rPr>
          <w:rFonts w:eastAsia="Times New Roman"/>
          <w:color w:val="000000" w:themeColor="text1"/>
        </w:rPr>
        <w:t>.</w:t>
      </w:r>
      <w:r w:rsidRPr="37FEF424">
        <w:rPr>
          <w:rFonts w:eastAsia="Times New Roman"/>
          <w:color w:val="000000" w:themeColor="text1"/>
        </w:rPr>
        <w:t xml:space="preserve"> Given the undisputed dangerous reputation of the area in which the incident took place, the verbal confirmation indicated possession that </w:t>
      </w:r>
      <w:r w:rsidR="20E9EE78" w:rsidRPr="33C16D14">
        <w:rPr>
          <w:rFonts w:eastAsia="Times New Roman"/>
          <w:color w:val="000000" w:themeColor="text1"/>
        </w:rPr>
        <w:t>Jay</w:t>
      </w:r>
      <w:r w:rsidRPr="37FEF424">
        <w:rPr>
          <w:rFonts w:eastAsia="Times New Roman"/>
          <w:color w:val="000000" w:themeColor="text1"/>
        </w:rPr>
        <w:t xml:space="preserve"> provided, and the testimony from witnesses noticing the large weapon, an ordinary observer would have knowledge or see the weapon. Thus, </w:t>
      </w:r>
      <w:r w:rsidR="007869C0">
        <w:rPr>
          <w:rFonts w:eastAsia="Times New Roman"/>
          <w:color w:val="000000" w:themeColor="text1"/>
        </w:rPr>
        <w:t>Jay Cameron</w:t>
      </w:r>
      <w:r w:rsidRPr="37FEF424">
        <w:rPr>
          <w:rFonts w:eastAsia="Times New Roman"/>
          <w:color w:val="000000" w:themeColor="text1"/>
        </w:rPr>
        <w:t xml:space="preserve">’s </w:t>
      </w:r>
      <w:r w:rsidR="007869C0">
        <w:rPr>
          <w:rFonts w:eastAsia="Times New Roman"/>
          <w:color w:val="000000" w:themeColor="text1"/>
        </w:rPr>
        <w:t>M</w:t>
      </w:r>
      <w:r w:rsidRPr="37FEF424">
        <w:rPr>
          <w:rFonts w:eastAsia="Times New Roman"/>
          <w:color w:val="000000" w:themeColor="text1"/>
        </w:rPr>
        <w:t xml:space="preserve">otion to </w:t>
      </w:r>
      <w:r w:rsidR="007869C0">
        <w:rPr>
          <w:rFonts w:eastAsia="Times New Roman"/>
          <w:color w:val="000000" w:themeColor="text1"/>
        </w:rPr>
        <w:t>D</w:t>
      </w:r>
      <w:r w:rsidRPr="37FEF424">
        <w:rPr>
          <w:rFonts w:eastAsia="Times New Roman"/>
          <w:color w:val="000000" w:themeColor="text1"/>
        </w:rPr>
        <w:t xml:space="preserve">ismiss should be granted because </w:t>
      </w:r>
      <w:r w:rsidR="64C6AB10" w:rsidRPr="33C16D14">
        <w:rPr>
          <w:rFonts w:eastAsia="Times New Roman"/>
          <w:color w:val="000000" w:themeColor="text1"/>
        </w:rPr>
        <w:t>Jay</w:t>
      </w:r>
      <w:r w:rsidRPr="37FEF424">
        <w:rPr>
          <w:rFonts w:eastAsia="Times New Roman"/>
          <w:color w:val="000000" w:themeColor="text1"/>
        </w:rPr>
        <w:t xml:space="preserve"> made the existence of his weapon known</w:t>
      </w:r>
      <w:r w:rsidR="00596FC6">
        <w:rPr>
          <w:rFonts w:eastAsia="Times New Roman"/>
          <w:color w:val="000000" w:themeColor="text1"/>
        </w:rPr>
        <w:t xml:space="preserve"> and </w:t>
      </w:r>
      <w:r w:rsidRPr="37FEF424">
        <w:rPr>
          <w:rFonts w:eastAsia="Times New Roman"/>
          <w:color w:val="000000" w:themeColor="text1"/>
        </w:rPr>
        <w:t>he was not concealed carrying as required in Stetson’s Penal Code Section 790.01(2)</w:t>
      </w:r>
      <w:r w:rsidR="009158CC">
        <w:rPr>
          <w:rFonts w:eastAsia="Times New Roman"/>
          <w:color w:val="000000" w:themeColor="text1"/>
        </w:rPr>
        <w:fldChar w:fldCharType="begin"/>
      </w:r>
      <w:r w:rsidR="009158CC">
        <w:instrText xml:space="preserve"> TA \s "§ 790.01" </w:instrText>
      </w:r>
      <w:r w:rsidR="009158CC">
        <w:rPr>
          <w:rFonts w:eastAsia="Times New Roman"/>
          <w:color w:val="000000" w:themeColor="text1"/>
        </w:rPr>
        <w:fldChar w:fldCharType="end"/>
      </w:r>
      <w:r w:rsidRPr="37FEF424">
        <w:rPr>
          <w:rFonts w:eastAsia="Times New Roman"/>
          <w:color w:val="000000" w:themeColor="text1"/>
        </w:rPr>
        <w:t xml:space="preserve">. </w:t>
      </w:r>
    </w:p>
    <w:p w14:paraId="496EEF8D" w14:textId="22BC4DC5" w:rsidR="00C659B2" w:rsidRPr="008E323E" w:rsidRDefault="12BC6577" w:rsidP="00A616F7">
      <w:pPr>
        <w:pStyle w:val="Heading3"/>
        <w:ind w:left="1440" w:hanging="720"/>
        <w:rPr>
          <w:color w:val="000000" w:themeColor="text1"/>
        </w:rPr>
      </w:pPr>
      <w:bookmarkStart w:id="50" w:name="_Toc176088925"/>
      <w:r w:rsidRPr="008E323E">
        <w:t>The vague statutory language fails to establish carrying a weapon is “unlawful activity.”</w:t>
      </w:r>
      <w:bookmarkEnd w:id="50"/>
    </w:p>
    <w:p w14:paraId="79244E2F" w14:textId="30FC517E" w:rsidR="00C659B2" w:rsidRDefault="12BC6577" w:rsidP="04765EA5">
      <w:pPr>
        <w:spacing w:line="520" w:lineRule="auto"/>
        <w:ind w:firstLine="720"/>
        <w:rPr>
          <w:rFonts w:eastAsia="Times New Roman"/>
          <w:color w:val="000000" w:themeColor="text1"/>
        </w:rPr>
      </w:pPr>
      <w:r w:rsidRPr="132E83FC">
        <w:rPr>
          <w:rFonts w:eastAsia="Times New Roman"/>
          <w:color w:val="000000" w:themeColor="text1"/>
        </w:rPr>
        <w:t xml:space="preserve">There is no definition or binding precedent explaining what is considered “unlawful activity” in the State of Stetson. Additionally, </w:t>
      </w:r>
      <w:r w:rsidR="00BE2B85" w:rsidRPr="132E83FC">
        <w:rPr>
          <w:rFonts w:eastAsia="Times New Roman"/>
          <w:color w:val="000000" w:themeColor="text1"/>
        </w:rPr>
        <w:t xml:space="preserve">while </w:t>
      </w:r>
      <w:r w:rsidRPr="132E83FC">
        <w:rPr>
          <w:rFonts w:eastAsia="Times New Roman"/>
          <w:color w:val="000000" w:themeColor="text1"/>
        </w:rPr>
        <w:t xml:space="preserve">the Supreme Court has not established </w:t>
      </w:r>
      <w:r w:rsidRPr="132E83FC">
        <w:rPr>
          <w:rFonts w:eastAsia="Times New Roman"/>
          <w:color w:val="000000" w:themeColor="text1"/>
        </w:rPr>
        <w:lastRenderedPageBreak/>
        <w:t xml:space="preserve">a clear standing on whether carrying a concealed weapon is an “unlawful activity,” the Court expanded gun rights in 2022 when it struck down a New York law regulating concealed carry of firearms. </w:t>
      </w:r>
      <w:r w:rsidRPr="132E83FC">
        <w:rPr>
          <w:rFonts w:eastAsia="Times New Roman"/>
          <w:i/>
          <w:color w:val="000000" w:themeColor="text1"/>
        </w:rPr>
        <w:t>Bruen</w:t>
      </w:r>
      <w:r w:rsidRPr="132E83FC">
        <w:rPr>
          <w:rFonts w:eastAsia="Times New Roman"/>
          <w:color w:val="000000" w:themeColor="text1"/>
        </w:rPr>
        <w:t>, 597 U.S. at 71</w:t>
      </w:r>
      <w:r w:rsidR="00663915">
        <w:rPr>
          <w:rFonts w:eastAsia="Times New Roman"/>
          <w:color w:val="000000" w:themeColor="text1"/>
        </w:rPr>
        <w:fldChar w:fldCharType="begin"/>
      </w:r>
      <w:r w:rsidR="00663915">
        <w:instrText xml:space="preserve"> TA \s "N.Y. State Rifle &amp; Pistol Ass’n, Inc. v. Bruen" </w:instrText>
      </w:r>
      <w:r w:rsidR="00663915">
        <w:rPr>
          <w:rFonts w:eastAsia="Times New Roman"/>
          <w:color w:val="000000" w:themeColor="text1"/>
        </w:rPr>
        <w:fldChar w:fldCharType="end"/>
      </w:r>
      <w:r w:rsidRPr="132E83FC">
        <w:rPr>
          <w:rFonts w:eastAsia="Times New Roman"/>
          <w:color w:val="000000" w:themeColor="text1"/>
        </w:rPr>
        <w:t xml:space="preserve">. The Court stated the following: </w:t>
      </w:r>
    </w:p>
    <w:p w14:paraId="22E8E98D" w14:textId="326E67A2" w:rsidR="00C659B2" w:rsidRDefault="12BC6577" w:rsidP="04765EA5">
      <w:pPr>
        <w:spacing w:line="259" w:lineRule="auto"/>
        <w:ind w:left="720" w:right="720"/>
      </w:pPr>
      <w:r w:rsidRPr="04765EA5">
        <w:rPr>
          <w:rFonts w:eastAsia="Times New Roman"/>
          <w:color w:val="000000" w:themeColor="text1"/>
          <w:szCs w:val="26"/>
        </w:rPr>
        <w:t>The constitutional right to bear arms in public for self-defense is not “a second-class right, subject to an entirely different body of rules than the other Bill of Rights guarantees.” We know of no other constitutional right that an individual may exercise only after demonstrating to government officers some special need.</w:t>
      </w:r>
    </w:p>
    <w:p w14:paraId="46F45E65" w14:textId="65B0F5C0" w:rsidR="00C659B2" w:rsidRDefault="12BC6577" w:rsidP="04765EA5">
      <w:pPr>
        <w:shd w:val="clear" w:color="auto" w:fill="FFFFFF" w:themeFill="background1"/>
        <w:spacing w:before="240" w:line="520" w:lineRule="auto"/>
        <w:rPr>
          <w:rFonts w:eastAsia="Times New Roman"/>
          <w:color w:val="000000" w:themeColor="text1"/>
        </w:rPr>
      </w:pPr>
      <w:r w:rsidRPr="132E83FC">
        <w:rPr>
          <w:rFonts w:eastAsia="Times New Roman"/>
          <w:i/>
          <w:color w:val="000000" w:themeColor="text1"/>
        </w:rPr>
        <w:t>Id.</w:t>
      </w:r>
      <w:r w:rsidRPr="132E83FC">
        <w:rPr>
          <w:rFonts w:eastAsia="Times New Roman"/>
          <w:color w:val="000000" w:themeColor="text1"/>
        </w:rPr>
        <w:t xml:space="preserve"> at 70</w:t>
      </w:r>
      <w:r w:rsidR="00663915">
        <w:rPr>
          <w:rFonts w:eastAsia="Times New Roman"/>
          <w:color w:val="000000" w:themeColor="text1"/>
        </w:rPr>
        <w:fldChar w:fldCharType="begin"/>
      </w:r>
      <w:r w:rsidR="00663915">
        <w:instrText xml:space="preserve"> TA \s "N.Y. State Rifle &amp; Pistol Ass’n, Inc. v. Bruen" </w:instrText>
      </w:r>
      <w:r w:rsidR="00663915">
        <w:rPr>
          <w:rFonts w:eastAsia="Times New Roman"/>
          <w:color w:val="000000" w:themeColor="text1"/>
        </w:rPr>
        <w:fldChar w:fldCharType="end"/>
      </w:r>
      <w:r w:rsidRPr="132E83FC">
        <w:rPr>
          <w:rFonts w:eastAsia="Times New Roman"/>
          <w:color w:val="000000" w:themeColor="text1"/>
        </w:rPr>
        <w:t xml:space="preserve"> (citation omitted). This Court must not ignore the message from the Supreme Court. Finding that </w:t>
      </w:r>
      <w:r w:rsidR="00ED00B5" w:rsidRPr="132E83FC">
        <w:rPr>
          <w:rFonts w:eastAsia="Times New Roman"/>
          <w:color w:val="000000" w:themeColor="text1"/>
        </w:rPr>
        <w:t>Jay</w:t>
      </w:r>
      <w:r w:rsidRPr="132E83FC">
        <w:rPr>
          <w:rFonts w:eastAsia="Times New Roman"/>
          <w:color w:val="000000" w:themeColor="text1"/>
        </w:rPr>
        <w:t xml:space="preserve"> is not entitled to self-defense immunity simply because </w:t>
      </w:r>
      <w:r w:rsidR="005C11F8" w:rsidRPr="132E83FC">
        <w:rPr>
          <w:rFonts w:eastAsia="Times New Roman"/>
          <w:color w:val="000000" w:themeColor="text1"/>
        </w:rPr>
        <w:t xml:space="preserve">he had </w:t>
      </w:r>
      <w:r w:rsidRPr="132E83FC">
        <w:rPr>
          <w:rFonts w:eastAsia="Times New Roman"/>
          <w:color w:val="000000" w:themeColor="text1"/>
        </w:rPr>
        <w:t xml:space="preserve">a gun in his jacket would do just that. A human’s life must supersede the vague “engaged in criminal activity” language found in </w:t>
      </w:r>
      <w:r w:rsidR="561E05F9">
        <w:t>Stetson Penal Code</w:t>
      </w:r>
      <w:r w:rsidR="561E05F9" w:rsidRPr="132E83FC">
        <w:rPr>
          <w:b/>
          <w:bCs/>
        </w:rPr>
        <w:t xml:space="preserve"> </w:t>
      </w:r>
      <w:r w:rsidR="00C740BD">
        <w:rPr>
          <w:rFonts w:eastAsia="Times New Roman"/>
          <w:color w:val="000000" w:themeColor="text1"/>
        </w:rPr>
        <w:t>s</w:t>
      </w:r>
      <w:r w:rsidRPr="132E83FC">
        <w:rPr>
          <w:rFonts w:eastAsia="Times New Roman"/>
          <w:color w:val="000000" w:themeColor="text1"/>
        </w:rPr>
        <w:t>ection 776.012</w:t>
      </w:r>
      <w:r w:rsidR="00663915">
        <w:rPr>
          <w:rFonts w:eastAsia="Times New Roman"/>
          <w:color w:val="000000" w:themeColor="text1"/>
        </w:rPr>
        <w:fldChar w:fldCharType="begin"/>
      </w:r>
      <w:r w:rsidR="00663915">
        <w:instrText xml:space="preserve"> TA \s "§ 776.012" </w:instrText>
      </w:r>
      <w:r w:rsidR="00663915">
        <w:rPr>
          <w:rFonts w:eastAsia="Times New Roman"/>
          <w:color w:val="000000" w:themeColor="text1"/>
        </w:rPr>
        <w:fldChar w:fldCharType="end"/>
      </w:r>
      <w:r w:rsidRPr="132E83FC">
        <w:rPr>
          <w:rFonts w:eastAsia="Times New Roman"/>
          <w:color w:val="000000" w:themeColor="text1"/>
        </w:rPr>
        <w:t xml:space="preserve">. It would be inconceivable to </w:t>
      </w:r>
      <w:r w:rsidR="00ED00B5" w:rsidRPr="132E83FC">
        <w:rPr>
          <w:rFonts w:eastAsia="Times New Roman"/>
          <w:color w:val="000000" w:themeColor="text1"/>
        </w:rPr>
        <w:t xml:space="preserve">demand that Jay </w:t>
      </w:r>
      <w:r w:rsidRPr="132E83FC">
        <w:rPr>
          <w:rFonts w:eastAsia="Times New Roman"/>
          <w:color w:val="000000" w:themeColor="text1"/>
        </w:rPr>
        <w:t>should have stood in that situation and allowed himself to be killed because he had a gun in his pocket.</w:t>
      </w:r>
    </w:p>
    <w:p w14:paraId="72C9B7CE" w14:textId="3D1D4435" w:rsidR="00C659B2" w:rsidRDefault="12BC6577" w:rsidP="00EF17F3">
      <w:pPr>
        <w:spacing w:after="160" w:line="520" w:lineRule="auto"/>
        <w:ind w:firstLine="720"/>
        <w:rPr>
          <w:rFonts w:eastAsia="Times New Roman"/>
          <w:color w:val="000000" w:themeColor="text1"/>
        </w:rPr>
      </w:pPr>
      <w:r w:rsidRPr="232B3842">
        <w:rPr>
          <w:rFonts w:eastAsia="Times New Roman"/>
          <w:color w:val="000000" w:themeColor="text1"/>
        </w:rPr>
        <w:t xml:space="preserve">While there are several cases in Florida that establish carrying a concealed firearm without a license is an unlawful activity, unlike </w:t>
      </w:r>
      <w:r w:rsidR="7DB1F288" w:rsidRPr="26693A23">
        <w:rPr>
          <w:rFonts w:eastAsia="Times New Roman"/>
          <w:color w:val="000000" w:themeColor="text1"/>
        </w:rPr>
        <w:t>Jay</w:t>
      </w:r>
      <w:r w:rsidRPr="232B3842">
        <w:rPr>
          <w:rFonts w:eastAsia="Times New Roman"/>
          <w:color w:val="000000" w:themeColor="text1"/>
        </w:rPr>
        <w:t xml:space="preserve">, the defendants in those cases were convicted felons in possession of a firearm at the time of the shootings. </w:t>
      </w:r>
      <w:r w:rsidRPr="232B3842">
        <w:rPr>
          <w:rFonts w:eastAsia="Times New Roman"/>
          <w:i/>
          <w:iCs/>
          <w:color w:val="000000" w:themeColor="text1"/>
        </w:rPr>
        <w:t>See, e.g.,</w:t>
      </w:r>
      <w:r w:rsidRPr="232B3842">
        <w:rPr>
          <w:rFonts w:eastAsia="Times New Roman"/>
          <w:color w:val="000000" w:themeColor="text1"/>
        </w:rPr>
        <w:t xml:space="preserve"> </w:t>
      </w:r>
      <w:r w:rsidRPr="232B3842">
        <w:rPr>
          <w:rFonts w:eastAsia="Times New Roman"/>
          <w:i/>
          <w:iCs/>
          <w:color w:val="000000" w:themeColor="text1"/>
        </w:rPr>
        <w:t>Miles v. State</w:t>
      </w:r>
      <w:r w:rsidRPr="232B3842">
        <w:rPr>
          <w:rFonts w:eastAsia="Times New Roman"/>
          <w:color w:val="000000" w:themeColor="text1"/>
        </w:rPr>
        <w:t>, 162 So. 3d 169, 171 (Fla. 5th Dist. App. 2015)</w:t>
      </w:r>
      <w:r w:rsidR="00D90C8D">
        <w:rPr>
          <w:rFonts w:eastAsia="Times New Roman"/>
          <w:color w:val="000000" w:themeColor="text1"/>
        </w:rPr>
        <w:fldChar w:fldCharType="begin"/>
      </w:r>
      <w:r w:rsidR="00D90C8D">
        <w:instrText xml:space="preserve"> TA \l "</w:instrText>
      </w:r>
      <w:r w:rsidR="00D90C8D" w:rsidRPr="00A754B6">
        <w:rPr>
          <w:rFonts w:eastAsia="Times New Roman"/>
          <w:i/>
          <w:iCs/>
          <w:color w:val="000000" w:themeColor="text1"/>
        </w:rPr>
        <w:instrText>Miles v. State</w:instrText>
      </w:r>
      <w:r w:rsidR="00D90C8D" w:rsidRPr="00A754B6">
        <w:rPr>
          <w:rFonts w:eastAsia="Times New Roman"/>
          <w:color w:val="000000" w:themeColor="text1"/>
        </w:rPr>
        <w:instrText>, 162 So. 3d 169 (Fla. 5th Dist. App. 2015)</w:instrText>
      </w:r>
      <w:r w:rsidR="00D90C8D">
        <w:instrText xml:space="preserve">" \s "Miles v. State" \c 1 </w:instrText>
      </w:r>
      <w:r w:rsidR="00D90C8D">
        <w:rPr>
          <w:rFonts w:eastAsia="Times New Roman"/>
          <w:color w:val="000000" w:themeColor="text1"/>
        </w:rPr>
        <w:fldChar w:fldCharType="end"/>
      </w:r>
      <w:r w:rsidRPr="232B3842">
        <w:rPr>
          <w:rFonts w:eastAsia="Times New Roman"/>
          <w:color w:val="000000" w:themeColor="text1"/>
        </w:rPr>
        <w:t xml:space="preserve">; </w:t>
      </w:r>
      <w:r w:rsidRPr="232B3842">
        <w:rPr>
          <w:rFonts w:eastAsia="Times New Roman"/>
          <w:i/>
          <w:iCs/>
          <w:color w:val="000000" w:themeColor="text1"/>
        </w:rPr>
        <w:t>Hill v. State</w:t>
      </w:r>
      <w:r w:rsidRPr="232B3842">
        <w:rPr>
          <w:rFonts w:eastAsia="Times New Roman"/>
          <w:color w:val="000000" w:themeColor="text1"/>
        </w:rPr>
        <w:t>, 143 So. 3d 981 (Fla. 4th Dist. App. 2014);</w:t>
      </w:r>
      <w:r w:rsidR="00290583">
        <w:rPr>
          <w:rFonts w:eastAsia="Times New Roman"/>
          <w:color w:val="000000" w:themeColor="text1"/>
        </w:rPr>
        <w:fldChar w:fldCharType="begin"/>
      </w:r>
      <w:r w:rsidR="00290583">
        <w:instrText xml:space="preserve"> TA \l "</w:instrText>
      </w:r>
      <w:r w:rsidR="00290583" w:rsidRPr="00A754B6">
        <w:rPr>
          <w:rFonts w:eastAsia="Times New Roman"/>
          <w:i/>
          <w:iCs/>
          <w:color w:val="000000" w:themeColor="text1"/>
        </w:rPr>
        <w:instrText>Hill v. State</w:instrText>
      </w:r>
      <w:r w:rsidR="00290583" w:rsidRPr="00A754B6">
        <w:rPr>
          <w:rFonts w:eastAsia="Times New Roman"/>
          <w:color w:val="000000" w:themeColor="text1"/>
        </w:rPr>
        <w:instrText>, 143 So. 3d 981 (Fla. 4th Dist. App. 2014)</w:instrText>
      </w:r>
      <w:r w:rsidR="00290583">
        <w:instrText xml:space="preserve">" \s "Hill v. State" \c 1 </w:instrText>
      </w:r>
      <w:r w:rsidR="00290583">
        <w:rPr>
          <w:rFonts w:eastAsia="Times New Roman"/>
          <w:color w:val="000000" w:themeColor="text1"/>
        </w:rPr>
        <w:fldChar w:fldCharType="end"/>
      </w:r>
      <w:r w:rsidRPr="232B3842">
        <w:rPr>
          <w:rFonts w:eastAsia="Times New Roman"/>
          <w:color w:val="000000" w:themeColor="text1"/>
        </w:rPr>
        <w:t xml:space="preserve"> </w:t>
      </w:r>
      <w:r w:rsidRPr="232B3842">
        <w:rPr>
          <w:rFonts w:eastAsia="Times New Roman"/>
          <w:i/>
          <w:iCs/>
          <w:color w:val="000000" w:themeColor="text1"/>
        </w:rPr>
        <w:t>Little v. State</w:t>
      </w:r>
      <w:r w:rsidRPr="232B3842">
        <w:rPr>
          <w:rFonts w:eastAsia="Times New Roman"/>
          <w:color w:val="000000" w:themeColor="text1"/>
        </w:rPr>
        <w:t>, 111 So. 3d 214, 222 (Fla. 2nd Dist. App. 2013)</w:t>
      </w:r>
      <w:r w:rsidR="00CE4161">
        <w:rPr>
          <w:rFonts w:eastAsia="Times New Roman"/>
          <w:color w:val="000000" w:themeColor="text1"/>
        </w:rPr>
        <w:fldChar w:fldCharType="begin"/>
      </w:r>
      <w:r w:rsidR="00CE4161">
        <w:instrText xml:space="preserve"> TA \l "</w:instrText>
      </w:r>
      <w:r w:rsidR="00CE4161" w:rsidRPr="00A754B6">
        <w:rPr>
          <w:rFonts w:eastAsia="Times New Roman"/>
          <w:i/>
          <w:iCs/>
          <w:color w:val="000000" w:themeColor="text1"/>
        </w:rPr>
        <w:instrText>Little v. State</w:instrText>
      </w:r>
      <w:r w:rsidR="00CE4161" w:rsidRPr="00A754B6">
        <w:rPr>
          <w:rFonts w:eastAsia="Times New Roman"/>
          <w:color w:val="000000" w:themeColor="text1"/>
        </w:rPr>
        <w:instrText>, 111 So. 3d 214 (Fla. 2nd Dist. App. 2013)</w:instrText>
      </w:r>
      <w:r w:rsidR="00CE4161">
        <w:instrText xml:space="preserve">" \s "Little v. State" \c 1 </w:instrText>
      </w:r>
      <w:r w:rsidR="00CE4161">
        <w:rPr>
          <w:rFonts w:eastAsia="Times New Roman"/>
          <w:color w:val="000000" w:themeColor="text1"/>
        </w:rPr>
        <w:fldChar w:fldCharType="end"/>
      </w:r>
      <w:r w:rsidRPr="232B3842">
        <w:rPr>
          <w:rFonts w:eastAsia="Times New Roman"/>
          <w:color w:val="000000" w:themeColor="text1"/>
        </w:rPr>
        <w:t xml:space="preserve">; </w:t>
      </w:r>
      <w:r w:rsidRPr="232B3842">
        <w:rPr>
          <w:rFonts w:eastAsia="Times New Roman"/>
          <w:i/>
          <w:iCs/>
          <w:color w:val="000000" w:themeColor="text1"/>
        </w:rPr>
        <w:t>Dorsey v. State</w:t>
      </w:r>
      <w:r w:rsidRPr="232B3842">
        <w:rPr>
          <w:rFonts w:eastAsia="Times New Roman"/>
          <w:color w:val="000000" w:themeColor="text1"/>
        </w:rPr>
        <w:t>, 74 So.3d 521, 527 (Fla. 4th Dist. App. 2011)</w:t>
      </w:r>
      <w:r w:rsidR="008C50FA">
        <w:rPr>
          <w:rFonts w:eastAsia="Times New Roman"/>
          <w:color w:val="000000" w:themeColor="text1"/>
        </w:rPr>
        <w:fldChar w:fldCharType="begin"/>
      </w:r>
      <w:r w:rsidR="008C50FA">
        <w:instrText xml:space="preserve"> TA \l "</w:instrText>
      </w:r>
      <w:r w:rsidR="008C50FA" w:rsidRPr="00A754B6">
        <w:rPr>
          <w:rFonts w:eastAsia="Times New Roman"/>
          <w:i/>
          <w:iCs/>
          <w:color w:val="000000" w:themeColor="text1"/>
        </w:rPr>
        <w:instrText>Dorsey v. State</w:instrText>
      </w:r>
      <w:r w:rsidR="008C50FA" w:rsidRPr="00A754B6">
        <w:rPr>
          <w:rFonts w:eastAsia="Times New Roman"/>
          <w:color w:val="000000" w:themeColor="text1"/>
        </w:rPr>
        <w:instrText>, 74 So.3d 521 (Fla. 4th Dist. App. 2011)</w:instrText>
      </w:r>
      <w:r w:rsidR="008C50FA">
        <w:instrText xml:space="preserve">" \s "Dorsey v. State" \c 1 </w:instrText>
      </w:r>
      <w:r w:rsidR="008C50FA">
        <w:rPr>
          <w:rFonts w:eastAsia="Times New Roman"/>
          <w:color w:val="000000" w:themeColor="text1"/>
        </w:rPr>
        <w:fldChar w:fldCharType="end"/>
      </w:r>
      <w:r w:rsidRPr="232B3842">
        <w:rPr>
          <w:rFonts w:eastAsia="Times New Roman"/>
          <w:color w:val="000000" w:themeColor="text1"/>
        </w:rPr>
        <w:t xml:space="preserve">. In the case of </w:t>
      </w:r>
      <w:r w:rsidRPr="232B3842">
        <w:rPr>
          <w:rFonts w:eastAsia="Times New Roman"/>
          <w:i/>
          <w:iCs/>
          <w:color w:val="000000" w:themeColor="text1"/>
        </w:rPr>
        <w:t>Rios v. State of Florida</w:t>
      </w:r>
      <w:r w:rsidRPr="232B3842">
        <w:rPr>
          <w:rFonts w:eastAsia="Times New Roman"/>
          <w:color w:val="000000" w:themeColor="text1"/>
        </w:rPr>
        <w:t xml:space="preserve">, </w:t>
      </w:r>
      <w:r w:rsidR="008104E5" w:rsidRPr="232B3842">
        <w:rPr>
          <w:rFonts w:eastAsia="Times New Roman"/>
          <w:color w:val="000000" w:themeColor="text1"/>
        </w:rPr>
        <w:t>the court</w:t>
      </w:r>
      <w:r w:rsidRPr="232B3842">
        <w:rPr>
          <w:rFonts w:eastAsia="Times New Roman"/>
          <w:color w:val="000000" w:themeColor="text1"/>
        </w:rPr>
        <w:t xml:space="preserve"> ruled that defendant engaged in “unlawful activity” by carrying a concealed firearm at the time of the incident; however, </w:t>
      </w:r>
      <w:r w:rsidRPr="232B3842">
        <w:rPr>
          <w:rFonts w:eastAsia="Times New Roman"/>
          <w:i/>
          <w:iCs/>
          <w:color w:val="000000" w:themeColor="text1"/>
        </w:rPr>
        <w:t>Rios</w:t>
      </w:r>
      <w:r w:rsidRPr="232B3842">
        <w:rPr>
          <w:rFonts w:eastAsia="Times New Roman"/>
          <w:color w:val="000000" w:themeColor="text1"/>
        </w:rPr>
        <w:t xml:space="preserve"> remains non-binding authority. </w:t>
      </w:r>
      <w:r w:rsidR="00E62197" w:rsidRPr="00E62197">
        <w:rPr>
          <w:rFonts w:eastAsia="Times New Roman"/>
          <w:color w:val="000000" w:themeColor="text1"/>
        </w:rPr>
        <w:t xml:space="preserve">143 So. </w:t>
      </w:r>
      <w:r w:rsidR="00E62197" w:rsidRPr="00E62197">
        <w:rPr>
          <w:rFonts w:eastAsia="Times New Roman"/>
          <w:color w:val="000000" w:themeColor="text1"/>
        </w:rPr>
        <w:lastRenderedPageBreak/>
        <w:t>3d 1167</w:t>
      </w:r>
      <w:r w:rsidR="00E62197">
        <w:rPr>
          <w:rFonts w:eastAsia="Times New Roman"/>
          <w:color w:val="000000" w:themeColor="text1"/>
        </w:rPr>
        <w:t>, 1170</w:t>
      </w:r>
      <w:r w:rsidR="00E62197" w:rsidRPr="00E62197">
        <w:rPr>
          <w:rFonts w:eastAsia="Times New Roman"/>
          <w:color w:val="000000" w:themeColor="text1"/>
        </w:rPr>
        <w:t xml:space="preserve"> (Fla. Dist. Ct. App. 2014)</w:t>
      </w:r>
      <w:r w:rsidR="00F438AC">
        <w:rPr>
          <w:rFonts w:eastAsia="Times New Roman"/>
          <w:color w:val="000000" w:themeColor="text1"/>
        </w:rPr>
        <w:fldChar w:fldCharType="begin"/>
      </w:r>
      <w:r w:rsidR="00F438AC">
        <w:instrText xml:space="preserve"> TA \l "</w:instrText>
      </w:r>
      <w:r w:rsidR="00F438AC" w:rsidRPr="00A754B6">
        <w:rPr>
          <w:rFonts w:eastAsia="Times New Roman"/>
          <w:i/>
          <w:iCs/>
          <w:color w:val="000000" w:themeColor="text1"/>
        </w:rPr>
        <w:instrText>Rios v. State,</w:instrText>
      </w:r>
      <w:r w:rsidR="00F438AC" w:rsidRPr="00A754B6">
        <w:rPr>
          <w:rFonts w:eastAsia="Times New Roman"/>
          <w:color w:val="000000" w:themeColor="text1"/>
        </w:rPr>
        <w:instrText xml:space="preserve"> </w:instrText>
      </w:r>
      <w:r w:rsidR="00F438AC" w:rsidRPr="00A754B6">
        <w:rPr>
          <w:rFonts w:eastAsia="Times New Roman"/>
          <w:color w:val="000000" w:themeColor="text1"/>
        </w:rPr>
        <w:instrText>143 So. 3d 1167 (Fla. Dist. Ct. App. 2014)</w:instrText>
      </w:r>
      <w:r w:rsidR="00F438AC">
        <w:instrText xml:space="preserve">" \s "Rios v. State" \c 1 </w:instrText>
      </w:r>
      <w:r w:rsidR="00F438AC">
        <w:rPr>
          <w:rFonts w:eastAsia="Times New Roman"/>
          <w:color w:val="000000" w:themeColor="text1"/>
        </w:rPr>
        <w:fldChar w:fldCharType="end"/>
      </w:r>
      <w:r w:rsidRPr="232B3842">
        <w:rPr>
          <w:rFonts w:eastAsia="Times New Roman"/>
          <w:color w:val="000000" w:themeColor="text1"/>
        </w:rPr>
        <w:t xml:space="preserve">. </w:t>
      </w:r>
      <w:r w:rsidR="56C8455F" w:rsidRPr="132E83FC">
        <w:rPr>
          <w:rFonts w:eastAsia="Times New Roman"/>
          <w:color w:val="000000" w:themeColor="text1"/>
        </w:rPr>
        <w:t>As</w:t>
      </w:r>
      <w:r w:rsidRPr="232B3842">
        <w:rPr>
          <w:rFonts w:eastAsia="Times New Roman"/>
          <w:color w:val="000000" w:themeColor="text1"/>
        </w:rPr>
        <w:t xml:space="preserve"> </w:t>
      </w:r>
      <w:r w:rsidRPr="00322A7A">
        <w:rPr>
          <w:rFonts w:eastAsia="Times New Roman"/>
          <w:i/>
          <w:color w:val="000000" w:themeColor="text1"/>
        </w:rPr>
        <w:t xml:space="preserve">Rios </w:t>
      </w:r>
      <w:r w:rsidRPr="232B3842">
        <w:rPr>
          <w:rFonts w:eastAsia="Times New Roman"/>
          <w:color w:val="000000" w:themeColor="text1"/>
        </w:rPr>
        <w:t xml:space="preserve">remains non-bind authority, this Court is not bound by Florida’s interpretation of “unlawful activity.” This Court should hold in congruence with the Supreme Court and consider the intent behind Stetson’s new law permitting concealed carry when deciding what is “unlawful activity.” Additionally, the facts here provide that </w:t>
      </w:r>
      <w:r w:rsidR="107A7F44" w:rsidRPr="6BB37193">
        <w:rPr>
          <w:rFonts w:eastAsia="Times New Roman"/>
          <w:color w:val="000000" w:themeColor="text1"/>
        </w:rPr>
        <w:t>Jay</w:t>
      </w:r>
      <w:r w:rsidRPr="232B3842">
        <w:rPr>
          <w:rFonts w:eastAsia="Times New Roman"/>
          <w:color w:val="000000" w:themeColor="text1"/>
        </w:rPr>
        <w:t xml:space="preserve"> did not carry his handgun in a manner intentionally hiding its existence. Thus, the Court should grant </w:t>
      </w:r>
      <w:r w:rsidR="00FA3C72">
        <w:rPr>
          <w:rFonts w:eastAsia="Times New Roman"/>
          <w:color w:val="000000" w:themeColor="text1"/>
        </w:rPr>
        <w:t>Jay Cameron’s</w:t>
      </w:r>
      <w:r w:rsidRPr="232B3842">
        <w:rPr>
          <w:rFonts w:eastAsia="Times New Roman"/>
          <w:color w:val="000000" w:themeColor="text1"/>
        </w:rPr>
        <w:t xml:space="preserve"> </w:t>
      </w:r>
      <w:r w:rsidR="00FA3C72">
        <w:rPr>
          <w:rFonts w:eastAsia="Times New Roman"/>
          <w:color w:val="000000" w:themeColor="text1"/>
        </w:rPr>
        <w:t>M</w:t>
      </w:r>
      <w:r w:rsidRPr="232B3842">
        <w:rPr>
          <w:rFonts w:eastAsia="Times New Roman"/>
          <w:color w:val="000000" w:themeColor="text1"/>
        </w:rPr>
        <w:t xml:space="preserve">otion to </w:t>
      </w:r>
      <w:r w:rsidR="00FA3C72">
        <w:rPr>
          <w:rFonts w:eastAsia="Times New Roman"/>
          <w:color w:val="000000" w:themeColor="text1"/>
        </w:rPr>
        <w:t>D</w:t>
      </w:r>
      <w:r w:rsidRPr="232B3842">
        <w:rPr>
          <w:rFonts w:eastAsia="Times New Roman"/>
          <w:color w:val="000000" w:themeColor="text1"/>
        </w:rPr>
        <w:t xml:space="preserve">ismiss because </w:t>
      </w:r>
      <w:r w:rsidR="0E8A9E3D" w:rsidRPr="2BCFA083">
        <w:rPr>
          <w:rFonts w:eastAsia="Times New Roman"/>
          <w:color w:val="000000" w:themeColor="text1"/>
        </w:rPr>
        <w:t>Jay</w:t>
      </w:r>
      <w:r w:rsidRPr="232B3842">
        <w:rPr>
          <w:rFonts w:eastAsia="Times New Roman"/>
          <w:color w:val="000000" w:themeColor="text1"/>
        </w:rPr>
        <w:t xml:space="preserve"> was not engaged in unlawful activity at the time of the shooting and, therefore, may seek immunity under Stetson’s Stand Your Ground </w:t>
      </w:r>
      <w:r w:rsidR="005E4744">
        <w:rPr>
          <w:rFonts w:eastAsia="Times New Roman"/>
          <w:color w:val="000000" w:themeColor="text1"/>
        </w:rPr>
        <w:t>Immunity statute</w:t>
      </w:r>
      <w:r w:rsidRPr="232B3842">
        <w:rPr>
          <w:rFonts w:eastAsia="Times New Roman"/>
          <w:color w:val="000000" w:themeColor="text1"/>
        </w:rPr>
        <w:t xml:space="preserve">. </w:t>
      </w:r>
    </w:p>
    <w:p w14:paraId="60B8CC5F" w14:textId="59853A5C" w:rsidR="002A6C78" w:rsidRPr="00EE0431" w:rsidRDefault="00493B76" w:rsidP="007B2A5E">
      <w:pPr>
        <w:pStyle w:val="Heading3"/>
        <w:ind w:left="1440" w:hanging="720"/>
      </w:pPr>
      <w:bookmarkStart w:id="51" w:name="_Toc176088926"/>
      <w:r w:rsidRPr="00EE0431">
        <w:t xml:space="preserve">Even if </w:t>
      </w:r>
      <w:r w:rsidR="005C0D95" w:rsidRPr="00EE0431">
        <w:t xml:space="preserve">Jay Cameron was engaged in unlawful </w:t>
      </w:r>
      <w:r w:rsidR="005835EB" w:rsidRPr="00EE0431">
        <w:t>concealed carry, he is not precluded from Stand Your Ground Immunity.</w:t>
      </w:r>
      <w:bookmarkEnd w:id="51"/>
    </w:p>
    <w:p w14:paraId="54315D27" w14:textId="0A943F19" w:rsidR="00493B76" w:rsidRPr="00493B76" w:rsidRDefault="00517962" w:rsidP="00F6611E">
      <w:pPr>
        <w:spacing w:before="240" w:line="520" w:lineRule="auto"/>
        <w:ind w:firstLine="720"/>
        <w:rPr>
          <w:rFonts w:eastAsia="Times New Roman"/>
          <w:color w:val="000000" w:themeColor="text1"/>
        </w:rPr>
      </w:pPr>
      <w:r>
        <w:t>Under</w:t>
      </w:r>
      <w:r w:rsidR="00493B76">
        <w:t xml:space="preserve"> </w:t>
      </w:r>
      <w:r w:rsidR="00493B76" w:rsidRPr="00493B76">
        <w:t>Stetson Penal Code</w:t>
      </w:r>
      <w:r w:rsidR="00493B76" w:rsidRPr="00493B76">
        <w:rPr>
          <w:b/>
        </w:rPr>
        <w:t xml:space="preserve"> </w:t>
      </w:r>
      <w:r w:rsidR="005E4744">
        <w:t>Section</w:t>
      </w:r>
      <w:r w:rsidR="00493B76" w:rsidRPr="00493B76">
        <w:t xml:space="preserve"> </w:t>
      </w:r>
      <w:r w:rsidR="00493B76" w:rsidRPr="00493B76">
        <w:rPr>
          <w:rFonts w:eastAsia="Times New Roman"/>
          <w:color w:val="000000" w:themeColor="text1"/>
        </w:rPr>
        <w:t>776.012</w:t>
      </w:r>
      <w:r w:rsidR="00F438AC">
        <w:rPr>
          <w:rFonts w:eastAsia="Times New Roman"/>
          <w:color w:val="000000" w:themeColor="text1"/>
        </w:rPr>
        <w:fldChar w:fldCharType="begin"/>
      </w:r>
      <w:r w:rsidR="00F438AC">
        <w:instrText xml:space="preserve"> TA \s "§ 776.012" </w:instrText>
      </w:r>
      <w:r w:rsidR="00F438AC">
        <w:rPr>
          <w:rFonts w:eastAsia="Times New Roman"/>
          <w:color w:val="000000" w:themeColor="text1"/>
        </w:rPr>
        <w:fldChar w:fldCharType="end"/>
      </w:r>
      <w:r w:rsidR="00493B76" w:rsidRPr="00493B76">
        <w:rPr>
          <w:rFonts w:eastAsia="Times New Roman"/>
          <w:color w:val="000000" w:themeColor="text1"/>
        </w:rPr>
        <w:t xml:space="preserve"> a person using or threatening to use the deadly force to defend themselves does not have a duty to retreat if they are not engaged in criminal activit</w:t>
      </w:r>
      <w:r w:rsidR="00ED0B5C">
        <w:rPr>
          <w:rFonts w:eastAsia="Times New Roman"/>
          <w:color w:val="000000" w:themeColor="text1"/>
        </w:rPr>
        <w:t xml:space="preserve">y. </w:t>
      </w:r>
      <w:r w:rsidR="00493B76" w:rsidRPr="00493B76">
        <w:rPr>
          <w:rFonts w:eastAsia="Times New Roman"/>
          <w:color w:val="000000" w:themeColor="text1"/>
        </w:rPr>
        <w:t xml:space="preserve">However, being engaged in an unlawful activity does not foreclose an individual from defending himself. </w:t>
      </w:r>
      <w:r w:rsidR="00493B76" w:rsidRPr="002534B5">
        <w:rPr>
          <w:rFonts w:eastAsia="Times New Roman"/>
          <w:i/>
          <w:color w:val="000000" w:themeColor="text1"/>
        </w:rPr>
        <w:t>See Jimenez v. State</w:t>
      </w:r>
      <w:r w:rsidR="00493B76" w:rsidRPr="002534B5">
        <w:rPr>
          <w:rFonts w:eastAsia="Times New Roman"/>
          <w:color w:val="000000" w:themeColor="text1"/>
        </w:rPr>
        <w:t>, 353 So. 3d 1286, 1288 (Fla. 2nd Dist. App. 2023)</w:t>
      </w:r>
      <w:r w:rsidR="00F438AC" w:rsidRPr="00294F56">
        <w:rPr>
          <w:rFonts w:eastAsia="Times New Roman"/>
          <w:color w:val="000000" w:themeColor="text1"/>
        </w:rPr>
        <w:fldChar w:fldCharType="begin"/>
      </w:r>
      <w:r w:rsidR="00F438AC" w:rsidRPr="00294F56">
        <w:instrText xml:space="preserve"> TA \s "Jimenez v. State" </w:instrText>
      </w:r>
      <w:r w:rsidR="00F438AC" w:rsidRPr="00294F56">
        <w:rPr>
          <w:rFonts w:eastAsia="Times New Roman"/>
          <w:color w:val="000000" w:themeColor="text1"/>
        </w:rPr>
        <w:fldChar w:fldCharType="end"/>
      </w:r>
      <w:r w:rsidR="00493B76" w:rsidRPr="002534B5">
        <w:rPr>
          <w:rFonts w:eastAsia="Times New Roman"/>
          <w:color w:val="000000" w:themeColor="text1"/>
        </w:rPr>
        <w:t xml:space="preserve"> (holding that defendant’s motion to dismiss was legally sufficient to establish a prima facie claim of self-defense immunity under Stand Your Ground law, even though defendant admitted he was engaged in the unlawful activity of carrying a concealed firearm when he lacked a license);</w:t>
      </w:r>
      <w:r w:rsidR="00493B76" w:rsidRPr="00493B76">
        <w:rPr>
          <w:rFonts w:eastAsia="Times New Roman"/>
          <w:color w:val="000000" w:themeColor="text1"/>
        </w:rPr>
        <w:t xml:space="preserve"> </w:t>
      </w:r>
      <w:r w:rsidR="00493B76" w:rsidRPr="00493B76">
        <w:rPr>
          <w:rFonts w:eastAsia="Times New Roman"/>
          <w:i/>
          <w:color w:val="000000" w:themeColor="text1"/>
        </w:rPr>
        <w:t>see also</w:t>
      </w:r>
      <w:r w:rsidR="00493B76" w:rsidRPr="00493B76">
        <w:rPr>
          <w:rFonts w:eastAsia="Times New Roman"/>
          <w:color w:val="000000" w:themeColor="text1"/>
        </w:rPr>
        <w:t xml:space="preserve"> </w:t>
      </w:r>
      <w:r w:rsidR="00493B76" w:rsidRPr="00493B76">
        <w:rPr>
          <w:rFonts w:eastAsia="Times New Roman"/>
          <w:i/>
          <w:color w:val="000000" w:themeColor="text1"/>
        </w:rPr>
        <w:t>Miles</w:t>
      </w:r>
      <w:r w:rsidR="00493B76" w:rsidRPr="00493B76">
        <w:rPr>
          <w:rFonts w:eastAsia="Times New Roman"/>
          <w:color w:val="000000" w:themeColor="text1"/>
        </w:rPr>
        <w:t>, 162 So. 3d at 171</w:t>
      </w:r>
      <w:r w:rsidR="00294F56">
        <w:rPr>
          <w:rFonts w:eastAsia="Times New Roman"/>
          <w:color w:val="000000" w:themeColor="text1"/>
        </w:rPr>
        <w:fldChar w:fldCharType="begin"/>
      </w:r>
      <w:r w:rsidR="00294F56">
        <w:instrText xml:space="preserve"> TA \s "Miles v. State" </w:instrText>
      </w:r>
      <w:r w:rsidR="00294F56">
        <w:rPr>
          <w:rFonts w:eastAsia="Times New Roman"/>
          <w:color w:val="000000" w:themeColor="text1"/>
        </w:rPr>
        <w:fldChar w:fldCharType="end"/>
      </w:r>
      <w:r w:rsidR="00493B76" w:rsidRPr="00493B76">
        <w:rPr>
          <w:rFonts w:eastAsia="Times New Roman"/>
          <w:color w:val="000000" w:themeColor="text1"/>
        </w:rPr>
        <w:t xml:space="preserve"> (holding that a defendant could assert immunity even if they were engaged in an unlawful act at the time); </w:t>
      </w:r>
      <w:r w:rsidR="00493B76" w:rsidRPr="00493B76">
        <w:rPr>
          <w:rFonts w:eastAsia="Times New Roman"/>
          <w:i/>
          <w:color w:val="000000" w:themeColor="text1"/>
        </w:rPr>
        <w:t>Hill</w:t>
      </w:r>
      <w:r w:rsidR="00493B76" w:rsidRPr="00493B76">
        <w:rPr>
          <w:rFonts w:eastAsia="Times New Roman"/>
          <w:color w:val="000000" w:themeColor="text1"/>
        </w:rPr>
        <w:t>, 143 So. 3d at 986</w:t>
      </w:r>
      <w:r w:rsidR="00294F56">
        <w:rPr>
          <w:rFonts w:eastAsia="Times New Roman"/>
          <w:color w:val="000000" w:themeColor="text1"/>
        </w:rPr>
        <w:fldChar w:fldCharType="begin"/>
      </w:r>
      <w:r w:rsidR="00294F56">
        <w:instrText xml:space="preserve"> TA \s "Hill v. State" </w:instrText>
      </w:r>
      <w:r w:rsidR="00294F56">
        <w:rPr>
          <w:rFonts w:eastAsia="Times New Roman"/>
          <w:color w:val="000000" w:themeColor="text1"/>
        </w:rPr>
        <w:fldChar w:fldCharType="end"/>
      </w:r>
      <w:r w:rsidR="00493B76" w:rsidRPr="00493B76">
        <w:rPr>
          <w:rFonts w:eastAsia="Times New Roman"/>
          <w:color w:val="000000" w:themeColor="text1"/>
        </w:rPr>
        <w:t xml:space="preserve"> (same</w:t>
      </w:r>
      <w:r w:rsidR="00493B76" w:rsidRPr="00ED0B5C">
        <w:rPr>
          <w:rFonts w:eastAsia="Times New Roman"/>
          <w:color w:val="000000" w:themeColor="text1"/>
        </w:rPr>
        <w:t>)</w:t>
      </w:r>
      <w:r w:rsidR="00437FAC">
        <w:rPr>
          <w:rFonts w:eastAsia="Times New Roman"/>
          <w:color w:val="000000" w:themeColor="text1"/>
        </w:rPr>
        <w:t>. T</w:t>
      </w:r>
      <w:r w:rsidR="00493B76" w:rsidRPr="00493B76">
        <w:rPr>
          <w:rFonts w:eastAsia="Times New Roman"/>
          <w:color w:val="000000" w:themeColor="text1"/>
        </w:rPr>
        <w:t xml:space="preserve">hus, “[a] defendant who is engaged in unlawful </w:t>
      </w:r>
      <w:r w:rsidR="00493B76" w:rsidRPr="00493B76">
        <w:rPr>
          <w:rFonts w:eastAsia="Times New Roman"/>
          <w:color w:val="000000" w:themeColor="text1"/>
        </w:rPr>
        <w:lastRenderedPageBreak/>
        <w:t xml:space="preserve">activity…has a duty to retreat and must use all reasonable means in his power, consistent with his own safety, before his use of deadly force will be justified under the Stand Your Ground law.” </w:t>
      </w:r>
      <w:r w:rsidR="00493B76" w:rsidRPr="00493B76">
        <w:rPr>
          <w:rFonts w:eastAsia="Times New Roman"/>
          <w:i/>
          <w:color w:val="000000" w:themeColor="text1"/>
        </w:rPr>
        <w:t>Jimenez</w:t>
      </w:r>
      <w:r w:rsidR="00493B76" w:rsidRPr="00493B76">
        <w:rPr>
          <w:rFonts w:eastAsia="Times New Roman"/>
          <w:color w:val="000000" w:themeColor="text1"/>
        </w:rPr>
        <w:t>, 353 So. 3d at 1288</w:t>
      </w:r>
      <w:r w:rsidR="00294F56">
        <w:rPr>
          <w:rFonts w:eastAsia="Times New Roman"/>
          <w:color w:val="000000" w:themeColor="text1"/>
        </w:rPr>
        <w:fldChar w:fldCharType="begin"/>
      </w:r>
      <w:r w:rsidR="00294F56">
        <w:instrText xml:space="preserve"> TA \s "Jimenez v. State" </w:instrText>
      </w:r>
      <w:r w:rsidR="00294F56">
        <w:rPr>
          <w:rFonts w:eastAsia="Times New Roman"/>
          <w:color w:val="000000" w:themeColor="text1"/>
        </w:rPr>
        <w:fldChar w:fldCharType="end"/>
      </w:r>
      <w:r w:rsidR="00493B76" w:rsidRPr="00493B76">
        <w:rPr>
          <w:rFonts w:eastAsia="Times New Roman"/>
          <w:color w:val="000000" w:themeColor="text1"/>
        </w:rPr>
        <w:t xml:space="preserve"> (quoting </w:t>
      </w:r>
      <w:r w:rsidR="00493B76" w:rsidRPr="00493B76">
        <w:rPr>
          <w:rFonts w:eastAsia="Times New Roman"/>
          <w:i/>
          <w:color w:val="000000" w:themeColor="text1"/>
        </w:rPr>
        <w:t>Garcia</w:t>
      </w:r>
      <w:r w:rsidR="00493B76" w:rsidRPr="00493B76">
        <w:rPr>
          <w:rFonts w:eastAsia="Times New Roman"/>
          <w:color w:val="000000" w:themeColor="text1"/>
        </w:rPr>
        <w:t>, 286 So. 3d at 351).</w:t>
      </w:r>
      <w:r w:rsidR="00294F56">
        <w:rPr>
          <w:rFonts w:eastAsia="Times New Roman"/>
          <w:color w:val="000000" w:themeColor="text1"/>
        </w:rPr>
        <w:fldChar w:fldCharType="begin"/>
      </w:r>
      <w:r w:rsidR="00294F56">
        <w:instrText xml:space="preserve"> TA \s "Garcia v. State" </w:instrText>
      </w:r>
      <w:r w:rsidR="00294F56">
        <w:rPr>
          <w:rFonts w:eastAsia="Times New Roman"/>
          <w:color w:val="000000" w:themeColor="text1"/>
        </w:rPr>
        <w:fldChar w:fldCharType="end"/>
      </w:r>
      <w:r w:rsidR="00493B76" w:rsidRPr="00493B76">
        <w:rPr>
          <w:rFonts w:eastAsia="Times New Roman"/>
          <w:color w:val="000000" w:themeColor="text1"/>
        </w:rPr>
        <w:t xml:space="preserve"> </w:t>
      </w:r>
    </w:p>
    <w:p w14:paraId="04CF87F9" w14:textId="60BB7002" w:rsidR="00493B76" w:rsidRPr="00493B76" w:rsidRDefault="00F6611E" w:rsidP="00F6611E">
      <w:pPr>
        <w:spacing w:after="160"/>
        <w:rPr>
          <w:rFonts w:eastAsia="Times New Roman"/>
          <w:color w:val="000000" w:themeColor="text1"/>
        </w:rPr>
      </w:pPr>
      <w:r>
        <w:rPr>
          <w:rFonts w:eastAsia="Times New Roman"/>
          <w:color w:val="000000" w:themeColor="text1"/>
        </w:rPr>
        <w:tab/>
      </w:r>
      <w:r w:rsidR="00493B76" w:rsidRPr="00493B76">
        <w:rPr>
          <w:rFonts w:eastAsia="Times New Roman"/>
          <w:color w:val="000000" w:themeColor="text1"/>
        </w:rPr>
        <w:t xml:space="preserve">In </w:t>
      </w:r>
      <w:r w:rsidR="00493B76" w:rsidRPr="00493B76">
        <w:rPr>
          <w:rFonts w:eastAsia="Times New Roman"/>
          <w:i/>
          <w:color w:val="000000" w:themeColor="text1"/>
        </w:rPr>
        <w:t>Jimenez</w:t>
      </w:r>
      <w:r w:rsidR="00493B76" w:rsidRPr="00493B76">
        <w:rPr>
          <w:rFonts w:eastAsia="Times New Roman"/>
          <w:color w:val="000000" w:themeColor="text1"/>
        </w:rPr>
        <w:t>, the defendant pulled a firearm out of his pocket and defensively began shooting after known gang members opened fire.</w:t>
      </w:r>
      <w:r w:rsidR="009D5EC9">
        <w:rPr>
          <w:rFonts w:eastAsia="Times New Roman"/>
          <w:i/>
          <w:color w:val="000000" w:themeColor="text1"/>
        </w:rPr>
        <w:t xml:space="preserve"> Id. </w:t>
      </w:r>
      <w:r w:rsidR="009D5EC9">
        <w:rPr>
          <w:rFonts w:eastAsia="Times New Roman"/>
          <w:iCs/>
          <w:color w:val="000000" w:themeColor="text1"/>
        </w:rPr>
        <w:t>at 1286</w:t>
      </w:r>
      <w:r w:rsidR="00493B76" w:rsidRPr="00493B76">
        <w:rPr>
          <w:rFonts w:eastAsia="Times New Roman"/>
          <w:color w:val="000000" w:themeColor="text1"/>
        </w:rPr>
        <w:t>.</w:t>
      </w:r>
      <w:r w:rsidR="009D5EC9">
        <w:rPr>
          <w:rFonts w:eastAsia="Times New Roman"/>
          <w:color w:val="000000" w:themeColor="text1"/>
        </w:rPr>
        <w:fldChar w:fldCharType="begin"/>
      </w:r>
      <w:r w:rsidR="009D5EC9">
        <w:instrText xml:space="preserve"> TA \s "Jimenez v. State" </w:instrText>
      </w:r>
      <w:r w:rsidR="009D5EC9">
        <w:rPr>
          <w:rFonts w:eastAsia="Times New Roman"/>
          <w:color w:val="000000" w:themeColor="text1"/>
        </w:rPr>
        <w:fldChar w:fldCharType="end"/>
      </w:r>
      <w:r w:rsidR="00493B76" w:rsidRPr="00493B76">
        <w:rPr>
          <w:rFonts w:eastAsia="Times New Roman"/>
          <w:color w:val="000000" w:themeColor="text1"/>
        </w:rPr>
        <w:t xml:space="preserve"> The court noted that “when defendant discharged his firearm, he had no ability to retreat or to make clear that he wanted to terminate the encounter” because “the entire episode, which started the exchange of gunfire, began and ended in seconds.” </w:t>
      </w:r>
      <w:r w:rsidR="009D5EC9">
        <w:rPr>
          <w:rFonts w:eastAsia="Times New Roman"/>
          <w:i/>
          <w:color w:val="000000" w:themeColor="text1"/>
        </w:rPr>
        <w:t xml:space="preserve">Id. </w:t>
      </w:r>
      <w:r w:rsidR="00493B76" w:rsidRPr="00493B76">
        <w:rPr>
          <w:rFonts w:eastAsia="Times New Roman"/>
          <w:color w:val="000000" w:themeColor="text1"/>
        </w:rPr>
        <w:t>at 1287</w:t>
      </w:r>
      <w:r w:rsidR="009D5EC9">
        <w:rPr>
          <w:rFonts w:eastAsia="Times New Roman"/>
          <w:color w:val="000000" w:themeColor="text1"/>
        </w:rPr>
        <w:fldChar w:fldCharType="begin"/>
      </w:r>
      <w:r w:rsidR="009D5EC9">
        <w:instrText xml:space="preserve"> TA \s "Jimenez v. State" </w:instrText>
      </w:r>
      <w:r w:rsidR="009D5EC9">
        <w:rPr>
          <w:rFonts w:eastAsia="Times New Roman"/>
          <w:color w:val="000000" w:themeColor="text1"/>
        </w:rPr>
        <w:fldChar w:fldCharType="end"/>
      </w:r>
      <w:r w:rsidR="00493B76" w:rsidRPr="00493B76">
        <w:rPr>
          <w:rFonts w:eastAsia="Times New Roman"/>
          <w:color w:val="000000" w:themeColor="text1"/>
        </w:rPr>
        <w:t xml:space="preserve">. Likewise, Jay had no ability to retreat more than he already was or to make clear that he wanted to terminate the encounter. Exhibit B shows that Jay walked directly past Wilson and into the breezeway, heading towards his room. Wilson </w:t>
      </w:r>
      <w:r w:rsidR="004A420D" w:rsidRPr="00493B76">
        <w:rPr>
          <w:rFonts w:eastAsia="Times New Roman"/>
          <w:color w:val="000000" w:themeColor="text1"/>
        </w:rPr>
        <w:t>followed</w:t>
      </w:r>
      <w:r w:rsidR="00493B76" w:rsidRPr="00493B76">
        <w:rPr>
          <w:rFonts w:eastAsia="Times New Roman"/>
          <w:color w:val="000000" w:themeColor="text1"/>
        </w:rPr>
        <w:t xml:space="preserve"> Jay, which started the gunfire</w:t>
      </w:r>
      <w:r w:rsidR="00493B76" w:rsidRPr="00493B76">
        <w:rPr>
          <w:rFonts w:eastAsia="Times New Roman"/>
          <w:color w:val="000000" w:themeColor="text1"/>
        </w:rPr>
        <w:t xml:space="preserve"> </w:t>
      </w:r>
      <w:r w:rsidR="6D3E6953" w:rsidRPr="00493B76">
        <w:rPr>
          <w:rFonts w:eastAsia="Times New Roman"/>
          <w:color w:val="000000" w:themeColor="text1"/>
        </w:rPr>
        <w:t>exchange</w:t>
      </w:r>
      <w:r w:rsidR="00493B76" w:rsidRPr="00493B76">
        <w:rPr>
          <w:rFonts w:eastAsia="Times New Roman"/>
          <w:color w:val="000000" w:themeColor="text1"/>
        </w:rPr>
        <w:t xml:space="preserve"> that, similar to </w:t>
      </w:r>
      <w:r w:rsidR="00493B76" w:rsidRPr="00493B76">
        <w:rPr>
          <w:rFonts w:eastAsia="Times New Roman"/>
          <w:i/>
          <w:color w:val="000000" w:themeColor="text1"/>
        </w:rPr>
        <w:t>Jimenez</w:t>
      </w:r>
      <w:r w:rsidR="00493B76" w:rsidRPr="00493B76">
        <w:rPr>
          <w:rFonts w:eastAsia="Times New Roman"/>
          <w:color w:val="000000" w:themeColor="text1"/>
        </w:rPr>
        <w:t xml:space="preserve">, began and ended in seconds. Exhibit B; </w:t>
      </w:r>
      <w:r w:rsidR="00493B76" w:rsidRPr="00493B76">
        <w:rPr>
          <w:rFonts w:eastAsia="Times New Roman"/>
          <w:i/>
          <w:iCs/>
          <w:color w:val="000000" w:themeColor="text1"/>
        </w:rPr>
        <w:t>Jimenez</w:t>
      </w:r>
      <w:r w:rsidR="00493B76" w:rsidRPr="00493B76">
        <w:rPr>
          <w:rFonts w:eastAsia="Times New Roman"/>
          <w:color w:val="000000" w:themeColor="text1"/>
        </w:rPr>
        <w:t>, 353 So. 3d at 1287</w:t>
      </w:r>
      <w:r w:rsidR="009D5EC9">
        <w:rPr>
          <w:rFonts w:eastAsia="Times New Roman"/>
          <w:color w:val="000000" w:themeColor="text1"/>
        </w:rPr>
        <w:fldChar w:fldCharType="begin"/>
      </w:r>
      <w:r w:rsidR="009D5EC9">
        <w:instrText xml:space="preserve"> TA \s "Jimenez v. State" </w:instrText>
      </w:r>
      <w:r w:rsidR="009D5EC9">
        <w:rPr>
          <w:rFonts w:eastAsia="Times New Roman"/>
          <w:color w:val="000000" w:themeColor="text1"/>
        </w:rPr>
        <w:fldChar w:fldCharType="end"/>
      </w:r>
      <w:r w:rsidR="00493B76" w:rsidRPr="00493B76">
        <w:rPr>
          <w:rFonts w:eastAsia="Times New Roman"/>
          <w:color w:val="000000" w:themeColor="text1"/>
        </w:rPr>
        <w:t xml:space="preserve">. </w:t>
      </w:r>
      <w:r w:rsidR="00DF12EC">
        <w:rPr>
          <w:rFonts w:eastAsia="Times New Roman"/>
          <w:color w:val="000000" w:themeColor="text1"/>
        </w:rPr>
        <w:t>The</w:t>
      </w:r>
      <w:r w:rsidR="00493B76" w:rsidRPr="00493B76">
        <w:rPr>
          <w:rFonts w:eastAsia="Times New Roman"/>
          <w:color w:val="000000" w:themeColor="text1"/>
        </w:rPr>
        <w:t xml:space="preserve"> </w:t>
      </w:r>
      <w:r w:rsidR="00493B76" w:rsidRPr="00493B76">
        <w:rPr>
          <w:rFonts w:eastAsia="Times New Roman"/>
          <w:i/>
          <w:color w:val="000000" w:themeColor="text1"/>
        </w:rPr>
        <w:t>Jimenez</w:t>
      </w:r>
      <w:r w:rsidR="00493B76" w:rsidRPr="00493B76">
        <w:rPr>
          <w:rFonts w:eastAsia="Times New Roman"/>
          <w:color w:val="000000" w:themeColor="text1"/>
        </w:rPr>
        <w:t xml:space="preserve"> </w:t>
      </w:r>
      <w:r w:rsidR="076122F9" w:rsidRPr="00493B76">
        <w:rPr>
          <w:rFonts w:eastAsia="Times New Roman"/>
          <w:color w:val="000000" w:themeColor="text1"/>
        </w:rPr>
        <w:t>c</w:t>
      </w:r>
      <w:r w:rsidR="00493B76" w:rsidRPr="00493B76">
        <w:rPr>
          <w:rFonts w:eastAsia="Times New Roman"/>
          <w:color w:val="000000" w:themeColor="text1"/>
        </w:rPr>
        <w:t xml:space="preserve">ourt rejected the State’s argument that </w:t>
      </w:r>
      <w:r w:rsidR="12550195" w:rsidRPr="00493B76">
        <w:rPr>
          <w:rFonts w:eastAsia="Times New Roman"/>
          <w:color w:val="000000" w:themeColor="text1"/>
        </w:rPr>
        <w:t>defendant’s</w:t>
      </w:r>
      <w:r w:rsidR="00493B76" w:rsidRPr="00493B76">
        <w:rPr>
          <w:rFonts w:eastAsia="Times New Roman"/>
          <w:color w:val="000000" w:themeColor="text1"/>
        </w:rPr>
        <w:t xml:space="preserve"> motion to dismiss was legally insufficient since it alleged that he was engaged in criminal activity by possessing a concealed firearm. </w:t>
      </w:r>
      <w:r w:rsidR="00493B76" w:rsidRPr="00493B76">
        <w:rPr>
          <w:rFonts w:eastAsia="Times New Roman"/>
          <w:i/>
          <w:color w:val="000000" w:themeColor="text1"/>
        </w:rPr>
        <w:t>Id.</w:t>
      </w:r>
      <w:r w:rsidR="00493B76" w:rsidRPr="00493B76">
        <w:rPr>
          <w:rFonts w:eastAsia="Times New Roman"/>
          <w:color w:val="000000" w:themeColor="text1"/>
        </w:rPr>
        <w:t xml:space="preserve"> at 1288</w:t>
      </w:r>
      <w:r w:rsidR="009D5EC9">
        <w:rPr>
          <w:rFonts w:eastAsia="Times New Roman"/>
          <w:color w:val="000000" w:themeColor="text1"/>
        </w:rPr>
        <w:fldChar w:fldCharType="begin"/>
      </w:r>
      <w:r w:rsidR="009D5EC9">
        <w:instrText xml:space="preserve"> TA \s "Jimenez v. State" </w:instrText>
      </w:r>
      <w:r w:rsidR="009D5EC9">
        <w:rPr>
          <w:rFonts w:eastAsia="Times New Roman"/>
          <w:color w:val="000000" w:themeColor="text1"/>
        </w:rPr>
        <w:fldChar w:fldCharType="end"/>
      </w:r>
      <w:r w:rsidR="00493B76" w:rsidRPr="00493B76">
        <w:rPr>
          <w:rFonts w:eastAsia="Times New Roman"/>
          <w:color w:val="000000" w:themeColor="text1"/>
        </w:rPr>
        <w:t xml:space="preserve">. The defendant was not precluded from Stand Your Ground Immunity. </w:t>
      </w:r>
      <w:r w:rsidR="00493B76" w:rsidRPr="00493B76">
        <w:rPr>
          <w:rFonts w:eastAsia="Times New Roman"/>
          <w:i/>
          <w:color w:val="000000" w:themeColor="text1"/>
        </w:rPr>
        <w:t>Id</w:t>
      </w:r>
      <w:r w:rsidR="009D5EC9">
        <w:rPr>
          <w:rFonts w:eastAsia="Times New Roman"/>
          <w:i/>
          <w:color w:val="000000" w:themeColor="text1"/>
        </w:rPr>
        <w:fldChar w:fldCharType="begin"/>
      </w:r>
      <w:r w:rsidR="009D5EC9">
        <w:instrText xml:space="preserve"> TA \s "Jimenez v. State" </w:instrText>
      </w:r>
      <w:r w:rsidR="009D5EC9">
        <w:rPr>
          <w:rFonts w:eastAsia="Times New Roman"/>
          <w:i/>
          <w:color w:val="000000" w:themeColor="text1"/>
        </w:rPr>
        <w:fldChar w:fldCharType="end"/>
      </w:r>
      <w:r w:rsidR="00493B76" w:rsidRPr="00493B76">
        <w:rPr>
          <w:rFonts w:eastAsia="Times New Roman"/>
          <w:i/>
          <w:color w:val="000000" w:themeColor="text1"/>
        </w:rPr>
        <w:t>.</w:t>
      </w:r>
      <w:r w:rsidR="00493B76" w:rsidRPr="00493B76">
        <w:rPr>
          <w:rFonts w:eastAsia="Times New Roman"/>
          <w:color w:val="000000" w:themeColor="text1"/>
        </w:rPr>
        <w:t xml:space="preserve"> Thus, </w:t>
      </w:r>
      <w:r w:rsidR="00302D05">
        <w:rPr>
          <w:rFonts w:eastAsia="Times New Roman"/>
          <w:color w:val="000000" w:themeColor="text1"/>
        </w:rPr>
        <w:t xml:space="preserve">even if the court finds that </w:t>
      </w:r>
      <w:r w:rsidR="00487E96">
        <w:rPr>
          <w:rFonts w:eastAsia="Times New Roman"/>
          <w:color w:val="000000" w:themeColor="text1"/>
        </w:rPr>
        <w:t xml:space="preserve">Jay was engaged in unlawful activity, </w:t>
      </w:r>
      <w:r w:rsidR="00493B76" w:rsidRPr="00493B76">
        <w:rPr>
          <w:rFonts w:eastAsia="Times New Roman"/>
          <w:color w:val="000000" w:themeColor="text1"/>
        </w:rPr>
        <w:t>th</w:t>
      </w:r>
      <w:r w:rsidR="00FA023E">
        <w:rPr>
          <w:rFonts w:eastAsia="Times New Roman"/>
          <w:color w:val="000000" w:themeColor="text1"/>
        </w:rPr>
        <w:t>is</w:t>
      </w:r>
      <w:r w:rsidR="00493B76" w:rsidRPr="00493B76">
        <w:rPr>
          <w:rFonts w:eastAsia="Times New Roman"/>
          <w:color w:val="000000" w:themeColor="text1"/>
        </w:rPr>
        <w:t xml:space="preserve"> Court should similarly find that Jay is not precluded from immunity as he was unable to retreat before he opened fire to defend himself.</w:t>
      </w:r>
    </w:p>
    <w:p w14:paraId="1E19C92A" w14:textId="0781DCAF" w:rsidR="004A5A19" w:rsidRPr="004A24AA" w:rsidRDefault="00C659B2" w:rsidP="007B2A5E">
      <w:pPr>
        <w:pStyle w:val="Heading2"/>
        <w:ind w:hanging="540"/>
      </w:pPr>
      <w:bookmarkStart w:id="52" w:name="_Toc176088927"/>
      <w:r w:rsidRPr="004A24AA">
        <w:t xml:space="preserve">Jay Cameron </w:t>
      </w:r>
      <w:r w:rsidR="00DA0B1D" w:rsidRPr="004A24AA">
        <w:t xml:space="preserve">has qualified </w:t>
      </w:r>
      <w:r w:rsidR="00DB5B52" w:rsidRPr="004A24AA">
        <w:t xml:space="preserve">Stand Your Ground immunity under </w:t>
      </w:r>
      <w:r w:rsidR="004517A2" w:rsidRPr="004A24AA">
        <w:t xml:space="preserve">Stetson </w:t>
      </w:r>
      <w:r w:rsidR="001477ED" w:rsidRPr="004A24AA">
        <w:rPr>
          <w:szCs w:val="26"/>
        </w:rPr>
        <w:t xml:space="preserve">Penal Code </w:t>
      </w:r>
      <w:r w:rsidR="00512642" w:rsidRPr="004A24AA">
        <w:t>sect</w:t>
      </w:r>
      <w:r w:rsidR="009D46BA" w:rsidRPr="004A24AA">
        <w:t>ion</w:t>
      </w:r>
      <w:r w:rsidR="00DB5B52" w:rsidRPr="004A24AA">
        <w:t xml:space="preserve"> 776.012</w:t>
      </w:r>
      <w:r w:rsidR="004517A2" w:rsidRPr="004A24AA">
        <w:t xml:space="preserve"> because he was</w:t>
      </w:r>
      <w:r w:rsidRPr="004A24AA">
        <w:t xml:space="preserve"> not the aggressor in </w:t>
      </w:r>
      <w:r w:rsidR="00D10D65" w:rsidRPr="004A24AA">
        <w:t xml:space="preserve">the </w:t>
      </w:r>
      <w:r w:rsidRPr="004A24AA">
        <w:t>August 6, 2022</w:t>
      </w:r>
      <w:r w:rsidR="00D10D65" w:rsidRPr="004A24AA">
        <w:t xml:space="preserve"> shooting</w:t>
      </w:r>
      <w:r w:rsidR="00595492" w:rsidRPr="004A24AA">
        <w:t>.</w:t>
      </w:r>
      <w:bookmarkEnd w:id="52"/>
    </w:p>
    <w:p w14:paraId="04B2B457" w14:textId="0FACAD70" w:rsidR="00FA5CF2" w:rsidRDefault="004A5A19" w:rsidP="00FA5CF2">
      <w:pPr>
        <w:spacing w:after="160"/>
        <w:rPr>
          <w:szCs w:val="26"/>
        </w:rPr>
      </w:pPr>
      <w:r>
        <w:rPr>
          <w:b/>
          <w:bCs/>
          <w:szCs w:val="26"/>
        </w:rPr>
        <w:lastRenderedPageBreak/>
        <w:tab/>
      </w:r>
      <w:r>
        <w:rPr>
          <w:szCs w:val="26"/>
        </w:rPr>
        <w:t xml:space="preserve">Under </w:t>
      </w:r>
      <w:r w:rsidR="007E75B7" w:rsidRPr="008E64BF">
        <w:rPr>
          <w:szCs w:val="26"/>
        </w:rPr>
        <w:t xml:space="preserve">Stetson </w:t>
      </w:r>
      <w:r w:rsidR="001477ED" w:rsidRPr="001477ED">
        <w:rPr>
          <w:szCs w:val="26"/>
        </w:rPr>
        <w:t>Penal Code</w:t>
      </w:r>
      <w:r w:rsidR="001477ED" w:rsidRPr="001477ED">
        <w:rPr>
          <w:b/>
          <w:bCs/>
          <w:szCs w:val="26"/>
        </w:rPr>
        <w:t xml:space="preserve"> </w:t>
      </w:r>
      <w:r w:rsidR="00512642">
        <w:rPr>
          <w:szCs w:val="26"/>
        </w:rPr>
        <w:t>s</w:t>
      </w:r>
      <w:r w:rsidR="00D50588">
        <w:rPr>
          <w:szCs w:val="26"/>
        </w:rPr>
        <w:t>ection</w:t>
      </w:r>
      <w:r w:rsidR="007E75B7" w:rsidRPr="008E64BF">
        <w:rPr>
          <w:szCs w:val="26"/>
        </w:rPr>
        <w:t xml:space="preserve"> 776.0</w:t>
      </w:r>
      <w:r w:rsidR="007E75B7">
        <w:rPr>
          <w:szCs w:val="26"/>
        </w:rPr>
        <w:t>12</w:t>
      </w:r>
      <w:r w:rsidR="009D5EC9">
        <w:rPr>
          <w:szCs w:val="26"/>
        </w:rPr>
        <w:fldChar w:fldCharType="begin"/>
      </w:r>
      <w:r w:rsidR="009D5EC9">
        <w:instrText xml:space="preserve"> TA \s "§ 776.012" </w:instrText>
      </w:r>
      <w:r w:rsidR="009D5EC9">
        <w:rPr>
          <w:szCs w:val="26"/>
        </w:rPr>
        <w:fldChar w:fldCharType="end"/>
      </w:r>
      <w:r w:rsidR="007E75B7">
        <w:rPr>
          <w:szCs w:val="26"/>
        </w:rPr>
        <w:t xml:space="preserve">, a person “does </w:t>
      </w:r>
      <w:r w:rsidR="006B06A3" w:rsidRPr="006B06A3">
        <w:t xml:space="preserve">not have a duty to retreat and has the right to stand his or her ground if the </w:t>
      </w:r>
      <w:r w:rsidR="006B06A3" w:rsidRPr="00196BE6">
        <w:t xml:space="preserve">person using or threatening to use the deadly force </w:t>
      </w:r>
      <w:r w:rsidR="00880989" w:rsidRPr="00880989">
        <w:t>…</w:t>
      </w:r>
      <w:r w:rsidR="006B06A3" w:rsidRPr="00880989">
        <w:t xml:space="preserve"> is not the aggressor</w:t>
      </w:r>
      <w:r w:rsidR="00C02A57">
        <w:t>”.</w:t>
      </w:r>
      <w:r w:rsidR="00F73A0E" w:rsidRPr="00F73A0E">
        <w:rPr>
          <w:szCs w:val="26"/>
        </w:rPr>
        <w:t xml:space="preserve"> </w:t>
      </w:r>
    </w:p>
    <w:p w14:paraId="2B51DAC1" w14:textId="3E564D03" w:rsidR="003E66DE" w:rsidRPr="00FA5CF2" w:rsidRDefault="00B97598" w:rsidP="007B2A5E">
      <w:pPr>
        <w:pStyle w:val="Heading3"/>
        <w:numPr>
          <w:ilvl w:val="0"/>
          <w:numId w:val="25"/>
        </w:numPr>
        <w:ind w:left="1440" w:hanging="720"/>
      </w:pPr>
      <w:bookmarkStart w:id="53" w:name="_Toc176088928"/>
      <w:r w:rsidRPr="00FA5CF2">
        <w:t>Jay Cameron’s</w:t>
      </w:r>
      <w:r w:rsidR="008F2406" w:rsidRPr="00FA5CF2">
        <w:t xml:space="preserve"> actions do not </w:t>
      </w:r>
      <w:r w:rsidR="00B8763D" w:rsidRPr="00FA5CF2">
        <w:t xml:space="preserve">qualify him as the initial aggressor under </w:t>
      </w:r>
      <w:r w:rsidR="005D628D" w:rsidRPr="00FA5CF2">
        <w:t xml:space="preserve">Stetson </w:t>
      </w:r>
      <w:r w:rsidR="001477ED" w:rsidRPr="00593670">
        <w:rPr>
          <w:szCs w:val="26"/>
        </w:rPr>
        <w:t xml:space="preserve">Penal Code </w:t>
      </w:r>
      <w:r w:rsidR="005D628D" w:rsidRPr="00FA5CF2">
        <w:t xml:space="preserve">§ </w:t>
      </w:r>
      <w:r w:rsidR="00FB0A62" w:rsidRPr="00FA5CF2">
        <w:t>776.012</w:t>
      </w:r>
      <w:r w:rsidR="00F2533E" w:rsidRPr="00FA5CF2">
        <w:t>.</w:t>
      </w:r>
      <w:bookmarkEnd w:id="53"/>
    </w:p>
    <w:p w14:paraId="27DEAC87" w14:textId="25629ADB" w:rsidR="00BB65E0" w:rsidRPr="00BB65E0" w:rsidRDefault="00BB65E0" w:rsidP="00BB65E0">
      <w:pPr>
        <w:spacing w:after="160"/>
        <w:ind w:firstLine="720"/>
        <w:rPr>
          <w:bCs/>
        </w:rPr>
      </w:pPr>
      <w:r w:rsidRPr="00BB65E0">
        <w:rPr>
          <w:bCs/>
        </w:rPr>
        <w:t>Jay and Wilson had two interactions on August 6, 2022</w:t>
      </w:r>
      <w:r w:rsidR="207B6214">
        <w:t>,</w:t>
      </w:r>
      <w:r w:rsidRPr="00BB65E0">
        <w:rPr>
          <w:bCs/>
        </w:rPr>
        <w:t xml:space="preserve"> where Jay did not count as the initial aggressor. </w:t>
      </w:r>
      <w:r w:rsidR="00522A8B">
        <w:rPr>
          <w:bCs/>
        </w:rPr>
        <w:t>First, the</w:t>
      </w:r>
      <w:r w:rsidRPr="00BB65E0">
        <w:rPr>
          <w:bCs/>
        </w:rPr>
        <w:t xml:space="preserve"> 9:45 A.M.</w:t>
      </w:r>
      <w:r w:rsidR="00522A8B">
        <w:rPr>
          <w:bCs/>
        </w:rPr>
        <w:t xml:space="preserve"> event</w:t>
      </w:r>
      <w:r w:rsidRPr="00BB65E0">
        <w:rPr>
          <w:bCs/>
        </w:rPr>
        <w:t xml:space="preserve"> </w:t>
      </w:r>
      <w:r w:rsidR="00522A8B">
        <w:rPr>
          <w:bCs/>
        </w:rPr>
        <w:t>as</w:t>
      </w:r>
      <w:r w:rsidRPr="00BB65E0">
        <w:rPr>
          <w:bCs/>
        </w:rPr>
        <w:t xml:space="preserve"> the Cameron brothers left for breakfast</w:t>
      </w:r>
      <w:r w:rsidR="00522A8B">
        <w:rPr>
          <w:bCs/>
        </w:rPr>
        <w:t xml:space="preserve">; </w:t>
      </w:r>
      <w:r w:rsidR="7AAEC6D2">
        <w:t>s</w:t>
      </w:r>
      <w:r w:rsidRPr="00BB65E0">
        <w:rPr>
          <w:bCs/>
        </w:rPr>
        <w:t>econd</w:t>
      </w:r>
      <w:r w:rsidR="009D7BEB">
        <w:rPr>
          <w:bCs/>
        </w:rPr>
        <w:t>, the</w:t>
      </w:r>
      <w:r w:rsidRPr="00BB65E0">
        <w:rPr>
          <w:bCs/>
        </w:rPr>
        <w:t xml:space="preserve"> 10:30 A.M.</w:t>
      </w:r>
      <w:r w:rsidR="009D7BEB">
        <w:rPr>
          <w:bCs/>
        </w:rPr>
        <w:t xml:space="preserve"> event as they</w:t>
      </w:r>
      <w:r w:rsidRPr="00BB65E0">
        <w:rPr>
          <w:bCs/>
        </w:rPr>
        <w:t xml:space="preserve"> return</w:t>
      </w:r>
      <w:r w:rsidR="009D7BEB">
        <w:rPr>
          <w:bCs/>
        </w:rPr>
        <w:t>ed</w:t>
      </w:r>
      <w:r w:rsidRPr="00BB65E0">
        <w:rPr>
          <w:bCs/>
        </w:rPr>
        <w:t xml:space="preserve"> </w:t>
      </w:r>
      <w:r w:rsidR="009D7BEB">
        <w:rPr>
          <w:bCs/>
        </w:rPr>
        <w:t>from breakfast</w:t>
      </w:r>
      <w:r w:rsidRPr="00BB65E0">
        <w:rPr>
          <w:bCs/>
        </w:rPr>
        <w:t>.</w:t>
      </w:r>
      <w:r w:rsidR="0048342D">
        <w:rPr>
          <w:bCs/>
        </w:rPr>
        <w:t xml:space="preserve"> </w:t>
      </w:r>
      <w:r w:rsidR="00AE2452">
        <w:rPr>
          <w:bCs/>
        </w:rPr>
        <w:t>(</w:t>
      </w:r>
      <w:r w:rsidR="006E607B">
        <w:rPr>
          <w:bCs/>
        </w:rPr>
        <w:t xml:space="preserve">Jay Cameron’s Interview </w:t>
      </w:r>
      <w:r w:rsidR="006E607B">
        <w:t>¶</w:t>
      </w:r>
      <w:r w:rsidR="006E607B" w:rsidRPr="37FEF424">
        <w:rPr>
          <w:rFonts w:eastAsia="Times New Roman"/>
          <w:color w:val="000000" w:themeColor="text1"/>
        </w:rPr>
        <w:t xml:space="preserve"> </w:t>
      </w:r>
      <w:r w:rsidR="006E607B">
        <w:rPr>
          <w:rFonts w:eastAsia="Times New Roman"/>
          <w:color w:val="000000" w:themeColor="text1"/>
        </w:rPr>
        <w:t xml:space="preserve">62; </w:t>
      </w:r>
      <w:r w:rsidR="00872DDB">
        <w:rPr>
          <w:bCs/>
        </w:rPr>
        <w:t>Greg Cameron’s Interview</w:t>
      </w:r>
      <w:r w:rsidR="00C7209D">
        <w:rPr>
          <w:bCs/>
        </w:rPr>
        <w:t xml:space="preserve"> </w:t>
      </w:r>
      <w:r w:rsidR="00C7209D">
        <w:t>¶</w:t>
      </w:r>
      <w:r w:rsidR="00C7209D" w:rsidRPr="37FEF424">
        <w:rPr>
          <w:rFonts w:eastAsia="Times New Roman"/>
          <w:color w:val="000000" w:themeColor="text1"/>
        </w:rPr>
        <w:t xml:space="preserve"> </w:t>
      </w:r>
      <w:r w:rsidR="00AE2452">
        <w:rPr>
          <w:rFonts w:eastAsia="Times New Roman"/>
          <w:color w:val="000000" w:themeColor="text1"/>
        </w:rPr>
        <w:t>29</w:t>
      </w:r>
      <w:r w:rsidR="00AE2452" w:rsidRPr="132E83FC">
        <w:rPr>
          <w:rFonts w:eastAsia="Times New Roman"/>
          <w:color w:val="000000" w:themeColor="text1"/>
        </w:rPr>
        <w:t>)</w:t>
      </w:r>
      <w:r w:rsidR="1C207B05" w:rsidRPr="132E83FC">
        <w:rPr>
          <w:rFonts w:eastAsia="Times New Roman"/>
          <w:color w:val="000000" w:themeColor="text1"/>
        </w:rPr>
        <w:t>.</w:t>
      </w:r>
      <w:r w:rsidRPr="00BB65E0">
        <w:rPr>
          <w:bCs/>
        </w:rPr>
        <w:t xml:space="preserve"> The first event is a classic example of how words exchanged could have resulted in a physical altercation</w:t>
      </w:r>
      <w:r w:rsidR="00270EB3">
        <w:rPr>
          <w:bCs/>
        </w:rPr>
        <w:t>.</w:t>
      </w:r>
      <w:r w:rsidRPr="00BB65E0">
        <w:rPr>
          <w:bCs/>
        </w:rPr>
        <w:t xml:space="preserve"> Jay </w:t>
      </w:r>
      <w:r w:rsidR="00D50588">
        <w:rPr>
          <w:bCs/>
        </w:rPr>
        <w:t>recounts</w:t>
      </w:r>
      <w:r w:rsidRPr="00BB65E0">
        <w:rPr>
          <w:bCs/>
        </w:rPr>
        <w:t xml:space="preserve"> that Wilson told him: “Keep your distance, or else…You’re a dead man walking</w:t>
      </w:r>
      <w:r w:rsidR="43A2C3AA">
        <w:t>.”</w:t>
      </w:r>
      <w:r w:rsidRPr="00BB65E0">
        <w:rPr>
          <w:bCs/>
        </w:rPr>
        <w:t xml:space="preserve"> </w:t>
      </w:r>
      <w:r w:rsidR="004B3723">
        <w:rPr>
          <w:bCs/>
        </w:rPr>
        <w:t>(</w:t>
      </w:r>
      <w:r w:rsidR="004B3723">
        <w:rPr>
          <w:bCs/>
        </w:rPr>
        <w:t xml:space="preserve">Jay Cameron’s </w:t>
      </w:r>
      <w:r w:rsidR="004B3723" w:rsidRPr="004B3723">
        <w:rPr>
          <w:bCs/>
        </w:rPr>
        <w:t xml:space="preserve">Interview </w:t>
      </w:r>
      <w:r w:rsidR="004B3723">
        <w:t>¶</w:t>
      </w:r>
      <w:r w:rsidR="004B3723" w:rsidRPr="004B3723">
        <w:rPr>
          <w:rFonts w:eastAsia="Times New Roman"/>
          <w:color w:val="000000" w:themeColor="text1"/>
        </w:rPr>
        <w:t xml:space="preserve"> </w:t>
      </w:r>
      <w:r w:rsidRPr="004B3723">
        <w:rPr>
          <w:bCs/>
        </w:rPr>
        <w:t>54-59</w:t>
      </w:r>
      <w:r w:rsidR="004B3723">
        <w:t>)</w:t>
      </w:r>
      <w:r w:rsidR="7049F2FA">
        <w:t>.</w:t>
      </w:r>
      <w:r w:rsidRPr="00BB65E0">
        <w:rPr>
          <w:bCs/>
        </w:rPr>
        <w:t xml:space="preserve"> Although Wilson disagrees with the who said what during this exchange and would </w:t>
      </w:r>
      <w:bookmarkStart w:id="54" w:name="_Int_HJLCbnzk"/>
      <w:r w:rsidRPr="00BB65E0">
        <w:rPr>
          <w:bCs/>
        </w:rPr>
        <w:t>likely argue</w:t>
      </w:r>
      <w:bookmarkEnd w:id="54"/>
      <w:r w:rsidRPr="00BB65E0">
        <w:rPr>
          <w:bCs/>
        </w:rPr>
        <w:t xml:space="preserve"> that Jay was an aggressor beginning with this conversation, it does not matter who began the conversation or whether threats were </w:t>
      </w:r>
      <w:r w:rsidRPr="00B3637A">
        <w:rPr>
          <w:bCs/>
        </w:rPr>
        <w:t>exchanged</w:t>
      </w:r>
      <w:r w:rsidR="006D5AB7">
        <w:rPr>
          <w:bCs/>
        </w:rPr>
        <w:t xml:space="preserve"> because </w:t>
      </w:r>
      <w:r w:rsidR="006D5AB7" w:rsidRPr="00BB65E0">
        <w:rPr>
          <w:bCs/>
        </w:rPr>
        <w:t>Jay physically remov</w:t>
      </w:r>
      <w:r w:rsidR="006D5AB7">
        <w:rPr>
          <w:bCs/>
        </w:rPr>
        <w:t>ed</w:t>
      </w:r>
      <w:r w:rsidR="006D5AB7" w:rsidRPr="00BB65E0">
        <w:rPr>
          <w:bCs/>
        </w:rPr>
        <w:t xml:space="preserve"> himself from the conversation</w:t>
      </w:r>
      <w:r w:rsidR="006D5AB7">
        <w:rPr>
          <w:bCs/>
        </w:rPr>
        <w:t xml:space="preserve">, therefore </w:t>
      </w:r>
      <w:r w:rsidR="006D5AB7" w:rsidRPr="00BB65E0">
        <w:rPr>
          <w:bCs/>
        </w:rPr>
        <w:t>neutraliz</w:t>
      </w:r>
      <w:r w:rsidR="006D5AB7">
        <w:rPr>
          <w:bCs/>
        </w:rPr>
        <w:t>ing</w:t>
      </w:r>
      <w:r w:rsidR="006D5AB7" w:rsidRPr="00BB65E0">
        <w:rPr>
          <w:bCs/>
        </w:rPr>
        <w:t xml:space="preserve"> any </w:t>
      </w:r>
      <w:r w:rsidR="006D5AB7">
        <w:rPr>
          <w:bCs/>
        </w:rPr>
        <w:t>potential</w:t>
      </w:r>
      <w:r w:rsidR="006D5AB7" w:rsidRPr="00BB65E0">
        <w:rPr>
          <w:bCs/>
        </w:rPr>
        <w:t xml:space="preserve"> conflic</w:t>
      </w:r>
      <w:r w:rsidR="006D5AB7">
        <w:rPr>
          <w:bCs/>
        </w:rPr>
        <w:t>t</w:t>
      </w:r>
      <w:r w:rsidR="006D5AB7" w:rsidRPr="00BB65E0">
        <w:rPr>
          <w:bCs/>
        </w:rPr>
        <w:t xml:space="preserve">. </w:t>
      </w:r>
      <w:r w:rsidR="006D5AB7">
        <w:rPr>
          <w:bCs/>
        </w:rPr>
        <w:t>(</w:t>
      </w:r>
      <w:r w:rsidRPr="00B3637A">
        <w:rPr>
          <w:bCs/>
          <w:i/>
          <w:iCs/>
        </w:rPr>
        <w:t>See</w:t>
      </w:r>
      <w:r w:rsidRPr="00B3637A">
        <w:rPr>
          <w:bCs/>
        </w:rPr>
        <w:t xml:space="preserve"> </w:t>
      </w:r>
      <w:r w:rsidR="004B3723" w:rsidRPr="00B3637A">
        <w:rPr>
          <w:bCs/>
        </w:rPr>
        <w:t xml:space="preserve">Ryan Wilson’s Interview </w:t>
      </w:r>
      <w:r w:rsidR="004B3723">
        <w:t>¶</w:t>
      </w:r>
      <w:r w:rsidR="004B3723" w:rsidRPr="00B3637A">
        <w:rPr>
          <w:rFonts w:eastAsia="Times New Roman"/>
          <w:color w:val="000000" w:themeColor="text1"/>
        </w:rPr>
        <w:t xml:space="preserve"> </w:t>
      </w:r>
      <w:r w:rsidRPr="00B3637A">
        <w:rPr>
          <w:bCs/>
        </w:rPr>
        <w:t>70-79</w:t>
      </w:r>
      <w:r w:rsidR="00B3637A">
        <w:t>)</w:t>
      </w:r>
      <w:r w:rsidR="0D560396">
        <w:t>.</w:t>
      </w:r>
      <w:r w:rsidR="00B3637A" w:rsidRPr="00B3637A">
        <w:rPr>
          <w:bCs/>
        </w:rPr>
        <w:t xml:space="preserve"> </w:t>
      </w:r>
    </w:p>
    <w:p w14:paraId="0F8AB8B8" w14:textId="58827582" w:rsidR="002E18D9" w:rsidRDefault="00BB65E0" w:rsidP="00BB65E0">
      <w:pPr>
        <w:spacing w:after="160"/>
        <w:ind w:firstLine="720"/>
        <w:rPr>
          <w:bCs/>
        </w:rPr>
      </w:pPr>
      <w:r w:rsidRPr="00BB65E0">
        <w:rPr>
          <w:bCs/>
        </w:rPr>
        <w:t xml:space="preserve">When “[a] materially significant temporal and physical break…” occurs, the “imminent” threat disappeared. </w:t>
      </w:r>
      <w:r w:rsidRPr="00143EC9">
        <w:rPr>
          <w:bCs/>
          <w:i/>
          <w:iCs/>
        </w:rPr>
        <w:t>State v. Wagner</w:t>
      </w:r>
      <w:r w:rsidRPr="00BB65E0">
        <w:rPr>
          <w:bCs/>
        </w:rPr>
        <w:t>, 353 So. 3d 94, 101 (Fla. Dist. Ct. App. 2022)</w:t>
      </w:r>
      <w:r w:rsidR="002D3714">
        <w:rPr>
          <w:bCs/>
        </w:rPr>
        <w:fldChar w:fldCharType="begin"/>
      </w:r>
      <w:r w:rsidR="002D3714">
        <w:instrText xml:space="preserve"> TA \l "</w:instrText>
      </w:r>
      <w:r w:rsidR="002D3714" w:rsidRPr="00A754B6">
        <w:rPr>
          <w:bCs/>
          <w:i/>
          <w:iCs/>
        </w:rPr>
        <w:instrText>State v. Wagner</w:instrText>
      </w:r>
      <w:r w:rsidR="002D3714" w:rsidRPr="00A754B6">
        <w:rPr>
          <w:bCs/>
        </w:rPr>
        <w:instrText>, 353 So. 3d 94</w:instrText>
      </w:r>
      <w:r w:rsidR="002D3714" w:rsidRPr="00A754B6">
        <w:rPr>
          <w:bCs/>
        </w:rPr>
        <w:instrText xml:space="preserve"> </w:instrText>
      </w:r>
      <w:r w:rsidR="002D3714" w:rsidRPr="00A754B6">
        <w:rPr>
          <w:bCs/>
        </w:rPr>
        <w:instrText>(Fla. Dist. Ct. App. 2022)</w:instrText>
      </w:r>
      <w:r w:rsidR="002D3714">
        <w:instrText xml:space="preserve">" \s "State v. Wagner" \c 1 </w:instrText>
      </w:r>
      <w:r w:rsidR="002D3714">
        <w:rPr>
          <w:bCs/>
        </w:rPr>
        <w:fldChar w:fldCharType="end"/>
      </w:r>
      <w:r w:rsidRPr="00BB65E0">
        <w:rPr>
          <w:bCs/>
        </w:rPr>
        <w:t xml:space="preserve">. </w:t>
      </w:r>
      <w:r w:rsidR="683AD8A9">
        <w:t>The Wagner Court found that while the victim was the initial aggressor, the defendant left the victim's presence, neutralizing any imminent threat.</w:t>
      </w:r>
      <w:r w:rsidRPr="006D73A6">
        <w:rPr>
          <w:bCs/>
        </w:rPr>
        <w:t xml:space="preserve"> </w:t>
      </w:r>
      <w:r w:rsidRPr="006D73A6">
        <w:rPr>
          <w:bCs/>
          <w:i/>
          <w:iCs/>
        </w:rPr>
        <w:t>Id</w:t>
      </w:r>
      <w:r w:rsidRPr="006D73A6">
        <w:rPr>
          <w:bCs/>
        </w:rPr>
        <w:t>.</w:t>
      </w:r>
      <w:r w:rsidR="002D3714">
        <w:rPr>
          <w:bCs/>
        </w:rPr>
        <w:fldChar w:fldCharType="begin"/>
      </w:r>
      <w:r w:rsidR="002D3714">
        <w:instrText xml:space="preserve"> TA \s "State v. Wagner" </w:instrText>
      </w:r>
      <w:r w:rsidR="002D3714">
        <w:rPr>
          <w:bCs/>
        </w:rPr>
        <w:fldChar w:fldCharType="end"/>
      </w:r>
      <w:r w:rsidRPr="006D73A6">
        <w:rPr>
          <w:bCs/>
        </w:rPr>
        <w:t xml:space="preserve"> </w:t>
      </w:r>
      <w:r w:rsidR="00D45582">
        <w:rPr>
          <w:bCs/>
        </w:rPr>
        <w:t>By r</w:t>
      </w:r>
      <w:r w:rsidRPr="00BB65E0">
        <w:rPr>
          <w:bCs/>
        </w:rPr>
        <w:t>eturn</w:t>
      </w:r>
      <w:r w:rsidR="00D45582">
        <w:rPr>
          <w:bCs/>
        </w:rPr>
        <w:t>ing</w:t>
      </w:r>
      <w:r w:rsidRPr="00BB65E0">
        <w:rPr>
          <w:bCs/>
        </w:rPr>
        <w:t xml:space="preserve"> </w:t>
      </w:r>
      <w:r w:rsidR="00F71271">
        <w:rPr>
          <w:bCs/>
        </w:rPr>
        <w:t>and shooting</w:t>
      </w:r>
      <w:r w:rsidRPr="00BB65E0">
        <w:rPr>
          <w:bCs/>
        </w:rPr>
        <w:t xml:space="preserve"> the victim</w:t>
      </w:r>
      <w:r w:rsidR="00F71271">
        <w:rPr>
          <w:bCs/>
        </w:rPr>
        <w:t>, the defendant became the initial aggressor for that encounter</w:t>
      </w:r>
      <w:r w:rsidRPr="00BB65E0">
        <w:rPr>
          <w:bCs/>
        </w:rPr>
        <w:t>.</w:t>
      </w:r>
      <w:r w:rsidR="00105302">
        <w:rPr>
          <w:bCs/>
          <w:i/>
          <w:iCs/>
        </w:rPr>
        <w:t xml:space="preserve"> Id.</w:t>
      </w:r>
      <w:r w:rsidR="002D3714">
        <w:rPr>
          <w:bCs/>
          <w:i/>
          <w:iCs/>
        </w:rPr>
        <w:fldChar w:fldCharType="begin"/>
      </w:r>
      <w:r w:rsidR="002D3714">
        <w:instrText xml:space="preserve"> TA \s "State v. Wagner" </w:instrText>
      </w:r>
      <w:r w:rsidR="002D3714">
        <w:rPr>
          <w:bCs/>
          <w:i/>
          <w:iCs/>
        </w:rPr>
        <w:fldChar w:fldCharType="end"/>
      </w:r>
      <w:r w:rsidR="00105302">
        <w:rPr>
          <w:bCs/>
          <w:i/>
          <w:iCs/>
        </w:rPr>
        <w:t xml:space="preserve"> </w:t>
      </w:r>
      <w:r w:rsidRPr="00BB65E0">
        <w:rPr>
          <w:bCs/>
        </w:rPr>
        <w:t xml:space="preserve">The </w:t>
      </w:r>
      <w:r w:rsidRPr="00BB65E0">
        <w:rPr>
          <w:bCs/>
        </w:rPr>
        <w:lastRenderedPageBreak/>
        <w:t xml:space="preserve">relevant time to determine the existence of an imminent threat </w:t>
      </w:r>
      <w:r w:rsidR="006C4B7A">
        <w:rPr>
          <w:bCs/>
        </w:rPr>
        <w:t>was</w:t>
      </w:r>
      <w:r w:rsidRPr="00BB65E0">
        <w:rPr>
          <w:bCs/>
        </w:rPr>
        <w:t xml:space="preserve"> the moment immediately before and during the moment that the defendant in </w:t>
      </w:r>
      <w:r w:rsidRPr="00143EC9">
        <w:rPr>
          <w:bCs/>
          <w:i/>
          <w:iCs/>
        </w:rPr>
        <w:t>Wagner</w:t>
      </w:r>
      <w:r w:rsidRPr="00BB65E0">
        <w:rPr>
          <w:bCs/>
        </w:rPr>
        <w:t xml:space="preserve"> shot the victim</w:t>
      </w:r>
      <w:r w:rsidR="006C4B7A">
        <w:rPr>
          <w:bCs/>
        </w:rPr>
        <w:t xml:space="preserve">, not the prior </w:t>
      </w:r>
      <w:r w:rsidR="00561CBF">
        <w:rPr>
          <w:bCs/>
        </w:rPr>
        <w:t>encounter</w:t>
      </w:r>
      <w:r w:rsidR="00D857D7">
        <w:rPr>
          <w:bCs/>
        </w:rPr>
        <w:t xml:space="preserve">. </w:t>
      </w:r>
      <w:r w:rsidR="00D857D7" w:rsidRPr="006D73A6">
        <w:rPr>
          <w:bCs/>
          <w:i/>
          <w:iCs/>
        </w:rPr>
        <w:t>Id</w:t>
      </w:r>
      <w:r w:rsidR="00D857D7" w:rsidRPr="006D73A6">
        <w:rPr>
          <w:bCs/>
        </w:rPr>
        <w:t>.</w:t>
      </w:r>
      <w:r w:rsidR="002D3714">
        <w:rPr>
          <w:bCs/>
        </w:rPr>
        <w:fldChar w:fldCharType="begin"/>
      </w:r>
      <w:r w:rsidR="002D3714">
        <w:instrText xml:space="preserve"> TA \s "State v. Wagner" </w:instrText>
      </w:r>
      <w:r w:rsidR="002D3714">
        <w:rPr>
          <w:bCs/>
        </w:rPr>
        <w:fldChar w:fldCharType="end"/>
      </w:r>
      <w:r w:rsidRPr="00BB65E0">
        <w:rPr>
          <w:bCs/>
        </w:rPr>
        <w:t xml:space="preserve"> Th</w:t>
      </w:r>
      <w:r w:rsidR="00561CBF">
        <w:rPr>
          <w:bCs/>
        </w:rPr>
        <w:t>is</w:t>
      </w:r>
      <w:r w:rsidRPr="00BB65E0">
        <w:rPr>
          <w:bCs/>
        </w:rPr>
        <w:t xml:space="preserve"> reasoning </w:t>
      </w:r>
      <w:r w:rsidR="00561CBF" w:rsidRPr="00BB65E0">
        <w:rPr>
          <w:bCs/>
        </w:rPr>
        <w:t xml:space="preserve">directly </w:t>
      </w:r>
      <w:r w:rsidRPr="00BB65E0">
        <w:rPr>
          <w:bCs/>
        </w:rPr>
        <w:t xml:space="preserve">applies to Jay and Wilson’s interactions due to the location and time difference between the two events. Therefore, the second event cannot be seen as an extension of the first. </w:t>
      </w:r>
    </w:p>
    <w:p w14:paraId="170F8FE3" w14:textId="56A8CC93" w:rsidR="00FE293F" w:rsidRPr="00925EAC" w:rsidRDefault="00FE293F" w:rsidP="00FE293F">
      <w:pPr>
        <w:spacing w:after="160"/>
        <w:ind w:firstLine="720"/>
        <w:rPr>
          <w:bCs/>
        </w:rPr>
      </w:pPr>
      <w:r w:rsidRPr="00BB65E0">
        <w:rPr>
          <w:bCs/>
        </w:rPr>
        <w:t>In the second event,</w:t>
      </w:r>
      <w:r>
        <w:rPr>
          <w:bCs/>
        </w:rPr>
        <w:t xml:space="preserve"> Jay </w:t>
      </w:r>
      <w:r w:rsidR="00F1787A">
        <w:rPr>
          <w:bCs/>
        </w:rPr>
        <w:t xml:space="preserve">did not </w:t>
      </w:r>
      <w:r w:rsidR="00FD34D0">
        <w:rPr>
          <w:bCs/>
        </w:rPr>
        <w:t>walk</w:t>
      </w:r>
      <w:r w:rsidR="00F1787A">
        <w:rPr>
          <w:bCs/>
        </w:rPr>
        <w:t xml:space="preserve"> </w:t>
      </w:r>
      <w:r w:rsidR="00FD34D0">
        <w:rPr>
          <w:bCs/>
        </w:rPr>
        <w:t>by</w:t>
      </w:r>
      <w:r>
        <w:rPr>
          <w:bCs/>
        </w:rPr>
        <w:t xml:space="preserve"> Wilson to provoke a fight or threaten Wilson. </w:t>
      </w:r>
      <w:r w:rsidR="001A40FD">
        <w:rPr>
          <w:bCs/>
        </w:rPr>
        <w:t>Although J</w:t>
      </w:r>
      <w:r w:rsidR="00CB0CCA">
        <w:rPr>
          <w:bCs/>
        </w:rPr>
        <w:t>ay</w:t>
      </w:r>
      <w:r w:rsidR="00C0130A">
        <w:rPr>
          <w:bCs/>
        </w:rPr>
        <w:t xml:space="preserve"> saying</w:t>
      </w:r>
      <w:r w:rsidR="001A40FD">
        <w:rPr>
          <w:bCs/>
        </w:rPr>
        <w:t>,</w:t>
      </w:r>
      <w:r w:rsidR="00C0130A">
        <w:rPr>
          <w:bCs/>
        </w:rPr>
        <w:t xml:space="preserve"> “pop pop” with the gesture of a </w:t>
      </w:r>
      <w:r w:rsidR="008F4367">
        <w:rPr>
          <w:bCs/>
        </w:rPr>
        <w:t xml:space="preserve">gun </w:t>
      </w:r>
      <w:r w:rsidR="0049061C">
        <w:rPr>
          <w:bCs/>
        </w:rPr>
        <w:t xml:space="preserve">might be </w:t>
      </w:r>
      <w:r w:rsidR="00E5554B">
        <w:rPr>
          <w:bCs/>
        </w:rPr>
        <w:t>threatening, Wilson</w:t>
      </w:r>
      <w:r w:rsidR="008F4367">
        <w:rPr>
          <w:bCs/>
        </w:rPr>
        <w:t xml:space="preserve"> </w:t>
      </w:r>
      <w:r w:rsidR="001B4D8B">
        <w:rPr>
          <w:bCs/>
        </w:rPr>
        <w:t>did</w:t>
      </w:r>
      <w:r w:rsidR="008F4367">
        <w:rPr>
          <w:bCs/>
        </w:rPr>
        <w:t xml:space="preserve"> not </w:t>
      </w:r>
      <w:r w:rsidR="0C087730">
        <w:t>perceive it to be a threat</w:t>
      </w:r>
      <w:r w:rsidR="008F4367">
        <w:t xml:space="preserve">. </w:t>
      </w:r>
      <w:r w:rsidR="001F660B">
        <w:rPr>
          <w:bCs/>
        </w:rPr>
        <w:t>(</w:t>
      </w:r>
      <w:r w:rsidR="008221CD">
        <w:rPr>
          <w:bCs/>
        </w:rPr>
        <w:t>Ryan Wilson’s Interview</w:t>
      </w:r>
      <w:r w:rsidR="001F660B">
        <w:rPr>
          <w:bCs/>
        </w:rPr>
        <w:t xml:space="preserve"> </w:t>
      </w:r>
      <w:r w:rsidR="001F660B">
        <w:t>¶</w:t>
      </w:r>
      <w:r w:rsidR="001F660B">
        <w:t xml:space="preserve"> 122-23)</w:t>
      </w:r>
      <w:r w:rsidR="057B004A">
        <w:t>.</w:t>
      </w:r>
      <w:r w:rsidR="001F660B">
        <w:t xml:space="preserve"> </w:t>
      </w:r>
      <w:r w:rsidR="005D78D7">
        <w:t xml:space="preserve">Wilson </w:t>
      </w:r>
      <w:r w:rsidR="69847BF3">
        <w:t xml:space="preserve">alleges </w:t>
      </w:r>
      <w:r w:rsidR="005D78D7">
        <w:t>Jay threatened him by making a slashing gesture across his throat</w:t>
      </w:r>
      <w:r w:rsidR="00247581">
        <w:t>; however,</w:t>
      </w:r>
      <w:r w:rsidR="00BF0AED">
        <w:t xml:space="preserve"> the gesture </w:t>
      </w:r>
      <w:r w:rsidR="00CF25F8">
        <w:t>cannot be</w:t>
      </w:r>
      <w:r w:rsidR="00BF0AED">
        <w:t xml:space="preserve"> seen in the surveillance footage available. </w:t>
      </w:r>
      <w:r w:rsidR="00CF25F8">
        <w:t>(</w:t>
      </w:r>
      <w:r w:rsidR="00BF0AED">
        <w:rPr>
          <w:i/>
          <w:iCs/>
        </w:rPr>
        <w:t xml:space="preserve">See </w:t>
      </w:r>
      <w:r w:rsidR="00BF0AED">
        <w:t>Exhibit</w:t>
      </w:r>
      <w:r w:rsidR="00CF25F8">
        <w:t xml:space="preserve"> B)</w:t>
      </w:r>
      <w:r w:rsidR="00D53C93">
        <w:t>.</w:t>
      </w:r>
      <w:r w:rsidR="00247581">
        <w:t xml:space="preserve"> </w:t>
      </w:r>
      <w:r w:rsidR="00CF25F8">
        <w:t>E</w:t>
      </w:r>
      <w:r w:rsidR="00247581">
        <w:t xml:space="preserve">ven if </w:t>
      </w:r>
      <w:r w:rsidR="00D53C93">
        <w:t>Jay made the gesture,</w:t>
      </w:r>
      <w:r w:rsidR="00247581">
        <w:t xml:space="preserve"> a gesture alone is not enough to </w:t>
      </w:r>
      <w:r w:rsidR="00541F35">
        <w:t>be considered aggression for the later fight.</w:t>
      </w:r>
      <w:r w:rsidR="000D379F" w:rsidRPr="132E83FC">
        <w:rPr>
          <w:i/>
        </w:rPr>
        <w:t xml:space="preserve"> </w:t>
      </w:r>
      <w:r w:rsidR="00BF4771">
        <w:rPr>
          <w:bCs/>
        </w:rPr>
        <w:t xml:space="preserve">(Ryan Wilson’s Interview </w:t>
      </w:r>
      <w:r w:rsidR="000D379F">
        <w:t>¶</w:t>
      </w:r>
      <w:r w:rsidR="008846EF">
        <w:t xml:space="preserve"> 138-39</w:t>
      </w:r>
      <w:r w:rsidR="00BF4771">
        <w:t>)</w:t>
      </w:r>
      <w:r w:rsidR="008846EF">
        <w:t>.</w:t>
      </w:r>
      <w:r w:rsidR="00541F35" w:rsidRPr="132E83FC">
        <w:rPr>
          <w:i/>
        </w:rPr>
        <w:t xml:space="preserve"> </w:t>
      </w:r>
      <w:r w:rsidR="00115D90">
        <w:t xml:space="preserve">In </w:t>
      </w:r>
      <w:r w:rsidR="00115D90" w:rsidRPr="132E83FC">
        <w:rPr>
          <w:i/>
        </w:rPr>
        <w:t>Pecuch v. Platt</w:t>
      </w:r>
      <w:r w:rsidR="00115D90">
        <w:t xml:space="preserve">, </w:t>
      </w:r>
      <w:r w:rsidR="005A4D44">
        <w:t>when a person came very close to the plaintiff, made a rude gestur</w:t>
      </w:r>
      <w:r w:rsidR="005110FA">
        <w:t>e</w:t>
      </w:r>
      <w:r w:rsidR="00884643">
        <w:t xml:space="preserve"> that </w:t>
      </w:r>
      <w:r w:rsidR="008D06FD">
        <w:t>caused no</w:t>
      </w:r>
      <w:r w:rsidR="006F0053">
        <w:t xml:space="preserve"> one to</w:t>
      </w:r>
      <w:r w:rsidR="008D06FD">
        <w:t xml:space="preserve"> </w:t>
      </w:r>
      <w:r w:rsidR="00D53C93">
        <w:t>react</w:t>
      </w:r>
      <w:r w:rsidR="00884643">
        <w:t>, and then walked away</w:t>
      </w:r>
      <w:r w:rsidR="005110FA">
        <w:t xml:space="preserve">, </w:t>
      </w:r>
      <w:r w:rsidR="00115D90">
        <w:t xml:space="preserve">the </w:t>
      </w:r>
      <w:r w:rsidR="005269D1">
        <w:t xml:space="preserve">plaintiff was considered the </w:t>
      </w:r>
      <w:r w:rsidR="0099200E">
        <w:t>fight instigator</w:t>
      </w:r>
      <w:r w:rsidR="005110FA">
        <w:t xml:space="preserve"> </w:t>
      </w:r>
      <w:r w:rsidR="008E4CF7">
        <w:t xml:space="preserve">when he </w:t>
      </w:r>
      <w:r w:rsidR="00D0308B">
        <w:t>punched the person</w:t>
      </w:r>
      <w:r w:rsidR="005110FA">
        <w:t xml:space="preserve"> </w:t>
      </w:r>
      <w:r w:rsidR="00923B77">
        <w:t>only fifteen</w:t>
      </w:r>
      <w:r w:rsidR="005110FA">
        <w:t xml:space="preserve"> seconds </w:t>
      </w:r>
      <w:r w:rsidR="00923B77">
        <w:t>later</w:t>
      </w:r>
      <w:r w:rsidR="00925EAC">
        <w:t xml:space="preserve">. </w:t>
      </w:r>
      <w:r w:rsidR="00DD0BEF">
        <w:t>No. 13-CV-6102-FPG</w:t>
      </w:r>
      <w:r w:rsidR="004036E2">
        <w:t xml:space="preserve"> n.7</w:t>
      </w:r>
      <w:r w:rsidR="00DD0BEF">
        <w:t>, 2015 U.S. Dist. LEXIS 145636, *9 (W.D.N.Y. Oct. 27, 2015)</w:t>
      </w:r>
      <w:r w:rsidR="00FB5157">
        <w:fldChar w:fldCharType="begin"/>
      </w:r>
      <w:r w:rsidR="00FB5157">
        <w:instrText xml:space="preserve"> TA \l "</w:instrText>
      </w:r>
      <w:r w:rsidR="00FB5157" w:rsidRPr="00A754B6">
        <w:rPr>
          <w:i/>
          <w:iCs/>
        </w:rPr>
        <w:instrText xml:space="preserve">Pecuch v. Platt, </w:instrText>
      </w:r>
      <w:r w:rsidR="00FB5157" w:rsidRPr="00A754B6">
        <w:instrText>No. 13-CV-6102-FPG</w:instrText>
      </w:r>
      <w:r w:rsidR="00FB5157" w:rsidRPr="00A754B6">
        <w:instrText xml:space="preserve"> n.7</w:instrText>
      </w:r>
      <w:r w:rsidR="00FB5157" w:rsidRPr="00A754B6">
        <w:instrText>, 2015 U.S. Dist. LEXIS 145636, *9 (W.D.N.Y. Oct. 27, 2015)</w:instrText>
      </w:r>
      <w:r w:rsidR="00FB5157">
        <w:instrText xml:space="preserve">" \s "Pecuch v. Platt" \c 1 </w:instrText>
      </w:r>
      <w:r w:rsidR="00FB5157">
        <w:fldChar w:fldCharType="end"/>
      </w:r>
      <w:r w:rsidR="00DD0BEF">
        <w:t>.</w:t>
      </w:r>
      <w:r w:rsidR="00D0308B">
        <w:t xml:space="preserve"> </w:t>
      </w:r>
      <w:r w:rsidR="00A80DEC">
        <w:t xml:space="preserve">Here, Wilson did the exact same thing by not reacting to any gesture Jay may have made </w:t>
      </w:r>
      <w:r w:rsidR="00100EB4">
        <w:t>until Jay had already tried to leave</w:t>
      </w:r>
      <w:r w:rsidR="0097727F">
        <w:t xml:space="preserve">, and then following with a gun. </w:t>
      </w:r>
    </w:p>
    <w:p w14:paraId="098F31D1" w14:textId="7105EC05" w:rsidR="003470B2" w:rsidRPr="003E66DE" w:rsidRDefault="003470B2" w:rsidP="00B01C5F">
      <w:pPr>
        <w:spacing w:after="160"/>
        <w:ind w:firstLine="720"/>
        <w:rPr>
          <w:bCs/>
        </w:rPr>
      </w:pPr>
      <w:r>
        <w:t>Therefore</w:t>
      </w:r>
      <w:r>
        <w:rPr>
          <w:bCs/>
        </w:rPr>
        <w:t xml:space="preserve">, Jay cannot be the initial aggressor </w:t>
      </w:r>
      <w:r w:rsidR="00BC3370">
        <w:rPr>
          <w:bCs/>
        </w:rPr>
        <w:t>in the August 6, 2022 incident</w:t>
      </w:r>
      <w:r w:rsidR="00B01C5F">
        <w:rPr>
          <w:bCs/>
        </w:rPr>
        <w:t xml:space="preserve"> and the Court should grant Jay Cameron’s Motion to Dismiss</w:t>
      </w:r>
      <w:r w:rsidR="00BC3370">
        <w:rPr>
          <w:bCs/>
        </w:rPr>
        <w:t xml:space="preserve">. </w:t>
      </w:r>
    </w:p>
    <w:p w14:paraId="2E61389F" w14:textId="1BE65118" w:rsidR="000D5BA8" w:rsidRPr="00EE0CD6" w:rsidRDefault="003E66DE" w:rsidP="007B2A5E">
      <w:pPr>
        <w:pStyle w:val="Heading3"/>
        <w:numPr>
          <w:ilvl w:val="0"/>
          <w:numId w:val="25"/>
        </w:numPr>
        <w:ind w:left="1440" w:hanging="720"/>
      </w:pPr>
      <w:bookmarkStart w:id="55" w:name="_Toc176088929"/>
      <w:r w:rsidRPr="00EE0CD6">
        <w:lastRenderedPageBreak/>
        <w:t xml:space="preserve">Even if Jay Cameron was the initial aggressor, he falls under the exceptions of Stetson Penal Code </w:t>
      </w:r>
      <w:r w:rsidR="003D1C28" w:rsidRPr="00EE0CD6">
        <w:t>section</w:t>
      </w:r>
      <w:r w:rsidRPr="00EE0CD6">
        <w:t xml:space="preserve"> 776.041</w:t>
      </w:r>
      <w:r w:rsidR="007C6302" w:rsidRPr="00EE0CD6">
        <w:t>(2)</w:t>
      </w:r>
      <w:r w:rsidR="009F4FBC" w:rsidRPr="00EE0CD6">
        <w:t>.</w:t>
      </w:r>
      <w:bookmarkEnd w:id="55"/>
    </w:p>
    <w:p w14:paraId="5D5F18E3" w14:textId="4319AB0A" w:rsidR="008E64BF" w:rsidRDefault="2D7FE19B" w:rsidP="0005144A">
      <w:pPr>
        <w:spacing w:after="160"/>
        <w:ind w:firstLine="720"/>
      </w:pPr>
      <w:r>
        <w:t>E</w:t>
      </w:r>
      <w:r w:rsidR="00BA71C6">
        <w:t xml:space="preserve">ven if Jay is found to be the initial aggressor in the August 6, 2022 shooting, Jay qualifies for Stetson </w:t>
      </w:r>
      <w:r w:rsidR="001477ED">
        <w:t>Penal Code</w:t>
      </w:r>
      <w:r w:rsidR="001477ED" w:rsidRPr="132E83FC">
        <w:rPr>
          <w:b/>
        </w:rPr>
        <w:t xml:space="preserve"> </w:t>
      </w:r>
      <w:r w:rsidR="00392002">
        <w:t>section</w:t>
      </w:r>
      <w:r w:rsidR="00BA71C6">
        <w:t xml:space="preserve"> 776.041</w:t>
      </w:r>
      <w:r w:rsidR="007C6302">
        <w:t>(2)</w:t>
      </w:r>
      <w:r w:rsidR="00FB5157">
        <w:fldChar w:fldCharType="begin"/>
      </w:r>
      <w:r w:rsidR="00FB5157">
        <w:instrText xml:space="preserve"> TA \s "§ 776.041" </w:instrText>
      </w:r>
      <w:r w:rsidR="00FB5157">
        <w:fldChar w:fldCharType="end"/>
      </w:r>
      <w:r w:rsidR="009F4FBC">
        <w:t xml:space="preserve">’s </w:t>
      </w:r>
      <w:r w:rsidR="00BA71C6">
        <w:t xml:space="preserve">permission for an initial aggressor to use deadly force. Under </w:t>
      </w:r>
      <w:r w:rsidR="004B538A">
        <w:t>s</w:t>
      </w:r>
      <w:r w:rsidR="00BA71C6">
        <w:t>ection 776.041</w:t>
      </w:r>
      <w:r w:rsidR="007C6302">
        <w:t>(2)</w:t>
      </w:r>
      <w:r w:rsidR="00FB5157">
        <w:fldChar w:fldCharType="begin"/>
      </w:r>
      <w:r w:rsidR="00FB5157">
        <w:instrText xml:space="preserve"> TA \s "§ 776.041" </w:instrText>
      </w:r>
      <w:r w:rsidR="00FB5157">
        <w:fldChar w:fldCharType="end"/>
      </w:r>
      <w:r w:rsidR="00BA71C6">
        <w:t>, Stand Your Ground Immunity is not available</w:t>
      </w:r>
      <w:r w:rsidR="004F5481">
        <w:t xml:space="preserve"> </w:t>
      </w:r>
      <w:r w:rsidR="00BA71C6">
        <w:t xml:space="preserve">to an initial aggressor unless, </w:t>
      </w:r>
    </w:p>
    <w:p w14:paraId="43FA6F3A" w14:textId="22E89DA8" w:rsidR="008E64BF" w:rsidRDefault="00BA71C6" w:rsidP="008E64BF">
      <w:pPr>
        <w:spacing w:after="160" w:line="259" w:lineRule="auto"/>
        <w:ind w:left="720" w:right="720"/>
        <w:rPr>
          <w:szCs w:val="26"/>
        </w:rPr>
      </w:pPr>
      <w:r w:rsidRPr="008E64BF">
        <w:rPr>
          <w:szCs w:val="26"/>
        </w:rPr>
        <w:t xml:space="preserve">“a) Such force or threat of force is so great that the person reasonably believes that he or she is in imminent danger of death or great bodily harm and that </w:t>
      </w:r>
      <w:r w:rsidR="00FC1251">
        <w:rPr>
          <w:szCs w:val="26"/>
        </w:rPr>
        <w:t xml:space="preserve">he or she has </w:t>
      </w:r>
      <w:r w:rsidR="00F5190F" w:rsidRPr="008E64BF">
        <w:rPr>
          <w:szCs w:val="26"/>
        </w:rPr>
        <w:t>exhausted</w:t>
      </w:r>
      <w:r w:rsidRPr="008E64BF">
        <w:rPr>
          <w:szCs w:val="26"/>
        </w:rPr>
        <w:t xml:space="preserve"> every reasonable means to escape such danger other than the use or threatened use of force which is likely to cause death or great bodily harm to the assailant; or</w:t>
      </w:r>
    </w:p>
    <w:p w14:paraId="0D32202F" w14:textId="7348C02D" w:rsidR="009A69D1" w:rsidRDefault="00BA71C6" w:rsidP="008E64BF">
      <w:pPr>
        <w:spacing w:after="160" w:line="259" w:lineRule="auto"/>
        <w:ind w:left="720" w:right="720"/>
      </w:pPr>
      <w:r w:rsidRPr="001E06D3">
        <w:t>(b) In good faith, the person withdraws from physical contact with the assailant and indicates clearly to the assailant that he or she desires to withdraw and terminate the use or threatened use of force, but the assailant continues or resumes the use or threatened use of force.</w:t>
      </w:r>
      <w:r>
        <w:t>”</w:t>
      </w:r>
    </w:p>
    <w:p w14:paraId="56C0173B" w14:textId="1B38301A" w:rsidR="009A69D1" w:rsidRPr="009A69D1" w:rsidRDefault="0075046E" w:rsidP="0005144A">
      <w:pPr>
        <w:spacing w:after="160"/>
      </w:pPr>
      <w:r>
        <w:t xml:space="preserve">Jay’s actions </w:t>
      </w:r>
      <w:r w:rsidR="002974C6">
        <w:t>qualif</w:t>
      </w:r>
      <w:r w:rsidR="002974C6">
        <w:t>y</w:t>
      </w:r>
      <w:r w:rsidR="002974C6">
        <w:t xml:space="preserve"> for Stand Your Ground Immunity</w:t>
      </w:r>
      <w:r w:rsidR="002974C6">
        <w:t xml:space="preserve"> </w:t>
      </w:r>
      <w:r>
        <w:t>under</w:t>
      </w:r>
      <w:r w:rsidR="002974C6">
        <w:t xml:space="preserve"> both</w:t>
      </w:r>
      <w:r>
        <w:t xml:space="preserve"> </w:t>
      </w:r>
      <w:r w:rsidR="00E57E97" w:rsidRPr="008E64BF">
        <w:rPr>
          <w:szCs w:val="26"/>
        </w:rPr>
        <w:t xml:space="preserve">Stetson </w:t>
      </w:r>
      <w:r w:rsidR="00E57E97" w:rsidRPr="001477ED">
        <w:rPr>
          <w:szCs w:val="26"/>
        </w:rPr>
        <w:t>Penal Code</w:t>
      </w:r>
      <w:r w:rsidR="00E57E97" w:rsidRPr="001477ED">
        <w:rPr>
          <w:b/>
          <w:bCs/>
          <w:szCs w:val="26"/>
        </w:rPr>
        <w:t xml:space="preserve"> </w:t>
      </w:r>
      <w:r w:rsidR="00E57E97" w:rsidRPr="008E64BF">
        <w:rPr>
          <w:szCs w:val="26"/>
        </w:rPr>
        <w:t>§ 776.041</w:t>
      </w:r>
      <w:r w:rsidR="00E57E97">
        <w:rPr>
          <w:szCs w:val="26"/>
        </w:rPr>
        <w:t>(</w:t>
      </w:r>
      <w:r w:rsidR="003273C3">
        <w:rPr>
          <w:szCs w:val="26"/>
        </w:rPr>
        <w:t xml:space="preserve">2)(a) </w:t>
      </w:r>
      <w:r w:rsidR="002974C6">
        <w:rPr>
          <w:szCs w:val="26"/>
        </w:rPr>
        <w:t>and</w:t>
      </w:r>
      <w:r w:rsidR="003273C3">
        <w:rPr>
          <w:szCs w:val="26"/>
        </w:rPr>
        <w:t xml:space="preserve"> (2)(b)</w:t>
      </w:r>
      <w:r w:rsidR="00FB5157">
        <w:rPr>
          <w:szCs w:val="26"/>
        </w:rPr>
        <w:fldChar w:fldCharType="begin"/>
      </w:r>
      <w:r w:rsidR="00FB5157">
        <w:instrText xml:space="preserve"> TA \s "§ 776.041" </w:instrText>
      </w:r>
      <w:r w:rsidR="00FB5157">
        <w:rPr>
          <w:szCs w:val="26"/>
        </w:rPr>
        <w:fldChar w:fldCharType="end"/>
      </w:r>
      <w:r w:rsidR="002974C6">
        <w:rPr>
          <w:szCs w:val="26"/>
        </w:rPr>
        <w:t>.</w:t>
      </w:r>
    </w:p>
    <w:p w14:paraId="68CC183C" w14:textId="5710731D" w:rsidR="00774DB8" w:rsidRPr="00A111FD" w:rsidRDefault="005C1F36" w:rsidP="00A111FD">
      <w:pPr>
        <w:pStyle w:val="Heading4"/>
      </w:pPr>
      <w:bookmarkStart w:id="56" w:name="_Toc176088930"/>
      <w:r w:rsidRPr="00A111FD">
        <w:t xml:space="preserve">Jay Cameron qualifies for </w:t>
      </w:r>
      <w:r w:rsidR="00D156DA" w:rsidRPr="00A111FD">
        <w:t xml:space="preserve">Stand Your Ground </w:t>
      </w:r>
      <w:r w:rsidR="00D1789F" w:rsidRPr="00A111FD">
        <w:t>I</w:t>
      </w:r>
      <w:r w:rsidRPr="00A111FD">
        <w:t>mmunity u</w:t>
      </w:r>
      <w:r w:rsidR="00BA71C6" w:rsidRPr="00A111FD">
        <w:t xml:space="preserve">nder </w:t>
      </w:r>
      <w:r w:rsidR="00281844" w:rsidRPr="00A111FD">
        <w:t>§ 776.041(2)(a)</w:t>
      </w:r>
      <w:r w:rsidR="00D156DA" w:rsidRPr="00A111FD">
        <w:t>.</w:t>
      </w:r>
      <w:bookmarkEnd w:id="56"/>
    </w:p>
    <w:p w14:paraId="309A6028" w14:textId="44B0385A" w:rsidR="00BA71C6" w:rsidRDefault="00E91DA4" w:rsidP="0005144A">
      <w:pPr>
        <w:spacing w:after="160"/>
        <w:rPr>
          <w:szCs w:val="26"/>
        </w:rPr>
      </w:pPr>
      <w:r>
        <w:rPr>
          <w:szCs w:val="26"/>
        </w:rPr>
        <w:tab/>
      </w:r>
      <w:r w:rsidR="0017493D">
        <w:rPr>
          <w:szCs w:val="26"/>
        </w:rPr>
        <w:t xml:space="preserve">First, </w:t>
      </w:r>
      <w:r w:rsidR="00AB465D">
        <w:rPr>
          <w:szCs w:val="26"/>
        </w:rPr>
        <w:t>Jay experienced</w:t>
      </w:r>
      <w:r w:rsidR="00723041">
        <w:rPr>
          <w:szCs w:val="26"/>
        </w:rPr>
        <w:t xml:space="preserve"> an imminent danger of death</w:t>
      </w:r>
      <w:r w:rsidR="003A14B0">
        <w:rPr>
          <w:szCs w:val="26"/>
        </w:rPr>
        <w:t>.</w:t>
      </w:r>
      <w:r w:rsidR="001067EE">
        <w:rPr>
          <w:szCs w:val="26"/>
        </w:rPr>
        <w:t xml:space="preserve"> </w:t>
      </w:r>
      <w:r w:rsidR="00704B18" w:rsidRPr="00704B18">
        <w:rPr>
          <w:szCs w:val="26"/>
        </w:rPr>
        <w:t xml:space="preserve">Stetson Penal Code </w:t>
      </w:r>
      <w:r w:rsidR="00516B01" w:rsidRPr="0076567B">
        <w:rPr>
          <w:szCs w:val="26"/>
        </w:rPr>
        <w:t>§</w:t>
      </w:r>
      <w:r w:rsidR="00516B01">
        <w:rPr>
          <w:szCs w:val="26"/>
        </w:rPr>
        <w:t xml:space="preserve"> </w:t>
      </w:r>
      <w:r w:rsidR="00704B18" w:rsidRPr="00704B18">
        <w:rPr>
          <w:szCs w:val="26"/>
        </w:rPr>
        <w:t>776.041(2)</w:t>
      </w:r>
      <w:r w:rsidR="003F11C0">
        <w:rPr>
          <w:szCs w:val="26"/>
        </w:rPr>
        <w:t>(a)</w:t>
      </w:r>
      <w:r w:rsidR="00704B18">
        <w:rPr>
          <w:szCs w:val="26"/>
        </w:rPr>
        <w:t>.</w:t>
      </w:r>
      <w:r w:rsidR="00FB5157">
        <w:rPr>
          <w:szCs w:val="26"/>
        </w:rPr>
        <w:fldChar w:fldCharType="begin"/>
      </w:r>
      <w:r w:rsidR="00FB5157">
        <w:instrText xml:space="preserve"> TA \s "§ 776.041" </w:instrText>
      </w:r>
      <w:r w:rsidR="00FB5157">
        <w:rPr>
          <w:szCs w:val="26"/>
        </w:rPr>
        <w:fldChar w:fldCharType="end"/>
      </w:r>
      <w:r w:rsidR="00704B18">
        <w:rPr>
          <w:szCs w:val="26"/>
        </w:rPr>
        <w:t xml:space="preserve"> </w:t>
      </w:r>
      <w:r w:rsidR="00BF1120">
        <w:rPr>
          <w:szCs w:val="26"/>
        </w:rPr>
        <w:t>T</w:t>
      </w:r>
      <w:r w:rsidR="00602585">
        <w:rPr>
          <w:szCs w:val="26"/>
        </w:rPr>
        <w:t xml:space="preserve">he moment that Jay </w:t>
      </w:r>
      <w:r w:rsidR="00280EEC">
        <w:rPr>
          <w:szCs w:val="26"/>
        </w:rPr>
        <w:t>turned around in the breezeway, he saw a gun pointed at him</w:t>
      </w:r>
      <w:r w:rsidR="00211997">
        <w:rPr>
          <w:szCs w:val="26"/>
        </w:rPr>
        <w:t xml:space="preserve">. He had </w:t>
      </w:r>
      <w:r w:rsidR="002B7D06">
        <w:rPr>
          <w:szCs w:val="26"/>
        </w:rPr>
        <w:t>just enough time</w:t>
      </w:r>
      <w:r w:rsidR="00B944A8">
        <w:rPr>
          <w:szCs w:val="26"/>
        </w:rPr>
        <w:t xml:space="preserve"> to respond</w:t>
      </w:r>
      <w:r w:rsidR="006B1770">
        <w:rPr>
          <w:szCs w:val="26"/>
        </w:rPr>
        <w:t xml:space="preserve"> to the imminent danger of death</w:t>
      </w:r>
      <w:r w:rsidR="002B7D06">
        <w:rPr>
          <w:szCs w:val="26"/>
        </w:rPr>
        <w:t xml:space="preserve"> with self-</w:t>
      </w:r>
      <w:r w:rsidR="002B7D06" w:rsidRPr="003F11C0">
        <w:rPr>
          <w:szCs w:val="26"/>
        </w:rPr>
        <w:t>defense</w:t>
      </w:r>
      <w:r w:rsidR="006B1770" w:rsidRPr="003F11C0">
        <w:rPr>
          <w:szCs w:val="26"/>
        </w:rPr>
        <w:t>.</w:t>
      </w:r>
      <w:r w:rsidR="00DD6A63" w:rsidRPr="003F11C0">
        <w:rPr>
          <w:szCs w:val="26"/>
        </w:rPr>
        <w:t xml:space="preserve"> </w:t>
      </w:r>
      <w:r w:rsidR="003F11C0" w:rsidRPr="003F11C0">
        <w:rPr>
          <w:szCs w:val="26"/>
        </w:rPr>
        <w:t>(</w:t>
      </w:r>
      <w:r w:rsidR="00CB0941" w:rsidRPr="003F11C0">
        <w:rPr>
          <w:szCs w:val="26"/>
        </w:rPr>
        <w:t xml:space="preserve">Jay Cameron’s Interview </w:t>
      </w:r>
      <w:r w:rsidR="00694940" w:rsidRPr="003F11C0">
        <w:rPr>
          <w:szCs w:val="26"/>
        </w:rPr>
        <w:t>¶</w:t>
      </w:r>
      <w:r w:rsidR="00694940" w:rsidRPr="003F11C0">
        <w:rPr>
          <w:szCs w:val="26"/>
        </w:rPr>
        <w:t xml:space="preserve"> </w:t>
      </w:r>
      <w:r w:rsidR="003F11C0" w:rsidRPr="003F11C0">
        <w:rPr>
          <w:szCs w:val="26"/>
        </w:rPr>
        <w:t>112-16)</w:t>
      </w:r>
      <w:r w:rsidR="00213819">
        <w:rPr>
          <w:szCs w:val="26"/>
        </w:rPr>
        <w:t>.</w:t>
      </w:r>
    </w:p>
    <w:p w14:paraId="5F9E4D0D" w14:textId="5822C6DE" w:rsidR="0079785C" w:rsidRDefault="00530E99" w:rsidP="0005144A">
      <w:pPr>
        <w:spacing w:after="160"/>
      </w:pPr>
      <w:r>
        <w:rPr>
          <w:szCs w:val="26"/>
        </w:rPr>
        <w:tab/>
      </w:r>
      <w:r w:rsidRPr="132E83FC">
        <w:t xml:space="preserve">Second, </w:t>
      </w:r>
      <w:r w:rsidR="00723041" w:rsidRPr="132E83FC">
        <w:t xml:space="preserve">Jay had a reasonable belief that he was “in imminent danger of death or great bodily harm” </w:t>
      </w:r>
      <w:r w:rsidR="005006B0" w:rsidRPr="132E83FC">
        <w:t>with respect to</w:t>
      </w:r>
      <w:r w:rsidR="00723041" w:rsidRPr="132E83FC">
        <w:t xml:space="preserve"> the force or threat of force brought against him</w:t>
      </w:r>
      <w:r w:rsidR="002744D8" w:rsidRPr="003F11C0">
        <w:rPr>
          <w:szCs w:val="26"/>
        </w:rPr>
        <w:t xml:space="preserve">. </w:t>
      </w:r>
      <w:r w:rsidR="003F11C0" w:rsidRPr="132E83FC">
        <w:t xml:space="preserve">Stetson </w:t>
      </w:r>
      <w:r w:rsidR="003F11C0" w:rsidRPr="132E83FC">
        <w:lastRenderedPageBreak/>
        <w:t xml:space="preserve">Penal Code </w:t>
      </w:r>
      <w:r w:rsidR="003F11C0" w:rsidRPr="0076567B">
        <w:rPr>
          <w:szCs w:val="26"/>
        </w:rPr>
        <w:t>§</w:t>
      </w:r>
      <w:r w:rsidR="003F11C0">
        <w:rPr>
          <w:szCs w:val="26"/>
        </w:rPr>
        <w:t xml:space="preserve"> </w:t>
      </w:r>
      <w:r w:rsidR="003F11C0" w:rsidRPr="132E83FC">
        <w:t>776.041(2)(a)</w:t>
      </w:r>
      <w:r w:rsidR="00FB5157">
        <w:fldChar w:fldCharType="begin"/>
      </w:r>
      <w:r w:rsidR="00FB5157">
        <w:instrText xml:space="preserve"> TA \s "§ 776.041" </w:instrText>
      </w:r>
      <w:r w:rsidR="00FB5157">
        <w:fldChar w:fldCharType="end"/>
      </w:r>
      <w:r w:rsidR="003F11C0" w:rsidRPr="132E83FC">
        <w:t xml:space="preserve">. </w:t>
      </w:r>
      <w:r w:rsidR="003D73C5" w:rsidRPr="132E83FC">
        <w:t>R</w:t>
      </w:r>
      <w:r w:rsidR="00224EF4" w:rsidRPr="132E83FC">
        <w:t>easonable belief is an objective standard</w:t>
      </w:r>
      <w:r w:rsidR="009D37A1" w:rsidRPr="132E83FC">
        <w:t xml:space="preserve"> wherein </w:t>
      </w:r>
      <w:r w:rsidR="00016AF2" w:rsidRPr="132E83FC">
        <w:t>the “</w:t>
      </w:r>
      <w:r w:rsidR="00016AF2" w:rsidRPr="132E83FC">
        <w:t>belief must be one that a reasonable person would have held under the circumstances</w:t>
      </w:r>
      <w:r w:rsidR="455E226C">
        <w:rPr>
          <w:szCs w:val="26"/>
        </w:rPr>
        <w:t>.”</w:t>
      </w:r>
      <w:r w:rsidR="00016AF2">
        <w:rPr>
          <w:szCs w:val="26"/>
        </w:rPr>
        <w:t xml:space="preserve"> </w:t>
      </w:r>
      <w:r w:rsidR="00E928D8" w:rsidRPr="132E83FC">
        <w:rPr>
          <w:i/>
        </w:rPr>
        <w:t>Washington v. State,</w:t>
      </w:r>
      <w:r w:rsidR="00E928D8" w:rsidRPr="132E83FC">
        <w:t xml:space="preserve"> 997 N.E.2d 342, 349 (Ind. 2013)</w:t>
      </w:r>
      <w:r w:rsidR="00922593">
        <w:fldChar w:fldCharType="begin"/>
      </w:r>
      <w:r w:rsidR="00922593">
        <w:instrText xml:space="preserve"> TA \l "</w:instrText>
      </w:r>
      <w:r w:rsidR="00922593" w:rsidRPr="00A754B6">
        <w:rPr>
          <w:i/>
        </w:rPr>
        <w:instrText>Washington v. State,</w:instrText>
      </w:r>
      <w:r w:rsidR="00922593" w:rsidRPr="00A754B6">
        <w:instrText xml:space="preserve"> 997 N.E.2d 342 (Ind. 2013)</w:instrText>
      </w:r>
      <w:r w:rsidR="00922593">
        <w:instrText xml:space="preserve">" \s "Washington v. State" \c 1 </w:instrText>
      </w:r>
      <w:r w:rsidR="00922593">
        <w:fldChar w:fldCharType="end"/>
      </w:r>
      <w:r w:rsidR="00E928D8">
        <w:rPr>
          <w:szCs w:val="26"/>
        </w:rPr>
        <w:t xml:space="preserve">; </w:t>
      </w:r>
      <w:r w:rsidR="00E928D8" w:rsidRPr="132E83FC">
        <w:rPr>
          <w:i/>
        </w:rPr>
        <w:t>see also</w:t>
      </w:r>
      <w:r w:rsidR="00E928D8">
        <w:rPr>
          <w:szCs w:val="26"/>
        </w:rPr>
        <w:t xml:space="preserve"> </w:t>
      </w:r>
      <w:r w:rsidR="005B123D" w:rsidRPr="132E83FC">
        <w:rPr>
          <w:i/>
        </w:rPr>
        <w:t>Freeman v. State,</w:t>
      </w:r>
      <w:r w:rsidR="005B123D" w:rsidRPr="132E83FC">
        <w:t xml:space="preserve"> 373 So. 3d 1255</w:t>
      </w:r>
      <w:r w:rsidR="002B422C" w:rsidRPr="132E83FC">
        <w:t xml:space="preserve"> (Fla. Dist. Ct. App. 2023)</w:t>
      </w:r>
      <w:r w:rsidR="00922593">
        <w:fldChar w:fldCharType="begin"/>
      </w:r>
      <w:r w:rsidR="00922593">
        <w:instrText xml:space="preserve"> TA \l "</w:instrText>
      </w:r>
      <w:r w:rsidR="00922593" w:rsidRPr="00A754B6">
        <w:rPr>
          <w:i/>
        </w:rPr>
        <w:instrText>Freeman v. State,</w:instrText>
      </w:r>
      <w:r w:rsidR="00922593" w:rsidRPr="00A754B6">
        <w:instrText xml:space="preserve"> 373 So. 3d 1255 (Fla. Dist. Ct. App. 2023)</w:instrText>
      </w:r>
      <w:r w:rsidR="00922593">
        <w:instrText xml:space="preserve">" \s "Freeman v. State" \c 1 </w:instrText>
      </w:r>
      <w:r w:rsidR="00922593">
        <w:fldChar w:fldCharType="end"/>
      </w:r>
      <w:r w:rsidR="00E928D8">
        <w:rPr>
          <w:szCs w:val="26"/>
        </w:rPr>
        <w:t xml:space="preserve">. </w:t>
      </w:r>
      <w:r w:rsidR="003D73C5" w:rsidRPr="132E83FC">
        <w:t>In</w:t>
      </w:r>
      <w:r w:rsidR="009B5A1C">
        <w:rPr>
          <w:szCs w:val="26"/>
        </w:rPr>
        <w:t xml:space="preserve"> </w:t>
      </w:r>
      <w:r w:rsidR="009B5A1C" w:rsidRPr="132E83FC">
        <w:rPr>
          <w:i/>
        </w:rPr>
        <w:t>Freeman</w:t>
      </w:r>
      <w:r w:rsidR="00BD64F5" w:rsidRPr="132E83FC">
        <w:rPr>
          <w:i/>
        </w:rPr>
        <w:t xml:space="preserve"> v. State</w:t>
      </w:r>
      <w:r w:rsidR="00BD64F5">
        <w:rPr>
          <w:szCs w:val="26"/>
        </w:rPr>
        <w:t xml:space="preserve">, </w:t>
      </w:r>
      <w:r w:rsidR="001B0571" w:rsidRPr="132E83FC">
        <w:t>th</w:t>
      </w:r>
      <w:r w:rsidR="00313F54" w:rsidRPr="132E83FC">
        <w:t>e concur</w:t>
      </w:r>
      <w:r w:rsidR="007D4D82" w:rsidRPr="132E83FC">
        <w:t>ring</w:t>
      </w:r>
      <w:r w:rsidR="00313F54" w:rsidRPr="132E83FC">
        <w:t xml:space="preserve"> opinion </w:t>
      </w:r>
      <w:r w:rsidR="00F10663" w:rsidRPr="132E83FC">
        <w:t>explains</w:t>
      </w:r>
      <w:r w:rsidR="00313F54">
        <w:rPr>
          <w:szCs w:val="26"/>
        </w:rPr>
        <w:t xml:space="preserve"> </w:t>
      </w:r>
      <w:r w:rsidR="00344A80" w:rsidRPr="132E83FC">
        <w:t xml:space="preserve">that </w:t>
      </w:r>
      <w:r w:rsidR="00313F54" w:rsidRPr="132E83FC">
        <w:t xml:space="preserve">one reason </w:t>
      </w:r>
      <w:r w:rsidR="001B0571" w:rsidRPr="132E83FC">
        <w:t>the</w:t>
      </w:r>
      <w:r w:rsidR="007467F1" w:rsidRPr="132E83FC">
        <w:t xml:space="preserve"> defendant</w:t>
      </w:r>
      <w:r w:rsidR="001B0571">
        <w:rPr>
          <w:szCs w:val="26"/>
        </w:rPr>
        <w:t xml:space="preserve"> </w:t>
      </w:r>
      <w:r w:rsidR="00A244DF" w:rsidRPr="132E83FC">
        <w:t>failed</w:t>
      </w:r>
      <w:r w:rsidR="001B0571" w:rsidRPr="132E83FC">
        <w:t xml:space="preserve"> to establish a prima facie case for Stand Your Ground Immunity</w:t>
      </w:r>
      <w:r w:rsidR="001B0571" w:rsidRPr="132E83FC">
        <w:t xml:space="preserve"> </w:t>
      </w:r>
      <w:r w:rsidR="00313F54" w:rsidRPr="132E83FC">
        <w:t>wa</w:t>
      </w:r>
      <w:r w:rsidR="00B64774" w:rsidRPr="132E83FC">
        <w:t>s</w:t>
      </w:r>
      <w:r w:rsidR="00855F1D">
        <w:rPr>
          <w:szCs w:val="26"/>
        </w:rPr>
        <w:t xml:space="preserve"> </w:t>
      </w:r>
      <w:r w:rsidR="00B64774" w:rsidRPr="132E83FC">
        <w:t>the</w:t>
      </w:r>
      <w:r w:rsidR="00855F1D" w:rsidRPr="132E83FC">
        <w:t xml:space="preserve"> lack of evidence</w:t>
      </w:r>
      <w:r w:rsidR="00B64774">
        <w:rPr>
          <w:szCs w:val="26"/>
        </w:rPr>
        <w:t xml:space="preserve"> </w:t>
      </w:r>
      <w:r w:rsidR="00855F1D" w:rsidRPr="132E83FC">
        <w:t>that</w:t>
      </w:r>
      <w:r w:rsidR="00BD64F5" w:rsidRPr="132E83FC">
        <w:t xml:space="preserve"> a reasonable person would have </w:t>
      </w:r>
      <w:r w:rsidR="00E80BC2" w:rsidRPr="132E83FC">
        <w:t>stabbed</w:t>
      </w:r>
      <w:r w:rsidR="001A3094" w:rsidRPr="132E83FC">
        <w:t xml:space="preserve"> their mother’s friend for </w:t>
      </w:r>
      <w:r w:rsidR="008A36D6" w:rsidRPr="132E83FC">
        <w:t>scolding them for being disrespectful.</w:t>
      </w:r>
      <w:r w:rsidR="004D45F1" w:rsidRPr="132E83FC">
        <w:rPr>
          <w:i/>
        </w:rPr>
        <w:t xml:space="preserve"> Id.</w:t>
      </w:r>
      <w:r w:rsidR="004D45F1" w:rsidRPr="132E83FC">
        <w:t xml:space="preserve"> at</w:t>
      </w:r>
      <w:r w:rsidR="004D45F1">
        <w:rPr>
          <w:szCs w:val="26"/>
        </w:rPr>
        <w:t xml:space="preserve"> </w:t>
      </w:r>
      <w:r w:rsidR="00945C61" w:rsidRPr="132E83FC">
        <w:t>1268</w:t>
      </w:r>
      <w:r w:rsidR="00922593">
        <w:fldChar w:fldCharType="begin"/>
      </w:r>
      <w:r w:rsidR="00922593">
        <w:instrText xml:space="preserve"> TA \s "Freeman v. State" </w:instrText>
      </w:r>
      <w:r w:rsidR="00922593">
        <w:fldChar w:fldCharType="end"/>
      </w:r>
      <w:r w:rsidR="00945C61" w:rsidRPr="132E83FC">
        <w:t>.</w:t>
      </w:r>
      <w:r w:rsidR="00F00D49" w:rsidRPr="132E83FC">
        <w:t xml:space="preserve"> In stark contrast to </w:t>
      </w:r>
      <w:r w:rsidR="00F00D49" w:rsidRPr="132E83FC">
        <w:rPr>
          <w:i/>
        </w:rPr>
        <w:t>Freeman</w:t>
      </w:r>
      <w:r w:rsidR="00F00D49">
        <w:rPr>
          <w:szCs w:val="26"/>
        </w:rPr>
        <w:t xml:space="preserve">, </w:t>
      </w:r>
      <w:r w:rsidR="00D97872" w:rsidRPr="132E83FC">
        <w:t xml:space="preserve">it is </w:t>
      </w:r>
      <w:r w:rsidR="00F7336E" w:rsidRPr="132E83FC">
        <w:t>objectively reasonable</w:t>
      </w:r>
      <w:r w:rsidR="00BA4A4F">
        <w:rPr>
          <w:szCs w:val="26"/>
        </w:rPr>
        <w:t xml:space="preserve"> </w:t>
      </w:r>
      <w:r w:rsidR="00D97872" w:rsidRPr="132E83FC">
        <w:t xml:space="preserve">for </w:t>
      </w:r>
      <w:r w:rsidR="00810278" w:rsidRPr="132E83FC">
        <w:t>someone</w:t>
      </w:r>
      <w:r w:rsidR="00D97872" w:rsidRPr="132E83FC">
        <w:t xml:space="preserve"> to b</w:t>
      </w:r>
      <w:r w:rsidR="00BA4A4F" w:rsidRPr="132E83FC">
        <w:t xml:space="preserve">elieve </w:t>
      </w:r>
      <w:r w:rsidR="001D063E" w:rsidRPr="132E83FC">
        <w:t xml:space="preserve">they must return fire in defense if </w:t>
      </w:r>
      <w:bookmarkStart w:id="57" w:name="_Int_fJb10Dq6"/>
      <w:r w:rsidR="00BB03AA" w:rsidRPr="132E83FC">
        <w:t>another</w:t>
      </w:r>
      <w:bookmarkEnd w:id="57"/>
      <w:r w:rsidR="00BB03AA" w:rsidRPr="132E83FC">
        <w:t xml:space="preserve"> shoots</w:t>
      </w:r>
      <w:r w:rsidR="00A260DA" w:rsidRPr="132E83FC">
        <w:t xml:space="preserve"> at </w:t>
      </w:r>
      <w:r w:rsidR="001A2992" w:rsidRPr="132E83FC">
        <w:t xml:space="preserve">them </w:t>
      </w:r>
      <w:r w:rsidR="00BB03AA" w:rsidRPr="132E83FC">
        <w:t>at close range</w:t>
      </w:r>
      <w:r w:rsidR="00AC74B7">
        <w:rPr>
          <w:szCs w:val="26"/>
        </w:rPr>
        <w:t>.</w:t>
      </w:r>
      <w:r w:rsidR="00C5434C">
        <w:rPr>
          <w:szCs w:val="26"/>
        </w:rPr>
        <w:t xml:space="preserve"> </w:t>
      </w:r>
    </w:p>
    <w:p w14:paraId="055BF751" w14:textId="6062B295" w:rsidR="003E1185" w:rsidRPr="001D4698" w:rsidRDefault="00C5434C" w:rsidP="0079785C">
      <w:pPr>
        <w:spacing w:after="160"/>
        <w:ind w:firstLine="720"/>
      </w:pPr>
      <w:r>
        <w:t xml:space="preserve">Additionally, </w:t>
      </w:r>
      <w:r w:rsidR="0005490B">
        <w:t>Jay h</w:t>
      </w:r>
      <w:r w:rsidR="00437FB5">
        <w:t xml:space="preserve">ad a </w:t>
      </w:r>
      <w:r w:rsidR="00B80614">
        <w:t>reasonable</w:t>
      </w:r>
      <w:r w:rsidR="00392EE2">
        <w:t xml:space="preserve"> fear of Wilson</w:t>
      </w:r>
      <w:r w:rsidR="00D92FA7">
        <w:t>, stating, “I’ve seen him pull guns on people before and I’ve see</w:t>
      </w:r>
      <w:r w:rsidR="00F5030D">
        <w:t>n</w:t>
      </w:r>
      <w:r w:rsidR="00D92FA7">
        <w:t xml:space="preserve"> him get into bar fights</w:t>
      </w:r>
      <w:r w:rsidR="4201D038">
        <w:t>.”</w:t>
      </w:r>
      <w:r w:rsidR="00AC74B7">
        <w:t xml:space="preserve"> </w:t>
      </w:r>
      <w:r w:rsidR="00AC74B7">
        <w:t xml:space="preserve">(Jay Cameron’s Interview ¶ </w:t>
      </w:r>
      <w:r w:rsidR="0076013B">
        <w:t>49-50</w:t>
      </w:r>
      <w:r w:rsidR="00AC74B7">
        <w:t>)</w:t>
      </w:r>
      <w:r w:rsidR="662BCA78">
        <w:t>.</w:t>
      </w:r>
      <w:r w:rsidR="0076013B">
        <w:t xml:space="preserve"> </w:t>
      </w:r>
      <w:r w:rsidR="008153BB">
        <w:t>“[</w:t>
      </w:r>
      <w:r w:rsidR="00C10EB4">
        <w:t>T]</w:t>
      </w:r>
      <w:r w:rsidR="00C10EB4">
        <w:t>he purpose of specific acts evidence in a self-defense case is to demonstrate the reasonableness of the defendant's fear at the time of the incident</w:t>
      </w:r>
      <w:r w:rsidR="00C10EB4">
        <w:t>.”</w:t>
      </w:r>
      <w:r w:rsidR="00F8439D" w:rsidRPr="00F8439D">
        <w:t xml:space="preserve"> </w:t>
      </w:r>
      <w:r w:rsidR="00F8439D" w:rsidRPr="132E83FC">
        <w:rPr>
          <w:i/>
        </w:rPr>
        <w:t>Munoz v. State</w:t>
      </w:r>
      <w:r w:rsidR="00F8439D">
        <w:t>, 45 So. 3d 954, 957 (Fla. Dist. Ct. App. 2010)</w:t>
      </w:r>
      <w:r w:rsidR="007F66AB">
        <w:fldChar w:fldCharType="begin"/>
      </w:r>
      <w:r w:rsidR="007F66AB">
        <w:instrText xml:space="preserve"> TA \l "</w:instrText>
      </w:r>
      <w:r w:rsidR="007F66AB" w:rsidRPr="00A754B6">
        <w:rPr>
          <w:i/>
        </w:rPr>
        <w:instrText>Munoz v. State</w:instrText>
      </w:r>
      <w:r w:rsidR="007F66AB" w:rsidRPr="00A754B6">
        <w:instrText>, 45 So. 3d 954</w:instrText>
      </w:r>
      <w:r w:rsidR="007F66AB" w:rsidRPr="00A754B6">
        <w:instrText xml:space="preserve"> </w:instrText>
      </w:r>
      <w:r w:rsidR="007F66AB" w:rsidRPr="00A754B6">
        <w:instrText>(Fla. Dist. Ct. App. 2010)</w:instrText>
      </w:r>
      <w:r w:rsidR="007F66AB">
        <w:instrText xml:space="preserve">" \s "Munoz v. State" \c 1 </w:instrText>
      </w:r>
      <w:r w:rsidR="007F66AB">
        <w:fldChar w:fldCharType="end"/>
      </w:r>
      <w:r w:rsidR="00F8439D">
        <w:t>.</w:t>
      </w:r>
      <w:r w:rsidR="009260F4">
        <w:t xml:space="preserve"> </w:t>
      </w:r>
      <w:r w:rsidR="00723041">
        <w:t xml:space="preserve">In </w:t>
      </w:r>
      <w:r w:rsidR="00723041" w:rsidRPr="132E83FC">
        <w:rPr>
          <w:i/>
        </w:rPr>
        <w:t>Muno</w:t>
      </w:r>
      <w:r w:rsidR="00F01525" w:rsidRPr="132E83FC">
        <w:rPr>
          <w:i/>
        </w:rPr>
        <w:t>z</w:t>
      </w:r>
      <w:r w:rsidR="00723041">
        <w:t xml:space="preserve">, </w:t>
      </w:r>
      <w:r w:rsidR="005F045A">
        <w:t>w</w:t>
      </w:r>
      <w:r w:rsidR="00723041">
        <w:t xml:space="preserve">hile </w:t>
      </w:r>
      <w:r w:rsidR="004464A3">
        <w:t xml:space="preserve">the </w:t>
      </w:r>
      <w:r w:rsidR="6F53D2A7">
        <w:t>defendant</w:t>
      </w:r>
      <w:r w:rsidR="00723041">
        <w:t xml:space="preserve"> </w:t>
      </w:r>
      <w:r w:rsidR="005D6555">
        <w:t>failed</w:t>
      </w:r>
      <w:r w:rsidR="00723041">
        <w:t xml:space="preserve"> to show that he acted in self-defense, the court permitted the admission of </w:t>
      </w:r>
      <w:r w:rsidR="005F045A">
        <w:t>the victim’s</w:t>
      </w:r>
      <w:r w:rsidR="003471C7">
        <w:t xml:space="preserve"> </w:t>
      </w:r>
      <w:r w:rsidR="00C320E7">
        <w:t xml:space="preserve">specific acts of prior violence to </w:t>
      </w:r>
      <w:r w:rsidR="3D00C0AD">
        <w:t>display</w:t>
      </w:r>
      <w:r w:rsidR="00C320E7">
        <w:t xml:space="preserve"> </w:t>
      </w:r>
      <w:r w:rsidR="00A44AAB">
        <w:t>Munzo’s</w:t>
      </w:r>
      <w:r w:rsidR="00C320E7">
        <w:t xml:space="preserve"> state of mind. </w:t>
      </w:r>
      <w:r w:rsidR="00A44AAB" w:rsidRPr="132E83FC">
        <w:rPr>
          <w:i/>
        </w:rPr>
        <w:t xml:space="preserve">Id. </w:t>
      </w:r>
      <w:r w:rsidR="00A44AAB">
        <w:t>at 957</w:t>
      </w:r>
      <w:r w:rsidR="007F66AB">
        <w:fldChar w:fldCharType="begin"/>
      </w:r>
      <w:r w:rsidR="007F66AB">
        <w:instrText xml:space="preserve"> TA \s "Munoz v. State" </w:instrText>
      </w:r>
      <w:r w:rsidR="007F66AB">
        <w:fldChar w:fldCharType="end"/>
      </w:r>
      <w:r w:rsidR="00A44AAB">
        <w:t>.</w:t>
      </w:r>
      <w:r w:rsidR="001D4698">
        <w:t xml:space="preserve"> </w:t>
      </w:r>
      <w:r w:rsidR="005F045A">
        <w:t xml:space="preserve">If </w:t>
      </w:r>
      <w:r w:rsidR="0068109E">
        <w:t>the issue of initial aggressor immunity had been raised, t</w:t>
      </w:r>
      <w:r w:rsidR="001D4698">
        <w:t xml:space="preserve">he </w:t>
      </w:r>
      <w:r w:rsidR="001D4698" w:rsidRPr="132E83FC">
        <w:rPr>
          <w:i/>
        </w:rPr>
        <w:t>Munoz</w:t>
      </w:r>
      <w:r w:rsidR="001D4698">
        <w:t xml:space="preserve"> </w:t>
      </w:r>
      <w:r w:rsidR="6B044020">
        <w:t>c</w:t>
      </w:r>
      <w:r w:rsidR="001D4698">
        <w:t xml:space="preserve">ourt </w:t>
      </w:r>
      <w:r w:rsidR="00FD7D37">
        <w:t>stated</w:t>
      </w:r>
      <w:r w:rsidR="001D4698">
        <w:t xml:space="preserve"> that </w:t>
      </w:r>
      <w:r w:rsidR="0053510D">
        <w:t>th</w:t>
      </w:r>
      <w:r w:rsidR="00E543B7">
        <w:t>is</w:t>
      </w:r>
      <w:r w:rsidR="0053510D">
        <w:t xml:space="preserve"> information would be permitted to show </w:t>
      </w:r>
      <w:r w:rsidR="00E92E5D">
        <w:t>that Suarez was the initial aggressor, not Munoz.</w:t>
      </w:r>
      <w:r w:rsidR="005D6555" w:rsidRPr="132E83FC">
        <w:rPr>
          <w:i/>
        </w:rPr>
        <w:t xml:space="preserve"> </w:t>
      </w:r>
      <w:r w:rsidR="005D6555" w:rsidRPr="132E83FC">
        <w:rPr>
          <w:i/>
        </w:rPr>
        <w:t xml:space="preserve">Id. </w:t>
      </w:r>
      <w:r w:rsidR="005D6555">
        <w:t>at 95</w:t>
      </w:r>
      <w:r w:rsidR="005D6555">
        <w:t>8</w:t>
      </w:r>
      <w:r w:rsidR="007F66AB">
        <w:fldChar w:fldCharType="begin"/>
      </w:r>
      <w:r w:rsidR="007F66AB">
        <w:instrText xml:space="preserve"> TA \s "Munoz v. State" </w:instrText>
      </w:r>
      <w:r w:rsidR="007F66AB">
        <w:fldChar w:fldCharType="end"/>
      </w:r>
      <w:r w:rsidR="005D6555">
        <w:t>.</w:t>
      </w:r>
      <w:r w:rsidR="00E92E5D">
        <w:t xml:space="preserve"> </w:t>
      </w:r>
      <w:r w:rsidR="00F5030D">
        <w:t>Here, Jay</w:t>
      </w:r>
      <w:r w:rsidR="0072752F">
        <w:t xml:space="preserve">’s knowledge of Wilson’s past </w:t>
      </w:r>
      <w:r w:rsidR="00232EF5">
        <w:t>violence</w:t>
      </w:r>
      <w:r w:rsidR="00813BAF">
        <w:t xml:space="preserve"> and the threat of being shot </w:t>
      </w:r>
      <w:r w:rsidR="000B20E7">
        <w:t>show</w:t>
      </w:r>
      <w:r w:rsidR="00813BAF">
        <w:t xml:space="preserve"> that Jay</w:t>
      </w:r>
      <w:r w:rsidR="00375C75">
        <w:t xml:space="preserve"> acted reasonably by </w:t>
      </w:r>
      <w:r w:rsidR="00EF11EC">
        <w:t xml:space="preserve">firing </w:t>
      </w:r>
      <w:r w:rsidR="00375C75">
        <w:t xml:space="preserve">at Wilson. </w:t>
      </w:r>
      <w:r w:rsidR="002216AB">
        <w:t xml:space="preserve">(Jay Cameron’s Interview ¶ </w:t>
      </w:r>
      <w:r w:rsidR="00293270">
        <w:t>113-15</w:t>
      </w:r>
      <w:r w:rsidR="002216AB">
        <w:t>)</w:t>
      </w:r>
      <w:r w:rsidR="434050EF">
        <w:t>.</w:t>
      </w:r>
    </w:p>
    <w:p w14:paraId="2778A8D7" w14:textId="6B730EB7" w:rsidR="00087302" w:rsidRDefault="00723041" w:rsidP="00180CF5">
      <w:pPr>
        <w:spacing w:after="160"/>
      </w:pPr>
      <w:r>
        <w:rPr>
          <w:szCs w:val="26"/>
        </w:rPr>
        <w:lastRenderedPageBreak/>
        <w:tab/>
      </w:r>
      <w:r w:rsidRPr="132E83FC">
        <w:t xml:space="preserve">Third, </w:t>
      </w:r>
      <w:r w:rsidR="00F21746" w:rsidRPr="132E83FC">
        <w:t>Jay must have exhausted all means of retreat from the altercation</w:t>
      </w:r>
      <w:r w:rsidR="003F11C0">
        <w:rPr>
          <w:szCs w:val="26"/>
        </w:rPr>
        <w:t>.</w:t>
      </w:r>
      <w:r w:rsidR="003F11C0" w:rsidRPr="003F11C0">
        <w:rPr>
          <w:szCs w:val="26"/>
        </w:rPr>
        <w:t xml:space="preserve"> </w:t>
      </w:r>
      <w:r w:rsidR="003F11C0" w:rsidRPr="132E83FC">
        <w:t xml:space="preserve">Stetson Penal Code </w:t>
      </w:r>
      <w:r w:rsidR="003F11C0" w:rsidRPr="0076567B">
        <w:rPr>
          <w:szCs w:val="26"/>
        </w:rPr>
        <w:t>§</w:t>
      </w:r>
      <w:r w:rsidR="003F11C0">
        <w:rPr>
          <w:szCs w:val="26"/>
        </w:rPr>
        <w:t xml:space="preserve"> </w:t>
      </w:r>
      <w:r w:rsidR="003F11C0" w:rsidRPr="132E83FC">
        <w:t>776.041(2)(a).</w:t>
      </w:r>
      <w:r w:rsidR="007F66AB">
        <w:fldChar w:fldCharType="begin"/>
      </w:r>
      <w:r w:rsidR="007F66AB">
        <w:instrText xml:space="preserve"> TA \s "§ 776.041" </w:instrText>
      </w:r>
      <w:r w:rsidR="007F66AB">
        <w:fldChar w:fldCharType="end"/>
      </w:r>
      <w:r w:rsidR="00EE4F5C">
        <w:rPr>
          <w:szCs w:val="26"/>
        </w:rPr>
        <w:t xml:space="preserve"> </w:t>
      </w:r>
      <w:r w:rsidR="00F21746" w:rsidRPr="132E83FC">
        <w:t xml:space="preserve">Courts have interpreted the </w:t>
      </w:r>
      <w:r w:rsidR="003A0F56" w:rsidRPr="132E83FC">
        <w:t>phrase “</w:t>
      </w:r>
      <w:r w:rsidR="00F21746" w:rsidRPr="132E83FC">
        <w:t>exhaustion of all means of retreat</w:t>
      </w:r>
      <w:r w:rsidR="003A0F56">
        <w:rPr>
          <w:szCs w:val="26"/>
        </w:rPr>
        <w:t>”</w:t>
      </w:r>
      <w:r w:rsidR="00B130D7" w:rsidRPr="132E83FC">
        <w:t xml:space="preserve"> as highly circumstantial</w:t>
      </w:r>
      <w:r w:rsidR="00077EAA" w:rsidRPr="132E83FC">
        <w:rPr>
          <w:i/>
        </w:rPr>
        <w:t xml:space="preserve">. </w:t>
      </w:r>
      <w:r w:rsidR="000B20E7" w:rsidRPr="132E83FC">
        <w:rPr>
          <w:i/>
        </w:rPr>
        <w:t xml:space="preserve">See </w:t>
      </w:r>
      <w:r w:rsidR="005C7B13" w:rsidRPr="132E83FC">
        <w:rPr>
          <w:i/>
        </w:rPr>
        <w:t>Jenkins v. State</w:t>
      </w:r>
      <w:r w:rsidR="005C7B13" w:rsidRPr="132E83FC">
        <w:t>, 942 So. 2d 910, 916 (Fla. Dist. Ct. App. 2006)</w:t>
      </w:r>
      <w:r w:rsidR="007E1270">
        <w:fldChar w:fldCharType="begin"/>
      </w:r>
      <w:r w:rsidR="007E1270">
        <w:instrText xml:space="preserve"> TA \l "</w:instrText>
      </w:r>
      <w:r w:rsidR="007E1270" w:rsidRPr="00A754B6">
        <w:rPr>
          <w:i/>
        </w:rPr>
        <w:instrText>Jenkins v. State</w:instrText>
      </w:r>
      <w:r w:rsidR="007E1270" w:rsidRPr="00A754B6">
        <w:instrText>, 942 So. 2d 910</w:instrText>
      </w:r>
      <w:r w:rsidR="007E1270" w:rsidRPr="00A754B6">
        <w:instrText xml:space="preserve"> </w:instrText>
      </w:r>
      <w:r w:rsidR="007E1270" w:rsidRPr="00A754B6">
        <w:instrText>(Fla. Dist. Ct. App. 2006)</w:instrText>
      </w:r>
      <w:r w:rsidR="007E1270">
        <w:instrText xml:space="preserve">" \s "Jenkins v. State" \c 1 </w:instrText>
      </w:r>
      <w:r w:rsidR="007E1270">
        <w:fldChar w:fldCharType="end"/>
      </w:r>
      <w:r w:rsidR="005C7B13">
        <w:rPr>
          <w:szCs w:val="26"/>
        </w:rPr>
        <w:t xml:space="preserve">. </w:t>
      </w:r>
      <w:r w:rsidR="00D03EAF" w:rsidRPr="132E83FC">
        <w:t xml:space="preserve">For example, </w:t>
      </w:r>
      <w:r w:rsidR="0077656B" w:rsidRPr="132E83FC">
        <w:t xml:space="preserve">retreating only to return and continue a fight </w:t>
      </w:r>
      <w:r w:rsidR="00F51E87" w:rsidRPr="132E83FC">
        <w:t xml:space="preserve">does not permit immunity. </w:t>
      </w:r>
      <w:r w:rsidR="00077EAA" w:rsidRPr="132E83FC">
        <w:rPr>
          <w:i/>
        </w:rPr>
        <w:t>See</w:t>
      </w:r>
      <w:r w:rsidR="000B20E7" w:rsidRPr="132E83FC">
        <w:rPr>
          <w:i/>
        </w:rPr>
        <w:t>,</w:t>
      </w:r>
      <w:r w:rsidR="00077EAA" w:rsidRPr="132E83FC">
        <w:rPr>
          <w:i/>
        </w:rPr>
        <w:t xml:space="preserve"> e.g.</w:t>
      </w:r>
      <w:r w:rsidR="007C3291" w:rsidRPr="132E83FC">
        <w:rPr>
          <w:i/>
        </w:rPr>
        <w:t>,</w:t>
      </w:r>
      <w:r w:rsidR="00077EAA">
        <w:rPr>
          <w:szCs w:val="26"/>
        </w:rPr>
        <w:t xml:space="preserve"> </w:t>
      </w:r>
      <w:r w:rsidR="00212127" w:rsidRPr="132E83FC">
        <w:rPr>
          <w:i/>
        </w:rPr>
        <w:t>Hunter v. State</w:t>
      </w:r>
      <w:r w:rsidR="00212127" w:rsidRPr="132E83FC">
        <w:t>, 687 So. 2d 277 (Fla. Dist. Ct. App. 1997)</w:t>
      </w:r>
      <w:r w:rsidR="007E1270">
        <w:fldChar w:fldCharType="begin"/>
      </w:r>
      <w:r w:rsidR="007E1270">
        <w:instrText xml:space="preserve"> TA \l "</w:instrText>
      </w:r>
      <w:r w:rsidR="007E1270" w:rsidRPr="00A754B6">
        <w:rPr>
          <w:i/>
        </w:rPr>
        <w:instrText>Hunter v. State</w:instrText>
      </w:r>
      <w:r w:rsidR="007E1270" w:rsidRPr="00A754B6">
        <w:instrText>, 687 So. 2d 277 (Fla. Dist. Ct. App. 1997)</w:instrText>
      </w:r>
      <w:r w:rsidR="007E1270">
        <w:instrText xml:space="preserve">" \s "Hunter v. State" \c 1 </w:instrText>
      </w:r>
      <w:r w:rsidR="007E1270">
        <w:fldChar w:fldCharType="end"/>
      </w:r>
      <w:r w:rsidR="00A45916">
        <w:rPr>
          <w:szCs w:val="26"/>
        </w:rPr>
        <w:t xml:space="preserve"> (</w:t>
      </w:r>
      <w:r w:rsidR="00002C32" w:rsidRPr="132E83FC">
        <w:t>App</w:t>
      </w:r>
      <w:r w:rsidR="00214007" w:rsidRPr="132E83FC">
        <w:t>ellant’s brother threatened to kill Appellant</w:t>
      </w:r>
      <w:r w:rsidR="000A19C6" w:rsidRPr="132E83FC">
        <w:t>, who left</w:t>
      </w:r>
      <w:r w:rsidR="005C6E64" w:rsidRPr="132E83FC">
        <w:t>, got a</w:t>
      </w:r>
      <w:r w:rsidR="000A19C6" w:rsidRPr="132E83FC">
        <w:t xml:space="preserve"> gun</w:t>
      </w:r>
      <w:r w:rsidR="005C6E64">
        <w:rPr>
          <w:szCs w:val="26"/>
        </w:rPr>
        <w:t xml:space="preserve">, </w:t>
      </w:r>
      <w:r w:rsidR="000A19C6" w:rsidRPr="132E83FC">
        <w:t>returned</w:t>
      </w:r>
      <w:r w:rsidR="005C6E64">
        <w:rPr>
          <w:szCs w:val="26"/>
        </w:rPr>
        <w:t xml:space="preserve">, </w:t>
      </w:r>
      <w:r w:rsidR="00392628" w:rsidRPr="132E83FC">
        <w:t>and both brothers shot at each other)</w:t>
      </w:r>
      <w:r w:rsidR="00F51E87">
        <w:rPr>
          <w:szCs w:val="26"/>
        </w:rPr>
        <w:t>.</w:t>
      </w:r>
      <w:r w:rsidR="00E21806">
        <w:rPr>
          <w:szCs w:val="26"/>
        </w:rPr>
        <w:t xml:space="preserve"> </w:t>
      </w:r>
      <w:r w:rsidR="00495DDC" w:rsidRPr="132E83FC">
        <w:t xml:space="preserve">Not only </w:t>
      </w:r>
      <w:r w:rsidR="389671C6" w:rsidRPr="132E83FC">
        <w:t>did</w:t>
      </w:r>
      <w:r w:rsidR="00213896">
        <w:t xml:space="preserve"> </w:t>
      </w:r>
      <w:r w:rsidR="00495DDC" w:rsidRPr="132E83FC">
        <w:t xml:space="preserve">Jay retreat, </w:t>
      </w:r>
      <w:r w:rsidR="00A57C20" w:rsidRPr="132E83FC">
        <w:t xml:space="preserve">but he </w:t>
      </w:r>
      <w:r w:rsidR="4E75AF8F" w:rsidRPr="132E83FC">
        <w:t>did</w:t>
      </w:r>
      <w:r w:rsidR="00495DDC" w:rsidRPr="132E83FC">
        <w:t xml:space="preserve"> not </w:t>
      </w:r>
      <w:r w:rsidR="00886480" w:rsidRPr="132E83FC">
        <w:t>attempt</w:t>
      </w:r>
      <w:r w:rsidR="00701A5B" w:rsidRPr="132E83FC">
        <w:t xml:space="preserve"> to </w:t>
      </w:r>
      <w:r w:rsidR="00BA6278" w:rsidRPr="132E83FC">
        <w:t xml:space="preserve">lure Wilson after him or </w:t>
      </w:r>
      <w:r w:rsidR="006C3C0C" w:rsidRPr="132E83FC">
        <w:t>return</w:t>
      </w:r>
      <w:r w:rsidR="00701A5B" w:rsidRPr="132E83FC">
        <w:t xml:space="preserve"> to </w:t>
      </w:r>
      <w:r w:rsidR="00A57C20" w:rsidRPr="132E83FC">
        <w:t>Wilson</w:t>
      </w:r>
      <w:r w:rsidR="006C3C0C" w:rsidRPr="132E83FC">
        <w:t xml:space="preserve"> to </w:t>
      </w:r>
      <w:r w:rsidR="00F7575E" w:rsidRPr="132E83FC">
        <w:t>argue</w:t>
      </w:r>
      <w:r w:rsidR="006C3C0C" w:rsidRPr="132E83FC">
        <w:t xml:space="preserve"> or </w:t>
      </w:r>
      <w:r w:rsidR="00014ED7" w:rsidRPr="132E83FC">
        <w:t>pick a fight</w:t>
      </w:r>
      <w:r w:rsidR="00A57C20">
        <w:rPr>
          <w:szCs w:val="26"/>
        </w:rPr>
        <w:t xml:space="preserve">. </w:t>
      </w:r>
    </w:p>
    <w:p w14:paraId="6E58D7FB" w14:textId="1AAB6CBE" w:rsidR="00886480" w:rsidRDefault="00087302" w:rsidP="00FD2BAB">
      <w:pPr>
        <w:spacing w:before="240" w:line="520" w:lineRule="auto"/>
        <w:ind w:firstLine="720"/>
        <w:rPr>
          <w:bCs/>
        </w:rPr>
      </w:pPr>
      <w:r>
        <w:t>E</w:t>
      </w:r>
      <w:r w:rsidR="007F7ED4">
        <w:t xml:space="preserve">ven if </w:t>
      </w:r>
      <w:r w:rsidR="00160DD0">
        <w:t xml:space="preserve">Jay </w:t>
      </w:r>
      <w:r w:rsidR="00AE5481">
        <w:t>was found to be</w:t>
      </w:r>
      <w:r w:rsidR="00160DD0">
        <w:t xml:space="preserve"> an aggressor</w:t>
      </w:r>
      <w:r w:rsidR="009655E8">
        <w:t xml:space="preserve"> in the second event</w:t>
      </w:r>
      <w:r w:rsidR="00160DD0">
        <w:t xml:space="preserve">, </w:t>
      </w:r>
      <w:r w:rsidR="00433873">
        <w:t xml:space="preserve">Jay </w:t>
      </w:r>
      <w:r>
        <w:t>retreated</w:t>
      </w:r>
      <w:r w:rsidR="009B2013">
        <w:t xml:space="preserve"> by going into the breezeway</w:t>
      </w:r>
      <w:r>
        <w:t>.</w:t>
      </w:r>
      <w:r w:rsidR="00457F24">
        <w:t xml:space="preserve"> (Jay Cameron’s Interview </w:t>
      </w:r>
      <w:r w:rsidR="00457F24" w:rsidRPr="00BB65E0">
        <w:rPr>
          <w:bCs/>
        </w:rPr>
        <w:t xml:space="preserve">¶ </w:t>
      </w:r>
      <w:r w:rsidR="00457F24">
        <w:rPr>
          <w:bCs/>
        </w:rPr>
        <w:t>101-</w:t>
      </w:r>
      <w:r w:rsidR="003C2DC7">
        <w:rPr>
          <w:bCs/>
        </w:rPr>
        <w:t>08</w:t>
      </w:r>
      <w:r w:rsidR="003C2DC7">
        <w:t>)</w:t>
      </w:r>
      <w:r w:rsidR="370985EC">
        <w:t>.</w:t>
      </w:r>
      <w:r>
        <w:t xml:space="preserve"> </w:t>
      </w:r>
      <w:r w:rsidR="00014ED7">
        <w:rPr>
          <w:bCs/>
        </w:rPr>
        <w:t>I</w:t>
      </w:r>
      <w:r w:rsidR="00180CF5" w:rsidRPr="00BB65E0">
        <w:rPr>
          <w:bCs/>
        </w:rPr>
        <w:t>n</w:t>
      </w:r>
      <w:r w:rsidR="00180CF5" w:rsidRPr="00844BD6">
        <w:rPr>
          <w:bCs/>
          <w:i/>
          <w:iCs/>
        </w:rPr>
        <w:t xml:space="preserve"> People v. Vaughn</w:t>
      </w:r>
      <w:r w:rsidR="00180CF5" w:rsidRPr="00BB65E0">
        <w:rPr>
          <w:bCs/>
        </w:rPr>
        <w:t>, the defendant became the aggressor by following the deceased out of an apartment and shooting him, even though the deceased was the initial aggressor of a</w:t>
      </w:r>
      <w:r w:rsidR="00D370D1">
        <w:rPr>
          <w:bCs/>
        </w:rPr>
        <w:t xml:space="preserve">n </w:t>
      </w:r>
      <w:r w:rsidR="00180CF5" w:rsidRPr="00BB65E0">
        <w:rPr>
          <w:bCs/>
        </w:rPr>
        <w:t>altercation inside the apartment. 2018 IL App (5th) 150428-U, ¶ 45</w:t>
      </w:r>
      <w:r w:rsidR="0027725D">
        <w:rPr>
          <w:bCs/>
        </w:rPr>
        <w:fldChar w:fldCharType="begin"/>
      </w:r>
      <w:r w:rsidR="0027725D">
        <w:instrText xml:space="preserve"> TA \l "</w:instrText>
      </w:r>
      <w:r w:rsidR="0027725D" w:rsidRPr="00A754B6">
        <w:rPr>
          <w:bCs/>
          <w:i/>
          <w:iCs/>
        </w:rPr>
        <w:instrText>People v. Vaughn</w:instrText>
      </w:r>
      <w:r w:rsidR="0027725D" w:rsidRPr="00A754B6">
        <w:rPr>
          <w:bCs/>
        </w:rPr>
        <w:instrText>, 2018 IL App (5th) 150428-U, ¶ 45</w:instrText>
      </w:r>
      <w:r w:rsidR="0027725D">
        <w:instrText xml:space="preserve">" \s "People v. Vaughn" \c 1 </w:instrText>
      </w:r>
      <w:r w:rsidR="0027725D">
        <w:rPr>
          <w:bCs/>
        </w:rPr>
        <w:fldChar w:fldCharType="end"/>
      </w:r>
      <w:r w:rsidR="00180CF5">
        <w:rPr>
          <w:bCs/>
        </w:rPr>
        <w:t xml:space="preserve">. </w:t>
      </w:r>
      <w:r w:rsidR="00180CF5" w:rsidRPr="00BB65E0">
        <w:rPr>
          <w:bCs/>
        </w:rPr>
        <w:t xml:space="preserve">The </w:t>
      </w:r>
      <w:r w:rsidR="00180CF5" w:rsidRPr="00143EC9">
        <w:rPr>
          <w:bCs/>
          <w:i/>
          <w:iCs/>
        </w:rPr>
        <w:t>Vaughn</w:t>
      </w:r>
      <w:r w:rsidR="00180CF5" w:rsidRPr="00BB65E0">
        <w:rPr>
          <w:bCs/>
        </w:rPr>
        <w:t xml:space="preserve"> Court </w:t>
      </w:r>
      <w:r w:rsidR="00FB55C1">
        <w:rPr>
          <w:bCs/>
        </w:rPr>
        <w:t>analyzed</w:t>
      </w:r>
      <w:r w:rsidR="00180CF5" w:rsidRPr="00BB65E0">
        <w:rPr>
          <w:bCs/>
        </w:rPr>
        <w:t xml:space="preserve"> the full encounter as two separate events because the deceased retreated.</w:t>
      </w:r>
      <w:r w:rsidR="006D53F6">
        <w:rPr>
          <w:bCs/>
        </w:rPr>
        <w:t xml:space="preserve"> </w:t>
      </w:r>
      <w:r w:rsidR="006D53F6">
        <w:rPr>
          <w:bCs/>
          <w:i/>
          <w:iCs/>
        </w:rPr>
        <w:t>Id.</w:t>
      </w:r>
      <w:r w:rsidR="0027725D">
        <w:rPr>
          <w:bCs/>
          <w:i/>
          <w:iCs/>
        </w:rPr>
        <w:fldChar w:fldCharType="begin"/>
      </w:r>
      <w:r w:rsidR="0027725D">
        <w:instrText xml:space="preserve"> TA \s "People v. Vaughn" </w:instrText>
      </w:r>
      <w:r w:rsidR="0027725D">
        <w:rPr>
          <w:bCs/>
          <w:i/>
          <w:iCs/>
        </w:rPr>
        <w:fldChar w:fldCharType="end"/>
      </w:r>
      <w:r w:rsidR="00180CF5" w:rsidRPr="00BB65E0">
        <w:rPr>
          <w:bCs/>
        </w:rPr>
        <w:t xml:space="preserve"> </w:t>
      </w:r>
      <w:r w:rsidR="00180CF5">
        <w:rPr>
          <w:bCs/>
        </w:rPr>
        <w:t>Similarly, even if Wilson saw Jay make</w:t>
      </w:r>
      <w:r w:rsidR="006D53F6">
        <w:rPr>
          <w:bCs/>
        </w:rPr>
        <w:t xml:space="preserve"> a</w:t>
      </w:r>
      <w:r w:rsidR="00180CF5">
        <w:rPr>
          <w:bCs/>
        </w:rPr>
        <w:t xml:space="preserve"> </w:t>
      </w:r>
      <w:r w:rsidR="00FB55C1">
        <w:rPr>
          <w:bCs/>
        </w:rPr>
        <w:t>threatening</w:t>
      </w:r>
      <w:r w:rsidR="00180CF5">
        <w:rPr>
          <w:bCs/>
        </w:rPr>
        <w:t xml:space="preserve"> gesture, Jay moved away in a clear indication of retreat.</w:t>
      </w:r>
      <w:r w:rsidR="00E37BA7">
        <w:rPr>
          <w:bCs/>
        </w:rPr>
        <w:t xml:space="preserve"> </w:t>
      </w:r>
      <w:r w:rsidR="001F3207">
        <w:rPr>
          <w:bCs/>
        </w:rPr>
        <w:t>Wilson</w:t>
      </w:r>
      <w:r w:rsidR="00D01C2C">
        <w:rPr>
          <w:bCs/>
        </w:rPr>
        <w:t xml:space="preserve">’s actions after </w:t>
      </w:r>
      <w:r w:rsidR="001F3207">
        <w:rPr>
          <w:bCs/>
        </w:rPr>
        <w:t xml:space="preserve">Jay </w:t>
      </w:r>
      <w:r w:rsidR="00D469E1">
        <w:rPr>
          <w:bCs/>
        </w:rPr>
        <w:t xml:space="preserve">left </w:t>
      </w:r>
      <w:r w:rsidR="00641DD4">
        <w:rPr>
          <w:bCs/>
        </w:rPr>
        <w:t>are clear signs of aggression</w:t>
      </w:r>
      <w:r w:rsidR="00943545">
        <w:rPr>
          <w:bCs/>
        </w:rPr>
        <w:t xml:space="preserve"> to which Jay responded</w:t>
      </w:r>
      <w:r w:rsidR="00641DD4">
        <w:rPr>
          <w:bCs/>
        </w:rPr>
        <w:t>:</w:t>
      </w:r>
      <w:r w:rsidR="00D469E1">
        <w:rPr>
          <w:bCs/>
        </w:rPr>
        <w:t xml:space="preserve"> taking out a gun</w:t>
      </w:r>
      <w:r w:rsidR="00F06E97">
        <w:rPr>
          <w:bCs/>
        </w:rPr>
        <w:t xml:space="preserve">, </w:t>
      </w:r>
      <w:r w:rsidR="003111E0">
        <w:rPr>
          <w:bCs/>
        </w:rPr>
        <w:t xml:space="preserve">following Jay </w:t>
      </w:r>
      <w:r w:rsidR="00641DD4">
        <w:rPr>
          <w:bCs/>
        </w:rPr>
        <w:t xml:space="preserve">into the breezeway with the </w:t>
      </w:r>
      <w:r w:rsidR="006F647F">
        <w:rPr>
          <w:bCs/>
        </w:rPr>
        <w:t xml:space="preserve">gun, and </w:t>
      </w:r>
      <w:r w:rsidR="004F7AA7">
        <w:rPr>
          <w:bCs/>
        </w:rPr>
        <w:t xml:space="preserve">shooting Jay. </w:t>
      </w:r>
      <w:r w:rsidR="006D53F6">
        <w:t xml:space="preserve">(Jay Cameron’s Interview </w:t>
      </w:r>
      <w:r w:rsidR="006D53F6" w:rsidRPr="00BB65E0">
        <w:rPr>
          <w:bCs/>
        </w:rPr>
        <w:t>¶</w:t>
      </w:r>
      <w:r w:rsidR="003202A3">
        <w:rPr>
          <w:bCs/>
        </w:rPr>
        <w:t xml:space="preserve"> 87-118).</w:t>
      </w:r>
    </w:p>
    <w:p w14:paraId="451E9AD2" w14:textId="349CFE8C" w:rsidR="00180CF5" w:rsidRPr="00BB65E0" w:rsidRDefault="001C303E" w:rsidP="00180CF5">
      <w:pPr>
        <w:spacing w:after="160"/>
        <w:ind w:firstLine="720"/>
        <w:rPr>
          <w:bCs/>
        </w:rPr>
      </w:pPr>
      <w:r>
        <w:rPr>
          <w:bCs/>
        </w:rPr>
        <w:t>There</w:t>
      </w:r>
      <w:r w:rsidR="00CB399D">
        <w:rPr>
          <w:bCs/>
        </w:rPr>
        <w:t xml:space="preserve">fore, Jay </w:t>
      </w:r>
      <w:r w:rsidR="003E5EBB">
        <w:rPr>
          <w:bCs/>
        </w:rPr>
        <w:t xml:space="preserve">qualifies for </w:t>
      </w:r>
      <w:r w:rsidR="001316B9">
        <w:rPr>
          <w:bCs/>
        </w:rPr>
        <w:t>Stand Your Ground I</w:t>
      </w:r>
      <w:r w:rsidR="003E5EBB">
        <w:rPr>
          <w:bCs/>
        </w:rPr>
        <w:t>m</w:t>
      </w:r>
      <w:r w:rsidR="003E5EBB" w:rsidRPr="003E5EBB">
        <w:rPr>
          <w:bCs/>
        </w:rPr>
        <w:t xml:space="preserve">munity under </w:t>
      </w:r>
      <w:r w:rsidR="001316B9">
        <w:rPr>
          <w:bCs/>
        </w:rPr>
        <w:t>section</w:t>
      </w:r>
      <w:r w:rsidR="003E5EBB" w:rsidRPr="003E5EBB">
        <w:rPr>
          <w:bCs/>
        </w:rPr>
        <w:t xml:space="preserve"> 776.041(2)(</w:t>
      </w:r>
      <w:r w:rsidR="003E5EBB">
        <w:rPr>
          <w:bCs/>
        </w:rPr>
        <w:t>a</w:t>
      </w:r>
      <w:r w:rsidR="003E5EBB" w:rsidRPr="003E5EBB">
        <w:rPr>
          <w:bCs/>
        </w:rPr>
        <w:t>)</w:t>
      </w:r>
      <w:r w:rsidR="0027725D">
        <w:rPr>
          <w:bCs/>
        </w:rPr>
        <w:fldChar w:fldCharType="begin"/>
      </w:r>
      <w:r w:rsidR="0027725D">
        <w:instrText xml:space="preserve"> TA \s "§ 776.041" </w:instrText>
      </w:r>
      <w:r w:rsidR="0027725D">
        <w:rPr>
          <w:bCs/>
        </w:rPr>
        <w:fldChar w:fldCharType="end"/>
      </w:r>
      <w:r w:rsidR="00CB399D" w:rsidRPr="003E5EBB">
        <w:rPr>
          <w:bCs/>
        </w:rPr>
        <w:t xml:space="preserve"> </w:t>
      </w:r>
      <w:r w:rsidR="00F111F2">
        <w:rPr>
          <w:bCs/>
        </w:rPr>
        <w:t>because he</w:t>
      </w:r>
      <w:r w:rsidR="003E5EBB">
        <w:rPr>
          <w:bCs/>
        </w:rPr>
        <w:t xml:space="preserve"> </w:t>
      </w:r>
      <w:r w:rsidR="00AB5E56" w:rsidRPr="003E5EBB">
        <w:rPr>
          <w:bCs/>
        </w:rPr>
        <w:t>had</w:t>
      </w:r>
      <w:r w:rsidR="007D522E">
        <w:rPr>
          <w:bCs/>
        </w:rPr>
        <w:t xml:space="preserve"> a</w:t>
      </w:r>
      <w:r w:rsidR="00AB5E56">
        <w:rPr>
          <w:bCs/>
        </w:rPr>
        <w:t xml:space="preserve"> </w:t>
      </w:r>
      <w:r w:rsidR="00DC3678">
        <w:rPr>
          <w:bCs/>
        </w:rPr>
        <w:t xml:space="preserve">reasonable belief that </w:t>
      </w:r>
      <w:r w:rsidR="00D50E69">
        <w:rPr>
          <w:bCs/>
        </w:rPr>
        <w:t xml:space="preserve">he </w:t>
      </w:r>
      <w:r w:rsidR="00CB399D">
        <w:rPr>
          <w:bCs/>
        </w:rPr>
        <w:t xml:space="preserve">had no way </w:t>
      </w:r>
      <w:r>
        <w:rPr>
          <w:bCs/>
        </w:rPr>
        <w:t>to retreat</w:t>
      </w:r>
      <w:r w:rsidR="00D50E69">
        <w:rPr>
          <w:bCs/>
        </w:rPr>
        <w:t xml:space="preserve"> from the </w:t>
      </w:r>
      <w:r w:rsidR="00D50E69">
        <w:rPr>
          <w:bCs/>
        </w:rPr>
        <w:lastRenderedPageBreak/>
        <w:t xml:space="preserve">imminent </w:t>
      </w:r>
      <w:r w:rsidR="00A22C75">
        <w:rPr>
          <w:bCs/>
        </w:rPr>
        <w:t>danger of death or threat of death</w:t>
      </w:r>
      <w:r w:rsidR="007D522E">
        <w:rPr>
          <w:bCs/>
        </w:rPr>
        <w:t xml:space="preserve"> caused by Wilson</w:t>
      </w:r>
      <w:r w:rsidR="006343AE">
        <w:rPr>
          <w:bCs/>
        </w:rPr>
        <w:t>, and the Court should grant Jay Cameron’s Motion to Dismiss</w:t>
      </w:r>
      <w:r w:rsidR="003E5EBB">
        <w:rPr>
          <w:bCs/>
        </w:rPr>
        <w:t xml:space="preserve">. </w:t>
      </w:r>
      <w:r w:rsidR="00CB399D">
        <w:rPr>
          <w:bCs/>
        </w:rPr>
        <w:t xml:space="preserve"> </w:t>
      </w:r>
    </w:p>
    <w:p w14:paraId="15DA460B" w14:textId="6F64A420" w:rsidR="00C547B7" w:rsidRPr="00A111FD" w:rsidRDefault="00515416" w:rsidP="00A111FD">
      <w:pPr>
        <w:pStyle w:val="Heading4"/>
      </w:pPr>
      <w:bookmarkStart w:id="58" w:name="_Toc176088931"/>
      <w:r w:rsidRPr="00A111FD">
        <w:t xml:space="preserve">Jay Cameron qualifies for </w:t>
      </w:r>
      <w:r w:rsidR="00D156DA" w:rsidRPr="00A111FD">
        <w:t xml:space="preserve">Stand Your Ground </w:t>
      </w:r>
      <w:r w:rsidR="0064771B" w:rsidRPr="00A111FD">
        <w:t>I</w:t>
      </w:r>
      <w:r w:rsidRPr="00A111FD">
        <w:t>mmunity u</w:t>
      </w:r>
      <w:r w:rsidR="00BA71C6" w:rsidRPr="00A111FD">
        <w:t xml:space="preserve">nder </w:t>
      </w:r>
      <w:bookmarkStart w:id="59" w:name="_Hlk175947298"/>
      <w:r w:rsidR="00741F98" w:rsidRPr="00A111FD">
        <w:t>s</w:t>
      </w:r>
      <w:r w:rsidR="0064771B" w:rsidRPr="00A111FD">
        <w:t>ection</w:t>
      </w:r>
      <w:r w:rsidR="00281844" w:rsidRPr="00A111FD">
        <w:t xml:space="preserve"> 776.041(2)(</w:t>
      </w:r>
      <w:bookmarkEnd w:id="59"/>
      <w:r w:rsidR="00281844" w:rsidRPr="00A111FD">
        <w:t>b</w:t>
      </w:r>
      <w:r w:rsidR="00281844" w:rsidRPr="00A111FD">
        <w:t>)</w:t>
      </w:r>
      <w:r w:rsidR="00D156DA" w:rsidRPr="00A111FD">
        <w:t>.</w:t>
      </w:r>
      <w:bookmarkEnd w:id="58"/>
    </w:p>
    <w:p w14:paraId="0D4AB68E" w14:textId="53757C53" w:rsidR="00F111F2" w:rsidRDefault="005A199E" w:rsidP="0005144A">
      <w:pPr>
        <w:pStyle w:val="ListParagraph"/>
        <w:spacing w:after="160"/>
        <w:ind w:left="0"/>
        <w:rPr>
          <w:szCs w:val="26"/>
        </w:rPr>
      </w:pPr>
      <w:r>
        <w:rPr>
          <w:szCs w:val="26"/>
        </w:rPr>
        <w:tab/>
      </w:r>
      <w:r w:rsidR="0085006E">
        <w:rPr>
          <w:szCs w:val="26"/>
        </w:rPr>
        <w:t>Even if Jay Cameron does not qualify for immunity under</w:t>
      </w:r>
      <w:r w:rsidR="00963BC5">
        <w:rPr>
          <w:szCs w:val="26"/>
        </w:rPr>
        <w:t xml:space="preserve"> </w:t>
      </w:r>
      <w:r w:rsidR="0064771B">
        <w:rPr>
          <w:szCs w:val="26"/>
        </w:rPr>
        <w:t xml:space="preserve">section </w:t>
      </w:r>
      <w:r w:rsidR="0085006E" w:rsidRPr="0085006E">
        <w:rPr>
          <w:szCs w:val="26"/>
        </w:rPr>
        <w:t>776.041(</w:t>
      </w:r>
      <w:r w:rsidR="00963BC5">
        <w:rPr>
          <w:szCs w:val="26"/>
        </w:rPr>
        <w:t xml:space="preserve">2)(a), he would still qualify under </w:t>
      </w:r>
      <w:r w:rsidR="0064771B">
        <w:rPr>
          <w:szCs w:val="26"/>
        </w:rPr>
        <w:t>section</w:t>
      </w:r>
      <w:r w:rsidR="00963BC5" w:rsidRPr="0085006E">
        <w:rPr>
          <w:szCs w:val="26"/>
        </w:rPr>
        <w:t xml:space="preserve"> 776.041(</w:t>
      </w:r>
      <w:r w:rsidR="00963BC5">
        <w:rPr>
          <w:szCs w:val="26"/>
        </w:rPr>
        <w:t>2)(</w:t>
      </w:r>
      <w:r w:rsidR="00963BC5">
        <w:rPr>
          <w:szCs w:val="26"/>
        </w:rPr>
        <w:t>b).</w:t>
      </w:r>
      <w:r w:rsidR="0027725D">
        <w:rPr>
          <w:szCs w:val="26"/>
        </w:rPr>
        <w:fldChar w:fldCharType="begin"/>
      </w:r>
      <w:r w:rsidR="0027725D">
        <w:instrText xml:space="preserve"> TA \s "§ 776.041" </w:instrText>
      </w:r>
      <w:r w:rsidR="0027725D">
        <w:rPr>
          <w:szCs w:val="26"/>
        </w:rPr>
        <w:fldChar w:fldCharType="end"/>
      </w:r>
      <w:r w:rsidR="00963BC5">
        <w:rPr>
          <w:szCs w:val="26"/>
        </w:rPr>
        <w:t xml:space="preserve"> </w:t>
      </w:r>
    </w:p>
    <w:p w14:paraId="3E2206D0" w14:textId="3B488D90" w:rsidR="008D0956" w:rsidRPr="00EF6965" w:rsidRDefault="00C547B7" w:rsidP="00F111F2">
      <w:pPr>
        <w:pStyle w:val="ListParagraph"/>
        <w:spacing w:after="160"/>
        <w:ind w:left="0" w:firstLine="720"/>
      </w:pPr>
      <w:r>
        <w:t xml:space="preserve">First, Jay must have </w:t>
      </w:r>
      <w:r w:rsidR="00DD0975">
        <w:t>made a go</w:t>
      </w:r>
      <w:r w:rsidR="00C72B71">
        <w:t>od faith physical withdrawal</w:t>
      </w:r>
      <w:r w:rsidR="00DD0975">
        <w:t xml:space="preserve"> from the situation.</w:t>
      </w:r>
      <w:r w:rsidR="00963BC5" w:rsidRPr="132E83FC">
        <w:rPr>
          <w:highlight w:val="yellow"/>
        </w:rPr>
        <w:t xml:space="preserve"> </w:t>
      </w:r>
      <w:r w:rsidR="004D7ED8">
        <w:t>Stetson Penal Code</w:t>
      </w:r>
      <w:r w:rsidR="004D7ED8" w:rsidRPr="132E83FC">
        <w:rPr>
          <w:b/>
        </w:rPr>
        <w:t xml:space="preserve"> </w:t>
      </w:r>
      <w:r w:rsidR="0030094F">
        <w:t>§</w:t>
      </w:r>
      <w:r w:rsidR="0030094F">
        <w:t xml:space="preserve"> </w:t>
      </w:r>
      <w:r w:rsidR="004D7ED8">
        <w:t>776.041(2)</w:t>
      </w:r>
      <w:r w:rsidR="009C714D">
        <w:t>.</w:t>
      </w:r>
      <w:r w:rsidR="00DD3ECD">
        <w:fldChar w:fldCharType="begin"/>
      </w:r>
      <w:r w:rsidR="00DD3ECD">
        <w:instrText xml:space="preserve"> TA \s "§ 776.041" </w:instrText>
      </w:r>
      <w:r w:rsidR="00DD3ECD">
        <w:fldChar w:fldCharType="end"/>
      </w:r>
      <w:r w:rsidR="009C714D">
        <w:t xml:space="preserve"> </w:t>
      </w:r>
      <w:r w:rsidR="00CE5460">
        <w:t xml:space="preserve">Just </w:t>
      </w:r>
      <w:r w:rsidR="00750F06">
        <w:t xml:space="preserve">like </w:t>
      </w:r>
      <w:r w:rsidR="00CE5460">
        <w:t xml:space="preserve">the </w:t>
      </w:r>
      <w:r w:rsidR="009A719B">
        <w:t xml:space="preserve">9:45 A.M. </w:t>
      </w:r>
      <w:r w:rsidR="00392B57">
        <w:t>interaction,</w:t>
      </w:r>
      <w:r w:rsidR="009A719B">
        <w:t xml:space="preserve"> </w:t>
      </w:r>
      <w:r w:rsidR="006C130C">
        <w:t xml:space="preserve">Jay only </w:t>
      </w:r>
      <w:r w:rsidR="00EF3CAC">
        <w:t xml:space="preserve">went </w:t>
      </w:r>
      <w:r w:rsidR="006C130C">
        <w:t xml:space="preserve">closer to Wilson for the </w:t>
      </w:r>
      <w:r w:rsidR="003C1C58">
        <w:t>purpose</w:t>
      </w:r>
      <w:r w:rsidR="006C130C">
        <w:t xml:space="preserve"> of going past </w:t>
      </w:r>
      <w:r w:rsidR="00481FED">
        <w:t>Wilson to his room</w:t>
      </w:r>
      <w:r w:rsidR="00EF3CAC">
        <w:t xml:space="preserve"> in the </w:t>
      </w:r>
      <w:r w:rsidR="00EF3CAC">
        <w:t>10:30 A.M. altercation</w:t>
      </w:r>
      <w:r w:rsidR="00481FED">
        <w:t xml:space="preserve">. </w:t>
      </w:r>
      <w:r w:rsidR="00EF4ED0">
        <w:t xml:space="preserve">Based on </w:t>
      </w:r>
      <w:r w:rsidR="005D72B1">
        <w:t>e</w:t>
      </w:r>
      <w:r w:rsidR="00EF4ED0">
        <w:t xml:space="preserve">ye-witness testimony from Greg Cameron, when Wilson initiated fire against </w:t>
      </w:r>
      <w:r w:rsidR="005416F9">
        <w:t xml:space="preserve">Jay, the men were </w:t>
      </w:r>
      <w:r w:rsidR="00EC21B4">
        <w:t>already</w:t>
      </w:r>
      <w:r w:rsidR="005416F9">
        <w:t xml:space="preserve"> 8 to 10 feet apart.</w:t>
      </w:r>
      <w:r w:rsidR="00126C0C">
        <w:t xml:space="preserve"> </w:t>
      </w:r>
      <w:r w:rsidR="00297830">
        <w:t>(</w:t>
      </w:r>
      <w:r w:rsidR="00126C0C">
        <w:t xml:space="preserve">Greg Cameron’s Interview </w:t>
      </w:r>
      <w:r w:rsidR="00126C0C" w:rsidRPr="00BB65E0">
        <w:rPr>
          <w:bCs/>
        </w:rPr>
        <w:t>¶</w:t>
      </w:r>
      <w:r w:rsidR="00297830">
        <w:rPr>
          <w:bCs/>
        </w:rPr>
        <w:t xml:space="preserve"> </w:t>
      </w:r>
      <w:r w:rsidR="00126C0C">
        <w:rPr>
          <w:bCs/>
        </w:rPr>
        <w:t>222</w:t>
      </w:r>
      <w:r w:rsidR="00297830">
        <w:t>)</w:t>
      </w:r>
      <w:r w:rsidR="715FC8E2">
        <w:t>.</w:t>
      </w:r>
      <w:r w:rsidR="00963BC5">
        <w:t xml:space="preserve"> </w:t>
      </w:r>
      <w:r w:rsidR="00B13CC3">
        <w:t>In other wor</w:t>
      </w:r>
      <w:r w:rsidR="00544CE8">
        <w:t>d</w:t>
      </w:r>
      <w:r w:rsidR="00B13CC3">
        <w:t xml:space="preserve">s, Jay showed </w:t>
      </w:r>
      <w:r w:rsidR="00544CE8">
        <w:t xml:space="preserve">a </w:t>
      </w:r>
      <w:r w:rsidR="00DE55E6">
        <w:t xml:space="preserve">good faith </w:t>
      </w:r>
      <w:r w:rsidR="00544CE8">
        <w:t xml:space="preserve">attempt to </w:t>
      </w:r>
      <w:r w:rsidR="00DE55E6">
        <w:t xml:space="preserve">withdraw from potential conflict by physically removing himself </w:t>
      </w:r>
      <w:r w:rsidR="0058138F">
        <w:t>from Wilson’s presence.</w:t>
      </w:r>
      <w:r w:rsidR="008D0956">
        <w:t xml:space="preserve"> </w:t>
      </w:r>
    </w:p>
    <w:p w14:paraId="6F066FD1" w14:textId="1258FCF8" w:rsidR="005A199E" w:rsidRDefault="005A199E" w:rsidP="00CE765E">
      <w:pPr>
        <w:pStyle w:val="ListParagraph"/>
        <w:spacing w:after="160"/>
        <w:ind w:left="0"/>
      </w:pPr>
      <w:r>
        <w:rPr>
          <w:szCs w:val="26"/>
        </w:rPr>
        <w:tab/>
      </w:r>
      <w:r w:rsidR="00DD0975" w:rsidRPr="132E83FC">
        <w:t>Second, Jay must have made a clear</w:t>
      </w:r>
      <w:r w:rsidR="00C72B71" w:rsidRPr="132E83FC">
        <w:t xml:space="preserve"> indication</w:t>
      </w:r>
      <w:r w:rsidR="00CC0254" w:rsidRPr="132E83FC">
        <w:t xml:space="preserve"> of desire to withdraw</w:t>
      </w:r>
      <w:r w:rsidR="00DD0975" w:rsidRPr="132E83FC">
        <w:t xml:space="preserve"> from the altercation. </w:t>
      </w:r>
      <w:r w:rsidR="0030094F" w:rsidRPr="132E83FC">
        <w:t>Stetson Penal Code</w:t>
      </w:r>
      <w:r w:rsidR="0030094F" w:rsidRPr="132E83FC">
        <w:rPr>
          <w:b/>
        </w:rPr>
        <w:t xml:space="preserve"> </w:t>
      </w:r>
      <w:r w:rsidR="0030094F" w:rsidRPr="0076567B">
        <w:rPr>
          <w:szCs w:val="26"/>
        </w:rPr>
        <w:t>§</w:t>
      </w:r>
      <w:r w:rsidR="0030094F">
        <w:rPr>
          <w:szCs w:val="26"/>
        </w:rPr>
        <w:t xml:space="preserve"> </w:t>
      </w:r>
      <w:r w:rsidR="0030094F" w:rsidRPr="132E83FC">
        <w:t xml:space="preserve">776.041(2). </w:t>
      </w:r>
      <w:r w:rsidR="00610FB4" w:rsidRPr="132E83FC">
        <w:t xml:space="preserve">For example, in </w:t>
      </w:r>
      <w:r w:rsidR="00563DF4" w:rsidRPr="132E83FC">
        <w:rPr>
          <w:i/>
        </w:rPr>
        <w:t>State v. Bryant</w:t>
      </w:r>
      <w:r w:rsidR="00563DF4" w:rsidRPr="00B618D9">
        <w:rPr>
          <w:szCs w:val="26"/>
        </w:rPr>
        <w:t>,</w:t>
      </w:r>
      <w:r w:rsidR="008C7EBF" w:rsidRPr="132E83FC">
        <w:t xml:space="preserve"> a </w:t>
      </w:r>
      <w:r w:rsidR="003202DE" w:rsidRPr="132E83FC">
        <w:t>d</w:t>
      </w:r>
      <w:r w:rsidR="008C7EBF" w:rsidRPr="132E83FC">
        <w:t xml:space="preserve">efendant was convicted of </w:t>
      </w:r>
      <w:r w:rsidR="002F03BA" w:rsidRPr="132E83FC">
        <w:t>murder</w:t>
      </w:r>
      <w:r w:rsidR="004E21E3" w:rsidRPr="132E83FC">
        <w:t xml:space="preserve"> after </w:t>
      </w:r>
      <w:r w:rsidR="00113198" w:rsidRPr="132E83FC">
        <w:t>he attempted to rob a car</w:t>
      </w:r>
      <w:r w:rsidR="009E53DA" w:rsidRPr="132E83FC">
        <w:t xml:space="preserve"> and subsequently got in a fight with the car’s owner.</w:t>
      </w:r>
      <w:r w:rsidR="003F0F7F" w:rsidRPr="002B500B">
        <w:t xml:space="preserve"> 336 S.C. 340</w:t>
      </w:r>
      <w:r w:rsidR="00EA67E1">
        <w:t>, 344</w:t>
      </w:r>
      <w:r w:rsidR="00E31648">
        <w:t xml:space="preserve"> </w:t>
      </w:r>
      <w:r w:rsidR="003F0F7F" w:rsidRPr="002B500B">
        <w:t>(1999</w:t>
      </w:r>
      <w:r w:rsidR="003F0F7F">
        <w:t>).</w:t>
      </w:r>
      <w:r w:rsidR="00952E2B">
        <w:fldChar w:fldCharType="begin"/>
      </w:r>
      <w:r w:rsidR="00952E2B">
        <w:instrText xml:space="preserve"> TA \l "</w:instrText>
      </w:r>
      <w:r w:rsidR="00952E2B" w:rsidRPr="00A754B6">
        <w:rPr>
          <w:i/>
          <w:iCs/>
        </w:rPr>
        <w:instrText>State v. Bryant</w:instrText>
      </w:r>
      <w:r w:rsidR="00952E2B" w:rsidRPr="00A754B6">
        <w:instrText>, 336 S.C. 340, 344 (1999).</w:instrText>
      </w:r>
      <w:r w:rsidR="00952E2B">
        <w:instrText xml:space="preserve">" \s "State v. Bryant" \c 1 </w:instrText>
      </w:r>
      <w:r w:rsidR="00952E2B">
        <w:fldChar w:fldCharType="end"/>
      </w:r>
      <w:r w:rsidR="003F0F7F">
        <w:t xml:space="preserve"> </w:t>
      </w:r>
      <w:r w:rsidR="009E53DA" w:rsidRPr="132E83FC">
        <w:t xml:space="preserve">The </w:t>
      </w:r>
      <w:r w:rsidR="003202DE" w:rsidRPr="132E83FC">
        <w:t>d</w:t>
      </w:r>
      <w:r w:rsidR="009E53DA" w:rsidRPr="132E83FC">
        <w:t xml:space="preserve">efendant had a knife and a </w:t>
      </w:r>
      <w:r w:rsidR="003C1C58" w:rsidRPr="132E83FC">
        <w:t>screwdriver but</w:t>
      </w:r>
      <w:r w:rsidR="00BA0114" w:rsidRPr="132E83FC">
        <w:t xml:space="preserve"> dropped the knife before </w:t>
      </w:r>
      <w:r w:rsidR="00287115" w:rsidRPr="132E83FC">
        <w:t>stab</w:t>
      </w:r>
      <w:r w:rsidR="00BC66C3" w:rsidRPr="132E83FC">
        <w:t>bing</w:t>
      </w:r>
      <w:r w:rsidR="00287115" w:rsidRPr="132E83FC">
        <w:t xml:space="preserve"> and kill</w:t>
      </w:r>
      <w:r w:rsidR="00BC66C3" w:rsidRPr="132E83FC">
        <w:t>ing</w:t>
      </w:r>
      <w:r w:rsidR="00E016F6" w:rsidRPr="00B618D9">
        <w:rPr>
          <w:szCs w:val="26"/>
        </w:rPr>
        <w:t xml:space="preserve"> </w:t>
      </w:r>
      <w:r w:rsidR="00BA0114" w:rsidRPr="132E83FC">
        <w:t xml:space="preserve">the car owner </w:t>
      </w:r>
      <w:r w:rsidR="00E016F6" w:rsidRPr="132E83FC">
        <w:t>with the screwdriver</w:t>
      </w:r>
      <w:r w:rsidR="00211332">
        <w:rPr>
          <w:szCs w:val="26"/>
        </w:rPr>
        <w:t xml:space="preserve">. </w:t>
      </w:r>
      <w:r w:rsidR="00211332" w:rsidRPr="132E83FC">
        <w:rPr>
          <w:i/>
        </w:rPr>
        <w:t xml:space="preserve">Id. </w:t>
      </w:r>
      <w:r w:rsidR="00211332" w:rsidRPr="132E83FC">
        <w:t>at 34</w:t>
      </w:r>
      <w:r w:rsidR="00BC66C3" w:rsidRPr="132E83FC">
        <w:t>3-4</w:t>
      </w:r>
      <w:r w:rsidR="00211332" w:rsidRPr="132E83FC">
        <w:t>4</w:t>
      </w:r>
      <w:r w:rsidR="00952E2B">
        <w:fldChar w:fldCharType="begin"/>
      </w:r>
      <w:r w:rsidR="00952E2B">
        <w:instrText xml:space="preserve"> TA \s "State v. Bryant" </w:instrText>
      </w:r>
      <w:r w:rsidR="00952E2B">
        <w:fldChar w:fldCharType="end"/>
      </w:r>
      <w:r w:rsidR="00211332" w:rsidRPr="132E83FC">
        <w:t>.</w:t>
      </w:r>
      <w:r w:rsidR="00113198" w:rsidRPr="00B618D9">
        <w:rPr>
          <w:szCs w:val="26"/>
        </w:rPr>
        <w:t xml:space="preserve"> </w:t>
      </w:r>
      <w:r w:rsidR="00CD1CE3" w:rsidRPr="132E83FC">
        <w:t>I</w:t>
      </w:r>
      <w:r w:rsidR="00CD1CE3" w:rsidRPr="132E83FC">
        <w:t xml:space="preserve">n </w:t>
      </w:r>
      <w:r w:rsidR="00CD1CE3" w:rsidRPr="132E83FC">
        <w:rPr>
          <w:i/>
        </w:rPr>
        <w:t>Bryant</w:t>
      </w:r>
      <w:r w:rsidR="00CD1CE3" w:rsidRPr="00B618D9">
        <w:rPr>
          <w:szCs w:val="26"/>
        </w:rPr>
        <w:t>,</w:t>
      </w:r>
      <w:r w:rsidR="00CD1CE3">
        <w:rPr>
          <w:szCs w:val="26"/>
        </w:rPr>
        <w:t xml:space="preserve"> </w:t>
      </w:r>
      <w:r w:rsidR="00E016F6" w:rsidRPr="132E83FC">
        <w:t xml:space="preserve">the </w:t>
      </w:r>
      <w:r w:rsidR="00C11594" w:rsidRPr="132E83FC">
        <w:t>d</w:t>
      </w:r>
      <w:r w:rsidR="00E016F6" w:rsidRPr="132E83FC">
        <w:t>efendant argued</w:t>
      </w:r>
      <w:r w:rsidR="00A001C8" w:rsidRPr="00B618D9">
        <w:rPr>
          <w:szCs w:val="26"/>
        </w:rPr>
        <w:t xml:space="preserve"> </w:t>
      </w:r>
      <w:r w:rsidR="002F03BA" w:rsidRPr="132E83FC">
        <w:t>that</w:t>
      </w:r>
      <w:r w:rsidR="009E45DD">
        <w:rPr>
          <w:szCs w:val="26"/>
        </w:rPr>
        <w:t xml:space="preserve"> </w:t>
      </w:r>
      <w:r w:rsidR="002F03BA" w:rsidRPr="132E83FC">
        <w:t>he clearly indicated</w:t>
      </w:r>
      <w:r w:rsidR="0083618A">
        <w:t xml:space="preserve"> </w:t>
      </w:r>
      <w:r w:rsidR="009E45DD">
        <w:t xml:space="preserve">his desire to withdraw by dropping the knife before the </w:t>
      </w:r>
      <w:r w:rsidR="00801AF7">
        <w:t xml:space="preserve">fight with the deceased; however, </w:t>
      </w:r>
      <w:r w:rsidR="00587612">
        <w:t>the</w:t>
      </w:r>
      <w:r w:rsidR="007E1F9A">
        <w:t xml:space="preserve"> d</w:t>
      </w:r>
      <w:r w:rsidR="00587612">
        <w:t>efendant admitted that the deceased had no way to know this information</w:t>
      </w:r>
      <w:r w:rsidR="00632FD6">
        <w:t xml:space="preserve"> because </w:t>
      </w:r>
      <w:r w:rsidR="00586548">
        <w:t xml:space="preserve">the </w:t>
      </w:r>
      <w:r w:rsidR="007E1F9A">
        <w:t>d</w:t>
      </w:r>
      <w:r w:rsidR="00586548">
        <w:t xml:space="preserve">efendant did not </w:t>
      </w:r>
      <w:r w:rsidR="00632FD6">
        <w:t>make his intention clear or</w:t>
      </w:r>
      <w:r w:rsidR="00586548">
        <w:t xml:space="preserve"> try to leave</w:t>
      </w:r>
      <w:r w:rsidR="00587612">
        <w:t>.</w:t>
      </w:r>
      <w:r w:rsidR="00EA67E1">
        <w:t xml:space="preserve"> </w:t>
      </w:r>
      <w:r w:rsidR="00EA67E1">
        <w:rPr>
          <w:i/>
          <w:iCs/>
        </w:rPr>
        <w:t xml:space="preserve">Id. </w:t>
      </w:r>
      <w:r w:rsidR="00EA67E1">
        <w:t xml:space="preserve">at </w:t>
      </w:r>
      <w:r w:rsidR="00D82263">
        <w:t>344</w:t>
      </w:r>
      <w:r w:rsidR="00952E2B">
        <w:fldChar w:fldCharType="begin"/>
      </w:r>
      <w:r w:rsidR="00952E2B">
        <w:instrText xml:space="preserve"> TA \s "State v. Bryant" </w:instrText>
      </w:r>
      <w:r w:rsidR="00952E2B">
        <w:fldChar w:fldCharType="end"/>
      </w:r>
      <w:r w:rsidR="00D82263">
        <w:t>.</w:t>
      </w:r>
      <w:r w:rsidR="00587612">
        <w:t xml:space="preserve"> In contrast,</w:t>
      </w:r>
      <w:r w:rsidR="00805C08">
        <w:t xml:space="preserve"> </w:t>
      </w:r>
      <w:r w:rsidR="00945780">
        <w:t xml:space="preserve">Jay made </w:t>
      </w:r>
      <w:r w:rsidR="00945780">
        <w:lastRenderedPageBreak/>
        <w:t>every indication that he intended to withdraw from</w:t>
      </w:r>
      <w:r w:rsidR="00833D47">
        <w:t xml:space="preserve"> any interaction between him and Wilson</w:t>
      </w:r>
      <w:r w:rsidR="00805C08">
        <w:t xml:space="preserve"> by </w:t>
      </w:r>
      <w:r w:rsidR="00B10E7D">
        <w:t>walking</w:t>
      </w:r>
      <w:r w:rsidR="00805C08">
        <w:t xml:space="preserve"> past the man and into the breezeway</w:t>
      </w:r>
      <w:r w:rsidR="003E780D">
        <w:t xml:space="preserve"> </w:t>
      </w:r>
      <w:r w:rsidR="004C0446">
        <w:t xml:space="preserve">with his back to Wilson. </w:t>
      </w:r>
      <w:r w:rsidR="00B10E7D">
        <w:t>(</w:t>
      </w:r>
      <w:r w:rsidR="004C0446">
        <w:rPr>
          <w:i/>
          <w:iCs/>
        </w:rPr>
        <w:t xml:space="preserve">See </w:t>
      </w:r>
      <w:r w:rsidR="004C0446">
        <w:t>Exhibit B</w:t>
      </w:r>
      <w:r w:rsidR="00B10E7D">
        <w:t>)</w:t>
      </w:r>
      <w:r w:rsidR="7B60FC86">
        <w:t>.</w:t>
      </w:r>
      <w:r w:rsidR="00AC09E2">
        <w:t xml:space="preserve"> Therefore, Jay showed a clear indication of his desire to withdraw from the altercation. </w:t>
      </w:r>
      <w:r w:rsidR="003E780D">
        <w:t xml:space="preserve"> </w:t>
      </w:r>
    </w:p>
    <w:p w14:paraId="0D4EDD70" w14:textId="4037F93C" w:rsidR="00821127" w:rsidRDefault="005A199E" w:rsidP="00D82263">
      <w:pPr>
        <w:pStyle w:val="ListParagraph"/>
        <w:tabs>
          <w:tab w:val="left" w:pos="720"/>
        </w:tabs>
        <w:spacing w:after="160"/>
        <w:ind w:left="0"/>
      </w:pPr>
      <w:r>
        <w:rPr>
          <w:szCs w:val="26"/>
        </w:rPr>
        <w:tab/>
      </w:r>
      <w:r w:rsidR="00DD0975" w:rsidRPr="132E83FC">
        <w:t>Third, Wilson must have c</w:t>
      </w:r>
      <w:r w:rsidR="00CC0254" w:rsidRPr="132E83FC">
        <w:t>ontinued</w:t>
      </w:r>
      <w:r w:rsidR="00DD0975" w:rsidRPr="132E83FC">
        <w:t xml:space="preserve"> to use</w:t>
      </w:r>
      <w:r w:rsidR="00CC0254" w:rsidRPr="132E83FC">
        <w:t xml:space="preserve"> force</w:t>
      </w:r>
      <w:r w:rsidR="00DD0975" w:rsidRPr="132E83FC">
        <w:t xml:space="preserve"> or </w:t>
      </w:r>
      <w:r w:rsidR="00CC0254" w:rsidRPr="132E83FC">
        <w:t>threaten</w:t>
      </w:r>
      <w:r w:rsidR="00DD0975" w:rsidRPr="132E83FC">
        <w:t xml:space="preserve"> the</w:t>
      </w:r>
      <w:r w:rsidR="00CC0254" w:rsidRPr="132E83FC">
        <w:t xml:space="preserve"> use of force</w:t>
      </w:r>
      <w:r w:rsidRPr="132E83FC">
        <w:t xml:space="preserve"> in a manner. </w:t>
      </w:r>
      <w:r w:rsidR="0030094F" w:rsidRPr="132E83FC">
        <w:t>Stetson Penal Code</w:t>
      </w:r>
      <w:r w:rsidR="0030094F" w:rsidRPr="132E83FC">
        <w:rPr>
          <w:b/>
        </w:rPr>
        <w:t xml:space="preserve"> </w:t>
      </w:r>
      <w:r w:rsidR="0030094F" w:rsidRPr="132E83FC">
        <w:t>§ 776.041(2).</w:t>
      </w:r>
      <w:r w:rsidR="00952E2B">
        <w:fldChar w:fldCharType="begin"/>
      </w:r>
      <w:r w:rsidR="00952E2B">
        <w:instrText xml:space="preserve"> TA \s "§ 776.041" </w:instrText>
      </w:r>
      <w:r w:rsidR="00952E2B">
        <w:fldChar w:fldCharType="end"/>
      </w:r>
      <w:r w:rsidR="0030094F" w:rsidRPr="132E83FC">
        <w:t xml:space="preserve"> </w:t>
      </w:r>
      <w:r w:rsidR="00B02505" w:rsidRPr="132E83FC">
        <w:t>Jay believed that Wilson had a handgun in his front pocket</w:t>
      </w:r>
      <w:r w:rsidR="006E2D4D" w:rsidRPr="132E83FC">
        <w:t>, which is where Wilson kept his hand hidden from view, as can be seen in the Boals Motel’s surveillance footage.</w:t>
      </w:r>
      <w:r w:rsidR="009B38DB">
        <w:t xml:space="preserve"> (</w:t>
      </w:r>
      <w:r w:rsidR="00555556" w:rsidRPr="132E83FC">
        <w:rPr>
          <w:i/>
        </w:rPr>
        <w:t xml:space="preserve">See </w:t>
      </w:r>
      <w:r w:rsidR="00555556" w:rsidRPr="132E83FC">
        <w:t>Exhibit B</w:t>
      </w:r>
      <w:r w:rsidR="00620B30">
        <w:t>)</w:t>
      </w:r>
      <w:r w:rsidR="009B38DB">
        <w:t>.</w:t>
      </w:r>
      <w:r w:rsidR="00555556">
        <w:rPr>
          <w:szCs w:val="26"/>
        </w:rPr>
        <w:t xml:space="preserve"> </w:t>
      </w:r>
      <w:r w:rsidR="00E91F4C" w:rsidRPr="132E83FC">
        <w:t>Wilson</w:t>
      </w:r>
      <w:r w:rsidR="0044739A" w:rsidRPr="132E83FC">
        <w:t xml:space="preserve"> asserts that he</w:t>
      </w:r>
      <w:r w:rsidR="00555556" w:rsidRPr="132E83FC">
        <w:t xml:space="preserve"> didn’t have a gun in his </w:t>
      </w:r>
      <w:r w:rsidR="00D13BFF" w:rsidRPr="132E83FC">
        <w:t>pocket but</w:t>
      </w:r>
      <w:r w:rsidR="00555556">
        <w:rPr>
          <w:szCs w:val="26"/>
        </w:rPr>
        <w:t xml:space="preserve"> </w:t>
      </w:r>
      <w:r w:rsidR="0044739A" w:rsidRPr="132E83FC">
        <w:t xml:space="preserve">took a gun from Tony </w:t>
      </w:r>
      <w:r w:rsidR="00E91F4C" w:rsidRPr="132E83FC">
        <w:t>D</w:t>
      </w:r>
      <w:r w:rsidR="00AF3B5D" w:rsidRPr="132E83FC">
        <w:t xml:space="preserve"> and then proceeded to follow Jay Cameron into the </w:t>
      </w:r>
      <w:r w:rsidR="00A76758" w:rsidRPr="132E83FC">
        <w:t xml:space="preserve">breezeway. </w:t>
      </w:r>
      <w:r w:rsidR="00285271" w:rsidRPr="132E83FC">
        <w:t xml:space="preserve">However, it does not matter </w:t>
      </w:r>
      <w:r w:rsidR="00C37BA6" w:rsidRPr="132E83FC">
        <w:t>at what point</w:t>
      </w:r>
      <w:r w:rsidR="00285271" w:rsidRPr="132E83FC">
        <w:t xml:space="preserve"> Wilson </w:t>
      </w:r>
      <w:r w:rsidR="00C37BA6" w:rsidRPr="132E83FC">
        <w:t>obtained</w:t>
      </w:r>
      <w:r w:rsidR="00E44056" w:rsidRPr="132E83FC">
        <w:t xml:space="preserve"> the gun for intimidation purposes</w:t>
      </w:r>
      <w:r w:rsidR="00C17C14" w:rsidRPr="132E83FC">
        <w:t xml:space="preserve"> because</w:t>
      </w:r>
      <w:r w:rsidR="00E44056" w:rsidRPr="132E83FC">
        <w:t xml:space="preserve">, as </w:t>
      </w:r>
      <w:r w:rsidR="00C17C14" w:rsidRPr="132E83FC">
        <w:t>stated prior, Jay had witnessed Wilson</w:t>
      </w:r>
      <w:r w:rsidR="00C37BA6" w:rsidRPr="132E83FC">
        <w:t xml:space="preserve"> pull guns on people before </w:t>
      </w:r>
      <w:r w:rsidR="006864CC" w:rsidRPr="132E83FC">
        <w:t xml:space="preserve">and </w:t>
      </w:r>
      <w:r w:rsidR="00640562" w:rsidRPr="132E83FC">
        <w:t xml:space="preserve">was fearful </w:t>
      </w:r>
      <w:r w:rsidR="00C37BA6" w:rsidRPr="132E83FC">
        <w:t>of similar retaliation</w:t>
      </w:r>
      <w:r w:rsidR="0075384C" w:rsidRPr="132E83FC">
        <w:t xml:space="preserve">. </w:t>
      </w:r>
      <w:r w:rsidR="0075384C" w:rsidRPr="132E83FC">
        <w:t>(</w:t>
      </w:r>
      <w:r w:rsidR="0075384C" w:rsidRPr="132E83FC">
        <w:t>Jay</w:t>
      </w:r>
      <w:r w:rsidR="0075384C" w:rsidRPr="132E83FC">
        <w:t xml:space="preserve"> Cameron’s Interview </w:t>
      </w:r>
      <w:r w:rsidR="0075384C" w:rsidRPr="00BB65E0">
        <w:rPr>
          <w:bCs/>
        </w:rPr>
        <w:t>¶</w:t>
      </w:r>
      <w:r w:rsidR="00627F35">
        <w:rPr>
          <w:bCs/>
        </w:rPr>
        <w:t xml:space="preserve"> 49</w:t>
      </w:r>
      <w:r w:rsidR="0075384C">
        <w:rPr>
          <w:bCs/>
        </w:rPr>
        <w:t>)</w:t>
      </w:r>
      <w:r w:rsidR="62B42B48">
        <w:rPr>
          <w:bCs/>
        </w:rPr>
        <w:t>.</w:t>
      </w:r>
      <w:r w:rsidR="00F8662B" w:rsidRPr="132E83FC">
        <w:t xml:space="preserve"> </w:t>
      </w:r>
      <w:r w:rsidR="48DD1801">
        <w:t>Furthermore</w:t>
      </w:r>
      <w:r w:rsidR="00F8662B" w:rsidRPr="132E83FC">
        <w:t xml:space="preserve">, </w:t>
      </w:r>
      <w:r w:rsidR="006548AE" w:rsidRPr="132E83FC">
        <w:t>Wilson</w:t>
      </w:r>
      <w:r w:rsidR="008F0DC6" w:rsidRPr="132E83FC">
        <w:t xml:space="preserve"> makes a show </w:t>
      </w:r>
      <w:r w:rsidR="006548AE" w:rsidRPr="132E83FC">
        <w:t xml:space="preserve">of staring Jay down, </w:t>
      </w:r>
      <w:r w:rsidR="0056315E" w:rsidRPr="132E83FC">
        <w:t xml:space="preserve">holding something in </w:t>
      </w:r>
      <w:r w:rsidR="00883C99" w:rsidRPr="132E83FC">
        <w:t>his pocket</w:t>
      </w:r>
      <w:r w:rsidR="006548AE">
        <w:rPr>
          <w:szCs w:val="26"/>
        </w:rPr>
        <w:t xml:space="preserve">, </w:t>
      </w:r>
      <w:r w:rsidR="0056315E" w:rsidRPr="132E83FC">
        <w:t xml:space="preserve">and </w:t>
      </w:r>
      <w:r w:rsidR="006548AE" w:rsidRPr="132E83FC">
        <w:t>pulling out a black object</w:t>
      </w:r>
      <w:r w:rsidR="00B87219" w:rsidRPr="132E83FC">
        <w:t xml:space="preserve"> from the pocket</w:t>
      </w:r>
      <w:r w:rsidR="0056315E">
        <w:rPr>
          <w:szCs w:val="26"/>
        </w:rPr>
        <w:t>.</w:t>
      </w:r>
      <w:r w:rsidR="00883C99" w:rsidRPr="132E83FC">
        <w:t xml:space="preserve"> This</w:t>
      </w:r>
      <w:r w:rsidR="00B87219">
        <w:rPr>
          <w:szCs w:val="26"/>
        </w:rPr>
        <w:t xml:space="preserve"> </w:t>
      </w:r>
      <w:r w:rsidR="00190FDC" w:rsidRPr="132E83FC">
        <w:t xml:space="preserve">could only be a </w:t>
      </w:r>
      <w:r w:rsidR="00497D17" w:rsidRPr="132E83FC">
        <w:t>threat of deadly force</w:t>
      </w:r>
      <w:r w:rsidR="00190FDC" w:rsidRPr="132E83FC">
        <w:t xml:space="preserve">, especially when </w:t>
      </w:r>
      <w:r w:rsidR="00131817" w:rsidRPr="132E83FC">
        <w:t>Jay hear</w:t>
      </w:r>
      <w:r w:rsidR="00D82263">
        <w:t xml:space="preserve">d </w:t>
      </w:r>
      <w:r w:rsidR="009B5E6C" w:rsidRPr="132E83FC">
        <w:t>either Kenn</w:t>
      </w:r>
      <w:r w:rsidR="00001812" w:rsidRPr="132E83FC">
        <w:t xml:space="preserve">y Gray or Tony D </w:t>
      </w:r>
      <w:r w:rsidR="00FD2E5A" w:rsidRPr="132E83FC">
        <w:t xml:space="preserve">laughingly </w:t>
      </w:r>
      <w:r w:rsidR="00001812" w:rsidRPr="132E83FC">
        <w:t>state</w:t>
      </w:r>
      <w:r w:rsidR="00FD2E5A">
        <w:rPr>
          <w:szCs w:val="26"/>
        </w:rPr>
        <w:t>:</w:t>
      </w:r>
      <w:r w:rsidR="00001812" w:rsidRPr="132E83FC">
        <w:t xml:space="preserve"> “He’s done</w:t>
      </w:r>
      <w:r w:rsidR="00FD2E5A">
        <w:rPr>
          <w:szCs w:val="26"/>
        </w:rPr>
        <w:t>”.</w:t>
      </w:r>
      <w:r w:rsidR="006563BE">
        <w:rPr>
          <w:szCs w:val="26"/>
        </w:rPr>
        <w:t xml:space="preserve"> </w:t>
      </w:r>
      <w:r w:rsidR="006563BE" w:rsidRPr="132E83FC">
        <w:rPr>
          <w:i/>
        </w:rPr>
        <w:t xml:space="preserve">Id. </w:t>
      </w:r>
      <w:r w:rsidR="006563BE" w:rsidRPr="132E83FC">
        <w:t>at</w:t>
      </w:r>
      <w:r w:rsidR="006563BE" w:rsidRPr="132E83FC">
        <w:t xml:space="preserve"> </w:t>
      </w:r>
      <w:r w:rsidR="006563BE" w:rsidRPr="00BB65E0">
        <w:rPr>
          <w:bCs/>
        </w:rPr>
        <w:t>¶</w:t>
      </w:r>
      <w:r w:rsidR="00F1476F">
        <w:rPr>
          <w:bCs/>
        </w:rPr>
        <w:t xml:space="preserve"> 87-102. </w:t>
      </w:r>
      <w:r w:rsidR="00FC4FB8">
        <w:rPr>
          <w:bCs/>
        </w:rPr>
        <w:t xml:space="preserve">Wilson’s threat of force </w:t>
      </w:r>
      <w:r w:rsidR="00905CBB">
        <w:rPr>
          <w:bCs/>
        </w:rPr>
        <w:t>proved true when Jay found himself with</w:t>
      </w:r>
      <w:r w:rsidR="00BB53D8">
        <w:t xml:space="preserve"> a gun pointed at hi</w:t>
      </w:r>
      <w:r w:rsidR="00620B30">
        <w:t xml:space="preserve">m </w:t>
      </w:r>
      <w:r w:rsidR="00BB53D8">
        <w:t>and a bullet hole in his side.</w:t>
      </w:r>
    </w:p>
    <w:p w14:paraId="56F9E8C0" w14:textId="0C5F2A44" w:rsidR="00770745" w:rsidRDefault="00E91F4C" w:rsidP="00770745">
      <w:pPr>
        <w:pStyle w:val="ListParagraph"/>
        <w:spacing w:after="160"/>
        <w:ind w:left="0"/>
        <w:rPr>
          <w:bCs/>
        </w:rPr>
      </w:pPr>
      <w:r>
        <w:tab/>
        <w:t xml:space="preserve">Therefore, </w:t>
      </w:r>
      <w:r>
        <w:rPr>
          <w:bCs/>
        </w:rPr>
        <w:t>Jay qualifies for Stand Your Ground Im</w:t>
      </w:r>
      <w:r w:rsidRPr="003E5EBB">
        <w:rPr>
          <w:bCs/>
        </w:rPr>
        <w:t xml:space="preserve">munity under </w:t>
      </w:r>
      <w:r>
        <w:rPr>
          <w:bCs/>
        </w:rPr>
        <w:t>section</w:t>
      </w:r>
      <w:r w:rsidRPr="003E5EBB">
        <w:rPr>
          <w:bCs/>
        </w:rPr>
        <w:t xml:space="preserve"> 776.041(2)(</w:t>
      </w:r>
      <w:r>
        <w:rPr>
          <w:bCs/>
        </w:rPr>
        <w:t>b</w:t>
      </w:r>
      <w:r w:rsidRPr="003E5EBB">
        <w:rPr>
          <w:bCs/>
        </w:rPr>
        <w:t>)</w:t>
      </w:r>
      <w:r w:rsidR="00952E2B">
        <w:rPr>
          <w:bCs/>
        </w:rPr>
        <w:fldChar w:fldCharType="begin"/>
      </w:r>
      <w:r w:rsidR="00952E2B">
        <w:instrText xml:space="preserve"> TA \s "§ 776.041" </w:instrText>
      </w:r>
      <w:r w:rsidR="00952E2B">
        <w:rPr>
          <w:bCs/>
        </w:rPr>
        <w:fldChar w:fldCharType="end"/>
      </w:r>
      <w:r w:rsidR="009B38DB">
        <w:rPr>
          <w:bCs/>
        </w:rPr>
        <w:t xml:space="preserve"> and this Court should </w:t>
      </w:r>
      <w:r w:rsidR="00912EFF">
        <w:rPr>
          <w:bCs/>
        </w:rPr>
        <w:t>grant the Motion to Dismiss</w:t>
      </w:r>
      <w:r w:rsidRPr="003E5EBB">
        <w:rPr>
          <w:bCs/>
        </w:rPr>
        <w:t xml:space="preserve"> </w:t>
      </w:r>
      <w:r>
        <w:rPr>
          <w:bCs/>
        </w:rPr>
        <w:t>because</w:t>
      </w:r>
      <w:r w:rsidR="008E2DE2">
        <w:rPr>
          <w:bCs/>
        </w:rPr>
        <w:t xml:space="preserve"> </w:t>
      </w:r>
      <w:r w:rsidR="00912EFF">
        <w:rPr>
          <w:bCs/>
        </w:rPr>
        <w:t>Jay</w:t>
      </w:r>
      <w:r w:rsidR="008E2DE2">
        <w:rPr>
          <w:bCs/>
        </w:rPr>
        <w:t xml:space="preserve"> made a good faith attempt to physically withdraw from the conflict, made it clear that he was withdrawing, </w:t>
      </w:r>
      <w:r w:rsidR="006B5F28">
        <w:rPr>
          <w:bCs/>
        </w:rPr>
        <w:t xml:space="preserve">and Wilson continued to threaten him with deadly force. </w:t>
      </w:r>
    </w:p>
    <w:p w14:paraId="39E5279A" w14:textId="77777777" w:rsidR="00770745" w:rsidRDefault="00770745">
      <w:pPr>
        <w:spacing w:after="160" w:line="259" w:lineRule="auto"/>
        <w:jc w:val="left"/>
        <w:rPr>
          <w:bCs/>
        </w:rPr>
      </w:pPr>
      <w:r>
        <w:rPr>
          <w:bCs/>
        </w:rPr>
        <w:br w:type="page"/>
      </w:r>
    </w:p>
    <w:p w14:paraId="09D41819" w14:textId="6F8D10CF" w:rsidR="00753DB7" w:rsidRPr="007B2A5E" w:rsidRDefault="00806E96" w:rsidP="007B2A5E">
      <w:pPr>
        <w:pStyle w:val="Heading1"/>
      </w:pPr>
      <w:bookmarkStart w:id="60" w:name="_Toc176088932"/>
      <w:r w:rsidRPr="007B2A5E">
        <w:lastRenderedPageBreak/>
        <w:t>CONCLUSION</w:t>
      </w:r>
      <w:bookmarkEnd w:id="60"/>
    </w:p>
    <w:p w14:paraId="0BF3AA80" w14:textId="6671E4CC" w:rsidR="00FA2B77" w:rsidRPr="00F812D2" w:rsidRDefault="007411AE" w:rsidP="00B24911">
      <w:pPr>
        <w:spacing w:after="160"/>
        <w:rPr>
          <w:szCs w:val="26"/>
        </w:rPr>
      </w:pPr>
      <w:r>
        <w:rPr>
          <w:szCs w:val="26"/>
        </w:rPr>
        <w:tab/>
        <w:t xml:space="preserve">THEREFORE, </w:t>
      </w:r>
      <w:r w:rsidR="00A36929">
        <w:rPr>
          <w:szCs w:val="26"/>
        </w:rPr>
        <w:t>Jay Cameron prays that this</w:t>
      </w:r>
      <w:r>
        <w:rPr>
          <w:szCs w:val="26"/>
        </w:rPr>
        <w:t xml:space="preserve"> Court GRANT</w:t>
      </w:r>
      <w:r w:rsidR="00A36929">
        <w:rPr>
          <w:szCs w:val="26"/>
        </w:rPr>
        <w:t>S</w:t>
      </w:r>
      <w:r>
        <w:rPr>
          <w:szCs w:val="26"/>
        </w:rPr>
        <w:t xml:space="preserve"> </w:t>
      </w:r>
      <w:r>
        <w:t>this Motion to Dismiss for Stand Your Ground Immunity</w:t>
      </w:r>
      <w:r w:rsidR="00F765F3">
        <w:t xml:space="preserve"> because Jay Cameron </w:t>
      </w:r>
      <w:r w:rsidR="00CC0E95">
        <w:t>meets</w:t>
      </w:r>
      <w:r w:rsidR="007E63A7">
        <w:t xml:space="preserve"> </w:t>
      </w:r>
      <w:r w:rsidR="001F7DED">
        <w:t xml:space="preserve">the prima facie </w:t>
      </w:r>
      <w:r w:rsidR="00AB6DCB">
        <w:t>requirements</w:t>
      </w:r>
      <w:r w:rsidR="00981C8A">
        <w:t xml:space="preserve"> </w:t>
      </w:r>
      <w:r w:rsidR="00826CCA">
        <w:t xml:space="preserve">under </w:t>
      </w:r>
      <w:r w:rsidR="00826CCA" w:rsidRPr="276B4DDC">
        <w:t xml:space="preserve">Stetson Penal Code </w:t>
      </w:r>
      <w:r w:rsidR="00AB6DCB">
        <w:t>sections</w:t>
      </w:r>
      <w:r w:rsidR="00826CCA" w:rsidRPr="276B4DDC">
        <w:t xml:space="preserve"> 776.012</w:t>
      </w:r>
      <w:r w:rsidR="00952E2B">
        <w:fldChar w:fldCharType="begin"/>
      </w:r>
      <w:r w:rsidR="00952E2B">
        <w:instrText xml:space="preserve"> TA \s "§ 776.012" </w:instrText>
      </w:r>
      <w:r w:rsidR="00952E2B">
        <w:fldChar w:fldCharType="end"/>
      </w:r>
      <w:r w:rsidR="00AB6DCB">
        <w:t xml:space="preserve"> and</w:t>
      </w:r>
      <w:r w:rsidR="00826CCA" w:rsidRPr="276B4DDC">
        <w:t xml:space="preserve"> 776.032</w:t>
      </w:r>
      <w:r w:rsidR="00952E2B">
        <w:fldChar w:fldCharType="begin"/>
      </w:r>
      <w:r w:rsidR="00952E2B">
        <w:instrText xml:space="preserve"> TA \s "§  776.032" </w:instrText>
      </w:r>
      <w:r w:rsidR="00952E2B">
        <w:fldChar w:fldCharType="end"/>
      </w:r>
      <w:r w:rsidR="00BF1186">
        <w:t xml:space="preserve"> in finding that </w:t>
      </w:r>
      <w:r w:rsidR="00CC0E95">
        <w:rPr>
          <w:szCs w:val="26"/>
        </w:rPr>
        <w:t xml:space="preserve">Jay Cameron </w:t>
      </w:r>
      <w:r w:rsidR="00266F7E">
        <w:t xml:space="preserve">did not unlawfully conceal carry and was not the aggressor in the </w:t>
      </w:r>
      <w:r w:rsidR="00A36929">
        <w:t>August 6, 2022</w:t>
      </w:r>
      <w:r w:rsidR="00A36929">
        <w:t xml:space="preserve"> </w:t>
      </w:r>
      <w:r w:rsidR="00004448">
        <w:t>shooting</w:t>
      </w:r>
      <w:r w:rsidR="007E63A7">
        <w:t>.</w:t>
      </w:r>
      <w:r w:rsidR="00004448">
        <w:t xml:space="preserve"> </w:t>
      </w:r>
      <w:r w:rsidR="00E15ABB">
        <w:t>In the alternative</w:t>
      </w:r>
      <w:r w:rsidR="005A13C3">
        <w:t xml:space="preserve">, Jay Cameron prays that </w:t>
      </w:r>
      <w:r w:rsidR="00E15ABB">
        <w:t xml:space="preserve">this Court </w:t>
      </w:r>
      <w:r w:rsidR="007E63A7">
        <w:t>finds</w:t>
      </w:r>
      <w:r w:rsidR="00E15ABB">
        <w:t xml:space="preserve"> that </w:t>
      </w:r>
      <w:r w:rsidR="004D0FC9">
        <w:t>Jay Cameron qualifies for the proper statutory exception</w:t>
      </w:r>
      <w:r w:rsidR="00512C36">
        <w:t xml:space="preserve"> pursuant to </w:t>
      </w:r>
      <w:r w:rsidR="00512C36" w:rsidRPr="276B4DDC">
        <w:t xml:space="preserve">Stetson Penal Code </w:t>
      </w:r>
      <w:r w:rsidR="00512C36">
        <w:t>section</w:t>
      </w:r>
      <w:r w:rsidR="00512C36" w:rsidRPr="276B4DDC">
        <w:t xml:space="preserve"> 776.0</w:t>
      </w:r>
      <w:r w:rsidR="00512C36">
        <w:t>41</w:t>
      </w:r>
      <w:r w:rsidR="00952E2B">
        <w:fldChar w:fldCharType="begin"/>
      </w:r>
      <w:r w:rsidR="00952E2B">
        <w:instrText xml:space="preserve"> TA \s "§ 776.041" </w:instrText>
      </w:r>
      <w:r w:rsidR="00952E2B">
        <w:fldChar w:fldCharType="end"/>
      </w:r>
      <w:r w:rsidR="00512C36">
        <w:t>.</w:t>
      </w:r>
    </w:p>
    <w:p w14:paraId="4BB519E0" w14:textId="1A6DAF2C" w:rsidR="00FA2B77" w:rsidRPr="00F812D2" w:rsidRDefault="00EB52A3" w:rsidP="000D725F">
      <w:pPr>
        <w:spacing w:after="160" w:line="259" w:lineRule="auto"/>
        <w:ind w:firstLine="720"/>
        <w:jc w:val="left"/>
        <w:rPr>
          <w:szCs w:val="26"/>
        </w:rPr>
      </w:pPr>
      <w:r>
        <w:rPr>
          <w:szCs w:val="26"/>
        </w:rPr>
        <w:t>Dated this day</w:t>
      </w:r>
      <w:r w:rsidR="00EE5B01">
        <w:rPr>
          <w:szCs w:val="26"/>
        </w:rPr>
        <w:t>, September 1, 2024.</w:t>
      </w:r>
    </w:p>
    <w:p w14:paraId="29CE6436" w14:textId="77777777" w:rsidR="00D30497" w:rsidRPr="00F812D2" w:rsidRDefault="00D30497" w:rsidP="005C6C26">
      <w:pPr>
        <w:spacing w:after="160" w:line="259" w:lineRule="auto"/>
        <w:jc w:val="left"/>
        <w:rPr>
          <w:szCs w:val="26"/>
        </w:rPr>
      </w:pPr>
    </w:p>
    <w:p w14:paraId="4F7220A1" w14:textId="7D3EF62A" w:rsidR="00D30497" w:rsidRPr="00F812D2" w:rsidRDefault="00D30497" w:rsidP="005C6C26">
      <w:pPr>
        <w:spacing w:after="160" w:line="259" w:lineRule="auto"/>
        <w:jc w:val="left"/>
        <w:rPr>
          <w:szCs w:val="26"/>
        </w:rPr>
        <w:sectPr w:rsidR="00D30497" w:rsidRPr="00F812D2" w:rsidSect="00F26954">
          <w:footerReference w:type="default" r:id="rId11"/>
          <w:pgSz w:w="12240" w:h="15840"/>
          <w:pgMar w:top="1440" w:right="1440" w:bottom="1440" w:left="1440" w:header="288" w:footer="360" w:gutter="0"/>
          <w:pgNumType w:start="1"/>
          <w:cols w:space="720"/>
          <w:docGrid w:linePitch="360"/>
        </w:sectPr>
      </w:pPr>
    </w:p>
    <w:p w14:paraId="5CD45694" w14:textId="77777777" w:rsidR="00925199" w:rsidRPr="00F812D2" w:rsidRDefault="00925199" w:rsidP="00925199">
      <w:pPr>
        <w:ind w:left="3600" w:firstLine="720"/>
        <w:rPr>
          <w:szCs w:val="26"/>
        </w:rPr>
      </w:pPr>
      <w:r w:rsidRPr="00F812D2">
        <w:rPr>
          <w:szCs w:val="26"/>
        </w:rPr>
        <w:lastRenderedPageBreak/>
        <w:t>Respectfully submitted,</w:t>
      </w:r>
    </w:p>
    <w:p w14:paraId="590A5D48" w14:textId="77777777" w:rsidR="00925199" w:rsidRPr="00F812D2" w:rsidRDefault="00925199" w:rsidP="00925199">
      <w:pPr>
        <w:spacing w:line="240" w:lineRule="auto"/>
        <w:rPr>
          <w:szCs w:val="26"/>
        </w:rPr>
      </w:pPr>
    </w:p>
    <w:p w14:paraId="7DA9741C" w14:textId="2EC562F9" w:rsidR="00925199" w:rsidRPr="008A4E93" w:rsidRDefault="008E1E28" w:rsidP="00925199">
      <w:pPr>
        <w:spacing w:line="240" w:lineRule="auto"/>
        <w:ind w:left="4320"/>
        <w:rPr>
          <w:bCs/>
          <w:szCs w:val="26"/>
          <w:u w:val="single"/>
        </w:rPr>
      </w:pPr>
      <w:r w:rsidRPr="008A4E93">
        <w:rPr>
          <w:bCs/>
          <w:szCs w:val="26"/>
          <w:u w:val="single"/>
        </w:rPr>
        <w:t>/s/</w:t>
      </w:r>
      <w:r w:rsidR="00925199" w:rsidRPr="008A4E93">
        <w:rPr>
          <w:bCs/>
          <w:szCs w:val="26"/>
          <w:u w:val="single"/>
        </w:rPr>
        <w:t>_</w:t>
      </w:r>
      <w:r w:rsidR="008A4E93">
        <w:rPr>
          <w:bCs/>
          <w:i/>
          <w:iCs/>
          <w:szCs w:val="26"/>
          <w:u w:val="single"/>
        </w:rPr>
        <w:t>Team 122</w:t>
      </w:r>
      <w:r w:rsidR="00925199" w:rsidRPr="008A4E93">
        <w:rPr>
          <w:bCs/>
          <w:szCs w:val="26"/>
          <w:u w:val="single"/>
        </w:rPr>
        <w:t>___________________</w:t>
      </w:r>
    </w:p>
    <w:p w14:paraId="68D85805" w14:textId="6329F634" w:rsidR="00925199" w:rsidRPr="00F812D2" w:rsidRDefault="00925199" w:rsidP="00925199">
      <w:pPr>
        <w:spacing w:line="240" w:lineRule="auto"/>
        <w:ind w:left="4320"/>
        <w:rPr>
          <w:b/>
          <w:szCs w:val="26"/>
        </w:rPr>
      </w:pPr>
      <w:r w:rsidRPr="00F812D2">
        <w:rPr>
          <w:b/>
          <w:szCs w:val="26"/>
        </w:rPr>
        <w:t>TEAM</w:t>
      </w:r>
      <w:r w:rsidR="00B25FD5">
        <w:rPr>
          <w:b/>
          <w:szCs w:val="26"/>
        </w:rPr>
        <w:t xml:space="preserve"> 122</w:t>
      </w:r>
    </w:p>
    <w:p w14:paraId="2F3AC804" w14:textId="61F900BD" w:rsidR="009A0B56" w:rsidRPr="00F812D2" w:rsidRDefault="00925199" w:rsidP="00925199">
      <w:pPr>
        <w:ind w:left="3600" w:firstLine="720"/>
        <w:rPr>
          <w:szCs w:val="26"/>
        </w:rPr>
      </w:pPr>
      <w:r w:rsidRPr="00F812D2">
        <w:rPr>
          <w:b/>
          <w:i/>
          <w:szCs w:val="26"/>
        </w:rPr>
        <w:t xml:space="preserve">Counsel for </w:t>
      </w:r>
      <w:r w:rsidR="008E1E28" w:rsidRPr="00F812D2">
        <w:rPr>
          <w:b/>
          <w:i/>
          <w:szCs w:val="26"/>
        </w:rPr>
        <w:t>Jay Cameron</w:t>
      </w:r>
    </w:p>
    <w:sectPr w:rsidR="009A0B56" w:rsidRPr="00F812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7CD3" w14:textId="77777777" w:rsidR="006D64F7" w:rsidRDefault="006D64F7">
      <w:pPr>
        <w:spacing w:line="240" w:lineRule="auto"/>
      </w:pPr>
      <w:r>
        <w:separator/>
      </w:r>
    </w:p>
  </w:endnote>
  <w:endnote w:type="continuationSeparator" w:id="0">
    <w:p w14:paraId="76E18530" w14:textId="77777777" w:rsidR="006D64F7" w:rsidRDefault="006D64F7">
      <w:pPr>
        <w:spacing w:line="240" w:lineRule="auto"/>
      </w:pPr>
      <w:r>
        <w:continuationSeparator/>
      </w:r>
    </w:p>
  </w:endnote>
  <w:endnote w:type="continuationNotice" w:id="1">
    <w:p w14:paraId="00433381" w14:textId="77777777" w:rsidR="006D64F7" w:rsidRDefault="006D64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CFDC" w14:textId="77777777" w:rsidR="002B2D89" w:rsidRDefault="0071487A" w:rsidP="006D26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C0104" w14:textId="77777777" w:rsidR="002B2D89" w:rsidRDefault="0071487A" w:rsidP="006D26B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D1FC4FB" w14:textId="77777777" w:rsidR="002B2D89" w:rsidRDefault="002B2D89" w:rsidP="00EE7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0146" w14:textId="77777777" w:rsidR="002B2D89" w:rsidRDefault="0071487A" w:rsidP="00775A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047563"/>
      <w:docPartObj>
        <w:docPartGallery w:val="Page Numbers (Bottom of Page)"/>
        <w:docPartUnique/>
      </w:docPartObj>
    </w:sdtPr>
    <w:sdtEndPr>
      <w:rPr>
        <w:noProof/>
      </w:rPr>
    </w:sdtEndPr>
    <w:sdtContent>
      <w:p w14:paraId="44184D9F" w14:textId="275A0210" w:rsidR="00F26954" w:rsidRDefault="00F26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89820" w14:textId="77777777" w:rsidR="003D6033" w:rsidRDefault="003D6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878344"/>
      <w:docPartObj>
        <w:docPartGallery w:val="Page Numbers (Bottom of Page)"/>
        <w:docPartUnique/>
      </w:docPartObj>
    </w:sdtPr>
    <w:sdtEndPr>
      <w:rPr>
        <w:noProof/>
      </w:rPr>
    </w:sdtEndPr>
    <w:sdtContent>
      <w:p w14:paraId="7AF97C5C" w14:textId="2DF2AFA9" w:rsidR="00F26954" w:rsidRDefault="00F26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0C7B8" w14:textId="77777777" w:rsidR="008D0A27" w:rsidRDefault="008D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E22E" w14:textId="77777777" w:rsidR="006D64F7" w:rsidRDefault="006D64F7">
      <w:pPr>
        <w:spacing w:line="240" w:lineRule="auto"/>
      </w:pPr>
      <w:r>
        <w:separator/>
      </w:r>
    </w:p>
  </w:footnote>
  <w:footnote w:type="continuationSeparator" w:id="0">
    <w:p w14:paraId="1998297E" w14:textId="77777777" w:rsidR="006D64F7" w:rsidRDefault="006D64F7">
      <w:pPr>
        <w:spacing w:line="240" w:lineRule="auto"/>
      </w:pPr>
      <w:r>
        <w:continuationSeparator/>
      </w:r>
    </w:p>
  </w:footnote>
  <w:footnote w:type="continuationNotice" w:id="1">
    <w:p w14:paraId="2B4DFC37" w14:textId="77777777" w:rsidR="006D64F7" w:rsidRDefault="006D64F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DF1"/>
    <w:multiLevelType w:val="hybridMultilevel"/>
    <w:tmpl w:val="048E1814"/>
    <w:lvl w:ilvl="0" w:tplc="3BE2C100">
      <w:start w:val="1"/>
      <w:numFmt w:val="lowerRoman"/>
      <w:pStyle w:val="Heading4"/>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377543"/>
    <w:multiLevelType w:val="hybridMultilevel"/>
    <w:tmpl w:val="FFFFFFFF"/>
    <w:lvl w:ilvl="0" w:tplc="27EA8D32">
      <w:start w:val="1"/>
      <w:numFmt w:val="lowerRoman"/>
      <w:lvlText w:val="%1."/>
      <w:lvlJc w:val="right"/>
      <w:pPr>
        <w:ind w:left="720" w:hanging="360"/>
      </w:pPr>
    </w:lvl>
    <w:lvl w:ilvl="1" w:tplc="30300DC0">
      <w:start w:val="1"/>
      <w:numFmt w:val="lowerLetter"/>
      <w:lvlText w:val="%2."/>
      <w:lvlJc w:val="left"/>
      <w:pPr>
        <w:ind w:left="1440" w:hanging="360"/>
      </w:pPr>
    </w:lvl>
    <w:lvl w:ilvl="2" w:tplc="C95E920E">
      <w:start w:val="1"/>
      <w:numFmt w:val="lowerRoman"/>
      <w:lvlText w:val="%3."/>
      <w:lvlJc w:val="right"/>
      <w:pPr>
        <w:ind w:left="2160" w:hanging="180"/>
      </w:pPr>
    </w:lvl>
    <w:lvl w:ilvl="3" w:tplc="B492F21E">
      <w:start w:val="1"/>
      <w:numFmt w:val="decimal"/>
      <w:lvlText w:val="%4."/>
      <w:lvlJc w:val="left"/>
      <w:pPr>
        <w:ind w:left="2880" w:hanging="360"/>
      </w:pPr>
    </w:lvl>
    <w:lvl w:ilvl="4" w:tplc="FC8632F0">
      <w:start w:val="1"/>
      <w:numFmt w:val="lowerLetter"/>
      <w:lvlText w:val="%5."/>
      <w:lvlJc w:val="left"/>
      <w:pPr>
        <w:ind w:left="3600" w:hanging="360"/>
      </w:pPr>
    </w:lvl>
    <w:lvl w:ilvl="5" w:tplc="892851E6">
      <w:start w:val="1"/>
      <w:numFmt w:val="lowerRoman"/>
      <w:lvlText w:val="%6."/>
      <w:lvlJc w:val="right"/>
      <w:pPr>
        <w:ind w:left="4320" w:hanging="180"/>
      </w:pPr>
    </w:lvl>
    <w:lvl w:ilvl="6" w:tplc="489E5138">
      <w:start w:val="1"/>
      <w:numFmt w:val="decimal"/>
      <w:lvlText w:val="%7."/>
      <w:lvlJc w:val="left"/>
      <w:pPr>
        <w:ind w:left="5040" w:hanging="360"/>
      </w:pPr>
    </w:lvl>
    <w:lvl w:ilvl="7" w:tplc="420E8D3E">
      <w:start w:val="1"/>
      <w:numFmt w:val="lowerLetter"/>
      <w:lvlText w:val="%8."/>
      <w:lvlJc w:val="left"/>
      <w:pPr>
        <w:ind w:left="5760" w:hanging="360"/>
      </w:pPr>
    </w:lvl>
    <w:lvl w:ilvl="8" w:tplc="130049C2">
      <w:start w:val="1"/>
      <w:numFmt w:val="lowerRoman"/>
      <w:lvlText w:val="%9."/>
      <w:lvlJc w:val="right"/>
      <w:pPr>
        <w:ind w:left="6480" w:hanging="180"/>
      </w:pPr>
    </w:lvl>
  </w:abstractNum>
  <w:abstractNum w:abstractNumId="2" w15:restartNumberingAfterBreak="0">
    <w:nsid w:val="1443FFB6"/>
    <w:multiLevelType w:val="hybridMultilevel"/>
    <w:tmpl w:val="FFFFFFFF"/>
    <w:lvl w:ilvl="0" w:tplc="F0FEE60C">
      <w:start w:val="1"/>
      <w:numFmt w:val="decimal"/>
      <w:lvlText w:val="%1."/>
      <w:lvlJc w:val="left"/>
      <w:pPr>
        <w:ind w:left="720" w:hanging="360"/>
      </w:pPr>
    </w:lvl>
    <w:lvl w:ilvl="1" w:tplc="FB20B400">
      <w:start w:val="9"/>
      <w:numFmt w:val="lowerLetter"/>
      <w:lvlText w:val="%2."/>
      <w:lvlJc w:val="left"/>
      <w:pPr>
        <w:ind w:left="1440" w:hanging="360"/>
      </w:pPr>
    </w:lvl>
    <w:lvl w:ilvl="2" w:tplc="18606D9C">
      <w:start w:val="1"/>
      <w:numFmt w:val="lowerRoman"/>
      <w:lvlText w:val="%3."/>
      <w:lvlJc w:val="right"/>
      <w:pPr>
        <w:ind w:left="2160" w:hanging="180"/>
      </w:pPr>
    </w:lvl>
    <w:lvl w:ilvl="3" w:tplc="65F6240E">
      <w:start w:val="1"/>
      <w:numFmt w:val="decimal"/>
      <w:lvlText w:val="%4."/>
      <w:lvlJc w:val="left"/>
      <w:pPr>
        <w:ind w:left="2880" w:hanging="360"/>
      </w:pPr>
    </w:lvl>
    <w:lvl w:ilvl="4" w:tplc="999455D0">
      <w:start w:val="1"/>
      <w:numFmt w:val="lowerLetter"/>
      <w:lvlText w:val="%5."/>
      <w:lvlJc w:val="left"/>
      <w:pPr>
        <w:ind w:left="3600" w:hanging="360"/>
      </w:pPr>
    </w:lvl>
    <w:lvl w:ilvl="5" w:tplc="73F6FDF4">
      <w:start w:val="1"/>
      <w:numFmt w:val="lowerRoman"/>
      <w:lvlText w:val="%6."/>
      <w:lvlJc w:val="right"/>
      <w:pPr>
        <w:ind w:left="4320" w:hanging="180"/>
      </w:pPr>
    </w:lvl>
    <w:lvl w:ilvl="6" w:tplc="FF12EA30">
      <w:start w:val="1"/>
      <w:numFmt w:val="decimal"/>
      <w:lvlText w:val="%7."/>
      <w:lvlJc w:val="left"/>
      <w:pPr>
        <w:ind w:left="5040" w:hanging="360"/>
      </w:pPr>
    </w:lvl>
    <w:lvl w:ilvl="7" w:tplc="EE3C00CC">
      <w:start w:val="1"/>
      <w:numFmt w:val="lowerLetter"/>
      <w:lvlText w:val="%8."/>
      <w:lvlJc w:val="left"/>
      <w:pPr>
        <w:ind w:left="5760" w:hanging="360"/>
      </w:pPr>
    </w:lvl>
    <w:lvl w:ilvl="8" w:tplc="F85EED18">
      <w:start w:val="1"/>
      <w:numFmt w:val="lowerRoman"/>
      <w:lvlText w:val="%9."/>
      <w:lvlJc w:val="right"/>
      <w:pPr>
        <w:ind w:left="6480" w:hanging="180"/>
      </w:pPr>
    </w:lvl>
  </w:abstractNum>
  <w:abstractNum w:abstractNumId="3" w15:restartNumberingAfterBreak="0">
    <w:nsid w:val="1AAC72ED"/>
    <w:multiLevelType w:val="hybridMultilevel"/>
    <w:tmpl w:val="19563884"/>
    <w:lvl w:ilvl="0" w:tplc="AA4EFC90">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817E6D"/>
    <w:multiLevelType w:val="hybridMultilevel"/>
    <w:tmpl w:val="DD523688"/>
    <w:lvl w:ilvl="0" w:tplc="0C264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813AC"/>
    <w:multiLevelType w:val="hybridMultilevel"/>
    <w:tmpl w:val="FFFFFFFF"/>
    <w:lvl w:ilvl="0" w:tplc="4A784470">
      <w:start w:val="1"/>
      <w:numFmt w:val="upperLetter"/>
      <w:lvlText w:val="%1."/>
      <w:lvlJc w:val="left"/>
      <w:pPr>
        <w:ind w:left="720" w:hanging="360"/>
      </w:pPr>
    </w:lvl>
    <w:lvl w:ilvl="1" w:tplc="D4D44ADC">
      <w:start w:val="1"/>
      <w:numFmt w:val="lowerLetter"/>
      <w:lvlText w:val="%2."/>
      <w:lvlJc w:val="left"/>
      <w:pPr>
        <w:ind w:left="1440" w:hanging="360"/>
      </w:pPr>
    </w:lvl>
    <w:lvl w:ilvl="2" w:tplc="362EE736">
      <w:start w:val="1"/>
      <w:numFmt w:val="lowerRoman"/>
      <w:lvlText w:val="%3."/>
      <w:lvlJc w:val="right"/>
      <w:pPr>
        <w:ind w:left="2160" w:hanging="180"/>
      </w:pPr>
    </w:lvl>
    <w:lvl w:ilvl="3" w:tplc="9D0E9522">
      <w:start w:val="1"/>
      <w:numFmt w:val="decimal"/>
      <w:lvlText w:val="%4."/>
      <w:lvlJc w:val="left"/>
      <w:pPr>
        <w:ind w:left="2880" w:hanging="360"/>
      </w:pPr>
    </w:lvl>
    <w:lvl w:ilvl="4" w:tplc="E52676F0">
      <w:start w:val="1"/>
      <w:numFmt w:val="lowerLetter"/>
      <w:lvlText w:val="%5."/>
      <w:lvlJc w:val="left"/>
      <w:pPr>
        <w:ind w:left="3600" w:hanging="360"/>
      </w:pPr>
    </w:lvl>
    <w:lvl w:ilvl="5" w:tplc="4510E534">
      <w:start w:val="1"/>
      <w:numFmt w:val="lowerRoman"/>
      <w:lvlText w:val="%6."/>
      <w:lvlJc w:val="right"/>
      <w:pPr>
        <w:ind w:left="4320" w:hanging="180"/>
      </w:pPr>
    </w:lvl>
    <w:lvl w:ilvl="6" w:tplc="AD96090A">
      <w:start w:val="1"/>
      <w:numFmt w:val="decimal"/>
      <w:lvlText w:val="%7."/>
      <w:lvlJc w:val="left"/>
      <w:pPr>
        <w:ind w:left="5040" w:hanging="360"/>
      </w:pPr>
    </w:lvl>
    <w:lvl w:ilvl="7" w:tplc="0DF0FAF0">
      <w:start w:val="1"/>
      <w:numFmt w:val="lowerLetter"/>
      <w:lvlText w:val="%8."/>
      <w:lvlJc w:val="left"/>
      <w:pPr>
        <w:ind w:left="5760" w:hanging="360"/>
      </w:pPr>
    </w:lvl>
    <w:lvl w:ilvl="8" w:tplc="746A968C">
      <w:start w:val="1"/>
      <w:numFmt w:val="lowerRoman"/>
      <w:lvlText w:val="%9."/>
      <w:lvlJc w:val="right"/>
      <w:pPr>
        <w:ind w:left="6480" w:hanging="180"/>
      </w:pPr>
    </w:lvl>
  </w:abstractNum>
  <w:abstractNum w:abstractNumId="6" w15:restartNumberingAfterBreak="0">
    <w:nsid w:val="22304663"/>
    <w:multiLevelType w:val="hybridMultilevel"/>
    <w:tmpl w:val="21A050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CDA0D"/>
    <w:multiLevelType w:val="hybridMultilevel"/>
    <w:tmpl w:val="FFFFFFFF"/>
    <w:lvl w:ilvl="0" w:tplc="B704949E">
      <w:start w:val="1"/>
      <w:numFmt w:val="upperLetter"/>
      <w:lvlText w:val="%1."/>
      <w:lvlJc w:val="left"/>
      <w:pPr>
        <w:ind w:left="720" w:hanging="360"/>
      </w:pPr>
    </w:lvl>
    <w:lvl w:ilvl="1" w:tplc="0A7EF930">
      <w:start w:val="1"/>
      <w:numFmt w:val="lowerLetter"/>
      <w:lvlText w:val="%2."/>
      <w:lvlJc w:val="left"/>
      <w:pPr>
        <w:ind w:left="1440" w:hanging="360"/>
      </w:pPr>
    </w:lvl>
    <w:lvl w:ilvl="2" w:tplc="3112F864">
      <w:start w:val="1"/>
      <w:numFmt w:val="lowerRoman"/>
      <w:lvlText w:val="%3."/>
      <w:lvlJc w:val="right"/>
      <w:pPr>
        <w:ind w:left="2160" w:hanging="180"/>
      </w:pPr>
    </w:lvl>
    <w:lvl w:ilvl="3" w:tplc="C492A80E">
      <w:start w:val="1"/>
      <w:numFmt w:val="decimal"/>
      <w:lvlText w:val="%4."/>
      <w:lvlJc w:val="left"/>
      <w:pPr>
        <w:ind w:left="2880" w:hanging="360"/>
      </w:pPr>
    </w:lvl>
    <w:lvl w:ilvl="4" w:tplc="B23C41CE">
      <w:start w:val="1"/>
      <w:numFmt w:val="lowerLetter"/>
      <w:lvlText w:val="%5."/>
      <w:lvlJc w:val="left"/>
      <w:pPr>
        <w:ind w:left="3600" w:hanging="360"/>
      </w:pPr>
    </w:lvl>
    <w:lvl w:ilvl="5" w:tplc="1124D6FC">
      <w:start w:val="1"/>
      <w:numFmt w:val="lowerRoman"/>
      <w:lvlText w:val="%6."/>
      <w:lvlJc w:val="right"/>
      <w:pPr>
        <w:ind w:left="4320" w:hanging="180"/>
      </w:pPr>
    </w:lvl>
    <w:lvl w:ilvl="6" w:tplc="3836C8FA">
      <w:start w:val="1"/>
      <w:numFmt w:val="decimal"/>
      <w:lvlText w:val="%7."/>
      <w:lvlJc w:val="left"/>
      <w:pPr>
        <w:ind w:left="5040" w:hanging="360"/>
      </w:pPr>
    </w:lvl>
    <w:lvl w:ilvl="7" w:tplc="9F0C3AB8">
      <w:start w:val="1"/>
      <w:numFmt w:val="lowerLetter"/>
      <w:lvlText w:val="%8."/>
      <w:lvlJc w:val="left"/>
      <w:pPr>
        <w:ind w:left="5760" w:hanging="360"/>
      </w:pPr>
    </w:lvl>
    <w:lvl w:ilvl="8" w:tplc="F64A0D7C">
      <w:start w:val="1"/>
      <w:numFmt w:val="lowerRoman"/>
      <w:lvlText w:val="%9."/>
      <w:lvlJc w:val="right"/>
      <w:pPr>
        <w:ind w:left="6480" w:hanging="180"/>
      </w:pPr>
    </w:lvl>
  </w:abstractNum>
  <w:abstractNum w:abstractNumId="8" w15:restartNumberingAfterBreak="0">
    <w:nsid w:val="37B2652F"/>
    <w:multiLevelType w:val="hybridMultilevel"/>
    <w:tmpl w:val="D5D864B2"/>
    <w:lvl w:ilvl="0" w:tplc="6D281716">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EC818"/>
    <w:multiLevelType w:val="hybridMultilevel"/>
    <w:tmpl w:val="FFFFFFFF"/>
    <w:lvl w:ilvl="0" w:tplc="FCA62A62">
      <w:start w:val="1"/>
      <w:numFmt w:val="decimal"/>
      <w:lvlText w:val="%1."/>
      <w:lvlJc w:val="left"/>
      <w:pPr>
        <w:ind w:left="720" w:hanging="360"/>
      </w:pPr>
    </w:lvl>
    <w:lvl w:ilvl="1" w:tplc="4014A4A4">
      <w:start w:val="1"/>
      <w:numFmt w:val="lowerLetter"/>
      <w:lvlText w:val="%2."/>
      <w:lvlJc w:val="left"/>
      <w:pPr>
        <w:ind w:left="1440" w:hanging="360"/>
      </w:pPr>
    </w:lvl>
    <w:lvl w:ilvl="2" w:tplc="CC72EDA4">
      <w:start w:val="1"/>
      <w:numFmt w:val="lowerRoman"/>
      <w:lvlText w:val="%3."/>
      <w:lvlJc w:val="right"/>
      <w:pPr>
        <w:ind w:left="2160" w:hanging="180"/>
      </w:pPr>
    </w:lvl>
    <w:lvl w:ilvl="3" w:tplc="3D822B6A">
      <w:start w:val="1"/>
      <w:numFmt w:val="decimal"/>
      <w:lvlText w:val="%4."/>
      <w:lvlJc w:val="left"/>
      <w:pPr>
        <w:ind w:left="2880" w:hanging="360"/>
      </w:pPr>
    </w:lvl>
    <w:lvl w:ilvl="4" w:tplc="FA285426">
      <w:start w:val="1"/>
      <w:numFmt w:val="lowerLetter"/>
      <w:lvlText w:val="%5."/>
      <w:lvlJc w:val="left"/>
      <w:pPr>
        <w:ind w:left="3600" w:hanging="360"/>
      </w:pPr>
    </w:lvl>
    <w:lvl w:ilvl="5" w:tplc="8FA66808">
      <w:start w:val="1"/>
      <w:numFmt w:val="lowerRoman"/>
      <w:lvlText w:val="%6."/>
      <w:lvlJc w:val="right"/>
      <w:pPr>
        <w:ind w:left="4320" w:hanging="180"/>
      </w:pPr>
    </w:lvl>
    <w:lvl w:ilvl="6" w:tplc="952AED7E">
      <w:start w:val="1"/>
      <w:numFmt w:val="decimal"/>
      <w:lvlText w:val="%7."/>
      <w:lvlJc w:val="left"/>
      <w:pPr>
        <w:ind w:left="5040" w:hanging="360"/>
      </w:pPr>
    </w:lvl>
    <w:lvl w:ilvl="7" w:tplc="B06CC63A">
      <w:start w:val="1"/>
      <w:numFmt w:val="lowerLetter"/>
      <w:lvlText w:val="%8."/>
      <w:lvlJc w:val="left"/>
      <w:pPr>
        <w:ind w:left="5760" w:hanging="360"/>
      </w:pPr>
    </w:lvl>
    <w:lvl w:ilvl="8" w:tplc="3312C56C">
      <w:start w:val="1"/>
      <w:numFmt w:val="lowerRoman"/>
      <w:lvlText w:val="%9."/>
      <w:lvlJc w:val="right"/>
      <w:pPr>
        <w:ind w:left="6480" w:hanging="180"/>
      </w:pPr>
    </w:lvl>
  </w:abstractNum>
  <w:abstractNum w:abstractNumId="10" w15:restartNumberingAfterBreak="0">
    <w:nsid w:val="43B6582C"/>
    <w:multiLevelType w:val="hybridMultilevel"/>
    <w:tmpl w:val="9CB20798"/>
    <w:lvl w:ilvl="0" w:tplc="2FDA4C58">
      <w:start w:val="1"/>
      <w:numFmt w:val="upperRoman"/>
      <w:lvlText w:val="%1."/>
      <w:lvlJc w:val="left"/>
      <w:pPr>
        <w:ind w:left="1080" w:hanging="720"/>
      </w:pPr>
      <w:rPr>
        <w:rFonts w:hint="default"/>
      </w:rPr>
    </w:lvl>
    <w:lvl w:ilvl="1" w:tplc="FFFFFFFF">
      <w:start w:val="1"/>
      <w:numFmt w:val="lowerRoman"/>
      <w:lvlText w:val="%2."/>
      <w:lvlJc w:val="right"/>
      <w:pPr>
        <w:ind w:left="1440" w:hanging="360"/>
      </w:pPr>
    </w:lvl>
    <w:lvl w:ilvl="2" w:tplc="76B0BD3C">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93AB6"/>
    <w:multiLevelType w:val="hybridMultilevel"/>
    <w:tmpl w:val="FFFFFFFF"/>
    <w:lvl w:ilvl="0" w:tplc="806E887E">
      <w:start w:val="1"/>
      <w:numFmt w:val="decimal"/>
      <w:lvlText w:val="%1."/>
      <w:lvlJc w:val="left"/>
      <w:pPr>
        <w:ind w:left="1440" w:hanging="360"/>
      </w:pPr>
    </w:lvl>
    <w:lvl w:ilvl="1" w:tplc="C6ECCAF8">
      <w:start w:val="1"/>
      <w:numFmt w:val="lowerLetter"/>
      <w:lvlText w:val="%2."/>
      <w:lvlJc w:val="left"/>
      <w:pPr>
        <w:ind w:left="2160" w:hanging="360"/>
      </w:pPr>
    </w:lvl>
    <w:lvl w:ilvl="2" w:tplc="3684B54A">
      <w:start w:val="1"/>
      <w:numFmt w:val="lowerRoman"/>
      <w:lvlText w:val="%3."/>
      <w:lvlJc w:val="right"/>
      <w:pPr>
        <w:ind w:left="2880" w:hanging="180"/>
      </w:pPr>
    </w:lvl>
    <w:lvl w:ilvl="3" w:tplc="6A1C2004">
      <w:start w:val="1"/>
      <w:numFmt w:val="decimal"/>
      <w:lvlText w:val="%4."/>
      <w:lvlJc w:val="left"/>
      <w:pPr>
        <w:ind w:left="3600" w:hanging="360"/>
      </w:pPr>
    </w:lvl>
    <w:lvl w:ilvl="4" w:tplc="A6906EFE">
      <w:start w:val="1"/>
      <w:numFmt w:val="lowerLetter"/>
      <w:lvlText w:val="%5."/>
      <w:lvlJc w:val="left"/>
      <w:pPr>
        <w:ind w:left="4320" w:hanging="360"/>
      </w:pPr>
    </w:lvl>
    <w:lvl w:ilvl="5" w:tplc="83E2035C">
      <w:start w:val="1"/>
      <w:numFmt w:val="lowerRoman"/>
      <w:lvlText w:val="%6."/>
      <w:lvlJc w:val="right"/>
      <w:pPr>
        <w:ind w:left="5040" w:hanging="180"/>
      </w:pPr>
    </w:lvl>
    <w:lvl w:ilvl="6" w:tplc="30F69790">
      <w:start w:val="1"/>
      <w:numFmt w:val="decimal"/>
      <w:lvlText w:val="%7."/>
      <w:lvlJc w:val="left"/>
      <w:pPr>
        <w:ind w:left="5760" w:hanging="360"/>
      </w:pPr>
    </w:lvl>
    <w:lvl w:ilvl="7" w:tplc="E9E454BE">
      <w:start w:val="1"/>
      <w:numFmt w:val="lowerLetter"/>
      <w:lvlText w:val="%8."/>
      <w:lvlJc w:val="left"/>
      <w:pPr>
        <w:ind w:left="6480" w:hanging="360"/>
      </w:pPr>
    </w:lvl>
    <w:lvl w:ilvl="8" w:tplc="4F32BEC8">
      <w:start w:val="1"/>
      <w:numFmt w:val="lowerRoman"/>
      <w:lvlText w:val="%9."/>
      <w:lvlJc w:val="right"/>
      <w:pPr>
        <w:ind w:left="7200" w:hanging="180"/>
      </w:pPr>
    </w:lvl>
  </w:abstractNum>
  <w:abstractNum w:abstractNumId="12" w15:restartNumberingAfterBreak="0">
    <w:nsid w:val="4A9E1AFC"/>
    <w:multiLevelType w:val="hybridMultilevel"/>
    <w:tmpl w:val="FFFFFFFF"/>
    <w:lvl w:ilvl="0" w:tplc="CBEC9CF0">
      <w:start w:val="1"/>
      <w:numFmt w:val="lowerRoman"/>
      <w:lvlText w:val="%1."/>
      <w:lvlJc w:val="right"/>
      <w:pPr>
        <w:ind w:left="1800" w:hanging="360"/>
      </w:pPr>
    </w:lvl>
    <w:lvl w:ilvl="1" w:tplc="26C4B430">
      <w:start w:val="1"/>
      <w:numFmt w:val="lowerLetter"/>
      <w:lvlText w:val="%2."/>
      <w:lvlJc w:val="left"/>
      <w:pPr>
        <w:ind w:left="2520" w:hanging="360"/>
      </w:pPr>
    </w:lvl>
    <w:lvl w:ilvl="2" w:tplc="162AB568">
      <w:start w:val="1"/>
      <w:numFmt w:val="lowerRoman"/>
      <w:lvlText w:val="%3."/>
      <w:lvlJc w:val="right"/>
      <w:pPr>
        <w:ind w:left="3240" w:hanging="180"/>
      </w:pPr>
    </w:lvl>
    <w:lvl w:ilvl="3" w:tplc="F1BC6EA0">
      <w:start w:val="1"/>
      <w:numFmt w:val="decimal"/>
      <w:lvlText w:val="%4."/>
      <w:lvlJc w:val="left"/>
      <w:pPr>
        <w:ind w:left="3960" w:hanging="360"/>
      </w:pPr>
    </w:lvl>
    <w:lvl w:ilvl="4" w:tplc="864A50C8">
      <w:start w:val="1"/>
      <w:numFmt w:val="lowerLetter"/>
      <w:lvlText w:val="%5."/>
      <w:lvlJc w:val="left"/>
      <w:pPr>
        <w:ind w:left="4680" w:hanging="360"/>
      </w:pPr>
    </w:lvl>
    <w:lvl w:ilvl="5" w:tplc="7F88FF8E">
      <w:start w:val="1"/>
      <w:numFmt w:val="lowerRoman"/>
      <w:lvlText w:val="%6."/>
      <w:lvlJc w:val="right"/>
      <w:pPr>
        <w:ind w:left="5400" w:hanging="180"/>
      </w:pPr>
    </w:lvl>
    <w:lvl w:ilvl="6" w:tplc="9A146D36">
      <w:start w:val="1"/>
      <w:numFmt w:val="decimal"/>
      <w:lvlText w:val="%7."/>
      <w:lvlJc w:val="left"/>
      <w:pPr>
        <w:ind w:left="6120" w:hanging="360"/>
      </w:pPr>
    </w:lvl>
    <w:lvl w:ilvl="7" w:tplc="357C2E1E">
      <w:start w:val="1"/>
      <w:numFmt w:val="lowerLetter"/>
      <w:lvlText w:val="%8."/>
      <w:lvlJc w:val="left"/>
      <w:pPr>
        <w:ind w:left="6840" w:hanging="360"/>
      </w:pPr>
    </w:lvl>
    <w:lvl w:ilvl="8" w:tplc="B6DC9AF0">
      <w:start w:val="1"/>
      <w:numFmt w:val="lowerRoman"/>
      <w:lvlText w:val="%9."/>
      <w:lvlJc w:val="right"/>
      <w:pPr>
        <w:ind w:left="7560" w:hanging="180"/>
      </w:pPr>
    </w:lvl>
  </w:abstractNum>
  <w:abstractNum w:abstractNumId="13" w15:restartNumberingAfterBreak="0">
    <w:nsid w:val="4BBF0529"/>
    <w:multiLevelType w:val="hybridMultilevel"/>
    <w:tmpl w:val="FFFFFFFF"/>
    <w:lvl w:ilvl="0" w:tplc="84DC7AEA">
      <w:start w:val="1"/>
      <w:numFmt w:val="lowerRoman"/>
      <w:lvlText w:val="%1."/>
      <w:lvlJc w:val="right"/>
      <w:pPr>
        <w:ind w:left="360" w:hanging="360"/>
      </w:pPr>
    </w:lvl>
    <w:lvl w:ilvl="1" w:tplc="C032D2EA">
      <w:start w:val="1"/>
      <w:numFmt w:val="lowerLetter"/>
      <w:lvlText w:val="%2."/>
      <w:lvlJc w:val="left"/>
      <w:pPr>
        <w:ind w:left="1080" w:hanging="360"/>
      </w:pPr>
    </w:lvl>
    <w:lvl w:ilvl="2" w:tplc="F710CAD4">
      <w:start w:val="1"/>
      <w:numFmt w:val="lowerRoman"/>
      <w:lvlText w:val="%3."/>
      <w:lvlJc w:val="right"/>
      <w:pPr>
        <w:ind w:left="1800" w:hanging="180"/>
      </w:pPr>
    </w:lvl>
    <w:lvl w:ilvl="3" w:tplc="D170743C">
      <w:start w:val="1"/>
      <w:numFmt w:val="decimal"/>
      <w:lvlText w:val="%4."/>
      <w:lvlJc w:val="left"/>
      <w:pPr>
        <w:ind w:left="2520" w:hanging="360"/>
      </w:pPr>
    </w:lvl>
    <w:lvl w:ilvl="4" w:tplc="8D881F00">
      <w:start w:val="1"/>
      <w:numFmt w:val="lowerLetter"/>
      <w:lvlText w:val="%5."/>
      <w:lvlJc w:val="left"/>
      <w:pPr>
        <w:ind w:left="3240" w:hanging="360"/>
      </w:pPr>
    </w:lvl>
    <w:lvl w:ilvl="5" w:tplc="83C81FB8">
      <w:start w:val="1"/>
      <w:numFmt w:val="lowerRoman"/>
      <w:lvlText w:val="%6."/>
      <w:lvlJc w:val="right"/>
      <w:pPr>
        <w:ind w:left="3960" w:hanging="180"/>
      </w:pPr>
    </w:lvl>
    <w:lvl w:ilvl="6" w:tplc="17BA7B28">
      <w:start w:val="1"/>
      <w:numFmt w:val="decimal"/>
      <w:lvlText w:val="%7."/>
      <w:lvlJc w:val="left"/>
      <w:pPr>
        <w:ind w:left="4680" w:hanging="360"/>
      </w:pPr>
    </w:lvl>
    <w:lvl w:ilvl="7" w:tplc="495CA442">
      <w:start w:val="1"/>
      <w:numFmt w:val="lowerLetter"/>
      <w:lvlText w:val="%8."/>
      <w:lvlJc w:val="left"/>
      <w:pPr>
        <w:ind w:left="5400" w:hanging="360"/>
      </w:pPr>
    </w:lvl>
    <w:lvl w:ilvl="8" w:tplc="0B3431DA">
      <w:start w:val="1"/>
      <w:numFmt w:val="lowerRoman"/>
      <w:lvlText w:val="%9."/>
      <w:lvlJc w:val="right"/>
      <w:pPr>
        <w:ind w:left="6120" w:hanging="180"/>
      </w:pPr>
    </w:lvl>
  </w:abstractNum>
  <w:abstractNum w:abstractNumId="14" w15:restartNumberingAfterBreak="0">
    <w:nsid w:val="531408B0"/>
    <w:multiLevelType w:val="hybridMultilevel"/>
    <w:tmpl w:val="FFFFFFFF"/>
    <w:lvl w:ilvl="0" w:tplc="DDC2FE7C">
      <w:start w:val="1"/>
      <w:numFmt w:val="upperLetter"/>
      <w:lvlText w:val="%1."/>
      <w:lvlJc w:val="left"/>
      <w:pPr>
        <w:ind w:left="720" w:hanging="360"/>
      </w:pPr>
    </w:lvl>
    <w:lvl w:ilvl="1" w:tplc="76B0BD3C">
      <w:start w:val="1"/>
      <w:numFmt w:val="lowerLetter"/>
      <w:lvlText w:val="%2."/>
      <w:lvlJc w:val="left"/>
      <w:pPr>
        <w:ind w:left="1440" w:hanging="360"/>
      </w:pPr>
    </w:lvl>
    <w:lvl w:ilvl="2" w:tplc="5FBAD78C">
      <w:start w:val="1"/>
      <w:numFmt w:val="lowerRoman"/>
      <w:lvlText w:val="%3."/>
      <w:lvlJc w:val="right"/>
      <w:pPr>
        <w:ind w:left="2160" w:hanging="180"/>
      </w:pPr>
    </w:lvl>
    <w:lvl w:ilvl="3" w:tplc="B022A21C">
      <w:start w:val="1"/>
      <w:numFmt w:val="decimal"/>
      <w:lvlText w:val="%4."/>
      <w:lvlJc w:val="left"/>
      <w:pPr>
        <w:ind w:left="2880" w:hanging="360"/>
      </w:pPr>
    </w:lvl>
    <w:lvl w:ilvl="4" w:tplc="91981FDC">
      <w:start w:val="1"/>
      <w:numFmt w:val="lowerLetter"/>
      <w:lvlText w:val="%5."/>
      <w:lvlJc w:val="left"/>
      <w:pPr>
        <w:ind w:left="3600" w:hanging="360"/>
      </w:pPr>
    </w:lvl>
    <w:lvl w:ilvl="5" w:tplc="C296982E">
      <w:start w:val="1"/>
      <w:numFmt w:val="lowerRoman"/>
      <w:lvlText w:val="%6."/>
      <w:lvlJc w:val="right"/>
      <w:pPr>
        <w:ind w:left="4320" w:hanging="180"/>
      </w:pPr>
    </w:lvl>
    <w:lvl w:ilvl="6" w:tplc="8342FCC4">
      <w:start w:val="1"/>
      <w:numFmt w:val="decimal"/>
      <w:lvlText w:val="%7."/>
      <w:lvlJc w:val="left"/>
      <w:pPr>
        <w:ind w:left="5040" w:hanging="360"/>
      </w:pPr>
    </w:lvl>
    <w:lvl w:ilvl="7" w:tplc="9EFA66C8">
      <w:start w:val="1"/>
      <w:numFmt w:val="lowerLetter"/>
      <w:lvlText w:val="%8."/>
      <w:lvlJc w:val="left"/>
      <w:pPr>
        <w:ind w:left="5760" w:hanging="360"/>
      </w:pPr>
    </w:lvl>
    <w:lvl w:ilvl="8" w:tplc="759431A6">
      <w:start w:val="1"/>
      <w:numFmt w:val="lowerRoman"/>
      <w:lvlText w:val="%9."/>
      <w:lvlJc w:val="right"/>
      <w:pPr>
        <w:ind w:left="6480" w:hanging="180"/>
      </w:pPr>
    </w:lvl>
  </w:abstractNum>
  <w:abstractNum w:abstractNumId="15" w15:restartNumberingAfterBreak="0">
    <w:nsid w:val="5C8D68B9"/>
    <w:multiLevelType w:val="hybridMultilevel"/>
    <w:tmpl w:val="7CD461A4"/>
    <w:lvl w:ilvl="0" w:tplc="C1FA13E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56198"/>
    <w:multiLevelType w:val="hybridMultilevel"/>
    <w:tmpl w:val="FFFFFFFF"/>
    <w:lvl w:ilvl="0" w:tplc="0D98CEEE">
      <w:start w:val="1"/>
      <w:numFmt w:val="lowerRoman"/>
      <w:lvlText w:val="%1."/>
      <w:lvlJc w:val="left"/>
      <w:pPr>
        <w:ind w:left="1080" w:hanging="360"/>
      </w:pPr>
    </w:lvl>
    <w:lvl w:ilvl="1" w:tplc="075A4A16">
      <w:start w:val="1"/>
      <w:numFmt w:val="lowerLetter"/>
      <w:lvlText w:val="%2."/>
      <w:lvlJc w:val="left"/>
      <w:pPr>
        <w:ind w:left="1800" w:hanging="360"/>
      </w:pPr>
    </w:lvl>
    <w:lvl w:ilvl="2" w:tplc="9950357C">
      <w:start w:val="1"/>
      <w:numFmt w:val="lowerRoman"/>
      <w:lvlText w:val="%3."/>
      <w:lvlJc w:val="right"/>
      <w:pPr>
        <w:ind w:left="2520" w:hanging="180"/>
      </w:pPr>
    </w:lvl>
    <w:lvl w:ilvl="3" w:tplc="230C05D0">
      <w:start w:val="1"/>
      <w:numFmt w:val="decimal"/>
      <w:lvlText w:val="%4."/>
      <w:lvlJc w:val="left"/>
      <w:pPr>
        <w:ind w:left="3240" w:hanging="360"/>
      </w:pPr>
    </w:lvl>
    <w:lvl w:ilvl="4" w:tplc="4FA87A80">
      <w:start w:val="1"/>
      <w:numFmt w:val="lowerLetter"/>
      <w:lvlText w:val="%5."/>
      <w:lvlJc w:val="left"/>
      <w:pPr>
        <w:ind w:left="3960" w:hanging="360"/>
      </w:pPr>
    </w:lvl>
    <w:lvl w:ilvl="5" w:tplc="1B340F7E">
      <w:start w:val="1"/>
      <w:numFmt w:val="lowerRoman"/>
      <w:lvlText w:val="%6."/>
      <w:lvlJc w:val="right"/>
      <w:pPr>
        <w:ind w:left="4680" w:hanging="180"/>
      </w:pPr>
    </w:lvl>
    <w:lvl w:ilvl="6" w:tplc="DADCB076">
      <w:start w:val="1"/>
      <w:numFmt w:val="decimal"/>
      <w:lvlText w:val="%7."/>
      <w:lvlJc w:val="left"/>
      <w:pPr>
        <w:ind w:left="5400" w:hanging="360"/>
      </w:pPr>
    </w:lvl>
    <w:lvl w:ilvl="7" w:tplc="39B89A9A">
      <w:start w:val="1"/>
      <w:numFmt w:val="lowerLetter"/>
      <w:lvlText w:val="%8."/>
      <w:lvlJc w:val="left"/>
      <w:pPr>
        <w:ind w:left="6120" w:hanging="360"/>
      </w:pPr>
    </w:lvl>
    <w:lvl w:ilvl="8" w:tplc="B19C61C4">
      <w:start w:val="1"/>
      <w:numFmt w:val="lowerRoman"/>
      <w:lvlText w:val="%9."/>
      <w:lvlJc w:val="right"/>
      <w:pPr>
        <w:ind w:left="6840" w:hanging="180"/>
      </w:pPr>
    </w:lvl>
  </w:abstractNum>
  <w:abstractNum w:abstractNumId="17" w15:restartNumberingAfterBreak="0">
    <w:nsid w:val="6790002C"/>
    <w:multiLevelType w:val="hybridMultilevel"/>
    <w:tmpl w:val="FFFFFFFF"/>
    <w:lvl w:ilvl="0" w:tplc="BC0CBFF0">
      <w:start w:val="1"/>
      <w:numFmt w:val="decimal"/>
      <w:lvlText w:val="%1."/>
      <w:lvlJc w:val="left"/>
      <w:pPr>
        <w:ind w:left="720" w:hanging="360"/>
      </w:pPr>
    </w:lvl>
    <w:lvl w:ilvl="1" w:tplc="022812A4">
      <w:start w:val="35"/>
      <w:numFmt w:val="lowerLetter"/>
      <w:lvlText w:val="%2."/>
      <w:lvlJc w:val="left"/>
      <w:pPr>
        <w:ind w:left="1440" w:hanging="360"/>
      </w:pPr>
    </w:lvl>
    <w:lvl w:ilvl="2" w:tplc="7D92BE20">
      <w:start w:val="1"/>
      <w:numFmt w:val="lowerRoman"/>
      <w:lvlText w:val="%3."/>
      <w:lvlJc w:val="right"/>
      <w:pPr>
        <w:ind w:left="2160" w:hanging="180"/>
      </w:pPr>
    </w:lvl>
    <w:lvl w:ilvl="3" w:tplc="6F6848CA">
      <w:start w:val="1"/>
      <w:numFmt w:val="decimal"/>
      <w:lvlText w:val="%4."/>
      <w:lvlJc w:val="left"/>
      <w:pPr>
        <w:ind w:left="2880" w:hanging="360"/>
      </w:pPr>
    </w:lvl>
    <w:lvl w:ilvl="4" w:tplc="F8BAB092">
      <w:start w:val="1"/>
      <w:numFmt w:val="lowerLetter"/>
      <w:lvlText w:val="%5."/>
      <w:lvlJc w:val="left"/>
      <w:pPr>
        <w:ind w:left="3600" w:hanging="360"/>
      </w:pPr>
    </w:lvl>
    <w:lvl w:ilvl="5" w:tplc="63D66362">
      <w:start w:val="1"/>
      <w:numFmt w:val="lowerRoman"/>
      <w:lvlText w:val="%6."/>
      <w:lvlJc w:val="right"/>
      <w:pPr>
        <w:ind w:left="4320" w:hanging="180"/>
      </w:pPr>
    </w:lvl>
    <w:lvl w:ilvl="6" w:tplc="44C242EC">
      <w:start w:val="1"/>
      <w:numFmt w:val="decimal"/>
      <w:lvlText w:val="%7."/>
      <w:lvlJc w:val="left"/>
      <w:pPr>
        <w:ind w:left="5040" w:hanging="360"/>
      </w:pPr>
    </w:lvl>
    <w:lvl w:ilvl="7" w:tplc="C74664DC">
      <w:start w:val="1"/>
      <w:numFmt w:val="lowerLetter"/>
      <w:lvlText w:val="%8."/>
      <w:lvlJc w:val="left"/>
      <w:pPr>
        <w:ind w:left="5760" w:hanging="360"/>
      </w:pPr>
    </w:lvl>
    <w:lvl w:ilvl="8" w:tplc="BEE25634">
      <w:start w:val="1"/>
      <w:numFmt w:val="lowerRoman"/>
      <w:lvlText w:val="%9."/>
      <w:lvlJc w:val="right"/>
      <w:pPr>
        <w:ind w:left="6480" w:hanging="180"/>
      </w:pPr>
    </w:lvl>
  </w:abstractNum>
  <w:abstractNum w:abstractNumId="18" w15:restartNumberingAfterBreak="0">
    <w:nsid w:val="67FD33C9"/>
    <w:multiLevelType w:val="hybridMultilevel"/>
    <w:tmpl w:val="0792AC04"/>
    <w:lvl w:ilvl="0" w:tplc="C1FA13EA">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0F2AF"/>
    <w:multiLevelType w:val="hybridMultilevel"/>
    <w:tmpl w:val="FFFFFFFF"/>
    <w:lvl w:ilvl="0" w:tplc="D4BE1B14">
      <w:start w:val="1"/>
      <w:numFmt w:val="upperLetter"/>
      <w:lvlText w:val="%1."/>
      <w:lvlJc w:val="left"/>
      <w:pPr>
        <w:ind w:left="1440" w:hanging="360"/>
      </w:pPr>
    </w:lvl>
    <w:lvl w:ilvl="1" w:tplc="1908BBB4">
      <w:start w:val="1"/>
      <w:numFmt w:val="lowerLetter"/>
      <w:lvlText w:val="%2."/>
      <w:lvlJc w:val="left"/>
      <w:pPr>
        <w:ind w:left="2160" w:hanging="360"/>
      </w:pPr>
    </w:lvl>
    <w:lvl w:ilvl="2" w:tplc="8578B196">
      <w:start w:val="1"/>
      <w:numFmt w:val="lowerRoman"/>
      <w:lvlText w:val="%3."/>
      <w:lvlJc w:val="right"/>
      <w:pPr>
        <w:ind w:left="2880" w:hanging="180"/>
      </w:pPr>
    </w:lvl>
    <w:lvl w:ilvl="3" w:tplc="644AF792">
      <w:start w:val="1"/>
      <w:numFmt w:val="decimal"/>
      <w:lvlText w:val="%4."/>
      <w:lvlJc w:val="left"/>
      <w:pPr>
        <w:ind w:left="3600" w:hanging="360"/>
      </w:pPr>
    </w:lvl>
    <w:lvl w:ilvl="4" w:tplc="384AFA0A">
      <w:start w:val="1"/>
      <w:numFmt w:val="lowerLetter"/>
      <w:lvlText w:val="%5."/>
      <w:lvlJc w:val="left"/>
      <w:pPr>
        <w:ind w:left="4320" w:hanging="360"/>
      </w:pPr>
    </w:lvl>
    <w:lvl w:ilvl="5" w:tplc="1C462188">
      <w:start w:val="1"/>
      <w:numFmt w:val="lowerRoman"/>
      <w:lvlText w:val="%6."/>
      <w:lvlJc w:val="right"/>
      <w:pPr>
        <w:ind w:left="5040" w:hanging="180"/>
      </w:pPr>
    </w:lvl>
    <w:lvl w:ilvl="6" w:tplc="D9E85CC8">
      <w:start w:val="1"/>
      <w:numFmt w:val="decimal"/>
      <w:lvlText w:val="%7."/>
      <w:lvlJc w:val="left"/>
      <w:pPr>
        <w:ind w:left="5760" w:hanging="360"/>
      </w:pPr>
    </w:lvl>
    <w:lvl w:ilvl="7" w:tplc="EA94EE48">
      <w:start w:val="1"/>
      <w:numFmt w:val="lowerLetter"/>
      <w:lvlText w:val="%8."/>
      <w:lvlJc w:val="left"/>
      <w:pPr>
        <w:ind w:left="6480" w:hanging="360"/>
      </w:pPr>
    </w:lvl>
    <w:lvl w:ilvl="8" w:tplc="D9FAFFC2">
      <w:start w:val="1"/>
      <w:numFmt w:val="lowerRoman"/>
      <w:lvlText w:val="%9."/>
      <w:lvlJc w:val="right"/>
      <w:pPr>
        <w:ind w:left="7200" w:hanging="180"/>
      </w:pPr>
    </w:lvl>
  </w:abstractNum>
  <w:abstractNum w:abstractNumId="20" w15:restartNumberingAfterBreak="0">
    <w:nsid w:val="6D5FC026"/>
    <w:multiLevelType w:val="hybridMultilevel"/>
    <w:tmpl w:val="FFFFFFFF"/>
    <w:lvl w:ilvl="0" w:tplc="DB96B25A">
      <w:start w:val="1"/>
      <w:numFmt w:val="lowerRoman"/>
      <w:lvlText w:val="%1."/>
      <w:lvlJc w:val="right"/>
      <w:pPr>
        <w:ind w:left="1080" w:hanging="360"/>
      </w:pPr>
    </w:lvl>
    <w:lvl w:ilvl="1" w:tplc="9380042A">
      <w:start w:val="1"/>
      <w:numFmt w:val="lowerLetter"/>
      <w:lvlText w:val="%2."/>
      <w:lvlJc w:val="left"/>
      <w:pPr>
        <w:ind w:left="1800" w:hanging="360"/>
      </w:pPr>
    </w:lvl>
    <w:lvl w:ilvl="2" w:tplc="3C0856E8">
      <w:start w:val="1"/>
      <w:numFmt w:val="lowerRoman"/>
      <w:lvlText w:val="%3."/>
      <w:lvlJc w:val="right"/>
      <w:pPr>
        <w:ind w:left="2520" w:hanging="180"/>
      </w:pPr>
    </w:lvl>
    <w:lvl w:ilvl="3" w:tplc="98044770">
      <w:start w:val="1"/>
      <w:numFmt w:val="decimal"/>
      <w:lvlText w:val="%4."/>
      <w:lvlJc w:val="left"/>
      <w:pPr>
        <w:ind w:left="3240" w:hanging="360"/>
      </w:pPr>
    </w:lvl>
    <w:lvl w:ilvl="4" w:tplc="E7DC9D2C">
      <w:start w:val="1"/>
      <w:numFmt w:val="lowerLetter"/>
      <w:lvlText w:val="%5."/>
      <w:lvlJc w:val="left"/>
      <w:pPr>
        <w:ind w:left="3960" w:hanging="360"/>
      </w:pPr>
    </w:lvl>
    <w:lvl w:ilvl="5" w:tplc="300211AC">
      <w:start w:val="1"/>
      <w:numFmt w:val="lowerRoman"/>
      <w:lvlText w:val="%6."/>
      <w:lvlJc w:val="right"/>
      <w:pPr>
        <w:ind w:left="4680" w:hanging="180"/>
      </w:pPr>
    </w:lvl>
    <w:lvl w:ilvl="6" w:tplc="345AAB36">
      <w:start w:val="1"/>
      <w:numFmt w:val="decimal"/>
      <w:lvlText w:val="%7."/>
      <w:lvlJc w:val="left"/>
      <w:pPr>
        <w:ind w:left="5400" w:hanging="360"/>
      </w:pPr>
    </w:lvl>
    <w:lvl w:ilvl="7" w:tplc="B80E620E">
      <w:start w:val="1"/>
      <w:numFmt w:val="lowerLetter"/>
      <w:lvlText w:val="%8."/>
      <w:lvlJc w:val="left"/>
      <w:pPr>
        <w:ind w:left="6120" w:hanging="360"/>
      </w:pPr>
    </w:lvl>
    <w:lvl w:ilvl="8" w:tplc="10C01682">
      <w:start w:val="1"/>
      <w:numFmt w:val="lowerRoman"/>
      <w:lvlText w:val="%9."/>
      <w:lvlJc w:val="right"/>
      <w:pPr>
        <w:ind w:left="6840" w:hanging="180"/>
      </w:pPr>
    </w:lvl>
  </w:abstractNum>
  <w:abstractNum w:abstractNumId="21" w15:restartNumberingAfterBreak="0">
    <w:nsid w:val="6DFC2CAA"/>
    <w:multiLevelType w:val="hybridMultilevel"/>
    <w:tmpl w:val="C98CA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5F895"/>
    <w:multiLevelType w:val="hybridMultilevel"/>
    <w:tmpl w:val="FFFFFFFF"/>
    <w:lvl w:ilvl="0" w:tplc="9AC86546">
      <w:start w:val="1"/>
      <w:numFmt w:val="upperLetter"/>
      <w:lvlText w:val="%1."/>
      <w:lvlJc w:val="left"/>
      <w:pPr>
        <w:ind w:left="720" w:hanging="360"/>
      </w:pPr>
    </w:lvl>
    <w:lvl w:ilvl="1" w:tplc="CD1E9048">
      <w:start w:val="1"/>
      <w:numFmt w:val="lowerLetter"/>
      <w:lvlText w:val="%2."/>
      <w:lvlJc w:val="left"/>
      <w:pPr>
        <w:ind w:left="1440" w:hanging="360"/>
      </w:pPr>
    </w:lvl>
    <w:lvl w:ilvl="2" w:tplc="A6C201AA">
      <w:start w:val="1"/>
      <w:numFmt w:val="lowerRoman"/>
      <w:lvlText w:val="%3."/>
      <w:lvlJc w:val="right"/>
      <w:pPr>
        <w:ind w:left="2160" w:hanging="180"/>
      </w:pPr>
    </w:lvl>
    <w:lvl w:ilvl="3" w:tplc="286282DE">
      <w:start w:val="1"/>
      <w:numFmt w:val="decimal"/>
      <w:lvlText w:val="%4."/>
      <w:lvlJc w:val="left"/>
      <w:pPr>
        <w:ind w:left="2880" w:hanging="360"/>
      </w:pPr>
    </w:lvl>
    <w:lvl w:ilvl="4" w:tplc="E1423200">
      <w:start w:val="1"/>
      <w:numFmt w:val="lowerLetter"/>
      <w:lvlText w:val="%5."/>
      <w:lvlJc w:val="left"/>
      <w:pPr>
        <w:ind w:left="3600" w:hanging="360"/>
      </w:pPr>
    </w:lvl>
    <w:lvl w:ilvl="5" w:tplc="9A5E7B2C">
      <w:start w:val="1"/>
      <w:numFmt w:val="lowerRoman"/>
      <w:lvlText w:val="%6."/>
      <w:lvlJc w:val="right"/>
      <w:pPr>
        <w:ind w:left="4320" w:hanging="180"/>
      </w:pPr>
    </w:lvl>
    <w:lvl w:ilvl="6" w:tplc="DE749D10">
      <w:start w:val="1"/>
      <w:numFmt w:val="decimal"/>
      <w:lvlText w:val="%7."/>
      <w:lvlJc w:val="left"/>
      <w:pPr>
        <w:ind w:left="5040" w:hanging="360"/>
      </w:pPr>
    </w:lvl>
    <w:lvl w:ilvl="7" w:tplc="D6CA832E">
      <w:start w:val="1"/>
      <w:numFmt w:val="lowerLetter"/>
      <w:lvlText w:val="%8."/>
      <w:lvlJc w:val="left"/>
      <w:pPr>
        <w:ind w:left="5760" w:hanging="360"/>
      </w:pPr>
    </w:lvl>
    <w:lvl w:ilvl="8" w:tplc="0DF027AA">
      <w:start w:val="1"/>
      <w:numFmt w:val="lowerRoman"/>
      <w:lvlText w:val="%9."/>
      <w:lvlJc w:val="right"/>
      <w:pPr>
        <w:ind w:left="6480" w:hanging="180"/>
      </w:pPr>
    </w:lvl>
  </w:abstractNum>
  <w:abstractNum w:abstractNumId="23" w15:restartNumberingAfterBreak="0">
    <w:nsid w:val="7EAC5D38"/>
    <w:multiLevelType w:val="hybridMultilevel"/>
    <w:tmpl w:val="38849618"/>
    <w:lvl w:ilvl="0" w:tplc="A05EB0D4">
      <w:start w:val="2"/>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817225">
    <w:abstractNumId w:val="4"/>
  </w:num>
  <w:num w:numId="2" w16cid:durableId="245261084">
    <w:abstractNumId w:val="21"/>
  </w:num>
  <w:num w:numId="3" w16cid:durableId="1998268035">
    <w:abstractNumId w:val="10"/>
  </w:num>
  <w:num w:numId="4" w16cid:durableId="158010444">
    <w:abstractNumId w:val="18"/>
  </w:num>
  <w:num w:numId="5" w16cid:durableId="468743263">
    <w:abstractNumId w:val="15"/>
  </w:num>
  <w:num w:numId="6" w16cid:durableId="37584772">
    <w:abstractNumId w:val="23"/>
  </w:num>
  <w:num w:numId="7" w16cid:durableId="20014664">
    <w:abstractNumId w:val="14"/>
  </w:num>
  <w:num w:numId="8" w16cid:durableId="1348796497">
    <w:abstractNumId w:val="17"/>
  </w:num>
  <w:num w:numId="9" w16cid:durableId="482476222">
    <w:abstractNumId w:val="2"/>
  </w:num>
  <w:num w:numId="10" w16cid:durableId="1397319642">
    <w:abstractNumId w:val="22"/>
  </w:num>
  <w:num w:numId="11" w16cid:durableId="1243297862">
    <w:abstractNumId w:val="7"/>
  </w:num>
  <w:num w:numId="12" w16cid:durableId="1684210520">
    <w:abstractNumId w:val="11"/>
  </w:num>
  <w:num w:numId="13" w16cid:durableId="1580943810">
    <w:abstractNumId w:val="19"/>
  </w:num>
  <w:num w:numId="14" w16cid:durableId="194077803">
    <w:abstractNumId w:val="12"/>
  </w:num>
  <w:num w:numId="15" w16cid:durableId="958681440">
    <w:abstractNumId w:val="5"/>
  </w:num>
  <w:num w:numId="16" w16cid:durableId="1023049690">
    <w:abstractNumId w:val="13"/>
  </w:num>
  <w:num w:numId="17" w16cid:durableId="613245972">
    <w:abstractNumId w:val="20"/>
  </w:num>
  <w:num w:numId="18" w16cid:durableId="1854683484">
    <w:abstractNumId w:val="16"/>
  </w:num>
  <w:num w:numId="19" w16cid:durableId="580986665">
    <w:abstractNumId w:val="9"/>
  </w:num>
  <w:num w:numId="20" w16cid:durableId="551355991">
    <w:abstractNumId w:val="1"/>
  </w:num>
  <w:num w:numId="21" w16cid:durableId="1984577719">
    <w:abstractNumId w:val="3"/>
  </w:num>
  <w:num w:numId="22" w16cid:durableId="26491888">
    <w:abstractNumId w:val="8"/>
  </w:num>
  <w:num w:numId="23" w16cid:durableId="1994988005">
    <w:abstractNumId w:val="3"/>
    <w:lvlOverride w:ilvl="0">
      <w:startOverride w:val="1"/>
    </w:lvlOverride>
  </w:num>
  <w:num w:numId="24" w16cid:durableId="491023610">
    <w:abstractNumId w:val="6"/>
  </w:num>
  <w:num w:numId="25" w16cid:durableId="1124617349">
    <w:abstractNumId w:val="8"/>
    <w:lvlOverride w:ilvl="0">
      <w:startOverride w:val="1"/>
    </w:lvlOverride>
  </w:num>
  <w:num w:numId="26" w16cid:durableId="165178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56"/>
    <w:rsid w:val="0000000F"/>
    <w:rsid w:val="000015E3"/>
    <w:rsid w:val="00001812"/>
    <w:rsid w:val="00002388"/>
    <w:rsid w:val="00002C32"/>
    <w:rsid w:val="000031C2"/>
    <w:rsid w:val="00004448"/>
    <w:rsid w:val="000055B9"/>
    <w:rsid w:val="00007C2C"/>
    <w:rsid w:val="00012169"/>
    <w:rsid w:val="00014ED7"/>
    <w:rsid w:val="000151D6"/>
    <w:rsid w:val="00016AF2"/>
    <w:rsid w:val="000174BE"/>
    <w:rsid w:val="00017F70"/>
    <w:rsid w:val="00021F5D"/>
    <w:rsid w:val="000235BF"/>
    <w:rsid w:val="000235EB"/>
    <w:rsid w:val="00024381"/>
    <w:rsid w:val="00025316"/>
    <w:rsid w:val="00027F77"/>
    <w:rsid w:val="000301CA"/>
    <w:rsid w:val="0003175C"/>
    <w:rsid w:val="00032601"/>
    <w:rsid w:val="00032E37"/>
    <w:rsid w:val="00034CB5"/>
    <w:rsid w:val="00035346"/>
    <w:rsid w:val="00035975"/>
    <w:rsid w:val="000362DC"/>
    <w:rsid w:val="00040C50"/>
    <w:rsid w:val="00042519"/>
    <w:rsid w:val="0004515C"/>
    <w:rsid w:val="0004629D"/>
    <w:rsid w:val="00047048"/>
    <w:rsid w:val="00047AEE"/>
    <w:rsid w:val="00047F58"/>
    <w:rsid w:val="0005144A"/>
    <w:rsid w:val="00052495"/>
    <w:rsid w:val="0005350D"/>
    <w:rsid w:val="000537BE"/>
    <w:rsid w:val="0005490B"/>
    <w:rsid w:val="000552B4"/>
    <w:rsid w:val="00060D6C"/>
    <w:rsid w:val="00063717"/>
    <w:rsid w:val="0006374F"/>
    <w:rsid w:val="00067CCF"/>
    <w:rsid w:val="00072523"/>
    <w:rsid w:val="00072908"/>
    <w:rsid w:val="00074366"/>
    <w:rsid w:val="00074AEE"/>
    <w:rsid w:val="00074CA9"/>
    <w:rsid w:val="0007678A"/>
    <w:rsid w:val="00077D33"/>
    <w:rsid w:val="00077EAA"/>
    <w:rsid w:val="00080769"/>
    <w:rsid w:val="00080E4A"/>
    <w:rsid w:val="00081AAE"/>
    <w:rsid w:val="00083541"/>
    <w:rsid w:val="000836CC"/>
    <w:rsid w:val="0008461A"/>
    <w:rsid w:val="000847F2"/>
    <w:rsid w:val="00085BE4"/>
    <w:rsid w:val="00087302"/>
    <w:rsid w:val="0009073D"/>
    <w:rsid w:val="00090805"/>
    <w:rsid w:val="00090AF5"/>
    <w:rsid w:val="00092727"/>
    <w:rsid w:val="00094E3F"/>
    <w:rsid w:val="00095312"/>
    <w:rsid w:val="00095B39"/>
    <w:rsid w:val="00097D29"/>
    <w:rsid w:val="000A19C6"/>
    <w:rsid w:val="000A2750"/>
    <w:rsid w:val="000A30F2"/>
    <w:rsid w:val="000A35D3"/>
    <w:rsid w:val="000A41EB"/>
    <w:rsid w:val="000A55D8"/>
    <w:rsid w:val="000A5FF8"/>
    <w:rsid w:val="000B20E7"/>
    <w:rsid w:val="000B33E2"/>
    <w:rsid w:val="000B4D4A"/>
    <w:rsid w:val="000B4F8A"/>
    <w:rsid w:val="000B5C25"/>
    <w:rsid w:val="000C1BBD"/>
    <w:rsid w:val="000C28E3"/>
    <w:rsid w:val="000C3498"/>
    <w:rsid w:val="000C5705"/>
    <w:rsid w:val="000C5782"/>
    <w:rsid w:val="000C610A"/>
    <w:rsid w:val="000C6D93"/>
    <w:rsid w:val="000C750F"/>
    <w:rsid w:val="000C76AF"/>
    <w:rsid w:val="000D03C5"/>
    <w:rsid w:val="000D0EFB"/>
    <w:rsid w:val="000D12F1"/>
    <w:rsid w:val="000D379F"/>
    <w:rsid w:val="000D5BA8"/>
    <w:rsid w:val="000D6914"/>
    <w:rsid w:val="000D725F"/>
    <w:rsid w:val="000D7416"/>
    <w:rsid w:val="000E0307"/>
    <w:rsid w:val="000E0F0D"/>
    <w:rsid w:val="000E30B6"/>
    <w:rsid w:val="000E34F9"/>
    <w:rsid w:val="000E3649"/>
    <w:rsid w:val="000E4C0E"/>
    <w:rsid w:val="000E4EDD"/>
    <w:rsid w:val="000E70F3"/>
    <w:rsid w:val="000F1AE6"/>
    <w:rsid w:val="000F200D"/>
    <w:rsid w:val="000F2994"/>
    <w:rsid w:val="000F3644"/>
    <w:rsid w:val="000F5218"/>
    <w:rsid w:val="000F7A88"/>
    <w:rsid w:val="00100EB4"/>
    <w:rsid w:val="001013EF"/>
    <w:rsid w:val="00101433"/>
    <w:rsid w:val="00101A6E"/>
    <w:rsid w:val="0010322E"/>
    <w:rsid w:val="00105302"/>
    <w:rsid w:val="001067EE"/>
    <w:rsid w:val="00107760"/>
    <w:rsid w:val="00111D46"/>
    <w:rsid w:val="00111EC2"/>
    <w:rsid w:val="00112D7F"/>
    <w:rsid w:val="00113198"/>
    <w:rsid w:val="00114E22"/>
    <w:rsid w:val="00115D90"/>
    <w:rsid w:val="0011797D"/>
    <w:rsid w:val="00124380"/>
    <w:rsid w:val="00125E8F"/>
    <w:rsid w:val="00126C0C"/>
    <w:rsid w:val="00127F50"/>
    <w:rsid w:val="00130F97"/>
    <w:rsid w:val="001316B9"/>
    <w:rsid w:val="00131817"/>
    <w:rsid w:val="001332F1"/>
    <w:rsid w:val="001358C6"/>
    <w:rsid w:val="00135BAE"/>
    <w:rsid w:val="00135EB3"/>
    <w:rsid w:val="00136A08"/>
    <w:rsid w:val="00136FB8"/>
    <w:rsid w:val="00141B06"/>
    <w:rsid w:val="001425B2"/>
    <w:rsid w:val="00143BE4"/>
    <w:rsid w:val="00143DFE"/>
    <w:rsid w:val="00143EC9"/>
    <w:rsid w:val="00144A99"/>
    <w:rsid w:val="001477ED"/>
    <w:rsid w:val="001501EB"/>
    <w:rsid w:val="0015326F"/>
    <w:rsid w:val="00160DD0"/>
    <w:rsid w:val="001611AE"/>
    <w:rsid w:val="00161EB8"/>
    <w:rsid w:val="00163E92"/>
    <w:rsid w:val="001649A4"/>
    <w:rsid w:val="001653B6"/>
    <w:rsid w:val="00166BDA"/>
    <w:rsid w:val="00166C6A"/>
    <w:rsid w:val="00166CCB"/>
    <w:rsid w:val="00171266"/>
    <w:rsid w:val="00171E55"/>
    <w:rsid w:val="001726F7"/>
    <w:rsid w:val="001730AE"/>
    <w:rsid w:val="0017493D"/>
    <w:rsid w:val="00174954"/>
    <w:rsid w:val="00174B5D"/>
    <w:rsid w:val="00177F65"/>
    <w:rsid w:val="00180CF5"/>
    <w:rsid w:val="00182C18"/>
    <w:rsid w:val="001849F4"/>
    <w:rsid w:val="00184FB6"/>
    <w:rsid w:val="00186C1C"/>
    <w:rsid w:val="001906C5"/>
    <w:rsid w:val="00190FDC"/>
    <w:rsid w:val="001930A2"/>
    <w:rsid w:val="00194A26"/>
    <w:rsid w:val="00194EEF"/>
    <w:rsid w:val="00195733"/>
    <w:rsid w:val="00195B94"/>
    <w:rsid w:val="00195FFE"/>
    <w:rsid w:val="00196048"/>
    <w:rsid w:val="00197FFA"/>
    <w:rsid w:val="001A19D6"/>
    <w:rsid w:val="001A267A"/>
    <w:rsid w:val="001A2992"/>
    <w:rsid w:val="001A2FD9"/>
    <w:rsid w:val="001A3089"/>
    <w:rsid w:val="001A3094"/>
    <w:rsid w:val="001A3CE5"/>
    <w:rsid w:val="001A40FD"/>
    <w:rsid w:val="001A4382"/>
    <w:rsid w:val="001A4F79"/>
    <w:rsid w:val="001A7F5F"/>
    <w:rsid w:val="001B0571"/>
    <w:rsid w:val="001B096C"/>
    <w:rsid w:val="001B0ADA"/>
    <w:rsid w:val="001B30D0"/>
    <w:rsid w:val="001B35FF"/>
    <w:rsid w:val="001B4D8B"/>
    <w:rsid w:val="001B6028"/>
    <w:rsid w:val="001B6D89"/>
    <w:rsid w:val="001C25AF"/>
    <w:rsid w:val="001C2821"/>
    <w:rsid w:val="001C2A86"/>
    <w:rsid w:val="001C303E"/>
    <w:rsid w:val="001C3343"/>
    <w:rsid w:val="001C33F2"/>
    <w:rsid w:val="001C4A55"/>
    <w:rsid w:val="001C5FA7"/>
    <w:rsid w:val="001C69DD"/>
    <w:rsid w:val="001C6E17"/>
    <w:rsid w:val="001C6ECA"/>
    <w:rsid w:val="001D063E"/>
    <w:rsid w:val="001D13FB"/>
    <w:rsid w:val="001D2C76"/>
    <w:rsid w:val="001D37F2"/>
    <w:rsid w:val="001D4698"/>
    <w:rsid w:val="001D5884"/>
    <w:rsid w:val="001D5A00"/>
    <w:rsid w:val="001D5CB3"/>
    <w:rsid w:val="001D5D66"/>
    <w:rsid w:val="001E02E7"/>
    <w:rsid w:val="001E06D3"/>
    <w:rsid w:val="001E06E0"/>
    <w:rsid w:val="001E149B"/>
    <w:rsid w:val="001E1821"/>
    <w:rsid w:val="001E1CB1"/>
    <w:rsid w:val="001E446C"/>
    <w:rsid w:val="001E6C15"/>
    <w:rsid w:val="001F2A2E"/>
    <w:rsid w:val="001F2E51"/>
    <w:rsid w:val="001F3207"/>
    <w:rsid w:val="001F5F13"/>
    <w:rsid w:val="001F618E"/>
    <w:rsid w:val="001F660B"/>
    <w:rsid w:val="001F7DED"/>
    <w:rsid w:val="0020077F"/>
    <w:rsid w:val="0020107D"/>
    <w:rsid w:val="00203000"/>
    <w:rsid w:val="00204426"/>
    <w:rsid w:val="00206AA2"/>
    <w:rsid w:val="002076C7"/>
    <w:rsid w:val="00207B99"/>
    <w:rsid w:val="00211332"/>
    <w:rsid w:val="00211997"/>
    <w:rsid w:val="00212127"/>
    <w:rsid w:val="00212D64"/>
    <w:rsid w:val="00213819"/>
    <w:rsid w:val="00213896"/>
    <w:rsid w:val="00214007"/>
    <w:rsid w:val="00216BA5"/>
    <w:rsid w:val="00216DF4"/>
    <w:rsid w:val="002175ED"/>
    <w:rsid w:val="00217C0F"/>
    <w:rsid w:val="00217D63"/>
    <w:rsid w:val="0022159F"/>
    <w:rsid w:val="00221622"/>
    <w:rsid w:val="002216AB"/>
    <w:rsid w:val="00221BDB"/>
    <w:rsid w:val="00223891"/>
    <w:rsid w:val="00223A6A"/>
    <w:rsid w:val="00224898"/>
    <w:rsid w:val="00224EF4"/>
    <w:rsid w:val="00226653"/>
    <w:rsid w:val="002272A7"/>
    <w:rsid w:val="00227520"/>
    <w:rsid w:val="00227C5A"/>
    <w:rsid w:val="00231F72"/>
    <w:rsid w:val="00232EF5"/>
    <w:rsid w:val="002338BD"/>
    <w:rsid w:val="0023407B"/>
    <w:rsid w:val="0023547F"/>
    <w:rsid w:val="00237083"/>
    <w:rsid w:val="00237C3A"/>
    <w:rsid w:val="00240765"/>
    <w:rsid w:val="002408C0"/>
    <w:rsid w:val="00240A94"/>
    <w:rsid w:val="0024195E"/>
    <w:rsid w:val="002425E3"/>
    <w:rsid w:val="002443CF"/>
    <w:rsid w:val="00245B39"/>
    <w:rsid w:val="00246546"/>
    <w:rsid w:val="00247581"/>
    <w:rsid w:val="00247D0C"/>
    <w:rsid w:val="00247F0D"/>
    <w:rsid w:val="0025002E"/>
    <w:rsid w:val="00251556"/>
    <w:rsid w:val="0025190D"/>
    <w:rsid w:val="002521C8"/>
    <w:rsid w:val="00252B88"/>
    <w:rsid w:val="002534B5"/>
    <w:rsid w:val="00253525"/>
    <w:rsid w:val="00253882"/>
    <w:rsid w:val="00254F26"/>
    <w:rsid w:val="00255306"/>
    <w:rsid w:val="002559CD"/>
    <w:rsid w:val="00255EDC"/>
    <w:rsid w:val="00260B6C"/>
    <w:rsid w:val="0026360B"/>
    <w:rsid w:val="0026472E"/>
    <w:rsid w:val="00266504"/>
    <w:rsid w:val="00266F7E"/>
    <w:rsid w:val="00267649"/>
    <w:rsid w:val="00270EB3"/>
    <w:rsid w:val="0027153E"/>
    <w:rsid w:val="002744D8"/>
    <w:rsid w:val="002770F6"/>
    <w:rsid w:val="0027725D"/>
    <w:rsid w:val="00277380"/>
    <w:rsid w:val="00280EEC"/>
    <w:rsid w:val="00281844"/>
    <w:rsid w:val="00282540"/>
    <w:rsid w:val="00282EEF"/>
    <w:rsid w:val="00284EA3"/>
    <w:rsid w:val="00285271"/>
    <w:rsid w:val="00286CB8"/>
    <w:rsid w:val="002870C0"/>
    <w:rsid w:val="00287115"/>
    <w:rsid w:val="00290583"/>
    <w:rsid w:val="00291A48"/>
    <w:rsid w:val="0029221F"/>
    <w:rsid w:val="00293270"/>
    <w:rsid w:val="00293535"/>
    <w:rsid w:val="00294F56"/>
    <w:rsid w:val="00296CB6"/>
    <w:rsid w:val="002974C6"/>
    <w:rsid w:val="00297830"/>
    <w:rsid w:val="002A137F"/>
    <w:rsid w:val="002A1C56"/>
    <w:rsid w:val="002A478D"/>
    <w:rsid w:val="002A657E"/>
    <w:rsid w:val="002A6C78"/>
    <w:rsid w:val="002A6FB2"/>
    <w:rsid w:val="002A72B2"/>
    <w:rsid w:val="002B0A1D"/>
    <w:rsid w:val="002B2D89"/>
    <w:rsid w:val="002B3171"/>
    <w:rsid w:val="002B3EAF"/>
    <w:rsid w:val="002B422C"/>
    <w:rsid w:val="002B6BEF"/>
    <w:rsid w:val="002B74B8"/>
    <w:rsid w:val="002B7BA5"/>
    <w:rsid w:val="002B7D06"/>
    <w:rsid w:val="002C0746"/>
    <w:rsid w:val="002C0B87"/>
    <w:rsid w:val="002C2B03"/>
    <w:rsid w:val="002C759D"/>
    <w:rsid w:val="002C7FF3"/>
    <w:rsid w:val="002D2431"/>
    <w:rsid w:val="002D3714"/>
    <w:rsid w:val="002D3A5D"/>
    <w:rsid w:val="002D5BBE"/>
    <w:rsid w:val="002D6182"/>
    <w:rsid w:val="002D762C"/>
    <w:rsid w:val="002D77E0"/>
    <w:rsid w:val="002E0182"/>
    <w:rsid w:val="002E0A76"/>
    <w:rsid w:val="002E18D9"/>
    <w:rsid w:val="002E3E2B"/>
    <w:rsid w:val="002E45E9"/>
    <w:rsid w:val="002E66C6"/>
    <w:rsid w:val="002F03BA"/>
    <w:rsid w:val="002F173D"/>
    <w:rsid w:val="002F17EA"/>
    <w:rsid w:val="002F30BA"/>
    <w:rsid w:val="002F49A7"/>
    <w:rsid w:val="002F7601"/>
    <w:rsid w:val="0030094F"/>
    <w:rsid w:val="00300B77"/>
    <w:rsid w:val="00302D05"/>
    <w:rsid w:val="00303503"/>
    <w:rsid w:val="003041BA"/>
    <w:rsid w:val="003056E0"/>
    <w:rsid w:val="00305C3D"/>
    <w:rsid w:val="0031006E"/>
    <w:rsid w:val="003111E0"/>
    <w:rsid w:val="003116BF"/>
    <w:rsid w:val="00311DAC"/>
    <w:rsid w:val="00313F54"/>
    <w:rsid w:val="003202A3"/>
    <w:rsid w:val="003202DE"/>
    <w:rsid w:val="00320ABC"/>
    <w:rsid w:val="003210A5"/>
    <w:rsid w:val="00321BB5"/>
    <w:rsid w:val="003223CC"/>
    <w:rsid w:val="003227E9"/>
    <w:rsid w:val="00322A7A"/>
    <w:rsid w:val="00322A96"/>
    <w:rsid w:val="00323A4F"/>
    <w:rsid w:val="00324812"/>
    <w:rsid w:val="00324F25"/>
    <w:rsid w:val="00325897"/>
    <w:rsid w:val="00325DAA"/>
    <w:rsid w:val="003260DB"/>
    <w:rsid w:val="00327145"/>
    <w:rsid w:val="003273C3"/>
    <w:rsid w:val="003322BF"/>
    <w:rsid w:val="00332569"/>
    <w:rsid w:val="00334F05"/>
    <w:rsid w:val="00341DC5"/>
    <w:rsid w:val="0034259B"/>
    <w:rsid w:val="003439D3"/>
    <w:rsid w:val="00344A80"/>
    <w:rsid w:val="003464F9"/>
    <w:rsid w:val="00346501"/>
    <w:rsid w:val="003470B2"/>
    <w:rsid w:val="003471C7"/>
    <w:rsid w:val="00350BBC"/>
    <w:rsid w:val="00351150"/>
    <w:rsid w:val="00351A5D"/>
    <w:rsid w:val="0035276E"/>
    <w:rsid w:val="00352E0C"/>
    <w:rsid w:val="003543FE"/>
    <w:rsid w:val="00354AFF"/>
    <w:rsid w:val="00356C46"/>
    <w:rsid w:val="00356DFA"/>
    <w:rsid w:val="00360D71"/>
    <w:rsid w:val="003626D4"/>
    <w:rsid w:val="00363CCE"/>
    <w:rsid w:val="0036723C"/>
    <w:rsid w:val="00367CDD"/>
    <w:rsid w:val="0037042F"/>
    <w:rsid w:val="00371716"/>
    <w:rsid w:val="003725C4"/>
    <w:rsid w:val="00375C75"/>
    <w:rsid w:val="00376154"/>
    <w:rsid w:val="003769E8"/>
    <w:rsid w:val="00387DDB"/>
    <w:rsid w:val="003916F6"/>
    <w:rsid w:val="0039179C"/>
    <w:rsid w:val="00391ABC"/>
    <w:rsid w:val="00392002"/>
    <w:rsid w:val="00392628"/>
    <w:rsid w:val="00392B57"/>
    <w:rsid w:val="00392EE2"/>
    <w:rsid w:val="00394141"/>
    <w:rsid w:val="00395D89"/>
    <w:rsid w:val="003A0F56"/>
    <w:rsid w:val="003A14B0"/>
    <w:rsid w:val="003A42FC"/>
    <w:rsid w:val="003A4499"/>
    <w:rsid w:val="003A47F0"/>
    <w:rsid w:val="003A50A8"/>
    <w:rsid w:val="003A61AF"/>
    <w:rsid w:val="003A6F80"/>
    <w:rsid w:val="003B04B3"/>
    <w:rsid w:val="003B39E0"/>
    <w:rsid w:val="003B7C0B"/>
    <w:rsid w:val="003C1C58"/>
    <w:rsid w:val="003C2DC7"/>
    <w:rsid w:val="003C36AB"/>
    <w:rsid w:val="003C3AAF"/>
    <w:rsid w:val="003C4AAE"/>
    <w:rsid w:val="003C7C89"/>
    <w:rsid w:val="003D1C28"/>
    <w:rsid w:val="003D305C"/>
    <w:rsid w:val="003D4521"/>
    <w:rsid w:val="003D5CEF"/>
    <w:rsid w:val="003D6033"/>
    <w:rsid w:val="003D73C5"/>
    <w:rsid w:val="003D7F47"/>
    <w:rsid w:val="003E1185"/>
    <w:rsid w:val="003E48A6"/>
    <w:rsid w:val="003E5AD0"/>
    <w:rsid w:val="003E5EBB"/>
    <w:rsid w:val="003E647B"/>
    <w:rsid w:val="003E66DE"/>
    <w:rsid w:val="003E780D"/>
    <w:rsid w:val="003F0B9C"/>
    <w:rsid w:val="003F0F7F"/>
    <w:rsid w:val="003F11C0"/>
    <w:rsid w:val="003F1531"/>
    <w:rsid w:val="003F1E6C"/>
    <w:rsid w:val="003F5A2A"/>
    <w:rsid w:val="003F7539"/>
    <w:rsid w:val="003F75C4"/>
    <w:rsid w:val="003F76C6"/>
    <w:rsid w:val="003F7F09"/>
    <w:rsid w:val="00400476"/>
    <w:rsid w:val="004007DF"/>
    <w:rsid w:val="004013ED"/>
    <w:rsid w:val="00401B60"/>
    <w:rsid w:val="00401EE4"/>
    <w:rsid w:val="004032DB"/>
    <w:rsid w:val="004036C8"/>
    <w:rsid w:val="004036E2"/>
    <w:rsid w:val="00406293"/>
    <w:rsid w:val="00407B5F"/>
    <w:rsid w:val="004104A0"/>
    <w:rsid w:val="00413043"/>
    <w:rsid w:val="00413874"/>
    <w:rsid w:val="00413BF7"/>
    <w:rsid w:val="00415435"/>
    <w:rsid w:val="00415D50"/>
    <w:rsid w:val="00415DCA"/>
    <w:rsid w:val="0041676E"/>
    <w:rsid w:val="00420E47"/>
    <w:rsid w:val="00424A62"/>
    <w:rsid w:val="00426DE6"/>
    <w:rsid w:val="0042790F"/>
    <w:rsid w:val="004313A2"/>
    <w:rsid w:val="00432040"/>
    <w:rsid w:val="00433873"/>
    <w:rsid w:val="00434948"/>
    <w:rsid w:val="004352AE"/>
    <w:rsid w:val="004374D5"/>
    <w:rsid w:val="00437705"/>
    <w:rsid w:val="00437FAC"/>
    <w:rsid w:val="00437FB5"/>
    <w:rsid w:val="00440680"/>
    <w:rsid w:val="00442763"/>
    <w:rsid w:val="00442F56"/>
    <w:rsid w:val="00443354"/>
    <w:rsid w:val="00443EE2"/>
    <w:rsid w:val="00445AB2"/>
    <w:rsid w:val="00445C89"/>
    <w:rsid w:val="004464A3"/>
    <w:rsid w:val="0044739A"/>
    <w:rsid w:val="004510D9"/>
    <w:rsid w:val="004517A2"/>
    <w:rsid w:val="00451AA4"/>
    <w:rsid w:val="00454ED3"/>
    <w:rsid w:val="00457705"/>
    <w:rsid w:val="00457F24"/>
    <w:rsid w:val="00464142"/>
    <w:rsid w:val="00464389"/>
    <w:rsid w:val="004644C1"/>
    <w:rsid w:val="0046521B"/>
    <w:rsid w:val="00465DD1"/>
    <w:rsid w:val="004676B3"/>
    <w:rsid w:val="00467A80"/>
    <w:rsid w:val="00470594"/>
    <w:rsid w:val="004709A0"/>
    <w:rsid w:val="00472A80"/>
    <w:rsid w:val="00477599"/>
    <w:rsid w:val="00480013"/>
    <w:rsid w:val="00481FED"/>
    <w:rsid w:val="0048342D"/>
    <w:rsid w:val="00484801"/>
    <w:rsid w:val="0048480B"/>
    <w:rsid w:val="00485D3D"/>
    <w:rsid w:val="00486F9F"/>
    <w:rsid w:val="004872CD"/>
    <w:rsid w:val="00487E96"/>
    <w:rsid w:val="0049061C"/>
    <w:rsid w:val="00490ADB"/>
    <w:rsid w:val="00490B7E"/>
    <w:rsid w:val="00492C9B"/>
    <w:rsid w:val="00493B76"/>
    <w:rsid w:val="0049574F"/>
    <w:rsid w:val="00495DDC"/>
    <w:rsid w:val="00497D17"/>
    <w:rsid w:val="00497D9F"/>
    <w:rsid w:val="004A0131"/>
    <w:rsid w:val="004A0750"/>
    <w:rsid w:val="004A16A9"/>
    <w:rsid w:val="004A1DD7"/>
    <w:rsid w:val="004A22A7"/>
    <w:rsid w:val="004A24AA"/>
    <w:rsid w:val="004A2C53"/>
    <w:rsid w:val="004A420D"/>
    <w:rsid w:val="004A4CE3"/>
    <w:rsid w:val="004A5A19"/>
    <w:rsid w:val="004A7D89"/>
    <w:rsid w:val="004B0A63"/>
    <w:rsid w:val="004B365B"/>
    <w:rsid w:val="004B3723"/>
    <w:rsid w:val="004B424F"/>
    <w:rsid w:val="004B538A"/>
    <w:rsid w:val="004B5BD2"/>
    <w:rsid w:val="004B5ED9"/>
    <w:rsid w:val="004B6F31"/>
    <w:rsid w:val="004B7ABB"/>
    <w:rsid w:val="004C0446"/>
    <w:rsid w:val="004C131A"/>
    <w:rsid w:val="004C1B49"/>
    <w:rsid w:val="004C1EA7"/>
    <w:rsid w:val="004C3387"/>
    <w:rsid w:val="004C3874"/>
    <w:rsid w:val="004C51A3"/>
    <w:rsid w:val="004C665E"/>
    <w:rsid w:val="004D0FC9"/>
    <w:rsid w:val="004D45ED"/>
    <w:rsid w:val="004D45F1"/>
    <w:rsid w:val="004D7ED8"/>
    <w:rsid w:val="004E21E3"/>
    <w:rsid w:val="004E249C"/>
    <w:rsid w:val="004E3C18"/>
    <w:rsid w:val="004E4126"/>
    <w:rsid w:val="004F08E5"/>
    <w:rsid w:val="004F0925"/>
    <w:rsid w:val="004F1588"/>
    <w:rsid w:val="004F2F05"/>
    <w:rsid w:val="004F5481"/>
    <w:rsid w:val="004F7AA7"/>
    <w:rsid w:val="00500536"/>
    <w:rsid w:val="005006B0"/>
    <w:rsid w:val="00503146"/>
    <w:rsid w:val="005032CF"/>
    <w:rsid w:val="0050470B"/>
    <w:rsid w:val="00506A1D"/>
    <w:rsid w:val="00506ADE"/>
    <w:rsid w:val="005100C9"/>
    <w:rsid w:val="005103A4"/>
    <w:rsid w:val="0051058E"/>
    <w:rsid w:val="00510CC5"/>
    <w:rsid w:val="005110FA"/>
    <w:rsid w:val="00512642"/>
    <w:rsid w:val="00512C36"/>
    <w:rsid w:val="00512E17"/>
    <w:rsid w:val="00513621"/>
    <w:rsid w:val="0051522A"/>
    <w:rsid w:val="00515416"/>
    <w:rsid w:val="00516B01"/>
    <w:rsid w:val="00517962"/>
    <w:rsid w:val="00522A8B"/>
    <w:rsid w:val="005236EB"/>
    <w:rsid w:val="005247B8"/>
    <w:rsid w:val="005257B1"/>
    <w:rsid w:val="00525E99"/>
    <w:rsid w:val="00526063"/>
    <w:rsid w:val="005261C2"/>
    <w:rsid w:val="005269D1"/>
    <w:rsid w:val="0052744E"/>
    <w:rsid w:val="00527BC3"/>
    <w:rsid w:val="00530E99"/>
    <w:rsid w:val="00533EFC"/>
    <w:rsid w:val="0053510D"/>
    <w:rsid w:val="00535B9C"/>
    <w:rsid w:val="00536C37"/>
    <w:rsid w:val="005416F9"/>
    <w:rsid w:val="00541BD0"/>
    <w:rsid w:val="00541F35"/>
    <w:rsid w:val="0054200D"/>
    <w:rsid w:val="005433DC"/>
    <w:rsid w:val="00544CE8"/>
    <w:rsid w:val="00544DC8"/>
    <w:rsid w:val="00545006"/>
    <w:rsid w:val="00546C45"/>
    <w:rsid w:val="00547608"/>
    <w:rsid w:val="005527CE"/>
    <w:rsid w:val="005539BC"/>
    <w:rsid w:val="00555556"/>
    <w:rsid w:val="00561555"/>
    <w:rsid w:val="00561CBF"/>
    <w:rsid w:val="0056315E"/>
    <w:rsid w:val="00563DF4"/>
    <w:rsid w:val="00564419"/>
    <w:rsid w:val="005653DA"/>
    <w:rsid w:val="00565A4D"/>
    <w:rsid w:val="0056622B"/>
    <w:rsid w:val="00567505"/>
    <w:rsid w:val="00567847"/>
    <w:rsid w:val="00575FF3"/>
    <w:rsid w:val="005764A0"/>
    <w:rsid w:val="0058037E"/>
    <w:rsid w:val="0058138F"/>
    <w:rsid w:val="005835EB"/>
    <w:rsid w:val="005854F9"/>
    <w:rsid w:val="00585579"/>
    <w:rsid w:val="00586548"/>
    <w:rsid w:val="00587612"/>
    <w:rsid w:val="00590405"/>
    <w:rsid w:val="0059270C"/>
    <w:rsid w:val="00593670"/>
    <w:rsid w:val="005951B6"/>
    <w:rsid w:val="00595492"/>
    <w:rsid w:val="005956FF"/>
    <w:rsid w:val="00596FC6"/>
    <w:rsid w:val="005A0F45"/>
    <w:rsid w:val="005A13C3"/>
    <w:rsid w:val="005A199E"/>
    <w:rsid w:val="005A20AD"/>
    <w:rsid w:val="005A4D44"/>
    <w:rsid w:val="005A4EA5"/>
    <w:rsid w:val="005A7062"/>
    <w:rsid w:val="005A77ED"/>
    <w:rsid w:val="005B123D"/>
    <w:rsid w:val="005B3253"/>
    <w:rsid w:val="005B5FFD"/>
    <w:rsid w:val="005C05EA"/>
    <w:rsid w:val="005C0D95"/>
    <w:rsid w:val="005C11F8"/>
    <w:rsid w:val="005C15F3"/>
    <w:rsid w:val="005C1F36"/>
    <w:rsid w:val="005C6C26"/>
    <w:rsid w:val="005C6E64"/>
    <w:rsid w:val="005C71CC"/>
    <w:rsid w:val="005C7675"/>
    <w:rsid w:val="005C7B13"/>
    <w:rsid w:val="005D3256"/>
    <w:rsid w:val="005D628D"/>
    <w:rsid w:val="005D6555"/>
    <w:rsid w:val="005D72B1"/>
    <w:rsid w:val="005D78D7"/>
    <w:rsid w:val="005E05D9"/>
    <w:rsid w:val="005E343D"/>
    <w:rsid w:val="005E40BD"/>
    <w:rsid w:val="005E4744"/>
    <w:rsid w:val="005F045A"/>
    <w:rsid w:val="005F3C44"/>
    <w:rsid w:val="005F5E8D"/>
    <w:rsid w:val="005F6059"/>
    <w:rsid w:val="005F6821"/>
    <w:rsid w:val="00602585"/>
    <w:rsid w:val="006036F5"/>
    <w:rsid w:val="006069A5"/>
    <w:rsid w:val="00610B2A"/>
    <w:rsid w:val="00610CD2"/>
    <w:rsid w:val="00610FB4"/>
    <w:rsid w:val="006114C9"/>
    <w:rsid w:val="00614755"/>
    <w:rsid w:val="00616FDE"/>
    <w:rsid w:val="00620B30"/>
    <w:rsid w:val="006227BF"/>
    <w:rsid w:val="00623D35"/>
    <w:rsid w:val="00624F09"/>
    <w:rsid w:val="00627F35"/>
    <w:rsid w:val="0063045D"/>
    <w:rsid w:val="00631EB2"/>
    <w:rsid w:val="00632B92"/>
    <w:rsid w:val="00632E2C"/>
    <w:rsid w:val="00632FD6"/>
    <w:rsid w:val="006343AE"/>
    <w:rsid w:val="006347D7"/>
    <w:rsid w:val="0063499A"/>
    <w:rsid w:val="00640562"/>
    <w:rsid w:val="00640A8F"/>
    <w:rsid w:val="00641DD4"/>
    <w:rsid w:val="00644B62"/>
    <w:rsid w:val="00644FAF"/>
    <w:rsid w:val="0064545C"/>
    <w:rsid w:val="00646098"/>
    <w:rsid w:val="00646397"/>
    <w:rsid w:val="0064771B"/>
    <w:rsid w:val="006477BA"/>
    <w:rsid w:val="006479F0"/>
    <w:rsid w:val="00650A82"/>
    <w:rsid w:val="00651D60"/>
    <w:rsid w:val="00651E47"/>
    <w:rsid w:val="006521E9"/>
    <w:rsid w:val="00653087"/>
    <w:rsid w:val="00653A78"/>
    <w:rsid w:val="006548AE"/>
    <w:rsid w:val="00655FFB"/>
    <w:rsid w:val="006563BE"/>
    <w:rsid w:val="006566B8"/>
    <w:rsid w:val="00657BD8"/>
    <w:rsid w:val="00660C55"/>
    <w:rsid w:val="00663847"/>
    <w:rsid w:val="00663915"/>
    <w:rsid w:val="00670C54"/>
    <w:rsid w:val="00677105"/>
    <w:rsid w:val="0068109E"/>
    <w:rsid w:val="00681A51"/>
    <w:rsid w:val="0068288F"/>
    <w:rsid w:val="00683307"/>
    <w:rsid w:val="006864CC"/>
    <w:rsid w:val="00691BEA"/>
    <w:rsid w:val="006945FF"/>
    <w:rsid w:val="0069476F"/>
    <w:rsid w:val="00694940"/>
    <w:rsid w:val="00696304"/>
    <w:rsid w:val="006A1BE0"/>
    <w:rsid w:val="006A2C8A"/>
    <w:rsid w:val="006A5D2D"/>
    <w:rsid w:val="006B06A3"/>
    <w:rsid w:val="006B086B"/>
    <w:rsid w:val="006B1562"/>
    <w:rsid w:val="006B1770"/>
    <w:rsid w:val="006B2CB6"/>
    <w:rsid w:val="006B3530"/>
    <w:rsid w:val="006B5819"/>
    <w:rsid w:val="006B5F28"/>
    <w:rsid w:val="006B77BE"/>
    <w:rsid w:val="006C130C"/>
    <w:rsid w:val="006C26DD"/>
    <w:rsid w:val="006C2DEE"/>
    <w:rsid w:val="006C3039"/>
    <w:rsid w:val="006C3C0C"/>
    <w:rsid w:val="006C4B7A"/>
    <w:rsid w:val="006C698B"/>
    <w:rsid w:val="006D16DA"/>
    <w:rsid w:val="006D53F6"/>
    <w:rsid w:val="006D580F"/>
    <w:rsid w:val="006D5AB7"/>
    <w:rsid w:val="006D64F7"/>
    <w:rsid w:val="006D664E"/>
    <w:rsid w:val="006D73A6"/>
    <w:rsid w:val="006D74B9"/>
    <w:rsid w:val="006E0891"/>
    <w:rsid w:val="006E2D4D"/>
    <w:rsid w:val="006E3D05"/>
    <w:rsid w:val="006E5952"/>
    <w:rsid w:val="006E607B"/>
    <w:rsid w:val="006E7607"/>
    <w:rsid w:val="006F0053"/>
    <w:rsid w:val="006F1847"/>
    <w:rsid w:val="006F647F"/>
    <w:rsid w:val="006F64E9"/>
    <w:rsid w:val="006F6C74"/>
    <w:rsid w:val="0070065E"/>
    <w:rsid w:val="00701A5B"/>
    <w:rsid w:val="0070322E"/>
    <w:rsid w:val="00704B18"/>
    <w:rsid w:val="007076ED"/>
    <w:rsid w:val="0070AE68"/>
    <w:rsid w:val="0071155D"/>
    <w:rsid w:val="0071487A"/>
    <w:rsid w:val="00714E95"/>
    <w:rsid w:val="00716DA5"/>
    <w:rsid w:val="0072054B"/>
    <w:rsid w:val="00723041"/>
    <w:rsid w:val="007238F6"/>
    <w:rsid w:val="0072752F"/>
    <w:rsid w:val="007275EB"/>
    <w:rsid w:val="0073538B"/>
    <w:rsid w:val="00737460"/>
    <w:rsid w:val="007411AE"/>
    <w:rsid w:val="00741F43"/>
    <w:rsid w:val="00741F58"/>
    <w:rsid w:val="00741F98"/>
    <w:rsid w:val="007435B2"/>
    <w:rsid w:val="007436DF"/>
    <w:rsid w:val="00744466"/>
    <w:rsid w:val="00745DCD"/>
    <w:rsid w:val="007467F1"/>
    <w:rsid w:val="00746986"/>
    <w:rsid w:val="0075046E"/>
    <w:rsid w:val="00750F06"/>
    <w:rsid w:val="00753255"/>
    <w:rsid w:val="0075384C"/>
    <w:rsid w:val="00753B60"/>
    <w:rsid w:val="00753B69"/>
    <w:rsid w:val="00753DB7"/>
    <w:rsid w:val="00754AA6"/>
    <w:rsid w:val="00755A89"/>
    <w:rsid w:val="007562EB"/>
    <w:rsid w:val="00756370"/>
    <w:rsid w:val="0076013B"/>
    <w:rsid w:val="00761F87"/>
    <w:rsid w:val="00767C5E"/>
    <w:rsid w:val="00770745"/>
    <w:rsid w:val="00773DA0"/>
    <w:rsid w:val="00774DB8"/>
    <w:rsid w:val="0077656B"/>
    <w:rsid w:val="00780F77"/>
    <w:rsid w:val="007820A2"/>
    <w:rsid w:val="00783360"/>
    <w:rsid w:val="0078487A"/>
    <w:rsid w:val="007856C4"/>
    <w:rsid w:val="00785A8D"/>
    <w:rsid w:val="007869C0"/>
    <w:rsid w:val="00791083"/>
    <w:rsid w:val="00792E1B"/>
    <w:rsid w:val="0079376A"/>
    <w:rsid w:val="00795B9A"/>
    <w:rsid w:val="00795C60"/>
    <w:rsid w:val="007965DE"/>
    <w:rsid w:val="00796C6C"/>
    <w:rsid w:val="00796F18"/>
    <w:rsid w:val="007976C9"/>
    <w:rsid w:val="0079785C"/>
    <w:rsid w:val="00797963"/>
    <w:rsid w:val="007A1C7C"/>
    <w:rsid w:val="007A36F5"/>
    <w:rsid w:val="007A39C5"/>
    <w:rsid w:val="007B055E"/>
    <w:rsid w:val="007B1E65"/>
    <w:rsid w:val="007B2A5E"/>
    <w:rsid w:val="007B63D0"/>
    <w:rsid w:val="007B7E4A"/>
    <w:rsid w:val="007C0F39"/>
    <w:rsid w:val="007C2901"/>
    <w:rsid w:val="007C3291"/>
    <w:rsid w:val="007C466F"/>
    <w:rsid w:val="007C545C"/>
    <w:rsid w:val="007C6302"/>
    <w:rsid w:val="007D025C"/>
    <w:rsid w:val="007D04F5"/>
    <w:rsid w:val="007D1DD3"/>
    <w:rsid w:val="007D3EAE"/>
    <w:rsid w:val="007D4D82"/>
    <w:rsid w:val="007D522E"/>
    <w:rsid w:val="007D5359"/>
    <w:rsid w:val="007E1270"/>
    <w:rsid w:val="007E1F9A"/>
    <w:rsid w:val="007E3F8F"/>
    <w:rsid w:val="007E4C53"/>
    <w:rsid w:val="007E554C"/>
    <w:rsid w:val="007E56A8"/>
    <w:rsid w:val="007E5736"/>
    <w:rsid w:val="007E63A7"/>
    <w:rsid w:val="007E7026"/>
    <w:rsid w:val="007E75B7"/>
    <w:rsid w:val="007E7B98"/>
    <w:rsid w:val="007F08E5"/>
    <w:rsid w:val="007F0B02"/>
    <w:rsid w:val="007F2931"/>
    <w:rsid w:val="007F66AB"/>
    <w:rsid w:val="007F6C90"/>
    <w:rsid w:val="007F7ED4"/>
    <w:rsid w:val="00801AF7"/>
    <w:rsid w:val="00801EB9"/>
    <w:rsid w:val="008043C2"/>
    <w:rsid w:val="00805C08"/>
    <w:rsid w:val="00806E96"/>
    <w:rsid w:val="00810084"/>
    <w:rsid w:val="00810278"/>
    <w:rsid w:val="008104E5"/>
    <w:rsid w:val="00813BAF"/>
    <w:rsid w:val="008153BB"/>
    <w:rsid w:val="00816B64"/>
    <w:rsid w:val="00820D8F"/>
    <w:rsid w:val="00821127"/>
    <w:rsid w:val="008221CD"/>
    <w:rsid w:val="0082304E"/>
    <w:rsid w:val="00823642"/>
    <w:rsid w:val="00824C17"/>
    <w:rsid w:val="008262D5"/>
    <w:rsid w:val="00826A5F"/>
    <w:rsid w:val="00826CCA"/>
    <w:rsid w:val="00826FA4"/>
    <w:rsid w:val="00827AE2"/>
    <w:rsid w:val="00832C00"/>
    <w:rsid w:val="00833D47"/>
    <w:rsid w:val="0083453F"/>
    <w:rsid w:val="0083462C"/>
    <w:rsid w:val="00835160"/>
    <w:rsid w:val="0083618A"/>
    <w:rsid w:val="008364FF"/>
    <w:rsid w:val="00836F48"/>
    <w:rsid w:val="00842489"/>
    <w:rsid w:val="00843041"/>
    <w:rsid w:val="00844817"/>
    <w:rsid w:val="00844BD6"/>
    <w:rsid w:val="00845AEF"/>
    <w:rsid w:val="00846A00"/>
    <w:rsid w:val="00847576"/>
    <w:rsid w:val="0085006E"/>
    <w:rsid w:val="0085199E"/>
    <w:rsid w:val="00853CE7"/>
    <w:rsid w:val="00855885"/>
    <w:rsid w:val="00855F1D"/>
    <w:rsid w:val="00857020"/>
    <w:rsid w:val="0085787F"/>
    <w:rsid w:val="00862DC6"/>
    <w:rsid w:val="008662A1"/>
    <w:rsid w:val="00872DDB"/>
    <w:rsid w:val="00873F1B"/>
    <w:rsid w:val="008743F2"/>
    <w:rsid w:val="00874847"/>
    <w:rsid w:val="00880858"/>
    <w:rsid w:val="00880989"/>
    <w:rsid w:val="00881EB3"/>
    <w:rsid w:val="0088240F"/>
    <w:rsid w:val="00883C99"/>
    <w:rsid w:val="00883FD1"/>
    <w:rsid w:val="00884643"/>
    <w:rsid w:val="008846EF"/>
    <w:rsid w:val="00884FCC"/>
    <w:rsid w:val="00886480"/>
    <w:rsid w:val="00890409"/>
    <w:rsid w:val="00891AC8"/>
    <w:rsid w:val="00893BD4"/>
    <w:rsid w:val="00894019"/>
    <w:rsid w:val="00895662"/>
    <w:rsid w:val="008A0F58"/>
    <w:rsid w:val="008A1BEB"/>
    <w:rsid w:val="008A36D6"/>
    <w:rsid w:val="008A3D81"/>
    <w:rsid w:val="008A4E93"/>
    <w:rsid w:val="008A55BD"/>
    <w:rsid w:val="008B093B"/>
    <w:rsid w:val="008B4B0E"/>
    <w:rsid w:val="008B62AB"/>
    <w:rsid w:val="008B6657"/>
    <w:rsid w:val="008B69DB"/>
    <w:rsid w:val="008C50FA"/>
    <w:rsid w:val="008C519A"/>
    <w:rsid w:val="008C7E49"/>
    <w:rsid w:val="008C7EBF"/>
    <w:rsid w:val="008D06FD"/>
    <w:rsid w:val="008D0956"/>
    <w:rsid w:val="008D0A27"/>
    <w:rsid w:val="008D248C"/>
    <w:rsid w:val="008D33D9"/>
    <w:rsid w:val="008D397B"/>
    <w:rsid w:val="008D511E"/>
    <w:rsid w:val="008D750B"/>
    <w:rsid w:val="008D7F50"/>
    <w:rsid w:val="008E146C"/>
    <w:rsid w:val="008E1997"/>
    <w:rsid w:val="008E1D99"/>
    <w:rsid w:val="008E1E28"/>
    <w:rsid w:val="008E2DE2"/>
    <w:rsid w:val="008E3003"/>
    <w:rsid w:val="008E323E"/>
    <w:rsid w:val="008E4CF7"/>
    <w:rsid w:val="008E64BF"/>
    <w:rsid w:val="008E66BF"/>
    <w:rsid w:val="008E7BCA"/>
    <w:rsid w:val="008F0DC6"/>
    <w:rsid w:val="008F21DE"/>
    <w:rsid w:val="008F2406"/>
    <w:rsid w:val="008F25BB"/>
    <w:rsid w:val="008F4367"/>
    <w:rsid w:val="008F4994"/>
    <w:rsid w:val="008F4D6E"/>
    <w:rsid w:val="008F7966"/>
    <w:rsid w:val="008F7D18"/>
    <w:rsid w:val="00900476"/>
    <w:rsid w:val="00901E90"/>
    <w:rsid w:val="009036CA"/>
    <w:rsid w:val="00904CDF"/>
    <w:rsid w:val="00905CBB"/>
    <w:rsid w:val="009065FF"/>
    <w:rsid w:val="00911284"/>
    <w:rsid w:val="00912879"/>
    <w:rsid w:val="00912DFD"/>
    <w:rsid w:val="00912EFF"/>
    <w:rsid w:val="009143AD"/>
    <w:rsid w:val="009158CC"/>
    <w:rsid w:val="00921CF8"/>
    <w:rsid w:val="0092220B"/>
    <w:rsid w:val="00922593"/>
    <w:rsid w:val="009230FD"/>
    <w:rsid w:val="00923155"/>
    <w:rsid w:val="00923B77"/>
    <w:rsid w:val="00925199"/>
    <w:rsid w:val="00925EAC"/>
    <w:rsid w:val="009260F4"/>
    <w:rsid w:val="00927B53"/>
    <w:rsid w:val="00927C8D"/>
    <w:rsid w:val="00927DBF"/>
    <w:rsid w:val="009314B3"/>
    <w:rsid w:val="00931DAD"/>
    <w:rsid w:val="00933287"/>
    <w:rsid w:val="009332B0"/>
    <w:rsid w:val="00933A69"/>
    <w:rsid w:val="00933AEE"/>
    <w:rsid w:val="00935993"/>
    <w:rsid w:val="00936736"/>
    <w:rsid w:val="00941051"/>
    <w:rsid w:val="00941868"/>
    <w:rsid w:val="0094261D"/>
    <w:rsid w:val="00943545"/>
    <w:rsid w:val="00944A75"/>
    <w:rsid w:val="00945780"/>
    <w:rsid w:val="00945C61"/>
    <w:rsid w:val="00946CBD"/>
    <w:rsid w:val="00952E2B"/>
    <w:rsid w:val="00954692"/>
    <w:rsid w:val="00956EB4"/>
    <w:rsid w:val="00962CBF"/>
    <w:rsid w:val="0096395F"/>
    <w:rsid w:val="00963BC5"/>
    <w:rsid w:val="00964366"/>
    <w:rsid w:val="009655E8"/>
    <w:rsid w:val="00966392"/>
    <w:rsid w:val="009663AC"/>
    <w:rsid w:val="009737A1"/>
    <w:rsid w:val="00974515"/>
    <w:rsid w:val="009753C6"/>
    <w:rsid w:val="00975D29"/>
    <w:rsid w:val="0097665C"/>
    <w:rsid w:val="0097727F"/>
    <w:rsid w:val="009773F3"/>
    <w:rsid w:val="00981C8A"/>
    <w:rsid w:val="00984092"/>
    <w:rsid w:val="009874DE"/>
    <w:rsid w:val="00987846"/>
    <w:rsid w:val="00991882"/>
    <w:rsid w:val="0099200E"/>
    <w:rsid w:val="00992190"/>
    <w:rsid w:val="00993D71"/>
    <w:rsid w:val="00994912"/>
    <w:rsid w:val="00994AE1"/>
    <w:rsid w:val="009A08A6"/>
    <w:rsid w:val="009A0B56"/>
    <w:rsid w:val="009A0CBA"/>
    <w:rsid w:val="009A5EBA"/>
    <w:rsid w:val="009A69D1"/>
    <w:rsid w:val="009A719B"/>
    <w:rsid w:val="009B1DCC"/>
    <w:rsid w:val="009B2013"/>
    <w:rsid w:val="009B38DB"/>
    <w:rsid w:val="009B3AF8"/>
    <w:rsid w:val="009B451F"/>
    <w:rsid w:val="009B4E46"/>
    <w:rsid w:val="009B4F0C"/>
    <w:rsid w:val="009B5A1C"/>
    <w:rsid w:val="009B5E6C"/>
    <w:rsid w:val="009B5EE3"/>
    <w:rsid w:val="009C1F7A"/>
    <w:rsid w:val="009C5B5D"/>
    <w:rsid w:val="009C714D"/>
    <w:rsid w:val="009D2587"/>
    <w:rsid w:val="009D37A1"/>
    <w:rsid w:val="009D46BA"/>
    <w:rsid w:val="009D5EC9"/>
    <w:rsid w:val="009D74A3"/>
    <w:rsid w:val="009D7BEB"/>
    <w:rsid w:val="009E0A39"/>
    <w:rsid w:val="009E147B"/>
    <w:rsid w:val="009E1FF0"/>
    <w:rsid w:val="009E27D5"/>
    <w:rsid w:val="009E45DD"/>
    <w:rsid w:val="009E4979"/>
    <w:rsid w:val="009E53DA"/>
    <w:rsid w:val="009F1754"/>
    <w:rsid w:val="009F34D1"/>
    <w:rsid w:val="009F39BB"/>
    <w:rsid w:val="009F3B9D"/>
    <w:rsid w:val="009F4FBC"/>
    <w:rsid w:val="009F5584"/>
    <w:rsid w:val="009F6C58"/>
    <w:rsid w:val="00A001C8"/>
    <w:rsid w:val="00A0027E"/>
    <w:rsid w:val="00A0307A"/>
    <w:rsid w:val="00A04C50"/>
    <w:rsid w:val="00A0501D"/>
    <w:rsid w:val="00A111FD"/>
    <w:rsid w:val="00A11240"/>
    <w:rsid w:val="00A13C0A"/>
    <w:rsid w:val="00A154FA"/>
    <w:rsid w:val="00A16529"/>
    <w:rsid w:val="00A16653"/>
    <w:rsid w:val="00A1791C"/>
    <w:rsid w:val="00A20C58"/>
    <w:rsid w:val="00A22C75"/>
    <w:rsid w:val="00A236FF"/>
    <w:rsid w:val="00A2397D"/>
    <w:rsid w:val="00A23EC8"/>
    <w:rsid w:val="00A24276"/>
    <w:rsid w:val="00A24482"/>
    <w:rsid w:val="00A244DF"/>
    <w:rsid w:val="00A24E20"/>
    <w:rsid w:val="00A26096"/>
    <w:rsid w:val="00A260DA"/>
    <w:rsid w:val="00A30A2D"/>
    <w:rsid w:val="00A31EF3"/>
    <w:rsid w:val="00A349A7"/>
    <w:rsid w:val="00A34A7D"/>
    <w:rsid w:val="00A3672B"/>
    <w:rsid w:val="00A36929"/>
    <w:rsid w:val="00A41863"/>
    <w:rsid w:val="00A4388C"/>
    <w:rsid w:val="00A44063"/>
    <w:rsid w:val="00A440ED"/>
    <w:rsid w:val="00A441C3"/>
    <w:rsid w:val="00A44AAB"/>
    <w:rsid w:val="00A44ED1"/>
    <w:rsid w:val="00A45916"/>
    <w:rsid w:val="00A46B47"/>
    <w:rsid w:val="00A475BE"/>
    <w:rsid w:val="00A478B8"/>
    <w:rsid w:val="00A519C2"/>
    <w:rsid w:val="00A525DA"/>
    <w:rsid w:val="00A56384"/>
    <w:rsid w:val="00A57C20"/>
    <w:rsid w:val="00A60E1E"/>
    <w:rsid w:val="00A61578"/>
    <w:rsid w:val="00A616F7"/>
    <w:rsid w:val="00A61D33"/>
    <w:rsid w:val="00A64BAB"/>
    <w:rsid w:val="00A65A6A"/>
    <w:rsid w:val="00A65B4B"/>
    <w:rsid w:val="00A672BA"/>
    <w:rsid w:val="00A67A99"/>
    <w:rsid w:val="00A70162"/>
    <w:rsid w:val="00A704A0"/>
    <w:rsid w:val="00A71544"/>
    <w:rsid w:val="00A72135"/>
    <w:rsid w:val="00A72CBD"/>
    <w:rsid w:val="00A72FE8"/>
    <w:rsid w:val="00A73685"/>
    <w:rsid w:val="00A76758"/>
    <w:rsid w:val="00A80DEC"/>
    <w:rsid w:val="00A816A9"/>
    <w:rsid w:val="00A81F68"/>
    <w:rsid w:val="00A83653"/>
    <w:rsid w:val="00A84B7F"/>
    <w:rsid w:val="00A852E9"/>
    <w:rsid w:val="00A85419"/>
    <w:rsid w:val="00A90B8D"/>
    <w:rsid w:val="00A92F31"/>
    <w:rsid w:val="00A934DD"/>
    <w:rsid w:val="00A96768"/>
    <w:rsid w:val="00A96CB1"/>
    <w:rsid w:val="00A96E1F"/>
    <w:rsid w:val="00AA2544"/>
    <w:rsid w:val="00AA689E"/>
    <w:rsid w:val="00AA72B0"/>
    <w:rsid w:val="00AB158B"/>
    <w:rsid w:val="00AB2438"/>
    <w:rsid w:val="00AB27ED"/>
    <w:rsid w:val="00AB445C"/>
    <w:rsid w:val="00AB465D"/>
    <w:rsid w:val="00AB4F22"/>
    <w:rsid w:val="00AB5C30"/>
    <w:rsid w:val="00AB5E56"/>
    <w:rsid w:val="00AB6DCB"/>
    <w:rsid w:val="00AC00F7"/>
    <w:rsid w:val="00AC09E2"/>
    <w:rsid w:val="00AC2CF7"/>
    <w:rsid w:val="00AC4971"/>
    <w:rsid w:val="00AC4B5A"/>
    <w:rsid w:val="00AC4B71"/>
    <w:rsid w:val="00AC55AF"/>
    <w:rsid w:val="00AC5BAF"/>
    <w:rsid w:val="00AC74B7"/>
    <w:rsid w:val="00AD343B"/>
    <w:rsid w:val="00AD4A4A"/>
    <w:rsid w:val="00AD550A"/>
    <w:rsid w:val="00AD5F17"/>
    <w:rsid w:val="00AE2452"/>
    <w:rsid w:val="00AE3245"/>
    <w:rsid w:val="00AE3E5D"/>
    <w:rsid w:val="00AE542D"/>
    <w:rsid w:val="00AE5481"/>
    <w:rsid w:val="00AE548F"/>
    <w:rsid w:val="00AF3B5D"/>
    <w:rsid w:val="00B00022"/>
    <w:rsid w:val="00B010B0"/>
    <w:rsid w:val="00B01306"/>
    <w:rsid w:val="00B01C5F"/>
    <w:rsid w:val="00B02505"/>
    <w:rsid w:val="00B02C66"/>
    <w:rsid w:val="00B02DFE"/>
    <w:rsid w:val="00B042C4"/>
    <w:rsid w:val="00B0467F"/>
    <w:rsid w:val="00B046DA"/>
    <w:rsid w:val="00B05357"/>
    <w:rsid w:val="00B0540E"/>
    <w:rsid w:val="00B069CD"/>
    <w:rsid w:val="00B076AF"/>
    <w:rsid w:val="00B10B63"/>
    <w:rsid w:val="00B10E7D"/>
    <w:rsid w:val="00B11968"/>
    <w:rsid w:val="00B130D7"/>
    <w:rsid w:val="00B13CC3"/>
    <w:rsid w:val="00B174EA"/>
    <w:rsid w:val="00B20D7F"/>
    <w:rsid w:val="00B20FE7"/>
    <w:rsid w:val="00B24911"/>
    <w:rsid w:val="00B256B1"/>
    <w:rsid w:val="00B256B8"/>
    <w:rsid w:val="00B25FD5"/>
    <w:rsid w:val="00B30AEF"/>
    <w:rsid w:val="00B3233B"/>
    <w:rsid w:val="00B325D6"/>
    <w:rsid w:val="00B33279"/>
    <w:rsid w:val="00B35061"/>
    <w:rsid w:val="00B3637A"/>
    <w:rsid w:val="00B377F8"/>
    <w:rsid w:val="00B41BFC"/>
    <w:rsid w:val="00B42A4F"/>
    <w:rsid w:val="00B46FB2"/>
    <w:rsid w:val="00B4757B"/>
    <w:rsid w:val="00B51D10"/>
    <w:rsid w:val="00B618D9"/>
    <w:rsid w:val="00B63DDA"/>
    <w:rsid w:val="00B64774"/>
    <w:rsid w:val="00B64BF4"/>
    <w:rsid w:val="00B64C38"/>
    <w:rsid w:val="00B65A94"/>
    <w:rsid w:val="00B736E9"/>
    <w:rsid w:val="00B74A30"/>
    <w:rsid w:val="00B75A69"/>
    <w:rsid w:val="00B761E9"/>
    <w:rsid w:val="00B7709F"/>
    <w:rsid w:val="00B77357"/>
    <w:rsid w:val="00B80614"/>
    <w:rsid w:val="00B8152A"/>
    <w:rsid w:val="00B83864"/>
    <w:rsid w:val="00B84424"/>
    <w:rsid w:val="00B85F49"/>
    <w:rsid w:val="00B87039"/>
    <w:rsid w:val="00B87219"/>
    <w:rsid w:val="00B8763D"/>
    <w:rsid w:val="00B92ED6"/>
    <w:rsid w:val="00B92FCC"/>
    <w:rsid w:val="00B943CB"/>
    <w:rsid w:val="00B943F3"/>
    <w:rsid w:val="00B944A8"/>
    <w:rsid w:val="00B97598"/>
    <w:rsid w:val="00BA0114"/>
    <w:rsid w:val="00BA093A"/>
    <w:rsid w:val="00BA3FAE"/>
    <w:rsid w:val="00BA4106"/>
    <w:rsid w:val="00BA4848"/>
    <w:rsid w:val="00BA4A4F"/>
    <w:rsid w:val="00BA6278"/>
    <w:rsid w:val="00BA6632"/>
    <w:rsid w:val="00BA71C6"/>
    <w:rsid w:val="00BA7960"/>
    <w:rsid w:val="00BB03AA"/>
    <w:rsid w:val="00BB53D8"/>
    <w:rsid w:val="00BB6189"/>
    <w:rsid w:val="00BB65E0"/>
    <w:rsid w:val="00BB7807"/>
    <w:rsid w:val="00BC0534"/>
    <w:rsid w:val="00BC1E3D"/>
    <w:rsid w:val="00BC3370"/>
    <w:rsid w:val="00BC35A8"/>
    <w:rsid w:val="00BC3A03"/>
    <w:rsid w:val="00BC56D5"/>
    <w:rsid w:val="00BC66C3"/>
    <w:rsid w:val="00BD0343"/>
    <w:rsid w:val="00BD2B34"/>
    <w:rsid w:val="00BD3D39"/>
    <w:rsid w:val="00BD3DA7"/>
    <w:rsid w:val="00BD64F5"/>
    <w:rsid w:val="00BD6842"/>
    <w:rsid w:val="00BD7E5B"/>
    <w:rsid w:val="00BE2242"/>
    <w:rsid w:val="00BE2B85"/>
    <w:rsid w:val="00BE6162"/>
    <w:rsid w:val="00BF005E"/>
    <w:rsid w:val="00BF047E"/>
    <w:rsid w:val="00BF0AED"/>
    <w:rsid w:val="00BF1120"/>
    <w:rsid w:val="00BF1186"/>
    <w:rsid w:val="00BF36DD"/>
    <w:rsid w:val="00BF4771"/>
    <w:rsid w:val="00BF49D6"/>
    <w:rsid w:val="00BF5287"/>
    <w:rsid w:val="00BF5647"/>
    <w:rsid w:val="00BF61BA"/>
    <w:rsid w:val="00BF7BEE"/>
    <w:rsid w:val="00C006BE"/>
    <w:rsid w:val="00C0130A"/>
    <w:rsid w:val="00C02A57"/>
    <w:rsid w:val="00C031F0"/>
    <w:rsid w:val="00C032BD"/>
    <w:rsid w:val="00C055CB"/>
    <w:rsid w:val="00C07479"/>
    <w:rsid w:val="00C07655"/>
    <w:rsid w:val="00C10EB4"/>
    <w:rsid w:val="00C11594"/>
    <w:rsid w:val="00C1199C"/>
    <w:rsid w:val="00C11ED7"/>
    <w:rsid w:val="00C126F1"/>
    <w:rsid w:val="00C12F1A"/>
    <w:rsid w:val="00C166C7"/>
    <w:rsid w:val="00C172A6"/>
    <w:rsid w:val="00C17C14"/>
    <w:rsid w:val="00C17E46"/>
    <w:rsid w:val="00C210A2"/>
    <w:rsid w:val="00C220DB"/>
    <w:rsid w:val="00C235BA"/>
    <w:rsid w:val="00C2479D"/>
    <w:rsid w:val="00C26B27"/>
    <w:rsid w:val="00C320E7"/>
    <w:rsid w:val="00C32E03"/>
    <w:rsid w:val="00C361A1"/>
    <w:rsid w:val="00C37BA6"/>
    <w:rsid w:val="00C4088D"/>
    <w:rsid w:val="00C40A04"/>
    <w:rsid w:val="00C40DEC"/>
    <w:rsid w:val="00C41BA7"/>
    <w:rsid w:val="00C42CE9"/>
    <w:rsid w:val="00C43BD0"/>
    <w:rsid w:val="00C46757"/>
    <w:rsid w:val="00C471C3"/>
    <w:rsid w:val="00C47664"/>
    <w:rsid w:val="00C47A0F"/>
    <w:rsid w:val="00C47CAF"/>
    <w:rsid w:val="00C51F33"/>
    <w:rsid w:val="00C53BE8"/>
    <w:rsid w:val="00C5434C"/>
    <w:rsid w:val="00C547B7"/>
    <w:rsid w:val="00C54A4D"/>
    <w:rsid w:val="00C54C9A"/>
    <w:rsid w:val="00C55965"/>
    <w:rsid w:val="00C57488"/>
    <w:rsid w:val="00C62A69"/>
    <w:rsid w:val="00C635BB"/>
    <w:rsid w:val="00C6393B"/>
    <w:rsid w:val="00C63C71"/>
    <w:rsid w:val="00C659B2"/>
    <w:rsid w:val="00C66337"/>
    <w:rsid w:val="00C67925"/>
    <w:rsid w:val="00C679C3"/>
    <w:rsid w:val="00C7209D"/>
    <w:rsid w:val="00C72B71"/>
    <w:rsid w:val="00C73050"/>
    <w:rsid w:val="00C731F9"/>
    <w:rsid w:val="00C73262"/>
    <w:rsid w:val="00C740BD"/>
    <w:rsid w:val="00C744A4"/>
    <w:rsid w:val="00C75ECF"/>
    <w:rsid w:val="00C75F17"/>
    <w:rsid w:val="00C76EFF"/>
    <w:rsid w:val="00C778FD"/>
    <w:rsid w:val="00C77FC5"/>
    <w:rsid w:val="00C8743F"/>
    <w:rsid w:val="00C87F9B"/>
    <w:rsid w:val="00C90AB6"/>
    <w:rsid w:val="00C9364B"/>
    <w:rsid w:val="00C97932"/>
    <w:rsid w:val="00CA216D"/>
    <w:rsid w:val="00CA3781"/>
    <w:rsid w:val="00CA3B14"/>
    <w:rsid w:val="00CA3E3A"/>
    <w:rsid w:val="00CA465F"/>
    <w:rsid w:val="00CA794D"/>
    <w:rsid w:val="00CB0941"/>
    <w:rsid w:val="00CB0CCA"/>
    <w:rsid w:val="00CB1580"/>
    <w:rsid w:val="00CB399D"/>
    <w:rsid w:val="00CB41F5"/>
    <w:rsid w:val="00CB47E0"/>
    <w:rsid w:val="00CB4C6F"/>
    <w:rsid w:val="00CB6D22"/>
    <w:rsid w:val="00CC0254"/>
    <w:rsid w:val="00CC0E95"/>
    <w:rsid w:val="00CC2A5A"/>
    <w:rsid w:val="00CC348F"/>
    <w:rsid w:val="00CC43FB"/>
    <w:rsid w:val="00CC473E"/>
    <w:rsid w:val="00CC5AC4"/>
    <w:rsid w:val="00CC7C98"/>
    <w:rsid w:val="00CC7ED9"/>
    <w:rsid w:val="00CD0489"/>
    <w:rsid w:val="00CD1CE3"/>
    <w:rsid w:val="00CD3D19"/>
    <w:rsid w:val="00CD3FEA"/>
    <w:rsid w:val="00CD73E8"/>
    <w:rsid w:val="00CE391C"/>
    <w:rsid w:val="00CE4161"/>
    <w:rsid w:val="00CE5213"/>
    <w:rsid w:val="00CE5460"/>
    <w:rsid w:val="00CE765E"/>
    <w:rsid w:val="00CF25F8"/>
    <w:rsid w:val="00CF29A2"/>
    <w:rsid w:val="00CF6680"/>
    <w:rsid w:val="00D01044"/>
    <w:rsid w:val="00D01C2C"/>
    <w:rsid w:val="00D02065"/>
    <w:rsid w:val="00D02139"/>
    <w:rsid w:val="00D0308B"/>
    <w:rsid w:val="00D03EAF"/>
    <w:rsid w:val="00D048A9"/>
    <w:rsid w:val="00D0597B"/>
    <w:rsid w:val="00D05B2B"/>
    <w:rsid w:val="00D07828"/>
    <w:rsid w:val="00D078ED"/>
    <w:rsid w:val="00D10674"/>
    <w:rsid w:val="00D10D65"/>
    <w:rsid w:val="00D1216D"/>
    <w:rsid w:val="00D133F0"/>
    <w:rsid w:val="00D13BFF"/>
    <w:rsid w:val="00D156DA"/>
    <w:rsid w:val="00D1674F"/>
    <w:rsid w:val="00D16805"/>
    <w:rsid w:val="00D1789F"/>
    <w:rsid w:val="00D17FB4"/>
    <w:rsid w:val="00D20DB8"/>
    <w:rsid w:val="00D20E2D"/>
    <w:rsid w:val="00D21BC5"/>
    <w:rsid w:val="00D226FE"/>
    <w:rsid w:val="00D24604"/>
    <w:rsid w:val="00D30497"/>
    <w:rsid w:val="00D3075C"/>
    <w:rsid w:val="00D3091C"/>
    <w:rsid w:val="00D3166D"/>
    <w:rsid w:val="00D322A8"/>
    <w:rsid w:val="00D32E36"/>
    <w:rsid w:val="00D33A61"/>
    <w:rsid w:val="00D34335"/>
    <w:rsid w:val="00D35B0A"/>
    <w:rsid w:val="00D36410"/>
    <w:rsid w:val="00D370D1"/>
    <w:rsid w:val="00D4236C"/>
    <w:rsid w:val="00D42E1D"/>
    <w:rsid w:val="00D430AC"/>
    <w:rsid w:val="00D433BE"/>
    <w:rsid w:val="00D4342E"/>
    <w:rsid w:val="00D45582"/>
    <w:rsid w:val="00D46684"/>
    <w:rsid w:val="00D469E1"/>
    <w:rsid w:val="00D472D9"/>
    <w:rsid w:val="00D50588"/>
    <w:rsid w:val="00D50E69"/>
    <w:rsid w:val="00D51588"/>
    <w:rsid w:val="00D5238B"/>
    <w:rsid w:val="00D52DC4"/>
    <w:rsid w:val="00D53C93"/>
    <w:rsid w:val="00D54799"/>
    <w:rsid w:val="00D5593C"/>
    <w:rsid w:val="00D56259"/>
    <w:rsid w:val="00D56FAC"/>
    <w:rsid w:val="00D572A2"/>
    <w:rsid w:val="00D62454"/>
    <w:rsid w:val="00D62A84"/>
    <w:rsid w:val="00D6363B"/>
    <w:rsid w:val="00D645C0"/>
    <w:rsid w:val="00D64AD5"/>
    <w:rsid w:val="00D70E4F"/>
    <w:rsid w:val="00D71290"/>
    <w:rsid w:val="00D724A2"/>
    <w:rsid w:val="00D72861"/>
    <w:rsid w:val="00D74894"/>
    <w:rsid w:val="00D77EB4"/>
    <w:rsid w:val="00D819CB"/>
    <w:rsid w:val="00D82263"/>
    <w:rsid w:val="00D82391"/>
    <w:rsid w:val="00D8547E"/>
    <w:rsid w:val="00D855F2"/>
    <w:rsid w:val="00D857D7"/>
    <w:rsid w:val="00D85E1A"/>
    <w:rsid w:val="00D8763E"/>
    <w:rsid w:val="00D904BD"/>
    <w:rsid w:val="00D907EA"/>
    <w:rsid w:val="00D90C8D"/>
    <w:rsid w:val="00D91CEF"/>
    <w:rsid w:val="00D92FA7"/>
    <w:rsid w:val="00D933CB"/>
    <w:rsid w:val="00D97872"/>
    <w:rsid w:val="00DA0B1D"/>
    <w:rsid w:val="00DA1867"/>
    <w:rsid w:val="00DA322F"/>
    <w:rsid w:val="00DA3483"/>
    <w:rsid w:val="00DA48FA"/>
    <w:rsid w:val="00DB141A"/>
    <w:rsid w:val="00DB1B1B"/>
    <w:rsid w:val="00DB2C3B"/>
    <w:rsid w:val="00DB372A"/>
    <w:rsid w:val="00DB4AC8"/>
    <w:rsid w:val="00DB5B52"/>
    <w:rsid w:val="00DB66A8"/>
    <w:rsid w:val="00DC0B4D"/>
    <w:rsid w:val="00DC161F"/>
    <w:rsid w:val="00DC3215"/>
    <w:rsid w:val="00DC3678"/>
    <w:rsid w:val="00DC3E9D"/>
    <w:rsid w:val="00DC45AC"/>
    <w:rsid w:val="00DC600A"/>
    <w:rsid w:val="00DC7D77"/>
    <w:rsid w:val="00DD0761"/>
    <w:rsid w:val="00DD0869"/>
    <w:rsid w:val="00DD0975"/>
    <w:rsid w:val="00DD0BEF"/>
    <w:rsid w:val="00DD0FE5"/>
    <w:rsid w:val="00DD3ECD"/>
    <w:rsid w:val="00DD57EF"/>
    <w:rsid w:val="00DD6A63"/>
    <w:rsid w:val="00DD6D8C"/>
    <w:rsid w:val="00DE37CB"/>
    <w:rsid w:val="00DE3E48"/>
    <w:rsid w:val="00DE55E6"/>
    <w:rsid w:val="00DF0D3F"/>
    <w:rsid w:val="00DF12EC"/>
    <w:rsid w:val="00DF5592"/>
    <w:rsid w:val="00E016F6"/>
    <w:rsid w:val="00E01CE3"/>
    <w:rsid w:val="00E03299"/>
    <w:rsid w:val="00E12736"/>
    <w:rsid w:val="00E12FD3"/>
    <w:rsid w:val="00E132E0"/>
    <w:rsid w:val="00E13A0F"/>
    <w:rsid w:val="00E14A58"/>
    <w:rsid w:val="00E15640"/>
    <w:rsid w:val="00E15ABB"/>
    <w:rsid w:val="00E167CB"/>
    <w:rsid w:val="00E20F5A"/>
    <w:rsid w:val="00E21806"/>
    <w:rsid w:val="00E227F3"/>
    <w:rsid w:val="00E24175"/>
    <w:rsid w:val="00E31648"/>
    <w:rsid w:val="00E3209E"/>
    <w:rsid w:val="00E3221C"/>
    <w:rsid w:val="00E327E8"/>
    <w:rsid w:val="00E333A4"/>
    <w:rsid w:val="00E33803"/>
    <w:rsid w:val="00E343C3"/>
    <w:rsid w:val="00E353CE"/>
    <w:rsid w:val="00E37BA7"/>
    <w:rsid w:val="00E427A5"/>
    <w:rsid w:val="00E44056"/>
    <w:rsid w:val="00E44249"/>
    <w:rsid w:val="00E447B0"/>
    <w:rsid w:val="00E45AFA"/>
    <w:rsid w:val="00E47025"/>
    <w:rsid w:val="00E50AD9"/>
    <w:rsid w:val="00E51D4B"/>
    <w:rsid w:val="00E543B7"/>
    <w:rsid w:val="00E547E0"/>
    <w:rsid w:val="00E552CC"/>
    <w:rsid w:val="00E5554B"/>
    <w:rsid w:val="00E567E6"/>
    <w:rsid w:val="00E57E97"/>
    <w:rsid w:val="00E61E9B"/>
    <w:rsid w:val="00E62197"/>
    <w:rsid w:val="00E6229D"/>
    <w:rsid w:val="00E626F4"/>
    <w:rsid w:val="00E6710E"/>
    <w:rsid w:val="00E7247B"/>
    <w:rsid w:val="00E75977"/>
    <w:rsid w:val="00E75FC1"/>
    <w:rsid w:val="00E76E11"/>
    <w:rsid w:val="00E77AFF"/>
    <w:rsid w:val="00E8095D"/>
    <w:rsid w:val="00E80BC2"/>
    <w:rsid w:val="00E819BA"/>
    <w:rsid w:val="00E8201B"/>
    <w:rsid w:val="00E90702"/>
    <w:rsid w:val="00E91DA4"/>
    <w:rsid w:val="00E91F4C"/>
    <w:rsid w:val="00E928D8"/>
    <w:rsid w:val="00E92E5D"/>
    <w:rsid w:val="00E94963"/>
    <w:rsid w:val="00E94DE5"/>
    <w:rsid w:val="00E94E0A"/>
    <w:rsid w:val="00E96CE3"/>
    <w:rsid w:val="00E970F5"/>
    <w:rsid w:val="00E97CCD"/>
    <w:rsid w:val="00EA2CB8"/>
    <w:rsid w:val="00EA4207"/>
    <w:rsid w:val="00EA67E1"/>
    <w:rsid w:val="00EB1353"/>
    <w:rsid w:val="00EB2388"/>
    <w:rsid w:val="00EB2742"/>
    <w:rsid w:val="00EB52A3"/>
    <w:rsid w:val="00EB67A9"/>
    <w:rsid w:val="00EB791F"/>
    <w:rsid w:val="00EC09A6"/>
    <w:rsid w:val="00EC0D0E"/>
    <w:rsid w:val="00EC21B4"/>
    <w:rsid w:val="00ED00B5"/>
    <w:rsid w:val="00ED0B5C"/>
    <w:rsid w:val="00ED0CB9"/>
    <w:rsid w:val="00ED0EE8"/>
    <w:rsid w:val="00ED692D"/>
    <w:rsid w:val="00ED7088"/>
    <w:rsid w:val="00ED725B"/>
    <w:rsid w:val="00ED7E6B"/>
    <w:rsid w:val="00EE0431"/>
    <w:rsid w:val="00EE073E"/>
    <w:rsid w:val="00EE0CD6"/>
    <w:rsid w:val="00EE4F5C"/>
    <w:rsid w:val="00EE5B01"/>
    <w:rsid w:val="00EE602C"/>
    <w:rsid w:val="00EE74D8"/>
    <w:rsid w:val="00EE7E6B"/>
    <w:rsid w:val="00EF11EC"/>
    <w:rsid w:val="00EF14D4"/>
    <w:rsid w:val="00EF17F3"/>
    <w:rsid w:val="00EF3CAC"/>
    <w:rsid w:val="00EF4440"/>
    <w:rsid w:val="00EF4ED0"/>
    <w:rsid w:val="00EF6965"/>
    <w:rsid w:val="00EF7067"/>
    <w:rsid w:val="00F00A6D"/>
    <w:rsid w:val="00F00D49"/>
    <w:rsid w:val="00F01525"/>
    <w:rsid w:val="00F066C8"/>
    <w:rsid w:val="00F06E97"/>
    <w:rsid w:val="00F10355"/>
    <w:rsid w:val="00F10663"/>
    <w:rsid w:val="00F111F2"/>
    <w:rsid w:val="00F1476F"/>
    <w:rsid w:val="00F16DE5"/>
    <w:rsid w:val="00F1787A"/>
    <w:rsid w:val="00F20859"/>
    <w:rsid w:val="00F21746"/>
    <w:rsid w:val="00F220F9"/>
    <w:rsid w:val="00F2287C"/>
    <w:rsid w:val="00F23769"/>
    <w:rsid w:val="00F2533E"/>
    <w:rsid w:val="00F25839"/>
    <w:rsid w:val="00F26954"/>
    <w:rsid w:val="00F26C69"/>
    <w:rsid w:val="00F332EF"/>
    <w:rsid w:val="00F33361"/>
    <w:rsid w:val="00F3394D"/>
    <w:rsid w:val="00F33D3E"/>
    <w:rsid w:val="00F34753"/>
    <w:rsid w:val="00F35F02"/>
    <w:rsid w:val="00F36B1C"/>
    <w:rsid w:val="00F37759"/>
    <w:rsid w:val="00F438AC"/>
    <w:rsid w:val="00F44424"/>
    <w:rsid w:val="00F5030D"/>
    <w:rsid w:val="00F50F36"/>
    <w:rsid w:val="00F5190F"/>
    <w:rsid w:val="00F51A12"/>
    <w:rsid w:val="00F51E87"/>
    <w:rsid w:val="00F532B3"/>
    <w:rsid w:val="00F53D5A"/>
    <w:rsid w:val="00F5472F"/>
    <w:rsid w:val="00F5519E"/>
    <w:rsid w:val="00F559AB"/>
    <w:rsid w:val="00F608E1"/>
    <w:rsid w:val="00F60A1B"/>
    <w:rsid w:val="00F637F3"/>
    <w:rsid w:val="00F6611E"/>
    <w:rsid w:val="00F667EE"/>
    <w:rsid w:val="00F66D7B"/>
    <w:rsid w:val="00F6709E"/>
    <w:rsid w:val="00F71271"/>
    <w:rsid w:val="00F7336E"/>
    <w:rsid w:val="00F73A0E"/>
    <w:rsid w:val="00F7466A"/>
    <w:rsid w:val="00F751FB"/>
    <w:rsid w:val="00F7575E"/>
    <w:rsid w:val="00F765F3"/>
    <w:rsid w:val="00F812D2"/>
    <w:rsid w:val="00F8331D"/>
    <w:rsid w:val="00F83A75"/>
    <w:rsid w:val="00F83C41"/>
    <w:rsid w:val="00F8439D"/>
    <w:rsid w:val="00F846F5"/>
    <w:rsid w:val="00F8551E"/>
    <w:rsid w:val="00F85E51"/>
    <w:rsid w:val="00F8662B"/>
    <w:rsid w:val="00F93999"/>
    <w:rsid w:val="00F95421"/>
    <w:rsid w:val="00F9586E"/>
    <w:rsid w:val="00F96D26"/>
    <w:rsid w:val="00F973CC"/>
    <w:rsid w:val="00FA023E"/>
    <w:rsid w:val="00FA08D7"/>
    <w:rsid w:val="00FA106B"/>
    <w:rsid w:val="00FA1159"/>
    <w:rsid w:val="00FA1246"/>
    <w:rsid w:val="00FA2B77"/>
    <w:rsid w:val="00FA350A"/>
    <w:rsid w:val="00FA3C72"/>
    <w:rsid w:val="00FA5CF2"/>
    <w:rsid w:val="00FA69A0"/>
    <w:rsid w:val="00FB0A62"/>
    <w:rsid w:val="00FB5157"/>
    <w:rsid w:val="00FB55C1"/>
    <w:rsid w:val="00FB747D"/>
    <w:rsid w:val="00FC1251"/>
    <w:rsid w:val="00FC152F"/>
    <w:rsid w:val="00FC1A9D"/>
    <w:rsid w:val="00FC1E54"/>
    <w:rsid w:val="00FC23B1"/>
    <w:rsid w:val="00FC3B7E"/>
    <w:rsid w:val="00FC4974"/>
    <w:rsid w:val="00FC4B2A"/>
    <w:rsid w:val="00FC4FB8"/>
    <w:rsid w:val="00FD1BB0"/>
    <w:rsid w:val="00FD2BAB"/>
    <w:rsid w:val="00FD2E5A"/>
    <w:rsid w:val="00FD31D0"/>
    <w:rsid w:val="00FD34D0"/>
    <w:rsid w:val="00FD3FAA"/>
    <w:rsid w:val="00FD75E6"/>
    <w:rsid w:val="00FD7D37"/>
    <w:rsid w:val="00FE088E"/>
    <w:rsid w:val="00FE1D34"/>
    <w:rsid w:val="00FE1E2D"/>
    <w:rsid w:val="00FE293F"/>
    <w:rsid w:val="00FE317B"/>
    <w:rsid w:val="00FE45D9"/>
    <w:rsid w:val="00FE507E"/>
    <w:rsid w:val="00FE6310"/>
    <w:rsid w:val="00FE7DDD"/>
    <w:rsid w:val="00FF15A1"/>
    <w:rsid w:val="00FF4CFA"/>
    <w:rsid w:val="00FF4EEA"/>
    <w:rsid w:val="014109D7"/>
    <w:rsid w:val="014C827A"/>
    <w:rsid w:val="0256DD93"/>
    <w:rsid w:val="043D6071"/>
    <w:rsid w:val="04765EA5"/>
    <w:rsid w:val="04F6C055"/>
    <w:rsid w:val="0571FBCB"/>
    <w:rsid w:val="057B004A"/>
    <w:rsid w:val="05C42E40"/>
    <w:rsid w:val="063EC6D4"/>
    <w:rsid w:val="06995DE0"/>
    <w:rsid w:val="06F40EE5"/>
    <w:rsid w:val="076122F9"/>
    <w:rsid w:val="08AFA2C2"/>
    <w:rsid w:val="0AA58799"/>
    <w:rsid w:val="0AE93763"/>
    <w:rsid w:val="0BC9CFD9"/>
    <w:rsid w:val="0C087730"/>
    <w:rsid w:val="0D36D737"/>
    <w:rsid w:val="0D560396"/>
    <w:rsid w:val="0E8A9E3D"/>
    <w:rsid w:val="0EB36A73"/>
    <w:rsid w:val="0EF35350"/>
    <w:rsid w:val="0F8B3571"/>
    <w:rsid w:val="0F939FCD"/>
    <w:rsid w:val="0FC24B9B"/>
    <w:rsid w:val="107A7F44"/>
    <w:rsid w:val="110CB4EC"/>
    <w:rsid w:val="112D831F"/>
    <w:rsid w:val="11D6C006"/>
    <w:rsid w:val="12550195"/>
    <w:rsid w:val="12BC6577"/>
    <w:rsid w:val="12D07BBC"/>
    <w:rsid w:val="12DE6878"/>
    <w:rsid w:val="132E83FC"/>
    <w:rsid w:val="14BC6C71"/>
    <w:rsid w:val="157954E7"/>
    <w:rsid w:val="157A97D1"/>
    <w:rsid w:val="15D793CC"/>
    <w:rsid w:val="1879DF3A"/>
    <w:rsid w:val="18E32D60"/>
    <w:rsid w:val="1B673067"/>
    <w:rsid w:val="1B950C88"/>
    <w:rsid w:val="1BF5DE16"/>
    <w:rsid w:val="1C1C60FC"/>
    <w:rsid w:val="1C207B05"/>
    <w:rsid w:val="1D757D3A"/>
    <w:rsid w:val="1DF9C3DE"/>
    <w:rsid w:val="1F76BB10"/>
    <w:rsid w:val="205FF49C"/>
    <w:rsid w:val="207B6214"/>
    <w:rsid w:val="20E9EE78"/>
    <w:rsid w:val="21620C73"/>
    <w:rsid w:val="21B54C4B"/>
    <w:rsid w:val="22A4480A"/>
    <w:rsid w:val="232B3842"/>
    <w:rsid w:val="23BC74DE"/>
    <w:rsid w:val="23D55BC2"/>
    <w:rsid w:val="23F1A3DD"/>
    <w:rsid w:val="24038D85"/>
    <w:rsid w:val="24194223"/>
    <w:rsid w:val="2427227D"/>
    <w:rsid w:val="24603881"/>
    <w:rsid w:val="256135EB"/>
    <w:rsid w:val="26693A23"/>
    <w:rsid w:val="26D66215"/>
    <w:rsid w:val="276B4DDC"/>
    <w:rsid w:val="27E2CE4A"/>
    <w:rsid w:val="27F136B8"/>
    <w:rsid w:val="2ABEECAC"/>
    <w:rsid w:val="2BCFA083"/>
    <w:rsid w:val="2C9B0A07"/>
    <w:rsid w:val="2D7FE19B"/>
    <w:rsid w:val="2E3B8551"/>
    <w:rsid w:val="2ED17322"/>
    <w:rsid w:val="303A2E86"/>
    <w:rsid w:val="3061C54C"/>
    <w:rsid w:val="324045FB"/>
    <w:rsid w:val="328F7602"/>
    <w:rsid w:val="33C16D14"/>
    <w:rsid w:val="33FE8B52"/>
    <w:rsid w:val="34A93BD0"/>
    <w:rsid w:val="36C13B5F"/>
    <w:rsid w:val="370985EC"/>
    <w:rsid w:val="37FEF424"/>
    <w:rsid w:val="389671C6"/>
    <w:rsid w:val="38AFC058"/>
    <w:rsid w:val="38B16905"/>
    <w:rsid w:val="38BE43FF"/>
    <w:rsid w:val="39E1D762"/>
    <w:rsid w:val="3AAD646F"/>
    <w:rsid w:val="3D00C0AD"/>
    <w:rsid w:val="3F1AA637"/>
    <w:rsid w:val="4105967B"/>
    <w:rsid w:val="4127F76A"/>
    <w:rsid w:val="41D8F5F4"/>
    <w:rsid w:val="4201D038"/>
    <w:rsid w:val="42345250"/>
    <w:rsid w:val="426BA7CF"/>
    <w:rsid w:val="432EF48E"/>
    <w:rsid w:val="434050EF"/>
    <w:rsid w:val="436F9803"/>
    <w:rsid w:val="43A2C3AA"/>
    <w:rsid w:val="43CC58D6"/>
    <w:rsid w:val="453C10CB"/>
    <w:rsid w:val="455E226C"/>
    <w:rsid w:val="45687F69"/>
    <w:rsid w:val="45D66EC7"/>
    <w:rsid w:val="46242AB1"/>
    <w:rsid w:val="46B77608"/>
    <w:rsid w:val="46E17CF6"/>
    <w:rsid w:val="48DD1801"/>
    <w:rsid w:val="49828D53"/>
    <w:rsid w:val="4A74E407"/>
    <w:rsid w:val="4B2917D0"/>
    <w:rsid w:val="4BB913D9"/>
    <w:rsid w:val="4CAFF2F2"/>
    <w:rsid w:val="4E75AF8F"/>
    <w:rsid w:val="4FEBD6F5"/>
    <w:rsid w:val="516DC178"/>
    <w:rsid w:val="5201142C"/>
    <w:rsid w:val="5206C5E5"/>
    <w:rsid w:val="52DCF23E"/>
    <w:rsid w:val="53D5575F"/>
    <w:rsid w:val="55915333"/>
    <w:rsid w:val="55A5FA17"/>
    <w:rsid w:val="55BD1678"/>
    <w:rsid w:val="561E05F9"/>
    <w:rsid w:val="56A0E4F5"/>
    <w:rsid w:val="56C8455F"/>
    <w:rsid w:val="58058CBC"/>
    <w:rsid w:val="587B68B8"/>
    <w:rsid w:val="59880005"/>
    <w:rsid w:val="59A6747C"/>
    <w:rsid w:val="5A1FAF96"/>
    <w:rsid w:val="5B7174C8"/>
    <w:rsid w:val="5BB721C7"/>
    <w:rsid w:val="5CCC7BC3"/>
    <w:rsid w:val="5CE87206"/>
    <w:rsid w:val="5CF9B655"/>
    <w:rsid w:val="5D99EA15"/>
    <w:rsid w:val="5E3343DE"/>
    <w:rsid w:val="5EFB3148"/>
    <w:rsid w:val="5F1ED695"/>
    <w:rsid w:val="5FDC97B3"/>
    <w:rsid w:val="5FF3FD6B"/>
    <w:rsid w:val="5FF9936A"/>
    <w:rsid w:val="601A4207"/>
    <w:rsid w:val="60B3AAD8"/>
    <w:rsid w:val="6178E3B4"/>
    <w:rsid w:val="620C87AB"/>
    <w:rsid w:val="62B42B48"/>
    <w:rsid w:val="6393FE72"/>
    <w:rsid w:val="648696C0"/>
    <w:rsid w:val="64ADBCC0"/>
    <w:rsid w:val="64C6AB10"/>
    <w:rsid w:val="6567103B"/>
    <w:rsid w:val="662BCA78"/>
    <w:rsid w:val="6839C9CD"/>
    <w:rsid w:val="683AD8A9"/>
    <w:rsid w:val="69520629"/>
    <w:rsid w:val="69847BF3"/>
    <w:rsid w:val="6AE99F3D"/>
    <w:rsid w:val="6B044020"/>
    <w:rsid w:val="6BB37193"/>
    <w:rsid w:val="6C465C16"/>
    <w:rsid w:val="6C59608E"/>
    <w:rsid w:val="6CD40EE0"/>
    <w:rsid w:val="6D3E6953"/>
    <w:rsid w:val="6D51184C"/>
    <w:rsid w:val="6F53D2A7"/>
    <w:rsid w:val="6F7A1A22"/>
    <w:rsid w:val="6FE58FD0"/>
    <w:rsid w:val="70158F53"/>
    <w:rsid w:val="7045B00B"/>
    <w:rsid w:val="7049F2FA"/>
    <w:rsid w:val="70B0D21F"/>
    <w:rsid w:val="713E9C8E"/>
    <w:rsid w:val="715FC8E2"/>
    <w:rsid w:val="71B03508"/>
    <w:rsid w:val="7392BE10"/>
    <w:rsid w:val="7417182E"/>
    <w:rsid w:val="751C3706"/>
    <w:rsid w:val="753D9227"/>
    <w:rsid w:val="77A3587E"/>
    <w:rsid w:val="77B1A048"/>
    <w:rsid w:val="77BABE2C"/>
    <w:rsid w:val="78671E41"/>
    <w:rsid w:val="79C4CCE1"/>
    <w:rsid w:val="7AAEC6D2"/>
    <w:rsid w:val="7B60FC86"/>
    <w:rsid w:val="7BBEB972"/>
    <w:rsid w:val="7D87E81C"/>
    <w:rsid w:val="7DB1F288"/>
    <w:rsid w:val="7DB2BF7D"/>
    <w:rsid w:val="7E11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1F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1F"/>
    <w:pPr>
      <w:spacing w:after="0" w:line="480" w:lineRule="auto"/>
      <w:jc w:val="both"/>
    </w:pPr>
    <w:rPr>
      <w:rFonts w:ascii="Times New Roman" w:eastAsia="MS Mincho" w:hAnsi="Times New Roman" w:cs="Times New Roman"/>
      <w:kern w:val="0"/>
      <w:sz w:val="26"/>
      <w:szCs w:val="24"/>
      <w14:ligatures w14:val="none"/>
    </w:rPr>
  </w:style>
  <w:style w:type="paragraph" w:styleId="Heading1">
    <w:name w:val="heading 1"/>
    <w:basedOn w:val="Normal"/>
    <w:next w:val="Normal"/>
    <w:link w:val="Heading1Char"/>
    <w:uiPriority w:val="9"/>
    <w:qFormat/>
    <w:rsid w:val="007B2A5E"/>
    <w:pPr>
      <w:keepNext/>
      <w:keepLines/>
      <w:spacing w:before="360" w:after="80"/>
      <w:jc w:val="center"/>
      <w:outlineLvl w:val="0"/>
    </w:pPr>
    <w:rPr>
      <w:rFonts w:eastAsiaTheme="majorEastAsia"/>
      <w:b/>
      <w:bCs/>
      <w:szCs w:val="26"/>
      <w:u w:val="single"/>
    </w:rPr>
  </w:style>
  <w:style w:type="paragraph" w:styleId="Heading2">
    <w:name w:val="heading 2"/>
    <w:basedOn w:val="ListParagraph"/>
    <w:next w:val="Normal"/>
    <w:link w:val="Heading2Char"/>
    <w:uiPriority w:val="9"/>
    <w:unhideWhenUsed/>
    <w:qFormat/>
    <w:rsid w:val="004A24AA"/>
    <w:pPr>
      <w:numPr>
        <w:numId w:val="21"/>
      </w:numPr>
      <w:spacing w:line="259" w:lineRule="auto"/>
      <w:outlineLvl w:val="1"/>
    </w:pPr>
    <w:rPr>
      <w:rFonts w:eastAsia="Times New Roman"/>
      <w:b/>
    </w:rPr>
  </w:style>
  <w:style w:type="paragraph" w:styleId="Heading3">
    <w:name w:val="heading 3"/>
    <w:basedOn w:val="ListParagraph"/>
    <w:next w:val="Normal"/>
    <w:link w:val="Heading3Char"/>
    <w:uiPriority w:val="9"/>
    <w:unhideWhenUsed/>
    <w:qFormat/>
    <w:rsid w:val="008E323E"/>
    <w:pPr>
      <w:numPr>
        <w:numId w:val="22"/>
      </w:numPr>
      <w:spacing w:after="240" w:line="259" w:lineRule="auto"/>
      <w:outlineLvl w:val="2"/>
    </w:pPr>
    <w:rPr>
      <w:rFonts w:eastAsia="Times New Roman"/>
      <w:b/>
    </w:rPr>
  </w:style>
  <w:style w:type="paragraph" w:styleId="Heading4">
    <w:name w:val="heading 4"/>
    <w:basedOn w:val="ListParagraph"/>
    <w:next w:val="Normal"/>
    <w:link w:val="Heading4Char"/>
    <w:uiPriority w:val="9"/>
    <w:unhideWhenUsed/>
    <w:qFormat/>
    <w:rsid w:val="00A111FD"/>
    <w:pPr>
      <w:numPr>
        <w:numId w:val="26"/>
      </w:numPr>
      <w:spacing w:after="160" w:line="276" w:lineRule="auto"/>
      <w:outlineLvl w:val="3"/>
    </w:pPr>
    <w:rPr>
      <w:b/>
      <w:bCs/>
      <w:szCs w:val="26"/>
    </w:rPr>
  </w:style>
  <w:style w:type="paragraph" w:styleId="Heading5">
    <w:name w:val="heading 5"/>
    <w:basedOn w:val="Normal"/>
    <w:next w:val="Normal"/>
    <w:link w:val="Heading5Char"/>
    <w:uiPriority w:val="9"/>
    <w:semiHidden/>
    <w:unhideWhenUsed/>
    <w:qFormat/>
    <w:rsid w:val="002A1C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C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C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C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C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A5E"/>
    <w:rPr>
      <w:rFonts w:ascii="Times New Roman" w:eastAsiaTheme="majorEastAsia" w:hAnsi="Times New Roman" w:cs="Times New Roman"/>
      <w:b/>
      <w:bCs/>
      <w:kern w:val="0"/>
      <w:sz w:val="26"/>
      <w:szCs w:val="26"/>
      <w:u w:val="single"/>
      <w14:ligatures w14:val="none"/>
    </w:rPr>
  </w:style>
  <w:style w:type="character" w:customStyle="1" w:styleId="Heading2Char">
    <w:name w:val="Heading 2 Char"/>
    <w:basedOn w:val="DefaultParagraphFont"/>
    <w:link w:val="Heading2"/>
    <w:uiPriority w:val="9"/>
    <w:rsid w:val="004A24AA"/>
    <w:rPr>
      <w:rFonts w:ascii="Times New Roman" w:eastAsia="Times New Roman" w:hAnsi="Times New Roman" w:cs="Times New Roman"/>
      <w:b/>
      <w:kern w:val="0"/>
      <w:sz w:val="26"/>
      <w:szCs w:val="24"/>
      <w14:ligatures w14:val="none"/>
    </w:rPr>
  </w:style>
  <w:style w:type="character" w:customStyle="1" w:styleId="Heading3Char">
    <w:name w:val="Heading 3 Char"/>
    <w:basedOn w:val="DefaultParagraphFont"/>
    <w:link w:val="Heading3"/>
    <w:uiPriority w:val="9"/>
    <w:rsid w:val="008E323E"/>
    <w:rPr>
      <w:rFonts w:ascii="Times New Roman" w:eastAsia="Times New Roman" w:hAnsi="Times New Roman" w:cs="Times New Roman"/>
      <w:b/>
      <w:kern w:val="0"/>
      <w:sz w:val="26"/>
      <w:szCs w:val="24"/>
      <w14:ligatures w14:val="none"/>
    </w:rPr>
  </w:style>
  <w:style w:type="character" w:customStyle="1" w:styleId="Heading4Char">
    <w:name w:val="Heading 4 Char"/>
    <w:basedOn w:val="DefaultParagraphFont"/>
    <w:link w:val="Heading4"/>
    <w:uiPriority w:val="9"/>
    <w:rsid w:val="00A111FD"/>
    <w:rPr>
      <w:rFonts w:ascii="Times New Roman" w:eastAsia="MS Mincho" w:hAnsi="Times New Roman" w:cs="Times New Roman"/>
      <w:b/>
      <w:bCs/>
      <w:kern w:val="0"/>
      <w:sz w:val="26"/>
      <w:szCs w:val="26"/>
      <w14:ligatures w14:val="none"/>
    </w:rPr>
  </w:style>
  <w:style w:type="character" w:customStyle="1" w:styleId="Heading5Char">
    <w:name w:val="Heading 5 Char"/>
    <w:basedOn w:val="DefaultParagraphFont"/>
    <w:link w:val="Heading5"/>
    <w:uiPriority w:val="9"/>
    <w:semiHidden/>
    <w:rsid w:val="002A1C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C56"/>
    <w:rPr>
      <w:rFonts w:eastAsiaTheme="majorEastAsia" w:cstheme="majorBidi"/>
      <w:color w:val="272727" w:themeColor="text1" w:themeTint="D8"/>
    </w:rPr>
  </w:style>
  <w:style w:type="paragraph" w:styleId="Title">
    <w:name w:val="Title"/>
    <w:basedOn w:val="Normal"/>
    <w:next w:val="Normal"/>
    <w:link w:val="TitleChar"/>
    <w:uiPriority w:val="10"/>
    <w:qFormat/>
    <w:rsid w:val="002A1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C56"/>
    <w:pPr>
      <w:spacing w:before="160"/>
      <w:jc w:val="center"/>
    </w:pPr>
    <w:rPr>
      <w:i/>
      <w:iCs/>
      <w:color w:val="404040" w:themeColor="text1" w:themeTint="BF"/>
    </w:rPr>
  </w:style>
  <w:style w:type="character" w:customStyle="1" w:styleId="QuoteChar">
    <w:name w:val="Quote Char"/>
    <w:basedOn w:val="DefaultParagraphFont"/>
    <w:link w:val="Quote"/>
    <w:uiPriority w:val="29"/>
    <w:rsid w:val="002A1C56"/>
    <w:rPr>
      <w:i/>
      <w:iCs/>
      <w:color w:val="404040" w:themeColor="text1" w:themeTint="BF"/>
    </w:rPr>
  </w:style>
  <w:style w:type="paragraph" w:styleId="ListParagraph">
    <w:name w:val="List Paragraph"/>
    <w:basedOn w:val="Normal"/>
    <w:uiPriority w:val="34"/>
    <w:qFormat/>
    <w:rsid w:val="002A1C56"/>
    <w:pPr>
      <w:ind w:left="720"/>
      <w:contextualSpacing/>
    </w:pPr>
  </w:style>
  <w:style w:type="character" w:styleId="IntenseEmphasis">
    <w:name w:val="Intense Emphasis"/>
    <w:basedOn w:val="DefaultParagraphFont"/>
    <w:uiPriority w:val="21"/>
    <w:qFormat/>
    <w:rsid w:val="002A1C56"/>
    <w:rPr>
      <w:i/>
      <w:iCs/>
      <w:color w:val="0F4761" w:themeColor="accent1" w:themeShade="BF"/>
    </w:rPr>
  </w:style>
  <w:style w:type="paragraph" w:styleId="IntenseQuote">
    <w:name w:val="Intense Quote"/>
    <w:basedOn w:val="Normal"/>
    <w:next w:val="Normal"/>
    <w:link w:val="IntenseQuoteChar"/>
    <w:uiPriority w:val="30"/>
    <w:qFormat/>
    <w:rsid w:val="002A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C56"/>
    <w:rPr>
      <w:i/>
      <w:iCs/>
      <w:color w:val="0F4761" w:themeColor="accent1" w:themeShade="BF"/>
    </w:rPr>
  </w:style>
  <w:style w:type="character" w:styleId="IntenseReference">
    <w:name w:val="Intense Reference"/>
    <w:basedOn w:val="DefaultParagraphFont"/>
    <w:uiPriority w:val="32"/>
    <w:qFormat/>
    <w:rsid w:val="002A1C56"/>
    <w:rPr>
      <w:b/>
      <w:bCs/>
      <w:smallCaps/>
      <w:color w:val="0F4761" w:themeColor="accent1" w:themeShade="BF"/>
      <w:spacing w:val="5"/>
    </w:rPr>
  </w:style>
  <w:style w:type="paragraph" w:styleId="Footer">
    <w:name w:val="footer"/>
    <w:basedOn w:val="Normal"/>
    <w:link w:val="FooterChar"/>
    <w:uiPriority w:val="99"/>
    <w:unhideWhenUsed/>
    <w:rsid w:val="009B451F"/>
    <w:pPr>
      <w:tabs>
        <w:tab w:val="center" w:pos="4320"/>
        <w:tab w:val="right" w:pos="8640"/>
      </w:tabs>
    </w:pPr>
  </w:style>
  <w:style w:type="character" w:customStyle="1" w:styleId="FooterChar">
    <w:name w:val="Footer Char"/>
    <w:basedOn w:val="DefaultParagraphFont"/>
    <w:link w:val="Footer"/>
    <w:uiPriority w:val="99"/>
    <w:rsid w:val="009B451F"/>
    <w:rPr>
      <w:rFonts w:ascii="Times New Roman" w:eastAsia="MS Mincho" w:hAnsi="Times New Roman" w:cs="Times New Roman"/>
      <w:kern w:val="0"/>
      <w:sz w:val="26"/>
      <w:szCs w:val="24"/>
      <w14:ligatures w14:val="none"/>
    </w:rPr>
  </w:style>
  <w:style w:type="character" w:styleId="PageNumber">
    <w:name w:val="page number"/>
    <w:uiPriority w:val="99"/>
    <w:semiHidden/>
    <w:unhideWhenUsed/>
    <w:rsid w:val="009B451F"/>
  </w:style>
  <w:style w:type="paragraph" w:styleId="NormalWeb">
    <w:name w:val="Normal (Web)"/>
    <w:basedOn w:val="Normal"/>
    <w:uiPriority w:val="99"/>
    <w:semiHidden/>
    <w:unhideWhenUsed/>
    <w:rsid w:val="001D5A00"/>
    <w:rPr>
      <w:sz w:val="24"/>
    </w:rPr>
  </w:style>
  <w:style w:type="paragraph" w:styleId="Header">
    <w:name w:val="header"/>
    <w:basedOn w:val="Normal"/>
    <w:link w:val="HeaderChar"/>
    <w:uiPriority w:val="99"/>
    <w:unhideWhenUsed/>
    <w:rsid w:val="0071487A"/>
    <w:pPr>
      <w:tabs>
        <w:tab w:val="center" w:pos="4680"/>
        <w:tab w:val="right" w:pos="9360"/>
      </w:tabs>
      <w:spacing w:line="240" w:lineRule="auto"/>
    </w:pPr>
  </w:style>
  <w:style w:type="character" w:customStyle="1" w:styleId="HeaderChar">
    <w:name w:val="Header Char"/>
    <w:basedOn w:val="DefaultParagraphFont"/>
    <w:link w:val="Header"/>
    <w:uiPriority w:val="99"/>
    <w:rsid w:val="0071487A"/>
    <w:rPr>
      <w:rFonts w:ascii="Times New Roman" w:eastAsia="MS Mincho" w:hAnsi="Times New Roman" w:cs="Times New Roman"/>
      <w:kern w:val="0"/>
      <w:sz w:val="26"/>
      <w:szCs w:val="24"/>
      <w14:ligatures w14:val="none"/>
    </w:rPr>
  </w:style>
  <w:style w:type="character" w:styleId="CommentReference">
    <w:name w:val="annotation reference"/>
    <w:basedOn w:val="DefaultParagraphFont"/>
    <w:uiPriority w:val="99"/>
    <w:semiHidden/>
    <w:unhideWhenUsed/>
    <w:rsid w:val="00ED725B"/>
    <w:rPr>
      <w:sz w:val="16"/>
      <w:szCs w:val="16"/>
    </w:rPr>
  </w:style>
  <w:style w:type="paragraph" w:styleId="CommentText">
    <w:name w:val="annotation text"/>
    <w:basedOn w:val="Normal"/>
    <w:link w:val="CommentTextChar"/>
    <w:uiPriority w:val="99"/>
    <w:unhideWhenUsed/>
    <w:rsid w:val="00ED725B"/>
    <w:pPr>
      <w:spacing w:line="240" w:lineRule="auto"/>
    </w:pPr>
    <w:rPr>
      <w:sz w:val="20"/>
      <w:szCs w:val="20"/>
    </w:rPr>
  </w:style>
  <w:style w:type="character" w:customStyle="1" w:styleId="CommentTextChar">
    <w:name w:val="Comment Text Char"/>
    <w:basedOn w:val="DefaultParagraphFont"/>
    <w:link w:val="CommentText"/>
    <w:uiPriority w:val="99"/>
    <w:rsid w:val="00ED725B"/>
    <w:rPr>
      <w:rFonts w:ascii="Times New Roman" w:eastAsia="MS Mincho"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725B"/>
    <w:rPr>
      <w:b/>
      <w:bCs/>
    </w:rPr>
  </w:style>
  <w:style w:type="character" w:customStyle="1" w:styleId="CommentSubjectChar">
    <w:name w:val="Comment Subject Char"/>
    <w:basedOn w:val="CommentTextChar"/>
    <w:link w:val="CommentSubject"/>
    <w:uiPriority w:val="99"/>
    <w:semiHidden/>
    <w:rsid w:val="00ED725B"/>
    <w:rPr>
      <w:rFonts w:ascii="Times New Roman" w:eastAsia="MS Mincho" w:hAnsi="Times New Roman" w:cs="Times New Roman"/>
      <w:b/>
      <w:bCs/>
      <w:kern w:val="0"/>
      <w:sz w:val="20"/>
      <w:szCs w:val="20"/>
      <w14:ligatures w14:val="none"/>
    </w:rPr>
  </w:style>
  <w:style w:type="paragraph" w:styleId="Revision">
    <w:name w:val="Revision"/>
    <w:hidden/>
    <w:uiPriority w:val="99"/>
    <w:semiHidden/>
    <w:rsid w:val="00EE74D8"/>
    <w:pPr>
      <w:spacing w:after="0" w:line="240" w:lineRule="auto"/>
    </w:pPr>
    <w:rPr>
      <w:rFonts w:ascii="Times New Roman" w:eastAsia="MS Mincho" w:hAnsi="Times New Roman" w:cs="Times New Roman"/>
      <w:kern w:val="0"/>
      <w:sz w:val="26"/>
      <w:szCs w:val="24"/>
      <w14:ligatures w14:val="none"/>
    </w:rPr>
  </w:style>
  <w:style w:type="character" w:styleId="Hyperlink">
    <w:name w:val="Hyperlink"/>
    <w:basedOn w:val="DefaultParagraphFont"/>
    <w:uiPriority w:val="99"/>
    <w:unhideWhenUsed/>
    <w:rsid w:val="00016AF2"/>
    <w:rPr>
      <w:color w:val="467886" w:themeColor="hyperlink"/>
      <w:u w:val="single"/>
    </w:rPr>
  </w:style>
  <w:style w:type="character" w:styleId="UnresolvedMention">
    <w:name w:val="Unresolved Mention"/>
    <w:basedOn w:val="DefaultParagraphFont"/>
    <w:uiPriority w:val="99"/>
    <w:semiHidden/>
    <w:unhideWhenUsed/>
    <w:rsid w:val="00016AF2"/>
    <w:rPr>
      <w:color w:val="605E5C"/>
      <w:shd w:val="clear" w:color="auto" w:fill="E1DFDD"/>
    </w:rPr>
  </w:style>
  <w:style w:type="paragraph" w:styleId="TOC1">
    <w:name w:val="toc 1"/>
    <w:basedOn w:val="Normal"/>
    <w:next w:val="Normal"/>
    <w:autoRedefine/>
    <w:uiPriority w:val="39"/>
    <w:unhideWhenUsed/>
    <w:rsid w:val="000A30F2"/>
    <w:pPr>
      <w:tabs>
        <w:tab w:val="right" w:leader="dot" w:pos="9350"/>
      </w:tabs>
      <w:spacing w:after="100"/>
    </w:pPr>
    <w:rPr>
      <w:noProof/>
    </w:rPr>
  </w:style>
  <w:style w:type="paragraph" w:styleId="TOC2">
    <w:name w:val="toc 2"/>
    <w:basedOn w:val="Normal"/>
    <w:next w:val="Normal"/>
    <w:autoRedefine/>
    <w:uiPriority w:val="39"/>
    <w:unhideWhenUsed/>
    <w:rsid w:val="00791083"/>
    <w:pPr>
      <w:spacing w:after="100"/>
      <w:ind w:left="260"/>
    </w:pPr>
  </w:style>
  <w:style w:type="paragraph" w:styleId="TOC3">
    <w:name w:val="toc 3"/>
    <w:basedOn w:val="Normal"/>
    <w:next w:val="Normal"/>
    <w:autoRedefine/>
    <w:uiPriority w:val="39"/>
    <w:unhideWhenUsed/>
    <w:rsid w:val="00791083"/>
    <w:pPr>
      <w:spacing w:after="100"/>
      <w:ind w:left="520"/>
    </w:pPr>
  </w:style>
  <w:style w:type="paragraph" w:styleId="TOC4">
    <w:name w:val="toc 4"/>
    <w:basedOn w:val="Normal"/>
    <w:next w:val="Normal"/>
    <w:autoRedefine/>
    <w:uiPriority w:val="39"/>
    <w:unhideWhenUsed/>
    <w:rsid w:val="00791083"/>
    <w:pPr>
      <w:spacing w:after="100"/>
      <w:ind w:left="780"/>
    </w:pPr>
  </w:style>
  <w:style w:type="paragraph" w:styleId="TOAHeading">
    <w:name w:val="toa heading"/>
    <w:basedOn w:val="Normal"/>
    <w:next w:val="Normal"/>
    <w:uiPriority w:val="99"/>
    <w:unhideWhenUsed/>
    <w:rsid w:val="00294F56"/>
    <w:pPr>
      <w:spacing w:before="120"/>
    </w:pPr>
    <w:rPr>
      <w:rFonts w:asciiTheme="majorHAnsi" w:eastAsiaTheme="majorEastAsia" w:hAnsiTheme="majorHAnsi" w:cstheme="majorBidi"/>
      <w:b/>
      <w:bCs/>
      <w:sz w:val="24"/>
    </w:rPr>
  </w:style>
  <w:style w:type="paragraph" w:styleId="TableofAuthorities">
    <w:name w:val="table of authorities"/>
    <w:basedOn w:val="Normal"/>
    <w:next w:val="Normal"/>
    <w:uiPriority w:val="99"/>
    <w:semiHidden/>
    <w:unhideWhenUsed/>
    <w:rsid w:val="00294F56"/>
    <w:pPr>
      <w:ind w:left="260" w:hanging="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5296">
      <w:bodyDiv w:val="1"/>
      <w:marLeft w:val="0"/>
      <w:marRight w:val="0"/>
      <w:marTop w:val="0"/>
      <w:marBottom w:val="0"/>
      <w:divBdr>
        <w:top w:val="none" w:sz="0" w:space="0" w:color="auto"/>
        <w:left w:val="none" w:sz="0" w:space="0" w:color="auto"/>
        <w:bottom w:val="none" w:sz="0" w:space="0" w:color="auto"/>
        <w:right w:val="none" w:sz="0" w:space="0" w:color="auto"/>
      </w:divBdr>
    </w:div>
    <w:div w:id="165096592">
      <w:bodyDiv w:val="1"/>
      <w:marLeft w:val="0"/>
      <w:marRight w:val="0"/>
      <w:marTop w:val="0"/>
      <w:marBottom w:val="0"/>
      <w:divBdr>
        <w:top w:val="none" w:sz="0" w:space="0" w:color="auto"/>
        <w:left w:val="none" w:sz="0" w:space="0" w:color="auto"/>
        <w:bottom w:val="none" w:sz="0" w:space="0" w:color="auto"/>
        <w:right w:val="none" w:sz="0" w:space="0" w:color="auto"/>
      </w:divBdr>
      <w:divsChild>
        <w:div w:id="1021473030">
          <w:marLeft w:val="0"/>
          <w:marRight w:val="0"/>
          <w:marTop w:val="0"/>
          <w:marBottom w:val="0"/>
          <w:divBdr>
            <w:top w:val="none" w:sz="0" w:space="0" w:color="auto"/>
            <w:left w:val="none" w:sz="0" w:space="0" w:color="auto"/>
            <w:bottom w:val="none" w:sz="0" w:space="0" w:color="auto"/>
            <w:right w:val="none" w:sz="0" w:space="0" w:color="auto"/>
          </w:divBdr>
        </w:div>
      </w:divsChild>
    </w:div>
    <w:div w:id="263074017">
      <w:bodyDiv w:val="1"/>
      <w:marLeft w:val="0"/>
      <w:marRight w:val="0"/>
      <w:marTop w:val="0"/>
      <w:marBottom w:val="0"/>
      <w:divBdr>
        <w:top w:val="none" w:sz="0" w:space="0" w:color="auto"/>
        <w:left w:val="none" w:sz="0" w:space="0" w:color="auto"/>
        <w:bottom w:val="none" w:sz="0" w:space="0" w:color="auto"/>
        <w:right w:val="none" w:sz="0" w:space="0" w:color="auto"/>
      </w:divBdr>
      <w:divsChild>
        <w:div w:id="259264477">
          <w:marLeft w:val="0"/>
          <w:marRight w:val="0"/>
          <w:marTop w:val="0"/>
          <w:marBottom w:val="0"/>
          <w:divBdr>
            <w:top w:val="none" w:sz="0" w:space="0" w:color="auto"/>
            <w:left w:val="none" w:sz="0" w:space="0" w:color="auto"/>
            <w:bottom w:val="none" w:sz="0" w:space="0" w:color="auto"/>
            <w:right w:val="none" w:sz="0" w:space="0" w:color="auto"/>
          </w:divBdr>
        </w:div>
      </w:divsChild>
    </w:div>
    <w:div w:id="273051600">
      <w:bodyDiv w:val="1"/>
      <w:marLeft w:val="0"/>
      <w:marRight w:val="0"/>
      <w:marTop w:val="0"/>
      <w:marBottom w:val="0"/>
      <w:divBdr>
        <w:top w:val="none" w:sz="0" w:space="0" w:color="auto"/>
        <w:left w:val="none" w:sz="0" w:space="0" w:color="auto"/>
        <w:bottom w:val="none" w:sz="0" w:space="0" w:color="auto"/>
        <w:right w:val="none" w:sz="0" w:space="0" w:color="auto"/>
      </w:divBdr>
    </w:div>
    <w:div w:id="298192061">
      <w:bodyDiv w:val="1"/>
      <w:marLeft w:val="0"/>
      <w:marRight w:val="0"/>
      <w:marTop w:val="0"/>
      <w:marBottom w:val="0"/>
      <w:divBdr>
        <w:top w:val="none" w:sz="0" w:space="0" w:color="auto"/>
        <w:left w:val="none" w:sz="0" w:space="0" w:color="auto"/>
        <w:bottom w:val="none" w:sz="0" w:space="0" w:color="auto"/>
        <w:right w:val="none" w:sz="0" w:space="0" w:color="auto"/>
      </w:divBdr>
    </w:div>
    <w:div w:id="489715301">
      <w:bodyDiv w:val="1"/>
      <w:marLeft w:val="0"/>
      <w:marRight w:val="0"/>
      <w:marTop w:val="0"/>
      <w:marBottom w:val="0"/>
      <w:divBdr>
        <w:top w:val="none" w:sz="0" w:space="0" w:color="auto"/>
        <w:left w:val="none" w:sz="0" w:space="0" w:color="auto"/>
        <w:bottom w:val="none" w:sz="0" w:space="0" w:color="auto"/>
        <w:right w:val="none" w:sz="0" w:space="0" w:color="auto"/>
      </w:divBdr>
    </w:div>
    <w:div w:id="494884429">
      <w:bodyDiv w:val="1"/>
      <w:marLeft w:val="0"/>
      <w:marRight w:val="0"/>
      <w:marTop w:val="0"/>
      <w:marBottom w:val="0"/>
      <w:divBdr>
        <w:top w:val="none" w:sz="0" w:space="0" w:color="auto"/>
        <w:left w:val="none" w:sz="0" w:space="0" w:color="auto"/>
        <w:bottom w:val="none" w:sz="0" w:space="0" w:color="auto"/>
        <w:right w:val="none" w:sz="0" w:space="0" w:color="auto"/>
      </w:divBdr>
    </w:div>
    <w:div w:id="632516138">
      <w:bodyDiv w:val="1"/>
      <w:marLeft w:val="0"/>
      <w:marRight w:val="0"/>
      <w:marTop w:val="0"/>
      <w:marBottom w:val="0"/>
      <w:divBdr>
        <w:top w:val="none" w:sz="0" w:space="0" w:color="auto"/>
        <w:left w:val="none" w:sz="0" w:space="0" w:color="auto"/>
        <w:bottom w:val="none" w:sz="0" w:space="0" w:color="auto"/>
        <w:right w:val="none" w:sz="0" w:space="0" w:color="auto"/>
      </w:divBdr>
      <w:divsChild>
        <w:div w:id="205457293">
          <w:marLeft w:val="0"/>
          <w:marRight w:val="0"/>
          <w:marTop w:val="0"/>
          <w:marBottom w:val="0"/>
          <w:divBdr>
            <w:top w:val="none" w:sz="0" w:space="0" w:color="auto"/>
            <w:left w:val="none" w:sz="0" w:space="0" w:color="auto"/>
            <w:bottom w:val="none" w:sz="0" w:space="0" w:color="auto"/>
            <w:right w:val="none" w:sz="0" w:space="0" w:color="auto"/>
          </w:divBdr>
        </w:div>
      </w:divsChild>
    </w:div>
    <w:div w:id="1072773179">
      <w:bodyDiv w:val="1"/>
      <w:marLeft w:val="0"/>
      <w:marRight w:val="0"/>
      <w:marTop w:val="0"/>
      <w:marBottom w:val="0"/>
      <w:divBdr>
        <w:top w:val="none" w:sz="0" w:space="0" w:color="auto"/>
        <w:left w:val="none" w:sz="0" w:space="0" w:color="auto"/>
        <w:bottom w:val="none" w:sz="0" w:space="0" w:color="auto"/>
        <w:right w:val="none" w:sz="0" w:space="0" w:color="auto"/>
      </w:divBdr>
    </w:div>
    <w:div w:id="1178427042">
      <w:bodyDiv w:val="1"/>
      <w:marLeft w:val="0"/>
      <w:marRight w:val="0"/>
      <w:marTop w:val="0"/>
      <w:marBottom w:val="0"/>
      <w:divBdr>
        <w:top w:val="none" w:sz="0" w:space="0" w:color="auto"/>
        <w:left w:val="none" w:sz="0" w:space="0" w:color="auto"/>
        <w:bottom w:val="none" w:sz="0" w:space="0" w:color="auto"/>
        <w:right w:val="none" w:sz="0" w:space="0" w:color="auto"/>
      </w:divBdr>
    </w:div>
    <w:div w:id="1238782338">
      <w:bodyDiv w:val="1"/>
      <w:marLeft w:val="0"/>
      <w:marRight w:val="0"/>
      <w:marTop w:val="0"/>
      <w:marBottom w:val="0"/>
      <w:divBdr>
        <w:top w:val="none" w:sz="0" w:space="0" w:color="auto"/>
        <w:left w:val="none" w:sz="0" w:space="0" w:color="auto"/>
        <w:bottom w:val="none" w:sz="0" w:space="0" w:color="auto"/>
        <w:right w:val="none" w:sz="0" w:space="0" w:color="auto"/>
      </w:divBdr>
    </w:div>
    <w:div w:id="1284579513">
      <w:bodyDiv w:val="1"/>
      <w:marLeft w:val="0"/>
      <w:marRight w:val="0"/>
      <w:marTop w:val="0"/>
      <w:marBottom w:val="0"/>
      <w:divBdr>
        <w:top w:val="none" w:sz="0" w:space="0" w:color="auto"/>
        <w:left w:val="none" w:sz="0" w:space="0" w:color="auto"/>
        <w:bottom w:val="none" w:sz="0" w:space="0" w:color="auto"/>
        <w:right w:val="none" w:sz="0" w:space="0" w:color="auto"/>
      </w:divBdr>
    </w:div>
    <w:div w:id="1349604744">
      <w:bodyDiv w:val="1"/>
      <w:marLeft w:val="0"/>
      <w:marRight w:val="0"/>
      <w:marTop w:val="0"/>
      <w:marBottom w:val="0"/>
      <w:divBdr>
        <w:top w:val="none" w:sz="0" w:space="0" w:color="auto"/>
        <w:left w:val="none" w:sz="0" w:space="0" w:color="auto"/>
        <w:bottom w:val="none" w:sz="0" w:space="0" w:color="auto"/>
        <w:right w:val="none" w:sz="0" w:space="0" w:color="auto"/>
      </w:divBdr>
      <w:divsChild>
        <w:div w:id="244926434">
          <w:marLeft w:val="0"/>
          <w:marRight w:val="0"/>
          <w:marTop w:val="0"/>
          <w:marBottom w:val="0"/>
          <w:divBdr>
            <w:top w:val="none" w:sz="0" w:space="0" w:color="auto"/>
            <w:left w:val="none" w:sz="0" w:space="0" w:color="auto"/>
            <w:bottom w:val="none" w:sz="0" w:space="0" w:color="auto"/>
            <w:right w:val="none" w:sz="0" w:space="0" w:color="auto"/>
          </w:divBdr>
        </w:div>
      </w:divsChild>
    </w:div>
    <w:div w:id="1568150358">
      <w:bodyDiv w:val="1"/>
      <w:marLeft w:val="0"/>
      <w:marRight w:val="0"/>
      <w:marTop w:val="0"/>
      <w:marBottom w:val="0"/>
      <w:divBdr>
        <w:top w:val="none" w:sz="0" w:space="0" w:color="auto"/>
        <w:left w:val="none" w:sz="0" w:space="0" w:color="auto"/>
        <w:bottom w:val="none" w:sz="0" w:space="0" w:color="auto"/>
        <w:right w:val="none" w:sz="0" w:space="0" w:color="auto"/>
      </w:divBdr>
    </w:div>
    <w:div w:id="1578898622">
      <w:bodyDiv w:val="1"/>
      <w:marLeft w:val="0"/>
      <w:marRight w:val="0"/>
      <w:marTop w:val="0"/>
      <w:marBottom w:val="0"/>
      <w:divBdr>
        <w:top w:val="none" w:sz="0" w:space="0" w:color="auto"/>
        <w:left w:val="none" w:sz="0" w:space="0" w:color="auto"/>
        <w:bottom w:val="none" w:sz="0" w:space="0" w:color="auto"/>
        <w:right w:val="none" w:sz="0" w:space="0" w:color="auto"/>
      </w:divBdr>
      <w:divsChild>
        <w:div w:id="859587244">
          <w:marLeft w:val="0"/>
          <w:marRight w:val="0"/>
          <w:marTop w:val="0"/>
          <w:marBottom w:val="0"/>
          <w:divBdr>
            <w:top w:val="none" w:sz="0" w:space="0" w:color="auto"/>
            <w:left w:val="none" w:sz="0" w:space="0" w:color="auto"/>
            <w:bottom w:val="none" w:sz="0" w:space="0" w:color="auto"/>
            <w:right w:val="none" w:sz="0" w:space="0" w:color="auto"/>
          </w:divBdr>
        </w:div>
      </w:divsChild>
    </w:div>
    <w:div w:id="1688024587">
      <w:bodyDiv w:val="1"/>
      <w:marLeft w:val="0"/>
      <w:marRight w:val="0"/>
      <w:marTop w:val="0"/>
      <w:marBottom w:val="0"/>
      <w:divBdr>
        <w:top w:val="none" w:sz="0" w:space="0" w:color="auto"/>
        <w:left w:val="none" w:sz="0" w:space="0" w:color="auto"/>
        <w:bottom w:val="none" w:sz="0" w:space="0" w:color="auto"/>
        <w:right w:val="none" w:sz="0" w:space="0" w:color="auto"/>
      </w:divBdr>
    </w:div>
    <w:div w:id="1809475789">
      <w:bodyDiv w:val="1"/>
      <w:marLeft w:val="0"/>
      <w:marRight w:val="0"/>
      <w:marTop w:val="0"/>
      <w:marBottom w:val="0"/>
      <w:divBdr>
        <w:top w:val="none" w:sz="0" w:space="0" w:color="auto"/>
        <w:left w:val="none" w:sz="0" w:space="0" w:color="auto"/>
        <w:bottom w:val="none" w:sz="0" w:space="0" w:color="auto"/>
        <w:right w:val="none" w:sz="0" w:space="0" w:color="auto"/>
      </w:divBdr>
    </w:div>
    <w:div w:id="1860774366">
      <w:bodyDiv w:val="1"/>
      <w:marLeft w:val="0"/>
      <w:marRight w:val="0"/>
      <w:marTop w:val="0"/>
      <w:marBottom w:val="0"/>
      <w:divBdr>
        <w:top w:val="none" w:sz="0" w:space="0" w:color="auto"/>
        <w:left w:val="none" w:sz="0" w:space="0" w:color="auto"/>
        <w:bottom w:val="none" w:sz="0" w:space="0" w:color="auto"/>
        <w:right w:val="none" w:sz="0" w:space="0" w:color="auto"/>
      </w:divBdr>
      <w:divsChild>
        <w:div w:id="2120299039">
          <w:marLeft w:val="0"/>
          <w:marRight w:val="0"/>
          <w:marTop w:val="0"/>
          <w:marBottom w:val="0"/>
          <w:divBdr>
            <w:top w:val="none" w:sz="0" w:space="0" w:color="auto"/>
            <w:left w:val="none" w:sz="0" w:space="0" w:color="auto"/>
            <w:bottom w:val="none" w:sz="0" w:space="0" w:color="auto"/>
            <w:right w:val="none" w:sz="0" w:space="0" w:color="auto"/>
          </w:divBdr>
        </w:div>
      </w:divsChild>
    </w:div>
    <w:div w:id="1946111377">
      <w:bodyDiv w:val="1"/>
      <w:marLeft w:val="0"/>
      <w:marRight w:val="0"/>
      <w:marTop w:val="0"/>
      <w:marBottom w:val="0"/>
      <w:divBdr>
        <w:top w:val="none" w:sz="0" w:space="0" w:color="auto"/>
        <w:left w:val="none" w:sz="0" w:space="0" w:color="auto"/>
        <w:bottom w:val="none" w:sz="0" w:space="0" w:color="auto"/>
        <w:right w:val="none" w:sz="0" w:space="0" w:color="auto"/>
      </w:divBdr>
    </w:div>
    <w:div w:id="2040349668">
      <w:bodyDiv w:val="1"/>
      <w:marLeft w:val="0"/>
      <w:marRight w:val="0"/>
      <w:marTop w:val="0"/>
      <w:marBottom w:val="0"/>
      <w:divBdr>
        <w:top w:val="none" w:sz="0" w:space="0" w:color="auto"/>
        <w:left w:val="none" w:sz="0" w:space="0" w:color="auto"/>
        <w:bottom w:val="none" w:sz="0" w:space="0" w:color="auto"/>
        <w:right w:val="none" w:sz="0" w:space="0" w:color="auto"/>
      </w:divBdr>
    </w:div>
    <w:div w:id="21389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8A875-F8C3-48A7-9D0A-058AA29D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2024-09-01T19:44:00Z</dcterms:created>
  <dcterms:modified xsi:type="dcterms:W3CDTF">2024-09-01T19:53:00Z</dcterms:modified>
</cp:coreProperties>
</file>